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75CB7" w14:textId="2005573C" w:rsidR="007E6BFD" w:rsidRPr="00D37FCE" w:rsidRDefault="00774339" w:rsidP="00957066">
      <w:pPr>
        <w:pStyle w:val="FootnoteText"/>
        <w:rPr>
          <w:rFonts w:eastAsia="Segoe UI Emoji"/>
        </w:rPr>
      </w:pPr>
      <w:bookmarkStart w:id="0" w:name="_Hlk83890165"/>
      <w:bookmarkStart w:id="1" w:name="_GoBack"/>
      <w:bookmarkEnd w:id="1"/>
      <w:r w:rsidRPr="00D37FCE">
        <w:rPr>
          <w:rFonts w:eastAsia="Segoe UI Emoji"/>
          <w:noProof/>
        </w:rPr>
        <mc:AlternateContent>
          <mc:Choice Requires="wpg">
            <w:drawing>
              <wp:anchor distT="0" distB="0" distL="114300" distR="114300" simplePos="0" relativeHeight="251651097" behindDoc="0" locked="0" layoutInCell="1" allowOverlap="1" wp14:anchorId="3110F86E" wp14:editId="27BC4C80">
                <wp:simplePos x="0" y="0"/>
                <wp:positionH relativeFrom="column">
                  <wp:posOffset>-901459</wp:posOffset>
                </wp:positionH>
                <wp:positionV relativeFrom="page">
                  <wp:posOffset>231228</wp:posOffset>
                </wp:positionV>
                <wp:extent cx="7200265" cy="1158240"/>
                <wp:effectExtent l="0" t="0" r="635" b="3810"/>
                <wp:wrapNone/>
                <wp:docPr id="479" name="Group 479"/>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g:grpSp>
                        <wpg:cNvPr id="7" name="Group 3"/>
                        <wpg:cNvGrpSpPr/>
                        <wpg:grpSpPr>
                          <a:xfrm>
                            <a:off x="0" y="0"/>
                            <a:ext cx="7200265" cy="1158240"/>
                            <a:chOff x="7315" y="21945"/>
                            <a:chExt cx="7200265" cy="1158240"/>
                          </a:xfrm>
                          <a:blipFill dpi="0" rotWithShape="1">
                            <a:blip r:embed="rId11">
                              <a:extLst>
                                <a:ext uri="{28A0092B-C50C-407E-A947-70E740481C1C}">
                                  <a14:useLocalDpi xmlns:a14="http://schemas.microsoft.com/office/drawing/2010/main" val="0"/>
                                </a:ext>
                              </a:extLst>
                            </a:blip>
                            <a:srcRect/>
                            <a:stretch>
                              <a:fillRect/>
                            </a:stretch>
                          </a:blipFill>
                        </wpg:grpSpPr>
                        <wps:wsp>
                          <wps:cNvPr id="235" name="Freeform 213"/>
                          <wps:cNvSpPr>
                            <a:spLocks/>
                          </wps:cNvSpPr>
                          <wps:spPr bwMode="auto">
                            <a:xfrm>
                              <a:off x="7315" y="21945"/>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88191" y="361310"/>
                              <a:ext cx="1399210" cy="559684"/>
                            </a:xfrm>
                            <a:prstGeom prst="rect">
                              <a:avLst/>
                            </a:prstGeom>
                            <a:grpFill/>
                          </pic:spPr>
                        </pic:pic>
                      </wpg:grpSp>
                      <wps:wsp>
                        <wps:cNvPr id="307" name="Text Box 2"/>
                        <wps:cNvSpPr txBox="1">
                          <a:spLocks noChangeArrowheads="1"/>
                        </wps:cNvSpPr>
                        <wps:spPr bwMode="auto">
                          <a:xfrm>
                            <a:off x="4330260" y="315311"/>
                            <a:ext cx="2743282" cy="788276"/>
                          </a:xfrm>
                          <a:prstGeom prst="rect">
                            <a:avLst/>
                          </a:prstGeom>
                          <a:noFill/>
                          <a:ln w="9525">
                            <a:noFill/>
                            <a:miter lim="800000"/>
                            <a:headEnd/>
                            <a:tailEnd/>
                          </a:ln>
                        </wps:spPr>
                        <wps:txbx>
                          <w:txbxContent>
                            <w:p w14:paraId="65BCDF37" w14:textId="2C67D22B" w:rsidR="00A55F53" w:rsidRPr="00D61250" w:rsidRDefault="00A55F53" w:rsidP="000C02A8">
                              <w:pPr>
                                <w:spacing w:after="240"/>
                                <w:ind w:left="471" w:right="62" w:hanging="471"/>
                                <w:jc w:val="right"/>
                                <w:rPr>
                                  <w:rFonts w:eastAsia="Wingdings" w:cs="Wingdings"/>
                                  <w:b/>
                                  <w:sz w:val="18"/>
                                  <w:szCs w:val="18"/>
                                </w:rPr>
                              </w:pPr>
                              <w:r w:rsidRPr="0010590D">
                                <w:rPr>
                                  <w:rFonts w:eastAsia="Wingdings" w:cs="Wingdings"/>
                                  <w:b/>
                                  <w:color w:val="72AB6A"/>
                                  <w:spacing w:val="2"/>
                                  <w:sz w:val="18"/>
                                  <w:szCs w:val="18"/>
                                </w:rPr>
                                <w:t xml:space="preserve">Mahuru </w:t>
                              </w:r>
                              <w:r>
                                <w:rPr>
                                  <w:rFonts w:eastAsia="Wingdings" w:cs="Wingdings"/>
                                  <w:b/>
                                  <w:color w:val="72AB6A"/>
                                  <w:spacing w:val="2"/>
                                  <w:sz w:val="18"/>
                                  <w:szCs w:val="18"/>
                                </w:rPr>
                                <w:t>| September</w:t>
                              </w:r>
                              <w:r w:rsidRPr="00D61250">
                                <w:rPr>
                                  <w:rFonts w:eastAsia="Wingdings" w:cs="Wingdings"/>
                                  <w:b/>
                                  <w:color w:val="72AB6A"/>
                                  <w:spacing w:val="2"/>
                                  <w:sz w:val="18"/>
                                  <w:szCs w:val="18"/>
                                </w:rPr>
                                <w:t xml:space="preserve"> 202</w:t>
                              </w:r>
                              <w:r>
                                <w:rPr>
                                  <w:rFonts w:eastAsia="Wingdings" w:cs="Wingdings"/>
                                  <w:b/>
                                  <w:color w:val="72AB6A"/>
                                  <w:spacing w:val="2"/>
                                  <w:sz w:val="18"/>
                                  <w:szCs w:val="18"/>
                                </w:rPr>
                                <w:t>1</w:t>
                              </w:r>
                            </w:p>
                            <w:p w14:paraId="19CC3E0A" w14:textId="77777777" w:rsidR="00A55F53" w:rsidRDefault="00A55F53" w:rsidP="000C02A8">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4B74BF2D" w14:textId="77777777" w:rsidR="00A55F53" w:rsidRPr="00D61250" w:rsidRDefault="00A55F53"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A55F53" w:rsidRDefault="00A55F53">
                              <w:pPr>
                                <w:spacing w:after="78"/>
                                <w:ind w:left="184"/>
                              </w:pPr>
                            </w:p>
                          </w:txbxContent>
                        </wps:txbx>
                        <wps:bodyPr rot="0" vert="horz" wrap="square" lIns="91440" tIns="45720" rIns="91440" bIns="45720" anchor="t" anchorCtr="0">
                          <a:noAutofit/>
                        </wps:bodyPr>
                      </wps:wsp>
                    </wpg:wgp>
                  </a:graphicData>
                </a:graphic>
              </wp:anchor>
            </w:drawing>
          </mc:Choice>
          <mc:Fallback>
            <w:pict>
              <v:group w14:anchorId="3110F86E" id="Group 479" o:spid="_x0000_s1026" style="position:absolute;left:0;text-align:left;margin-left:-71pt;margin-top:18.2pt;width:566.95pt;height:91.2pt;z-index:251651097;mso-position-vertical-relative:page"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">
                <v:group id="Group 3" o:spid="_x0000_s1027" style="position:absolute;width:72002;height:11582" coordorigin="73,219" coordsize="72002,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13" o:spid="_x0000_s1028" style="position:absolute;left:73;top:219;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" path="m,1824r11339,l11339,,,,,1824e" filled="f" stroked="f">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2881;top:3613;width:13993;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">
                    <v:imagedata r:id="rId13" o:title=""/>
                  </v:shape>
                </v:group>
                <v:shapetype id="_x0000_t202" coordsize="21600,21600" o:spt="202" path="m,l,21600r21600,l21600,xe">
                  <v:stroke joinstyle="miter"/>
                  <v:path gradientshapeok="t" o:connecttype="rect"/>
                </v:shapetype>
                <v:shape id="Text Box 2" o:spid="_x0000_s1030" type="#_x0000_t202" style="position:absolute;left:43302;top:3153;width:27433;height:7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5BCDF37" w14:textId="2C67D22B" w:rsidR="00A55F53" w:rsidRPr="00D61250" w:rsidRDefault="00A55F53" w:rsidP="000C02A8">
                        <w:pPr>
                          <w:spacing w:after="240"/>
                          <w:ind w:left="471" w:right="62" w:hanging="471"/>
                          <w:jc w:val="right"/>
                          <w:rPr>
                            <w:rFonts w:eastAsia="Wingdings" w:cs="Wingdings"/>
                            <w:b/>
                            <w:sz w:val="18"/>
                            <w:szCs w:val="18"/>
                          </w:rPr>
                        </w:pPr>
                        <w:r w:rsidRPr="0010590D">
                          <w:rPr>
                            <w:rFonts w:eastAsia="Wingdings" w:cs="Wingdings"/>
                            <w:b/>
                            <w:color w:val="72AB6A"/>
                            <w:spacing w:val="2"/>
                            <w:sz w:val="18"/>
                            <w:szCs w:val="18"/>
                          </w:rPr>
                          <w:t xml:space="preserve">Mahuru </w:t>
                        </w:r>
                        <w:r>
                          <w:rPr>
                            <w:rFonts w:eastAsia="Wingdings" w:cs="Wingdings"/>
                            <w:b/>
                            <w:color w:val="72AB6A"/>
                            <w:spacing w:val="2"/>
                            <w:sz w:val="18"/>
                            <w:szCs w:val="18"/>
                          </w:rPr>
                          <w:t>| September</w:t>
                        </w:r>
                        <w:r w:rsidRPr="00D61250">
                          <w:rPr>
                            <w:rFonts w:eastAsia="Wingdings" w:cs="Wingdings"/>
                            <w:b/>
                            <w:color w:val="72AB6A"/>
                            <w:spacing w:val="2"/>
                            <w:sz w:val="18"/>
                            <w:szCs w:val="18"/>
                          </w:rPr>
                          <w:t xml:space="preserve"> 202</w:t>
                        </w:r>
                        <w:r>
                          <w:rPr>
                            <w:rFonts w:eastAsia="Wingdings" w:cs="Wingdings"/>
                            <w:b/>
                            <w:color w:val="72AB6A"/>
                            <w:spacing w:val="2"/>
                            <w:sz w:val="18"/>
                            <w:szCs w:val="18"/>
                          </w:rPr>
                          <w:t>1</w:t>
                        </w:r>
                      </w:p>
                      <w:p w14:paraId="19CC3E0A" w14:textId="77777777" w:rsidR="00A55F53" w:rsidRDefault="00A55F53" w:rsidP="000C02A8">
                        <w:pPr>
                          <w:spacing w:before="26" w:after="60"/>
                          <w:ind w:left="181" w:right="62"/>
                          <w:jc w:val="right"/>
                          <w:rPr>
                            <w:rFonts w:eastAsia="Wingdings" w:cs="Wingdings"/>
                            <w:b/>
                            <w:color w:val="72AB6A"/>
                            <w:spacing w:val="-3"/>
                            <w:sz w:val="18"/>
                            <w:szCs w:val="18"/>
                          </w:rPr>
                        </w:pPr>
                        <w:r w:rsidRPr="003962F3">
                          <w:rPr>
                            <w:rFonts w:eastAsia="Wingdings" w:cs="Wingdings"/>
                            <w:b/>
                            <w:color w:val="72AB6A"/>
                            <w:spacing w:val="-3"/>
                            <w:sz w:val="18"/>
                            <w:szCs w:val="18"/>
                          </w:rPr>
                          <w:t>Te Whanganui-a-Tara, Aotearoa</w:t>
                        </w:r>
                      </w:p>
                      <w:p w14:paraId="4B74BF2D" w14:textId="77777777" w:rsidR="00A55F53" w:rsidRPr="00D61250" w:rsidRDefault="00A55F53" w:rsidP="00495F8C">
                        <w:pPr>
                          <w:spacing w:before="26"/>
                          <w:ind w:left="184" w:right="61"/>
                          <w:jc w:val="right"/>
                          <w:rPr>
                            <w:rFonts w:eastAsia="Wingdings" w:cs="Wingdings"/>
                            <w:b/>
                            <w:sz w:val="18"/>
                            <w:szCs w:val="18"/>
                          </w:rPr>
                        </w:pPr>
                        <w:r w:rsidRPr="003962F3">
                          <w:rPr>
                            <w:rFonts w:eastAsia="Wingdings" w:cs="Wingdings"/>
                            <w:b/>
                            <w:color w:val="72AB6A"/>
                            <w:spacing w:val="-3"/>
                            <w:sz w:val="18"/>
                            <w:szCs w:val="18"/>
                          </w:rPr>
                          <w:t xml:space="preserve">  </w:t>
                        </w:r>
                        <w:r w:rsidRPr="00D61250">
                          <w:rPr>
                            <w:rFonts w:eastAsia="Wingdings" w:cs="Wingdings"/>
                            <w:b/>
                            <w:color w:val="72AB6A"/>
                            <w:spacing w:val="-3"/>
                            <w:sz w:val="18"/>
                            <w:szCs w:val="18"/>
                          </w:rPr>
                          <w:t>W</w:t>
                        </w:r>
                        <w:r w:rsidRPr="00D61250">
                          <w:rPr>
                            <w:rFonts w:eastAsia="Wingdings" w:cs="Wingdings"/>
                            <w:b/>
                            <w:color w:val="72AB6A"/>
                            <w:spacing w:val="3"/>
                            <w:sz w:val="18"/>
                            <w:szCs w:val="18"/>
                          </w:rPr>
                          <w:t>elli</w:t>
                        </w:r>
                        <w:r w:rsidRPr="00D61250">
                          <w:rPr>
                            <w:rFonts w:eastAsia="Wingdings" w:cs="Wingdings"/>
                            <w:b/>
                            <w:color w:val="72AB6A"/>
                            <w:spacing w:val="2"/>
                            <w:sz w:val="18"/>
                            <w:szCs w:val="18"/>
                          </w:rPr>
                          <w:t>ng</w:t>
                        </w:r>
                        <w:r w:rsidRPr="00D61250">
                          <w:rPr>
                            <w:rFonts w:eastAsia="Wingdings" w:cs="Wingdings"/>
                            <w:b/>
                            <w:color w:val="72AB6A"/>
                            <w:spacing w:val="-1"/>
                            <w:sz w:val="18"/>
                            <w:szCs w:val="18"/>
                          </w:rPr>
                          <w:t>t</w:t>
                        </w:r>
                        <w:r w:rsidRPr="00D61250">
                          <w:rPr>
                            <w:rFonts w:eastAsia="Wingdings" w:cs="Wingdings"/>
                            <w:b/>
                            <w:color w:val="72AB6A"/>
                            <w:spacing w:val="3"/>
                            <w:sz w:val="18"/>
                            <w:szCs w:val="18"/>
                          </w:rPr>
                          <w:t>on</w:t>
                        </w:r>
                        <w:r w:rsidRPr="00D61250">
                          <w:rPr>
                            <w:rFonts w:eastAsia="Wingdings" w:cs="Wingdings"/>
                            <w:b/>
                            <w:color w:val="72AB6A"/>
                            <w:sz w:val="18"/>
                            <w:szCs w:val="18"/>
                          </w:rPr>
                          <w:t xml:space="preserve">, </w:t>
                        </w:r>
                        <w:r w:rsidRPr="00D61250">
                          <w:rPr>
                            <w:rFonts w:eastAsia="Wingdings" w:cs="Wingdings"/>
                            <w:b/>
                            <w:color w:val="72AB6A"/>
                            <w:spacing w:val="3"/>
                            <w:sz w:val="18"/>
                            <w:szCs w:val="18"/>
                          </w:rPr>
                          <w:t>N</w:t>
                        </w:r>
                        <w:r w:rsidRPr="00D61250">
                          <w:rPr>
                            <w:rFonts w:eastAsia="Wingdings" w:cs="Wingdings"/>
                            <w:b/>
                            <w:color w:val="72AB6A"/>
                            <w:spacing w:val="-1"/>
                            <w:sz w:val="18"/>
                            <w:szCs w:val="18"/>
                          </w:rPr>
                          <w:t>e</w:t>
                        </w:r>
                        <w:r w:rsidRPr="00D61250">
                          <w:rPr>
                            <w:rFonts w:eastAsia="Wingdings" w:cs="Wingdings"/>
                            <w:b/>
                            <w:color w:val="72AB6A"/>
                            <w:sz w:val="18"/>
                            <w:szCs w:val="18"/>
                          </w:rPr>
                          <w:t xml:space="preserve">w </w:t>
                        </w:r>
                        <w:r w:rsidRPr="00D61250">
                          <w:rPr>
                            <w:rFonts w:eastAsia="Wingdings" w:cs="Wingdings"/>
                            <w:b/>
                            <w:color w:val="72AB6A"/>
                            <w:spacing w:val="-1"/>
                            <w:sz w:val="18"/>
                            <w:szCs w:val="18"/>
                          </w:rPr>
                          <w:t>Z</w:t>
                        </w:r>
                        <w:r w:rsidRPr="00D61250">
                          <w:rPr>
                            <w:rFonts w:eastAsia="Wingdings" w:cs="Wingdings"/>
                            <w:b/>
                            <w:color w:val="72AB6A"/>
                            <w:spacing w:val="2"/>
                            <w:sz w:val="18"/>
                            <w:szCs w:val="18"/>
                          </w:rPr>
                          <w:t>e</w:t>
                        </w:r>
                        <w:r w:rsidRPr="00D61250">
                          <w:rPr>
                            <w:rFonts w:eastAsia="Wingdings" w:cs="Wingdings"/>
                            <w:b/>
                            <w:color w:val="72AB6A"/>
                            <w:spacing w:val="3"/>
                            <w:sz w:val="18"/>
                            <w:szCs w:val="18"/>
                          </w:rPr>
                          <w:t>aland</w:t>
                        </w:r>
                      </w:p>
                      <w:p w14:paraId="58D70E5E" w14:textId="77777777" w:rsidR="00A55F53" w:rsidRDefault="00A55F53">
                        <w:pPr>
                          <w:spacing w:after="78"/>
                          <w:ind w:left="184"/>
                        </w:pPr>
                      </w:p>
                    </w:txbxContent>
                  </v:textbox>
                </v:shape>
                <w10:wrap anchory="page"/>
              </v:group>
            </w:pict>
          </mc:Fallback>
        </mc:AlternateContent>
      </w:r>
      <w:r w:rsidR="00BD5C95">
        <w:rPr>
          <w:rFonts w:ascii="ZWAdobeF" w:eastAsia="Segoe UI Emoji" w:hAnsi="ZWAdobeF" w:cs="ZWAdobeF"/>
          <w:color w:val="auto"/>
          <w:sz w:val="2"/>
          <w:szCs w:val="2"/>
        </w:rPr>
        <w:t>935B</w:t>
      </w:r>
      <w:r w:rsidR="0049638A">
        <w:rPr>
          <w:rFonts w:ascii="ZWAdobeF" w:eastAsia="Segoe UI Emoji" w:hAnsi="ZWAdobeF" w:cs="ZWAdobeF"/>
          <w:color w:val="auto"/>
          <w:sz w:val="2"/>
          <w:szCs w:val="2"/>
        </w:rPr>
        <w:t>935B</w:t>
      </w:r>
      <w:r w:rsidR="00D629FA">
        <w:rPr>
          <w:rFonts w:ascii="ZWAdobeF" w:eastAsia="Segoe UI Emoji" w:hAnsi="ZWAdobeF" w:cs="ZWAdobeF"/>
          <w:color w:val="auto"/>
          <w:sz w:val="2"/>
          <w:szCs w:val="2"/>
        </w:rPr>
        <w:t>935B</w:t>
      </w:r>
      <w:r w:rsidR="006A7D96" w:rsidRPr="00D37FCE">
        <w:rPr>
          <w:rFonts w:eastAsia="Segoe UI Emoji"/>
        </w:rPr>
        <w:t>jesse</w:t>
      </w:r>
      <w:r w:rsidR="00512CAD" w:rsidRPr="00D37FCE">
        <w:rPr>
          <w:rFonts w:eastAsia="Segoe UI Emoji"/>
        </w:rPr>
        <w:t>Apter a</w:t>
      </w:r>
      <w:r w:rsidR="00A85AD0" w:rsidRPr="00D37FCE">
        <w:rPr>
          <w:rFonts w:eastAsia="Segoe UI Emoji"/>
        </w:rPr>
        <w:t xml:space="preserve">M, </w:t>
      </w:r>
      <w:r w:rsidR="001238E2" w:rsidRPr="00D37FCE">
        <w:rPr>
          <w:rFonts w:eastAsia="Segoe UI Emoji"/>
        </w:rPr>
        <w:t xml:space="preserve"> </w:t>
      </w:r>
    </w:p>
    <w:p w14:paraId="29DC9F84" w14:textId="77777777" w:rsidR="007E6BFD" w:rsidRPr="00D37FCE" w:rsidRDefault="007E6BFD" w:rsidP="007E6BFD">
      <w:pPr>
        <w:spacing w:line="200" w:lineRule="exact"/>
        <w:rPr>
          <w:szCs w:val="20"/>
        </w:rPr>
      </w:pPr>
    </w:p>
    <w:p w14:paraId="0FE045ED" w14:textId="77777777" w:rsidR="007E6BFD" w:rsidRPr="00D37FCE" w:rsidRDefault="007E6BFD" w:rsidP="007E6BFD">
      <w:pPr>
        <w:spacing w:line="200" w:lineRule="exact"/>
        <w:rPr>
          <w:szCs w:val="20"/>
        </w:rPr>
      </w:pPr>
    </w:p>
    <w:p w14:paraId="29E746B4" w14:textId="77777777" w:rsidR="007E6BFD" w:rsidRPr="00D37FCE" w:rsidRDefault="007E6BFD" w:rsidP="007E6BFD">
      <w:pPr>
        <w:spacing w:line="200" w:lineRule="exact"/>
        <w:rPr>
          <w:szCs w:val="20"/>
        </w:rPr>
      </w:pPr>
    </w:p>
    <w:p w14:paraId="2890244F" w14:textId="77777777" w:rsidR="007E6BFD" w:rsidRPr="00D37FCE" w:rsidRDefault="007E6BFD" w:rsidP="007E6BFD">
      <w:pPr>
        <w:spacing w:line="200" w:lineRule="exact"/>
        <w:rPr>
          <w:szCs w:val="20"/>
        </w:rPr>
      </w:pPr>
    </w:p>
    <w:p w14:paraId="3CCDB807" w14:textId="77777777" w:rsidR="007E6BFD" w:rsidRPr="00D37FCE" w:rsidRDefault="007E6BFD" w:rsidP="007E6BFD">
      <w:pPr>
        <w:spacing w:line="200" w:lineRule="exact"/>
        <w:rPr>
          <w:szCs w:val="20"/>
        </w:rPr>
      </w:pPr>
    </w:p>
    <w:p w14:paraId="3B19A967" w14:textId="77777777" w:rsidR="002C04D2" w:rsidRPr="00D37FCE" w:rsidRDefault="002C04D2" w:rsidP="007E6BFD">
      <w:pPr>
        <w:spacing w:before="86"/>
        <w:ind w:right="97"/>
        <w:jc w:val="right"/>
        <w:rPr>
          <w:rFonts w:eastAsia="Segoe UI Emoji"/>
          <w:sz w:val="18"/>
          <w:szCs w:val="18"/>
          <w:vertAlign w:val="subscript"/>
        </w:rPr>
      </w:pPr>
    </w:p>
    <w:p w14:paraId="6284AB7C" w14:textId="77777777" w:rsidR="002C04D2" w:rsidRPr="00D37FCE" w:rsidRDefault="002C04D2" w:rsidP="00821ED2">
      <w:pPr>
        <w:spacing w:before="51"/>
        <w:ind w:left="117" w:right="-20"/>
        <w:rPr>
          <w:szCs w:val="20"/>
        </w:rPr>
      </w:pPr>
    </w:p>
    <w:p w14:paraId="53B381B5" w14:textId="2326BBF4" w:rsidR="00ED3BBA" w:rsidRDefault="00BD5C95">
      <w:pPr>
        <w:spacing w:before="51"/>
        <w:ind w:left="117" w:right="-20"/>
        <w:rPr>
          <w:rFonts w:ascii="Metropolis Extra Bold" w:eastAsia="Metropolis Extra Bold" w:hAnsi="Metropolis Extra Bold" w:cs="Metropolis Extra Bold"/>
          <w:color w:val="414042"/>
          <w:sz w:val="33"/>
          <w:szCs w:val="33"/>
        </w:rPr>
      </w:pPr>
      <w:r>
        <w:rPr>
          <w:rFonts w:ascii="ZWAdobeF" w:eastAsia="Metropolis Extra Bold" w:hAnsi="ZWAdobeF" w:cs="ZWAdobeF"/>
          <w:color w:val="auto"/>
          <w:sz w:val="2"/>
          <w:szCs w:val="2"/>
        </w:rPr>
        <w:t>993B</w:t>
      </w:r>
      <w:r w:rsidR="0049638A">
        <w:rPr>
          <w:rFonts w:ascii="ZWAdobeF" w:eastAsia="Metropolis Extra Bold" w:hAnsi="ZWAdobeF" w:cs="ZWAdobeF"/>
          <w:color w:val="auto"/>
          <w:sz w:val="2"/>
          <w:szCs w:val="2"/>
        </w:rPr>
        <w:t>993B</w:t>
      </w:r>
      <w:r w:rsidR="00D629FA">
        <w:rPr>
          <w:rFonts w:ascii="ZWAdobeF" w:eastAsia="Metropolis Extra Bold" w:hAnsi="ZWAdobeF" w:cs="ZWAdobeF"/>
          <w:color w:val="auto"/>
          <w:sz w:val="2"/>
          <w:szCs w:val="2"/>
        </w:rPr>
        <w:t>993B</w:t>
      </w:r>
      <w:r w:rsidR="0010590D" w:rsidRPr="00D37FCE">
        <w:rPr>
          <w:rFonts w:ascii="Metropolis Extra Bold" w:eastAsia="Metropolis Extra Bold" w:hAnsi="Metropolis Extra Bold" w:cs="Metropolis Extra Bold"/>
          <w:color w:val="414042"/>
          <w:sz w:val="33"/>
          <w:szCs w:val="33"/>
        </w:rPr>
        <w:t xml:space="preserve">He Puka Kaupapa </w:t>
      </w:r>
      <w:r w:rsidR="00EA7381">
        <w:rPr>
          <w:rFonts w:ascii="Metropolis Extra Bold" w:eastAsia="Metropolis Extra Bold" w:hAnsi="Metropolis Extra Bold" w:cs="Metropolis Extra Bold"/>
          <w:color w:val="414042"/>
          <w:sz w:val="33"/>
          <w:szCs w:val="33"/>
        </w:rPr>
        <w:t xml:space="preserve">| </w:t>
      </w:r>
      <w:r w:rsidR="00062703" w:rsidRPr="00D37FCE">
        <w:rPr>
          <w:rFonts w:ascii="Metropolis Extra Bold" w:eastAsia="Metropolis Extra Bold" w:hAnsi="Metropolis Extra Bold" w:cs="Metropolis Extra Bold"/>
          <w:color w:val="414042"/>
          <w:spacing w:val="3"/>
          <w:sz w:val="33"/>
          <w:szCs w:val="33"/>
        </w:rPr>
        <w:t>I</w:t>
      </w:r>
      <w:r w:rsidR="00062703" w:rsidRPr="00D37FCE">
        <w:rPr>
          <w:rFonts w:ascii="Metropolis Extra Bold" w:eastAsia="Metropolis Extra Bold" w:hAnsi="Metropolis Extra Bold" w:cs="Metropolis Extra Bold"/>
          <w:color w:val="414042"/>
          <w:spacing w:val="1"/>
          <w:sz w:val="33"/>
          <w:szCs w:val="33"/>
        </w:rPr>
        <w:t>ss</w:t>
      </w:r>
      <w:r w:rsidR="00062703" w:rsidRPr="00D37FCE">
        <w:rPr>
          <w:rFonts w:ascii="Metropolis Extra Bold" w:eastAsia="Metropolis Extra Bold" w:hAnsi="Metropolis Extra Bold" w:cs="Metropolis Extra Bold"/>
          <w:color w:val="414042"/>
          <w:spacing w:val="2"/>
          <w:sz w:val="33"/>
          <w:szCs w:val="33"/>
        </w:rPr>
        <w:t>u</w:t>
      </w:r>
      <w:r w:rsidR="00062703" w:rsidRPr="00D37FCE">
        <w:rPr>
          <w:rFonts w:ascii="Metropolis Extra Bold" w:eastAsia="Metropolis Extra Bold" w:hAnsi="Metropolis Extra Bold" w:cs="Metropolis Extra Bold"/>
          <w:color w:val="414042"/>
          <w:spacing w:val="-1"/>
          <w:sz w:val="33"/>
          <w:szCs w:val="33"/>
        </w:rPr>
        <w:t>e</w:t>
      </w:r>
      <w:r w:rsidR="00062703" w:rsidRPr="00D37FCE">
        <w:rPr>
          <w:rFonts w:ascii="Metropolis Extra Bold" w:eastAsia="Metropolis Extra Bold" w:hAnsi="Metropolis Extra Bold" w:cs="Metropolis Extra Bold"/>
          <w:color w:val="414042"/>
          <w:sz w:val="33"/>
          <w:szCs w:val="33"/>
        </w:rPr>
        <w:t xml:space="preserve">s </w:t>
      </w:r>
      <w:r w:rsidR="00062703" w:rsidRPr="00D37FCE">
        <w:rPr>
          <w:rFonts w:ascii="Metropolis Extra Bold" w:eastAsia="Metropolis Extra Bold" w:hAnsi="Metropolis Extra Bold" w:cs="Metropolis Extra Bold"/>
          <w:color w:val="414042"/>
          <w:spacing w:val="-5"/>
          <w:sz w:val="33"/>
          <w:szCs w:val="33"/>
        </w:rPr>
        <w:t>P</w:t>
      </w:r>
      <w:r w:rsidR="00062703" w:rsidRPr="00D37FCE">
        <w:rPr>
          <w:rFonts w:ascii="Metropolis Extra Bold" w:eastAsia="Metropolis Extra Bold" w:hAnsi="Metropolis Extra Bold" w:cs="Metropolis Extra Bold"/>
          <w:color w:val="414042"/>
          <w:spacing w:val="2"/>
          <w:sz w:val="33"/>
          <w:szCs w:val="33"/>
        </w:rPr>
        <w:t>a</w:t>
      </w:r>
      <w:r w:rsidR="00062703" w:rsidRPr="00D37FCE">
        <w:rPr>
          <w:rFonts w:ascii="Metropolis Extra Bold" w:eastAsia="Metropolis Extra Bold" w:hAnsi="Metropolis Extra Bold" w:cs="Metropolis Extra Bold"/>
          <w:color w:val="414042"/>
          <w:spacing w:val="1"/>
          <w:sz w:val="33"/>
          <w:szCs w:val="33"/>
        </w:rPr>
        <w:t>pe</w:t>
      </w:r>
      <w:r w:rsidR="00062703" w:rsidRPr="00D37FCE">
        <w:rPr>
          <w:rFonts w:ascii="Metropolis Extra Bold" w:eastAsia="Metropolis Extra Bold" w:hAnsi="Metropolis Extra Bold" w:cs="Metropolis Extra Bold"/>
          <w:color w:val="414042"/>
          <w:sz w:val="33"/>
          <w:szCs w:val="33"/>
        </w:rPr>
        <w:t>r</w:t>
      </w:r>
      <w:r w:rsidR="00ED3BBA">
        <w:rPr>
          <w:rFonts w:ascii="Metropolis Extra Bold" w:eastAsia="Metropolis Extra Bold" w:hAnsi="Metropolis Extra Bold" w:cs="Metropolis Extra Bold"/>
          <w:color w:val="414042"/>
          <w:sz w:val="33"/>
          <w:szCs w:val="33"/>
        </w:rPr>
        <w:t xml:space="preserve"> 48</w:t>
      </w:r>
    </w:p>
    <w:p w14:paraId="16B39070" w14:textId="03F722CE" w:rsidR="007E6BFD" w:rsidRPr="00D37FCE" w:rsidRDefault="007E6BFD">
      <w:pPr>
        <w:spacing w:before="51"/>
        <w:ind w:left="117" w:right="-20"/>
        <w:rPr>
          <w:rFonts w:eastAsia="Tahoma" w:cs="Tahoma"/>
          <w:color w:val="414042"/>
          <w:sz w:val="33"/>
          <w:szCs w:val="33"/>
        </w:rPr>
      </w:pPr>
    </w:p>
    <w:p w14:paraId="14C3FFEF" w14:textId="1566C881" w:rsidR="00774339" w:rsidRPr="00D37FCE" w:rsidRDefault="00BD5C95" w:rsidP="00EE4B8F">
      <w:pPr>
        <w:spacing w:line="276" w:lineRule="auto"/>
        <w:ind w:right="708"/>
        <w:rPr>
          <w:rFonts w:ascii="Metropolis Black" w:eastAsia="Metropolis Black" w:hAnsi="Metropolis Black" w:cs="Metropolis Black"/>
          <w:sz w:val="66"/>
          <w:szCs w:val="66"/>
        </w:rPr>
      </w:pPr>
      <w:r>
        <w:rPr>
          <w:rFonts w:ascii="ZWAdobeF" w:eastAsia="Metropolis Black" w:hAnsi="ZWAdobeF" w:cs="ZWAdobeF"/>
          <w:color w:val="auto"/>
          <w:sz w:val="2"/>
          <w:szCs w:val="2"/>
        </w:rPr>
        <w:t>994B</w:t>
      </w:r>
      <w:r w:rsidR="0049638A">
        <w:rPr>
          <w:rFonts w:ascii="ZWAdobeF" w:eastAsia="Metropolis Black" w:hAnsi="ZWAdobeF" w:cs="ZWAdobeF"/>
          <w:color w:val="auto"/>
          <w:sz w:val="2"/>
          <w:szCs w:val="2"/>
        </w:rPr>
        <w:t>994B</w:t>
      </w:r>
      <w:r w:rsidR="00D629FA">
        <w:rPr>
          <w:rFonts w:ascii="ZWAdobeF" w:eastAsia="Metropolis Black" w:hAnsi="ZWAdobeF" w:cs="ZWAdobeF"/>
          <w:color w:val="auto"/>
          <w:sz w:val="2"/>
          <w:szCs w:val="2"/>
        </w:rPr>
        <w:t>994B</w:t>
      </w:r>
      <w:r w:rsidR="00735C89" w:rsidRPr="00735C89">
        <w:rPr>
          <w:rFonts w:ascii="Metropolis Black" w:eastAsia="Metropolis Black" w:hAnsi="Metropolis Black" w:cs="Metropolis Black"/>
          <w:b/>
          <w:color w:val="414042"/>
          <w:spacing w:val="-13"/>
          <w:sz w:val="66"/>
          <w:szCs w:val="66"/>
        </w:rPr>
        <w:t xml:space="preserve">Ko ngā Hunga Take Whaipānga me ngā Pūtea Tautiringa </w:t>
      </w:r>
    </w:p>
    <w:p w14:paraId="3E3E2B92" w14:textId="77777777" w:rsidR="00774339" w:rsidRPr="00D37FCE" w:rsidRDefault="00774339" w:rsidP="00774339">
      <w:pPr>
        <w:spacing w:before="6" w:line="150" w:lineRule="exact"/>
        <w:rPr>
          <w:rFonts w:eastAsia="Tahoma"/>
          <w:sz w:val="15"/>
          <w:szCs w:val="15"/>
        </w:rPr>
      </w:pPr>
    </w:p>
    <w:p w14:paraId="721A5F45" w14:textId="77777777" w:rsidR="00774339" w:rsidRPr="00AA4DBB" w:rsidRDefault="00661A0D" w:rsidP="00AA4DBB">
      <w:pPr>
        <w:pStyle w:val="BodyTextIndent2"/>
        <w:ind w:left="0"/>
        <w:rPr>
          <w:rFonts w:ascii="Metropolis Black" w:eastAsia="Metropolis Black" w:hAnsi="Metropolis Black" w:cs="Metropolis Black"/>
          <w:color w:val="7FB177"/>
          <w:spacing w:val="-32"/>
          <w:sz w:val="42"/>
          <w:szCs w:val="42"/>
        </w:rPr>
      </w:pPr>
      <w:r w:rsidRPr="00AA4DBB">
        <w:rPr>
          <w:noProof/>
          <w:lang w:eastAsia="en-NZ"/>
        </w:rPr>
        <mc:AlternateContent>
          <mc:Choice Requires="wpg">
            <w:drawing>
              <wp:anchor distT="0" distB="0" distL="114300" distR="114300" simplePos="0" relativeHeight="251651081" behindDoc="1" locked="0" layoutInCell="1" allowOverlap="1" wp14:anchorId="62442104" wp14:editId="7DCF9234">
                <wp:simplePos x="0" y="0"/>
                <wp:positionH relativeFrom="page">
                  <wp:posOffset>1140143</wp:posOffset>
                </wp:positionH>
                <wp:positionV relativeFrom="paragraph">
                  <wp:posOffset>8255</wp:posOffset>
                </wp:positionV>
                <wp:extent cx="1332230" cy="1270"/>
                <wp:effectExtent l="0" t="19050" r="20320" b="17780"/>
                <wp:wrapNone/>
                <wp:docPr id="45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1878"/>
                          <a:chExt cx="2098" cy="2"/>
                        </a:xfrm>
                      </wpg:grpSpPr>
                      <wps:wsp>
                        <wps:cNvPr id="458" name="Freeform 138"/>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A4638" id="Group 137" o:spid="_x0000_s1026" style="position:absolute;margin-left:89.8pt;margin-top:.65pt;width:104.9pt;height:.1pt;z-index:-251665399;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">
                <v:shape id="Freeform 138"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" path="m,l2098,e" filled="f" strokecolor="#414042" strokeweight="3pt">
                  <v:path arrowok="t" o:connecttype="custom" o:connectlocs="0,0;2098,0" o:connectangles="0,0"/>
                </v:shape>
                <w10:wrap anchorx="page"/>
              </v:group>
            </w:pict>
          </mc:Fallback>
        </mc:AlternateContent>
      </w:r>
    </w:p>
    <w:p w14:paraId="588D03CF" w14:textId="0BE2C330" w:rsidR="002C04D2" w:rsidRPr="00D37FCE" w:rsidRDefault="00BD5C95" w:rsidP="007A3059">
      <w:pPr>
        <w:spacing w:line="276" w:lineRule="auto"/>
        <w:ind w:right="850"/>
        <w:rPr>
          <w:sz w:val="12"/>
          <w:szCs w:val="12"/>
        </w:rPr>
      </w:pPr>
      <w:r>
        <w:rPr>
          <w:rFonts w:ascii="ZWAdobeF" w:eastAsia="Metropolis Black" w:hAnsi="ZWAdobeF" w:cs="ZWAdobeF"/>
          <w:color w:val="auto"/>
          <w:sz w:val="2"/>
          <w:szCs w:val="2"/>
        </w:rPr>
        <w:t>995B</w:t>
      </w:r>
      <w:r w:rsidR="0049638A">
        <w:rPr>
          <w:rFonts w:ascii="ZWAdobeF" w:eastAsia="Metropolis Black" w:hAnsi="ZWAdobeF" w:cs="ZWAdobeF"/>
          <w:color w:val="auto"/>
          <w:sz w:val="2"/>
          <w:szCs w:val="2"/>
        </w:rPr>
        <w:t>995B</w:t>
      </w:r>
      <w:r w:rsidR="00D629FA">
        <w:rPr>
          <w:rFonts w:ascii="ZWAdobeF" w:eastAsia="Metropolis Black" w:hAnsi="ZWAdobeF" w:cs="ZWAdobeF"/>
          <w:color w:val="auto"/>
          <w:sz w:val="2"/>
          <w:szCs w:val="2"/>
        </w:rPr>
        <w:t>995B</w:t>
      </w:r>
      <w:r w:rsidR="007A3059" w:rsidRPr="007A3059">
        <w:rPr>
          <w:rFonts w:ascii="Metropolis Black" w:eastAsia="Metropolis Black" w:hAnsi="Metropolis Black" w:cs="Metropolis Black"/>
          <w:b/>
          <w:color w:val="7FB177"/>
          <w:spacing w:val="-32"/>
          <w:sz w:val="66"/>
          <w:szCs w:val="66"/>
        </w:rPr>
        <w:t>Class Actions and Litigation Funding: Supplementary Issues Paper</w:t>
      </w:r>
    </w:p>
    <w:p w14:paraId="34D81369" w14:textId="77777777" w:rsidR="00D87074" w:rsidRPr="00D37FCE" w:rsidRDefault="00D87074" w:rsidP="00247635">
      <w:pPr>
        <w:ind w:left="113" w:right="2931"/>
        <w:rPr>
          <w:color w:val="262626" w:themeColor="text1" w:themeTint="D9"/>
          <w:sz w:val="18"/>
        </w:rPr>
        <w:sectPr w:rsidR="00D87074" w:rsidRPr="00D37FCE" w:rsidSect="00FD6721">
          <w:headerReference w:type="even" r:id="rId14"/>
          <w:footerReference w:type="default" r:id="rId15"/>
          <w:footnotePr>
            <w:numRestart w:val="eachSect"/>
          </w:footnotePr>
          <w:type w:val="nextColumn"/>
          <w:pgSz w:w="11907" w:h="16840" w:code="9"/>
          <w:pgMar w:top="1134" w:right="1134" w:bottom="1134" w:left="1701" w:header="567" w:footer="681" w:gutter="0"/>
          <w:pgNumType w:fmt="lowerRoman" w:start="3"/>
          <w:cols w:space="720"/>
          <w:docGrid w:linePitch="272"/>
        </w:sectPr>
      </w:pPr>
    </w:p>
    <w:p w14:paraId="606D7C9B" w14:textId="51E2FBCD" w:rsidR="00237C3D" w:rsidRPr="00D37FCE" w:rsidRDefault="00BD5C95" w:rsidP="00E76292">
      <w:pPr>
        <w:spacing w:after="240"/>
        <w:ind w:left="113" w:right="580"/>
        <w:rPr>
          <w:sz w:val="18"/>
        </w:rPr>
      </w:pPr>
      <w:r>
        <w:rPr>
          <w:rFonts w:ascii="ZWAdobeF" w:hAnsi="ZWAdobeF" w:cs="ZWAdobeF"/>
          <w:color w:val="auto"/>
          <w:sz w:val="2"/>
          <w:szCs w:val="2"/>
        </w:rPr>
        <w:lastRenderedPageBreak/>
        <w:t>996B</w:t>
      </w:r>
      <w:r w:rsidR="0049638A">
        <w:rPr>
          <w:rFonts w:ascii="ZWAdobeF" w:hAnsi="ZWAdobeF" w:cs="ZWAdobeF"/>
          <w:color w:val="auto"/>
          <w:sz w:val="2"/>
          <w:szCs w:val="2"/>
        </w:rPr>
        <w:t>996B</w:t>
      </w:r>
      <w:r w:rsidR="00D629FA">
        <w:rPr>
          <w:rFonts w:ascii="ZWAdobeF" w:hAnsi="ZWAdobeF" w:cs="ZWAdobeF"/>
          <w:color w:val="auto"/>
          <w:sz w:val="2"/>
          <w:szCs w:val="2"/>
        </w:rPr>
        <w:t>996B</w:t>
      </w:r>
      <w:r w:rsidR="00237C3D" w:rsidRPr="00D37FCE">
        <w:rPr>
          <w:sz w:val="18"/>
        </w:rPr>
        <w:t xml:space="preserve">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  </w:t>
      </w:r>
    </w:p>
    <w:p w14:paraId="635241DD" w14:textId="5969FB85" w:rsidR="005B588A" w:rsidRPr="00D37FCE" w:rsidRDefault="00BD5C95" w:rsidP="005B588A">
      <w:pPr>
        <w:ind w:left="113" w:right="721"/>
        <w:rPr>
          <w:sz w:val="18"/>
        </w:rPr>
      </w:pPr>
      <w:r>
        <w:rPr>
          <w:rFonts w:ascii="ZWAdobeF" w:hAnsi="ZWAdobeF" w:cs="ZWAdobeF"/>
          <w:color w:val="auto"/>
          <w:sz w:val="2"/>
          <w:szCs w:val="2"/>
        </w:rPr>
        <w:t>997B</w:t>
      </w:r>
      <w:r w:rsidR="0049638A">
        <w:rPr>
          <w:rFonts w:ascii="ZWAdobeF" w:hAnsi="ZWAdobeF" w:cs="ZWAdobeF"/>
          <w:color w:val="auto"/>
          <w:sz w:val="2"/>
          <w:szCs w:val="2"/>
        </w:rPr>
        <w:t>997B</w:t>
      </w:r>
      <w:r w:rsidR="00D629FA">
        <w:rPr>
          <w:rFonts w:ascii="ZWAdobeF" w:hAnsi="ZWAdobeF" w:cs="ZWAdobeF"/>
          <w:color w:val="auto"/>
          <w:sz w:val="2"/>
          <w:szCs w:val="2"/>
        </w:rPr>
        <w:t>997B</w:t>
      </w:r>
      <w:r w:rsidR="00473922" w:rsidRPr="00473922">
        <w:rPr>
          <w:sz w:val="18"/>
        </w:rPr>
        <w:t>Te Aka Matua in the 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65B5A947" w14:textId="77777777" w:rsidR="005B588A" w:rsidRPr="0036581D" w:rsidRDefault="005B588A" w:rsidP="0036581D">
      <w:pPr>
        <w:ind w:left="113" w:right="721"/>
        <w:jc w:val="center"/>
        <w:rPr>
          <w:color w:val="7FB177"/>
          <w:sz w:val="2"/>
          <w:szCs w:val="2"/>
        </w:rPr>
      </w:pPr>
    </w:p>
    <w:p w14:paraId="052BFB83" w14:textId="72FC7038" w:rsidR="005B588A" w:rsidRPr="0036581D" w:rsidRDefault="00BD5C95" w:rsidP="00735C89">
      <w:pPr>
        <w:ind w:left="142"/>
        <w:rPr>
          <w:rFonts w:ascii="Metropolis" w:hAnsi="Metropolis"/>
          <w:b/>
          <w:i/>
          <w:color w:val="7FB177"/>
          <w:szCs w:val="20"/>
        </w:rPr>
      </w:pPr>
      <w:r>
        <w:rPr>
          <w:rFonts w:ascii="ZWAdobeF" w:hAnsi="ZWAdobeF" w:cs="ZWAdobeF"/>
          <w:color w:val="auto"/>
          <w:sz w:val="2"/>
          <w:szCs w:val="2"/>
        </w:rPr>
        <w:t>998B</w:t>
      </w:r>
      <w:r w:rsidR="0049638A">
        <w:rPr>
          <w:rFonts w:ascii="ZWAdobeF" w:hAnsi="ZWAdobeF" w:cs="ZWAdobeF"/>
          <w:color w:val="auto"/>
          <w:sz w:val="2"/>
          <w:szCs w:val="2"/>
        </w:rPr>
        <w:t>998B</w:t>
      </w:r>
      <w:r w:rsidR="00D629FA">
        <w:rPr>
          <w:rFonts w:ascii="ZWAdobeF" w:hAnsi="ZWAdobeF" w:cs="ZWAdobeF"/>
          <w:color w:val="auto"/>
          <w:sz w:val="2"/>
          <w:szCs w:val="2"/>
        </w:rPr>
        <w:t>998B</w:t>
      </w:r>
      <w:r w:rsidR="005B588A" w:rsidRPr="0036581D">
        <w:rPr>
          <w:rFonts w:ascii="Metropolis" w:hAnsi="Metropolis"/>
          <w:b/>
          <w:i/>
          <w:color w:val="7FB177"/>
          <w:szCs w:val="20"/>
        </w:rPr>
        <w:t>Kia whanake ngā ture o Aotearoa mā te arotake motuhake</w:t>
      </w:r>
    </w:p>
    <w:p w14:paraId="035C8797" w14:textId="0762C3C1" w:rsidR="005B588A" w:rsidRPr="0036581D" w:rsidRDefault="00BD5C95" w:rsidP="00735C89">
      <w:pPr>
        <w:ind w:left="142"/>
        <w:rPr>
          <w:rFonts w:ascii="Metropolis" w:hAnsi="Metropolis"/>
          <w:b/>
          <w:i/>
          <w:color w:val="7FB177"/>
          <w:sz w:val="18"/>
          <w:szCs w:val="18"/>
        </w:rPr>
      </w:pPr>
      <w:r>
        <w:rPr>
          <w:rFonts w:ascii="ZWAdobeF" w:hAnsi="ZWAdobeF" w:cs="ZWAdobeF"/>
          <w:color w:val="auto"/>
          <w:sz w:val="2"/>
          <w:szCs w:val="2"/>
        </w:rPr>
        <w:t>999B</w:t>
      </w:r>
      <w:r w:rsidR="0049638A">
        <w:rPr>
          <w:rFonts w:ascii="ZWAdobeF" w:hAnsi="ZWAdobeF" w:cs="ZWAdobeF"/>
          <w:color w:val="auto"/>
          <w:sz w:val="2"/>
          <w:szCs w:val="2"/>
        </w:rPr>
        <w:t>999B</w:t>
      </w:r>
      <w:r w:rsidR="00D629FA">
        <w:rPr>
          <w:rFonts w:ascii="ZWAdobeF" w:hAnsi="ZWAdobeF" w:cs="ZWAdobeF"/>
          <w:color w:val="auto"/>
          <w:sz w:val="2"/>
          <w:szCs w:val="2"/>
        </w:rPr>
        <w:t>999B</w:t>
      </w:r>
      <w:r w:rsidR="005B588A" w:rsidRPr="0036581D">
        <w:rPr>
          <w:rFonts w:ascii="Metropolis" w:hAnsi="Metropolis"/>
          <w:b/>
          <w:i/>
          <w:color w:val="7FB177"/>
          <w:szCs w:val="20"/>
        </w:rPr>
        <w:t>Better law for Aotearoa New Zealand through independent review</w:t>
      </w:r>
    </w:p>
    <w:p w14:paraId="0FCA6BC6" w14:textId="45DE9764" w:rsidR="00247635" w:rsidRPr="00D37FCE" w:rsidRDefault="00BD5C95" w:rsidP="00E76292">
      <w:pPr>
        <w:spacing w:before="360" w:after="80"/>
        <w:ind w:left="113" w:right="2931"/>
        <w:rPr>
          <w:b/>
          <w:sz w:val="18"/>
        </w:rPr>
      </w:pPr>
      <w:r>
        <w:rPr>
          <w:rFonts w:ascii="ZWAdobeF" w:hAnsi="ZWAdobeF" w:cs="ZWAdobeF"/>
          <w:color w:val="auto"/>
          <w:sz w:val="2"/>
          <w:szCs w:val="2"/>
        </w:rPr>
        <w:t>1000B</w:t>
      </w:r>
      <w:r w:rsidR="0049638A">
        <w:rPr>
          <w:rFonts w:ascii="ZWAdobeF" w:hAnsi="ZWAdobeF" w:cs="ZWAdobeF"/>
          <w:color w:val="auto"/>
          <w:sz w:val="2"/>
          <w:szCs w:val="2"/>
        </w:rPr>
        <w:t>1000B</w:t>
      </w:r>
      <w:r w:rsidR="00D629FA">
        <w:rPr>
          <w:rFonts w:ascii="ZWAdobeF" w:hAnsi="ZWAdobeF" w:cs="ZWAdobeF"/>
          <w:color w:val="auto"/>
          <w:sz w:val="2"/>
          <w:szCs w:val="2"/>
        </w:rPr>
        <w:t>1000B</w:t>
      </w:r>
      <w:r w:rsidR="00247635" w:rsidRPr="00D37FCE">
        <w:rPr>
          <w:b/>
          <w:sz w:val="18"/>
        </w:rPr>
        <w:t>The Commissioners are:</w:t>
      </w:r>
    </w:p>
    <w:p w14:paraId="63953C15" w14:textId="64C71E34" w:rsidR="00247635" w:rsidRPr="00D37FCE" w:rsidRDefault="00BD5C95" w:rsidP="00AA7CF0">
      <w:pPr>
        <w:ind w:left="113" w:right="3243"/>
        <w:rPr>
          <w:rFonts w:eastAsia="Times"/>
          <w:sz w:val="18"/>
        </w:rPr>
      </w:pPr>
      <w:r>
        <w:rPr>
          <w:rFonts w:ascii="ZWAdobeF" w:eastAsia="Times" w:hAnsi="ZWAdobeF" w:cs="ZWAdobeF"/>
          <w:color w:val="auto"/>
          <w:sz w:val="2"/>
          <w:szCs w:val="2"/>
        </w:rPr>
        <w:t>1001B</w:t>
      </w:r>
      <w:r w:rsidR="0049638A">
        <w:rPr>
          <w:rFonts w:ascii="ZWAdobeF" w:eastAsia="Times" w:hAnsi="ZWAdobeF" w:cs="ZWAdobeF"/>
          <w:color w:val="auto"/>
          <w:sz w:val="2"/>
          <w:szCs w:val="2"/>
        </w:rPr>
        <w:t>1001B</w:t>
      </w:r>
      <w:r w:rsidR="00D629FA">
        <w:rPr>
          <w:rFonts w:ascii="ZWAdobeF" w:eastAsia="Times" w:hAnsi="ZWAdobeF" w:cs="ZWAdobeF"/>
          <w:color w:val="auto"/>
          <w:sz w:val="2"/>
          <w:szCs w:val="2"/>
        </w:rPr>
        <w:t>1001B</w:t>
      </w:r>
      <w:r w:rsidR="000206FC" w:rsidRPr="00D37FCE">
        <w:rPr>
          <w:rFonts w:eastAsia="Times"/>
          <w:sz w:val="18"/>
        </w:rPr>
        <w:t xml:space="preserve">Amokura Kawharu </w:t>
      </w:r>
      <w:r w:rsidR="00247635" w:rsidRPr="00D37FCE">
        <w:rPr>
          <w:rFonts w:eastAsia="Times"/>
          <w:sz w:val="18"/>
        </w:rPr>
        <w:t xml:space="preserve">– </w:t>
      </w:r>
      <w:r w:rsidR="000A73FB" w:rsidRPr="00D37FCE">
        <w:rPr>
          <w:rFonts w:eastAsia="Times"/>
          <w:sz w:val="18"/>
        </w:rPr>
        <w:t xml:space="preserve">Tumu Whakarae | </w:t>
      </w:r>
      <w:r w:rsidR="00247635" w:rsidRPr="00D37FCE">
        <w:rPr>
          <w:rFonts w:eastAsia="Times"/>
          <w:sz w:val="18"/>
        </w:rPr>
        <w:t>President</w:t>
      </w:r>
      <w:r w:rsidR="000A73FB" w:rsidRPr="00D37FCE">
        <w:rPr>
          <w:rFonts w:eastAsia="Times"/>
          <w:sz w:val="18"/>
        </w:rPr>
        <w:t xml:space="preserve"> </w:t>
      </w:r>
    </w:p>
    <w:p w14:paraId="6F2ED176" w14:textId="48905985" w:rsidR="007A0E17" w:rsidRPr="00D37FCE" w:rsidRDefault="00BD5C95" w:rsidP="00AA7CF0">
      <w:pPr>
        <w:ind w:left="113" w:right="3243"/>
        <w:rPr>
          <w:rFonts w:eastAsia="Times"/>
          <w:sz w:val="18"/>
        </w:rPr>
      </w:pPr>
      <w:r>
        <w:rPr>
          <w:rFonts w:ascii="ZWAdobeF" w:eastAsia="Times" w:hAnsi="ZWAdobeF" w:cs="ZWAdobeF"/>
          <w:color w:val="auto"/>
          <w:sz w:val="2"/>
          <w:szCs w:val="2"/>
        </w:rPr>
        <w:t>1002B</w:t>
      </w:r>
      <w:r w:rsidR="0049638A">
        <w:rPr>
          <w:rFonts w:ascii="ZWAdobeF" w:eastAsia="Times" w:hAnsi="ZWAdobeF" w:cs="ZWAdobeF"/>
          <w:color w:val="auto"/>
          <w:sz w:val="2"/>
          <w:szCs w:val="2"/>
        </w:rPr>
        <w:t>1002B</w:t>
      </w:r>
      <w:r w:rsidR="00D629FA">
        <w:rPr>
          <w:rFonts w:ascii="ZWAdobeF" w:eastAsia="Times" w:hAnsi="ZWAdobeF" w:cs="ZWAdobeF"/>
          <w:color w:val="auto"/>
          <w:sz w:val="2"/>
          <w:szCs w:val="2"/>
        </w:rPr>
        <w:t>1002B</w:t>
      </w:r>
      <w:r w:rsidR="007A0E17" w:rsidRPr="00D37FCE">
        <w:rPr>
          <w:rFonts w:eastAsia="Times"/>
          <w:sz w:val="18"/>
        </w:rPr>
        <w:t xml:space="preserve">Helen McQueen – Tumu Whakarae Tuarua | Deputy President </w:t>
      </w:r>
    </w:p>
    <w:p w14:paraId="722681EB" w14:textId="77FD3969" w:rsidR="00247635" w:rsidRPr="00D37FCE" w:rsidRDefault="00BD5C95" w:rsidP="00AA7CF0">
      <w:pPr>
        <w:ind w:left="113" w:right="3243"/>
        <w:rPr>
          <w:rFonts w:eastAsia="Times"/>
          <w:sz w:val="18"/>
        </w:rPr>
      </w:pPr>
      <w:r>
        <w:rPr>
          <w:rFonts w:ascii="ZWAdobeF" w:eastAsia="Times" w:hAnsi="ZWAdobeF" w:cs="ZWAdobeF"/>
          <w:color w:val="auto"/>
          <w:sz w:val="2"/>
          <w:szCs w:val="2"/>
        </w:rPr>
        <w:t>1003B</w:t>
      </w:r>
      <w:r w:rsidR="0049638A">
        <w:rPr>
          <w:rFonts w:ascii="ZWAdobeF" w:eastAsia="Times" w:hAnsi="ZWAdobeF" w:cs="ZWAdobeF"/>
          <w:color w:val="auto"/>
          <w:sz w:val="2"/>
          <w:szCs w:val="2"/>
        </w:rPr>
        <w:t>1003B</w:t>
      </w:r>
      <w:r w:rsidR="00D629FA">
        <w:rPr>
          <w:rFonts w:ascii="ZWAdobeF" w:eastAsia="Times" w:hAnsi="ZWAdobeF" w:cs="ZWAdobeF"/>
          <w:color w:val="auto"/>
          <w:sz w:val="2"/>
          <w:szCs w:val="2"/>
        </w:rPr>
        <w:t>1003B</w:t>
      </w:r>
      <w:r w:rsidR="0036581D" w:rsidRPr="0036581D">
        <w:rPr>
          <w:rFonts w:eastAsia="Times"/>
          <w:sz w:val="18"/>
        </w:rPr>
        <w:t>Geof Shirtcliffe</w:t>
      </w:r>
      <w:r w:rsidR="000A73FB" w:rsidRPr="00D37FCE">
        <w:rPr>
          <w:rFonts w:eastAsia="Times"/>
          <w:sz w:val="18"/>
        </w:rPr>
        <w:t xml:space="preserve"> </w:t>
      </w:r>
      <w:r w:rsidR="00412BB5" w:rsidRPr="00D37FCE">
        <w:rPr>
          <w:rFonts w:eastAsia="Times"/>
          <w:sz w:val="18"/>
        </w:rPr>
        <w:t>– Kaik</w:t>
      </w:r>
      <w:r w:rsidR="00DF1D78" w:rsidRPr="00D37FCE">
        <w:rPr>
          <w:rFonts w:eastAsia="Times"/>
          <w:sz w:val="18"/>
        </w:rPr>
        <w:t>ō</w:t>
      </w:r>
      <w:r w:rsidR="00412BB5" w:rsidRPr="00D37FCE">
        <w:rPr>
          <w:rFonts w:eastAsia="Times"/>
          <w:sz w:val="18"/>
        </w:rPr>
        <w:t>mihana</w:t>
      </w:r>
      <w:r w:rsidR="007A0E17" w:rsidRPr="00D37FCE">
        <w:rPr>
          <w:rFonts w:eastAsia="Times"/>
          <w:sz w:val="18"/>
        </w:rPr>
        <w:t xml:space="preserve"> | Commissioner</w:t>
      </w:r>
    </w:p>
    <w:p w14:paraId="4A52FD7F" w14:textId="6882AB94" w:rsidR="00247635" w:rsidRPr="00D37FCE" w:rsidRDefault="00BD5C95" w:rsidP="00E76292">
      <w:pPr>
        <w:spacing w:before="360"/>
        <w:ind w:left="113" w:right="3243"/>
        <w:rPr>
          <w:rFonts w:eastAsia="Times"/>
          <w:b/>
          <w:bCs/>
          <w:sz w:val="18"/>
        </w:rPr>
      </w:pPr>
      <w:r>
        <w:rPr>
          <w:rFonts w:ascii="ZWAdobeF" w:eastAsia="Times" w:hAnsi="ZWAdobeF" w:cs="ZWAdobeF"/>
          <w:bCs/>
          <w:color w:val="auto"/>
          <w:sz w:val="2"/>
          <w:szCs w:val="2"/>
        </w:rPr>
        <w:t>1004B</w:t>
      </w:r>
      <w:r w:rsidR="0049638A">
        <w:rPr>
          <w:rFonts w:ascii="ZWAdobeF" w:eastAsia="Times" w:hAnsi="ZWAdobeF" w:cs="ZWAdobeF"/>
          <w:bCs/>
          <w:color w:val="auto"/>
          <w:sz w:val="2"/>
          <w:szCs w:val="2"/>
        </w:rPr>
        <w:t>1004B</w:t>
      </w:r>
      <w:r w:rsidR="00D629FA">
        <w:rPr>
          <w:rFonts w:ascii="ZWAdobeF" w:eastAsia="Times" w:hAnsi="ZWAdobeF" w:cs="ZWAdobeF"/>
          <w:bCs/>
          <w:color w:val="auto"/>
          <w:sz w:val="2"/>
          <w:szCs w:val="2"/>
        </w:rPr>
        <w:t>1004B</w:t>
      </w:r>
      <w:r w:rsidR="006064EA" w:rsidRPr="00D37FCE">
        <w:rPr>
          <w:rFonts w:eastAsia="Times"/>
          <w:b/>
          <w:bCs/>
          <w:sz w:val="18"/>
        </w:rPr>
        <w:t>T</w:t>
      </w:r>
      <w:r w:rsidR="00AF1970" w:rsidRPr="00D37FCE">
        <w:rPr>
          <w:rFonts w:eastAsia="Times"/>
          <w:b/>
          <w:bCs/>
          <w:sz w:val="18"/>
        </w:rPr>
        <w:t xml:space="preserve">e Aka Matua o te Ture | </w:t>
      </w:r>
      <w:r w:rsidR="00247635" w:rsidRPr="00D37FCE">
        <w:rPr>
          <w:rFonts w:eastAsia="Times"/>
          <w:b/>
          <w:bCs/>
          <w:sz w:val="18"/>
        </w:rPr>
        <w:t xml:space="preserve">Law Commission is </w:t>
      </w:r>
      <w:r w:rsidR="006064EA" w:rsidRPr="00D37FCE">
        <w:rPr>
          <w:rFonts w:eastAsia="Times"/>
          <w:b/>
          <w:bCs/>
          <w:sz w:val="18"/>
        </w:rPr>
        <w:t xml:space="preserve">located </w:t>
      </w:r>
      <w:r w:rsidR="00247635" w:rsidRPr="00D37FCE">
        <w:rPr>
          <w:rFonts w:eastAsia="Times"/>
          <w:b/>
          <w:bCs/>
          <w:sz w:val="18"/>
        </w:rPr>
        <w:t xml:space="preserve">at: </w:t>
      </w:r>
    </w:p>
    <w:p w14:paraId="6CD3C4FB" w14:textId="68E9B2F1" w:rsidR="00247635" w:rsidRPr="00D37FCE" w:rsidRDefault="00BD5C95" w:rsidP="00AA7CF0">
      <w:pPr>
        <w:ind w:left="113" w:right="3243"/>
        <w:rPr>
          <w:rFonts w:eastAsia="Times"/>
          <w:sz w:val="18"/>
        </w:rPr>
      </w:pPr>
      <w:r>
        <w:rPr>
          <w:rFonts w:ascii="ZWAdobeF" w:eastAsia="Times" w:hAnsi="ZWAdobeF" w:cs="ZWAdobeF"/>
          <w:color w:val="auto"/>
          <w:sz w:val="2"/>
          <w:szCs w:val="2"/>
        </w:rPr>
        <w:t>1005B</w:t>
      </w:r>
      <w:r w:rsidR="0049638A">
        <w:rPr>
          <w:rFonts w:ascii="ZWAdobeF" w:eastAsia="Times" w:hAnsi="ZWAdobeF" w:cs="ZWAdobeF"/>
          <w:color w:val="auto"/>
          <w:sz w:val="2"/>
          <w:szCs w:val="2"/>
        </w:rPr>
        <w:t>1005B</w:t>
      </w:r>
      <w:r w:rsidR="00D629FA">
        <w:rPr>
          <w:rFonts w:ascii="ZWAdobeF" w:eastAsia="Times" w:hAnsi="ZWAdobeF" w:cs="ZWAdobeF"/>
          <w:color w:val="auto"/>
          <w:sz w:val="2"/>
          <w:szCs w:val="2"/>
        </w:rPr>
        <w:t>1005B</w:t>
      </w:r>
      <w:r w:rsidR="00247635" w:rsidRPr="00D37FCE">
        <w:rPr>
          <w:rFonts w:eastAsia="Times"/>
          <w:sz w:val="18"/>
        </w:rPr>
        <w:t>Level 9, Solnet House, 70 The Terrace</w:t>
      </w:r>
      <w:r w:rsidR="00237C3D" w:rsidRPr="00D37FCE">
        <w:rPr>
          <w:rFonts w:eastAsia="Times"/>
          <w:sz w:val="18"/>
        </w:rPr>
        <w:t xml:space="preserve">, </w:t>
      </w:r>
      <w:r w:rsidR="00247635" w:rsidRPr="00D37FCE">
        <w:rPr>
          <w:rFonts w:eastAsia="Times"/>
          <w:sz w:val="18"/>
        </w:rPr>
        <w:t>Wellington 6011</w:t>
      </w:r>
    </w:p>
    <w:p w14:paraId="1338B4D7" w14:textId="6D9ADBA8" w:rsidR="00247635" w:rsidRPr="00D37FCE" w:rsidRDefault="00BD5C95" w:rsidP="00237C3D">
      <w:pPr>
        <w:ind w:left="113" w:right="2281"/>
        <w:rPr>
          <w:rFonts w:eastAsia="Times"/>
          <w:sz w:val="18"/>
        </w:rPr>
      </w:pPr>
      <w:r>
        <w:rPr>
          <w:rFonts w:ascii="ZWAdobeF" w:eastAsia="Times" w:hAnsi="ZWAdobeF" w:cs="ZWAdobeF"/>
          <w:color w:val="auto"/>
          <w:sz w:val="2"/>
          <w:szCs w:val="2"/>
        </w:rPr>
        <w:t>1006B</w:t>
      </w:r>
      <w:r w:rsidR="0049638A">
        <w:rPr>
          <w:rFonts w:ascii="ZWAdobeF" w:eastAsia="Times" w:hAnsi="ZWAdobeF" w:cs="ZWAdobeF"/>
          <w:color w:val="auto"/>
          <w:sz w:val="2"/>
          <w:szCs w:val="2"/>
        </w:rPr>
        <w:t>1006B</w:t>
      </w:r>
      <w:r w:rsidR="00D629FA">
        <w:rPr>
          <w:rFonts w:ascii="ZWAdobeF" w:eastAsia="Times" w:hAnsi="ZWAdobeF" w:cs="ZWAdobeF"/>
          <w:color w:val="auto"/>
          <w:sz w:val="2"/>
          <w:szCs w:val="2"/>
        </w:rPr>
        <w:t>1006B</w:t>
      </w:r>
      <w:r w:rsidR="00247635" w:rsidRPr="00D37FCE">
        <w:rPr>
          <w:rFonts w:eastAsia="Times"/>
          <w:sz w:val="18"/>
        </w:rPr>
        <w:t>Postal address: PO Box 2590, Wellington 6140,</w:t>
      </w:r>
      <w:r w:rsidR="00237C3D" w:rsidRPr="00D37FCE">
        <w:rPr>
          <w:rFonts w:eastAsia="Times"/>
          <w:sz w:val="18"/>
        </w:rPr>
        <w:t xml:space="preserve"> </w:t>
      </w:r>
      <w:r w:rsidR="003940FA" w:rsidRPr="00D37FCE">
        <w:rPr>
          <w:rFonts w:eastAsia="Times"/>
          <w:sz w:val="18"/>
        </w:rPr>
        <w:t xml:space="preserve">Aotearoa </w:t>
      </w:r>
      <w:r w:rsidR="00247635" w:rsidRPr="00D37FCE">
        <w:rPr>
          <w:rFonts w:eastAsia="Times"/>
          <w:sz w:val="18"/>
        </w:rPr>
        <w:t>New Zealand</w:t>
      </w:r>
    </w:p>
    <w:p w14:paraId="017E6610" w14:textId="7343081B" w:rsidR="00D26BBC" w:rsidRPr="00D37FCE" w:rsidRDefault="00BD5C95" w:rsidP="00AA7CF0">
      <w:pPr>
        <w:ind w:left="113" w:right="3243"/>
        <w:rPr>
          <w:rFonts w:eastAsia="Times"/>
          <w:sz w:val="18"/>
        </w:rPr>
      </w:pPr>
      <w:bookmarkStart w:id="2" w:name="_Hlk52890582"/>
      <w:r>
        <w:rPr>
          <w:rFonts w:ascii="ZWAdobeF" w:eastAsia="Times" w:hAnsi="ZWAdobeF" w:cs="ZWAdobeF"/>
          <w:color w:val="auto"/>
          <w:sz w:val="2"/>
          <w:szCs w:val="2"/>
        </w:rPr>
        <w:t>1007B</w:t>
      </w:r>
      <w:r w:rsidR="0049638A">
        <w:rPr>
          <w:rFonts w:ascii="ZWAdobeF" w:eastAsia="Times" w:hAnsi="ZWAdobeF" w:cs="ZWAdobeF"/>
          <w:color w:val="auto"/>
          <w:sz w:val="2"/>
          <w:szCs w:val="2"/>
        </w:rPr>
        <w:t>1007B</w:t>
      </w:r>
      <w:r w:rsidR="00D629FA">
        <w:rPr>
          <w:rFonts w:ascii="ZWAdobeF" w:eastAsia="Times" w:hAnsi="ZWAdobeF" w:cs="ZWAdobeF"/>
          <w:color w:val="auto"/>
          <w:sz w:val="2"/>
          <w:szCs w:val="2"/>
        </w:rPr>
        <w:t>1007B</w:t>
      </w:r>
      <w:r w:rsidR="00D26BBC" w:rsidRPr="00D37FCE">
        <w:rPr>
          <w:rFonts w:eastAsia="Times"/>
          <w:sz w:val="18"/>
        </w:rPr>
        <w:t xml:space="preserve">Document Exchange Number: SP 23534 </w:t>
      </w:r>
    </w:p>
    <w:bookmarkEnd w:id="2"/>
    <w:p w14:paraId="691E3200" w14:textId="100D8F66" w:rsidR="00247635" w:rsidRPr="00D37FCE" w:rsidRDefault="00BD5C95" w:rsidP="00AA7CF0">
      <w:pPr>
        <w:ind w:left="113" w:right="3243"/>
        <w:rPr>
          <w:rFonts w:eastAsia="Times"/>
          <w:sz w:val="18"/>
        </w:rPr>
      </w:pPr>
      <w:r>
        <w:rPr>
          <w:rFonts w:ascii="ZWAdobeF" w:eastAsia="Times" w:hAnsi="ZWAdobeF" w:cs="ZWAdobeF"/>
          <w:color w:val="auto"/>
          <w:sz w:val="2"/>
          <w:szCs w:val="2"/>
        </w:rPr>
        <w:t>1008B</w:t>
      </w:r>
      <w:r w:rsidR="0049638A">
        <w:rPr>
          <w:rFonts w:ascii="ZWAdobeF" w:eastAsia="Times" w:hAnsi="ZWAdobeF" w:cs="ZWAdobeF"/>
          <w:color w:val="auto"/>
          <w:sz w:val="2"/>
          <w:szCs w:val="2"/>
        </w:rPr>
        <w:t>1008B</w:t>
      </w:r>
      <w:r w:rsidR="00D629FA">
        <w:rPr>
          <w:rFonts w:ascii="ZWAdobeF" w:eastAsia="Times" w:hAnsi="ZWAdobeF" w:cs="ZWAdobeF"/>
          <w:color w:val="auto"/>
          <w:sz w:val="2"/>
          <w:szCs w:val="2"/>
        </w:rPr>
        <w:t>1008B</w:t>
      </w:r>
      <w:r w:rsidR="00247635" w:rsidRPr="00D37FCE">
        <w:rPr>
          <w:rFonts w:eastAsia="Times"/>
          <w:sz w:val="18"/>
        </w:rPr>
        <w:t>Telephone: 04 473 3453</w:t>
      </w:r>
    </w:p>
    <w:p w14:paraId="46712110" w14:textId="38CF9ED8" w:rsidR="00247635" w:rsidRPr="00D37FCE" w:rsidRDefault="00BD5C95" w:rsidP="00AA7CF0">
      <w:pPr>
        <w:ind w:left="113" w:right="3243"/>
        <w:rPr>
          <w:rFonts w:eastAsia="Times"/>
          <w:sz w:val="18"/>
        </w:rPr>
      </w:pPr>
      <w:r>
        <w:rPr>
          <w:rFonts w:ascii="ZWAdobeF" w:hAnsi="ZWAdobeF" w:cs="ZWAdobeF"/>
          <w:color w:val="auto"/>
          <w:sz w:val="2"/>
          <w:szCs w:val="2"/>
        </w:rPr>
        <w:t>1009B</w:t>
      </w:r>
      <w:r w:rsidR="0049638A">
        <w:rPr>
          <w:rFonts w:ascii="ZWAdobeF" w:hAnsi="ZWAdobeF" w:cs="ZWAdobeF"/>
          <w:color w:val="auto"/>
          <w:sz w:val="2"/>
          <w:szCs w:val="2"/>
        </w:rPr>
        <w:t>1009B</w:t>
      </w:r>
      <w:r w:rsidR="00D629FA">
        <w:rPr>
          <w:rFonts w:ascii="ZWAdobeF" w:hAnsi="ZWAdobeF" w:cs="ZWAdobeF"/>
          <w:color w:val="auto"/>
          <w:sz w:val="2"/>
          <w:szCs w:val="2"/>
        </w:rPr>
        <w:t>1009B</w:t>
      </w:r>
      <w:hyperlink r:id="rId16">
        <w:r w:rsidR="00247635" w:rsidRPr="00D37FCE">
          <w:rPr>
            <w:rFonts w:eastAsia="Times"/>
            <w:sz w:val="18"/>
          </w:rPr>
          <w:t>Email: com@lawcom.govt.nz</w:t>
        </w:r>
      </w:hyperlink>
    </w:p>
    <w:p w14:paraId="7D0E39CD" w14:textId="3B9AB2F1" w:rsidR="00247635" w:rsidRPr="00D37FCE" w:rsidRDefault="00BD5C95" w:rsidP="00AA7CF0">
      <w:pPr>
        <w:ind w:left="113" w:right="3243"/>
        <w:rPr>
          <w:rFonts w:eastAsia="Times"/>
          <w:sz w:val="18"/>
        </w:rPr>
      </w:pPr>
      <w:r>
        <w:rPr>
          <w:rFonts w:ascii="ZWAdobeF" w:hAnsi="ZWAdobeF" w:cs="ZWAdobeF"/>
          <w:color w:val="auto"/>
          <w:sz w:val="2"/>
          <w:szCs w:val="2"/>
        </w:rPr>
        <w:t>1010B</w:t>
      </w:r>
      <w:r w:rsidR="0049638A">
        <w:rPr>
          <w:rFonts w:ascii="ZWAdobeF" w:hAnsi="ZWAdobeF" w:cs="ZWAdobeF"/>
          <w:color w:val="auto"/>
          <w:sz w:val="2"/>
          <w:szCs w:val="2"/>
        </w:rPr>
        <w:t>1010B</w:t>
      </w:r>
      <w:r w:rsidR="00D629FA">
        <w:rPr>
          <w:rFonts w:ascii="ZWAdobeF" w:hAnsi="ZWAdobeF" w:cs="ZWAdobeF"/>
          <w:color w:val="auto"/>
          <w:sz w:val="2"/>
          <w:szCs w:val="2"/>
        </w:rPr>
        <w:t>1010B</w:t>
      </w:r>
      <w:hyperlink r:id="rId17">
        <w:r w:rsidR="00247635" w:rsidRPr="00D37FCE">
          <w:rPr>
            <w:rFonts w:eastAsia="Times"/>
            <w:sz w:val="18"/>
          </w:rPr>
          <w:t>Internet: www.lawcom.govt.nz</w:t>
        </w:r>
      </w:hyperlink>
    </w:p>
    <w:p w14:paraId="25CC6942" w14:textId="274FCDE6" w:rsidR="00247635" w:rsidRPr="00D37FCE" w:rsidRDefault="00BD5C95" w:rsidP="00E76292">
      <w:pPr>
        <w:spacing w:before="240"/>
        <w:ind w:left="113" w:right="2931"/>
        <w:rPr>
          <w:sz w:val="18"/>
        </w:rPr>
      </w:pPr>
      <w:r>
        <w:rPr>
          <w:rFonts w:ascii="ZWAdobeF" w:hAnsi="ZWAdobeF" w:cs="ZWAdobeF"/>
          <w:color w:val="auto"/>
          <w:sz w:val="2"/>
          <w:szCs w:val="2"/>
        </w:rPr>
        <w:t>1011B</w:t>
      </w:r>
      <w:r w:rsidR="0049638A">
        <w:rPr>
          <w:rFonts w:ascii="ZWAdobeF" w:hAnsi="ZWAdobeF" w:cs="ZWAdobeF"/>
          <w:color w:val="auto"/>
          <w:sz w:val="2"/>
          <w:szCs w:val="2"/>
        </w:rPr>
        <w:t>1011B</w:t>
      </w:r>
      <w:r w:rsidR="00D629FA">
        <w:rPr>
          <w:rFonts w:ascii="ZWAdobeF" w:hAnsi="ZWAdobeF" w:cs="ZWAdobeF"/>
          <w:color w:val="auto"/>
          <w:sz w:val="2"/>
          <w:szCs w:val="2"/>
        </w:rPr>
        <w:t>1011B</w:t>
      </w:r>
      <w:r w:rsidR="00247635" w:rsidRPr="00D37FCE">
        <w:rPr>
          <w:sz w:val="18"/>
        </w:rPr>
        <w:t xml:space="preserve">The Māori </w:t>
      </w:r>
      <w:r w:rsidR="00A525B4" w:rsidRPr="00D37FCE">
        <w:rPr>
          <w:sz w:val="18"/>
        </w:rPr>
        <w:t>language</w:t>
      </w:r>
      <w:r w:rsidR="00247635" w:rsidRPr="00D37FCE">
        <w:rPr>
          <w:sz w:val="18"/>
        </w:rPr>
        <w:t xml:space="preserve"> </w:t>
      </w:r>
      <w:r w:rsidR="00C769F1" w:rsidRPr="00D37FCE">
        <w:rPr>
          <w:sz w:val="18"/>
        </w:rPr>
        <w:t>version of</w:t>
      </w:r>
      <w:r w:rsidR="00247635" w:rsidRPr="00D37FCE">
        <w:rPr>
          <w:sz w:val="18"/>
        </w:rPr>
        <w:t xml:space="preserve"> this Issues Paper</w:t>
      </w:r>
      <w:r w:rsidR="00C769F1" w:rsidRPr="00D37FCE">
        <w:rPr>
          <w:sz w:val="18"/>
        </w:rPr>
        <w:t>’s</w:t>
      </w:r>
      <w:r w:rsidR="00247635" w:rsidRPr="00D37FCE">
        <w:rPr>
          <w:sz w:val="18"/>
        </w:rPr>
        <w:t xml:space="preserve"> </w:t>
      </w:r>
      <w:r w:rsidR="008A5F58" w:rsidRPr="00D37FCE">
        <w:rPr>
          <w:sz w:val="18"/>
        </w:rPr>
        <w:t>title</w:t>
      </w:r>
      <w:r w:rsidR="00247635" w:rsidRPr="00D37FCE">
        <w:rPr>
          <w:sz w:val="18"/>
        </w:rPr>
        <w:t xml:space="preserve"> was developed for </w:t>
      </w:r>
      <w:r w:rsidR="000B5F76" w:rsidRPr="00D37FCE">
        <w:rPr>
          <w:sz w:val="18"/>
        </w:rPr>
        <w:t xml:space="preserve">Te Aka Matua o te Ture | Law </w:t>
      </w:r>
      <w:r w:rsidR="00247635" w:rsidRPr="00D37FCE">
        <w:rPr>
          <w:sz w:val="18"/>
        </w:rPr>
        <w:t>Commission by Kiwa Hammond</w:t>
      </w:r>
      <w:r w:rsidR="004D3399">
        <w:rPr>
          <w:sz w:val="18"/>
        </w:rPr>
        <w:t xml:space="preserve"> and Maakere Edwards</w:t>
      </w:r>
      <w:r w:rsidR="00320CE6">
        <w:rPr>
          <w:sz w:val="18"/>
        </w:rPr>
        <w:t>, of Aatea Solutions Limited</w:t>
      </w:r>
      <w:r w:rsidR="00427F92" w:rsidRPr="00D37FCE">
        <w:rPr>
          <w:sz w:val="18"/>
        </w:rPr>
        <w:t>.</w:t>
      </w:r>
      <w:r w:rsidR="00880E62">
        <w:rPr>
          <w:sz w:val="18"/>
        </w:rPr>
        <w:t xml:space="preserve"> The title was finalised in conjunction with the </w:t>
      </w:r>
      <w:r w:rsidR="00C23AC3">
        <w:rPr>
          <w:sz w:val="18"/>
        </w:rPr>
        <w:t xml:space="preserve">Commission’s </w:t>
      </w:r>
      <w:r w:rsidR="00880E62">
        <w:rPr>
          <w:sz w:val="18"/>
        </w:rPr>
        <w:t>Māori Liaison Committee</w:t>
      </w:r>
      <w:r w:rsidR="00C23AC3">
        <w:rPr>
          <w:sz w:val="18"/>
        </w:rPr>
        <w:t>.</w:t>
      </w:r>
    </w:p>
    <w:p w14:paraId="2DEEBF27" w14:textId="77777777" w:rsidR="002C04D2" w:rsidRPr="00D37FCE" w:rsidRDefault="00483E22">
      <w:pPr>
        <w:spacing w:line="200" w:lineRule="exact"/>
        <w:rPr>
          <w:szCs w:val="20"/>
        </w:rPr>
      </w:pPr>
      <w:r w:rsidRPr="00D37FCE">
        <w:rPr>
          <w:noProof/>
          <w:lang w:eastAsia="en-NZ"/>
        </w:rPr>
        <mc:AlternateContent>
          <mc:Choice Requires="wpg">
            <w:drawing>
              <wp:anchor distT="0" distB="0" distL="114300" distR="114300" simplePos="0" relativeHeight="251651072" behindDoc="1" locked="0" layoutInCell="1" allowOverlap="1" wp14:anchorId="058809A4" wp14:editId="1F28CE94">
                <wp:simplePos x="0" y="0"/>
                <wp:positionH relativeFrom="page">
                  <wp:posOffset>1166866</wp:posOffset>
                </wp:positionH>
                <wp:positionV relativeFrom="paragraph">
                  <wp:posOffset>58420</wp:posOffset>
                </wp:positionV>
                <wp:extent cx="1332230" cy="1270"/>
                <wp:effectExtent l="0" t="19050" r="1270" b="17780"/>
                <wp:wrapNone/>
                <wp:docPr id="15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5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01E1F" id="Group 135" o:spid="_x0000_s1026" style="position:absolute;margin-left:91.9pt;margin-top:4.6pt;width:104.9pt;height:.1pt;z-index:-25166540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" path="m,l2097,e" filled="f" strokecolor="#72ab6a" strokeweight="3pt">
                  <v:path arrowok="t" o:connecttype="custom" o:connectlocs="0,0;2097,0" o:connectangles="0,0"/>
                </v:shape>
                <w10:wrap anchorx="page"/>
              </v:group>
            </w:pict>
          </mc:Fallback>
        </mc:AlternateContent>
      </w:r>
    </w:p>
    <w:p w14:paraId="3B27FB28" w14:textId="618786EB" w:rsidR="002C04D2" w:rsidRPr="00D37FCE" w:rsidRDefault="00BD5C95" w:rsidP="00E76292">
      <w:pPr>
        <w:spacing w:before="240" w:line="334" w:lineRule="auto"/>
        <w:ind w:left="113" w:right="863"/>
        <w:rPr>
          <w:rFonts w:eastAsia="Times" w:cs="Times"/>
          <w:sz w:val="18"/>
          <w:szCs w:val="18"/>
        </w:rPr>
      </w:pPr>
      <w:r>
        <w:rPr>
          <w:rFonts w:ascii="ZWAdobeF" w:eastAsia="Times" w:hAnsi="ZWAdobeF" w:cs="ZWAdobeF"/>
          <w:color w:val="auto"/>
          <w:sz w:val="2"/>
          <w:szCs w:val="2"/>
        </w:rPr>
        <w:t>1012B</w:t>
      </w:r>
      <w:r w:rsidR="0049638A">
        <w:rPr>
          <w:rFonts w:ascii="ZWAdobeF" w:eastAsia="Times" w:hAnsi="ZWAdobeF" w:cs="ZWAdobeF"/>
          <w:color w:val="auto"/>
          <w:sz w:val="2"/>
          <w:szCs w:val="2"/>
        </w:rPr>
        <w:t>1012B</w:t>
      </w:r>
      <w:r w:rsidR="00D629FA">
        <w:rPr>
          <w:rFonts w:ascii="ZWAdobeF" w:eastAsia="Times" w:hAnsi="ZWAdobeF" w:cs="ZWAdobeF"/>
          <w:color w:val="auto"/>
          <w:sz w:val="2"/>
          <w:szCs w:val="2"/>
        </w:rPr>
        <w:t>1012B</w:t>
      </w:r>
      <w:r w:rsidR="006064EA" w:rsidRPr="00D37FCE">
        <w:rPr>
          <w:rFonts w:eastAsia="Times"/>
          <w:sz w:val="18"/>
        </w:rPr>
        <w:t>Kei te pātengi raraunga o Te Puna Mātauranga o</w:t>
      </w:r>
      <w:r w:rsidR="00762BF1">
        <w:rPr>
          <w:rFonts w:eastAsia="Times"/>
          <w:sz w:val="18"/>
        </w:rPr>
        <w:t xml:space="preserve"> A</w:t>
      </w:r>
      <w:r w:rsidR="006064EA" w:rsidRPr="00D37FCE">
        <w:rPr>
          <w:rFonts w:eastAsia="Times"/>
          <w:sz w:val="18"/>
        </w:rPr>
        <w:t>otea</w:t>
      </w:r>
      <w:r w:rsidR="006064EA" w:rsidRPr="00D37FCE">
        <w:rPr>
          <w:rFonts w:eastAsia="Times"/>
          <w:spacing w:val="-3"/>
          <w:sz w:val="18"/>
        </w:rPr>
        <w:t>r</w:t>
      </w:r>
      <w:r w:rsidR="006064EA" w:rsidRPr="00D37FCE">
        <w:rPr>
          <w:rFonts w:eastAsia="Times"/>
          <w:sz w:val="18"/>
        </w:rPr>
        <w:t>oa te whakarārangi o tēnei pukapuka.</w:t>
      </w:r>
      <w:r w:rsidR="00762BF1">
        <w:rPr>
          <w:rFonts w:eastAsia="Times"/>
          <w:sz w:val="18"/>
        </w:rPr>
        <w:br/>
        <w:t xml:space="preserve">A </w:t>
      </w:r>
      <w:r w:rsidR="00062703" w:rsidRPr="00D37FCE">
        <w:rPr>
          <w:rFonts w:eastAsia="Times"/>
          <w:sz w:val="18"/>
        </w:rPr>
        <w:t>catalogue re</w:t>
      </w:r>
      <w:r w:rsidR="00062703" w:rsidRPr="00D37FCE">
        <w:rPr>
          <w:rFonts w:eastAsia="Times"/>
          <w:spacing w:val="-2"/>
          <w:sz w:val="18"/>
        </w:rPr>
        <w:t>c</w:t>
      </w:r>
      <w:r w:rsidR="00062703" w:rsidRPr="00D37FCE">
        <w:rPr>
          <w:rFonts w:eastAsia="Times"/>
          <w:sz w:val="18"/>
        </w:rPr>
        <w:t>ord for this title is a</w:t>
      </w:r>
      <w:r w:rsidR="00062703" w:rsidRPr="00D37FCE">
        <w:rPr>
          <w:rFonts w:eastAsia="Times"/>
          <w:spacing w:val="-7"/>
          <w:sz w:val="18"/>
        </w:rPr>
        <w:t>v</w:t>
      </w:r>
      <w:r w:rsidR="00062703" w:rsidRPr="00D37FCE">
        <w:rPr>
          <w:rFonts w:eastAsia="Times"/>
          <w:sz w:val="18"/>
        </w:rPr>
        <w:t>ailable f</w:t>
      </w:r>
      <w:r w:rsidR="00062703" w:rsidRPr="00D37FCE">
        <w:rPr>
          <w:rFonts w:eastAsia="Times"/>
          <w:spacing w:val="-3"/>
          <w:sz w:val="18"/>
        </w:rPr>
        <w:t>r</w:t>
      </w:r>
      <w:r w:rsidR="00062703" w:rsidRPr="00D37FCE">
        <w:rPr>
          <w:rFonts w:eastAsia="Times"/>
          <w:sz w:val="18"/>
        </w:rPr>
        <w:t>om the National Library of N</w:t>
      </w:r>
      <w:r w:rsidR="00062703" w:rsidRPr="00D37FCE">
        <w:rPr>
          <w:rFonts w:eastAsia="Times"/>
          <w:spacing w:val="-4"/>
          <w:sz w:val="18"/>
        </w:rPr>
        <w:t>e</w:t>
      </w:r>
      <w:r w:rsidR="00062703" w:rsidRPr="00D37FCE">
        <w:rPr>
          <w:rFonts w:eastAsia="Times"/>
          <w:sz w:val="18"/>
        </w:rPr>
        <w:t xml:space="preserve">w Zealand. </w:t>
      </w:r>
    </w:p>
    <w:p w14:paraId="07DB0C05" w14:textId="5A5DF4DC" w:rsidR="002C04D2" w:rsidRPr="00D37FCE" w:rsidRDefault="00BD5C95" w:rsidP="00E76292">
      <w:pPr>
        <w:tabs>
          <w:tab w:val="left" w:pos="3119"/>
        </w:tabs>
        <w:spacing w:before="360" w:line="334" w:lineRule="auto"/>
        <w:ind w:left="113" w:right="5256"/>
        <w:rPr>
          <w:rFonts w:eastAsia="Times" w:cs="Times"/>
          <w:sz w:val="18"/>
          <w:szCs w:val="18"/>
        </w:rPr>
      </w:pPr>
      <w:r>
        <w:rPr>
          <w:rFonts w:ascii="ZWAdobeF" w:eastAsia="Times" w:hAnsi="ZWAdobeF" w:cs="ZWAdobeF"/>
          <w:color w:val="auto"/>
          <w:sz w:val="2"/>
          <w:szCs w:val="2"/>
        </w:rPr>
        <w:t>1013B</w:t>
      </w:r>
      <w:r w:rsidR="0049638A">
        <w:rPr>
          <w:rFonts w:ascii="ZWAdobeF" w:eastAsia="Times" w:hAnsi="ZWAdobeF" w:cs="ZWAdobeF"/>
          <w:color w:val="auto"/>
          <w:sz w:val="2"/>
          <w:szCs w:val="2"/>
        </w:rPr>
        <w:t>1013B</w:t>
      </w:r>
      <w:r w:rsidR="00D629FA">
        <w:rPr>
          <w:rFonts w:ascii="ZWAdobeF" w:eastAsia="Times" w:hAnsi="ZWAdobeF" w:cs="ZWAdobeF"/>
          <w:color w:val="auto"/>
          <w:sz w:val="2"/>
          <w:szCs w:val="2"/>
        </w:rPr>
        <w:t>1013B</w:t>
      </w:r>
      <w:r w:rsidR="00062703" w:rsidRPr="00D37FCE">
        <w:rPr>
          <w:rFonts w:eastAsia="Times"/>
          <w:sz w:val="18"/>
        </w:rPr>
        <w:t xml:space="preserve">ISBN </w:t>
      </w:r>
      <w:r w:rsidR="00871A4C" w:rsidRPr="00871A4C">
        <w:rPr>
          <w:rFonts w:eastAsia="Times"/>
          <w:sz w:val="18"/>
        </w:rPr>
        <w:t>978-0-9951291-2-2</w:t>
      </w:r>
      <w:r w:rsidR="00237C3D" w:rsidRPr="00D37FCE">
        <w:rPr>
          <w:rFonts w:eastAsia="Times"/>
          <w:sz w:val="18"/>
        </w:rPr>
        <w:t xml:space="preserve"> </w:t>
      </w:r>
      <w:r w:rsidR="00CF0ABB" w:rsidRPr="00D37FCE">
        <w:rPr>
          <w:rFonts w:eastAsia="Times"/>
          <w:sz w:val="18"/>
        </w:rPr>
        <w:t>(</w:t>
      </w:r>
      <w:r w:rsidR="00062703" w:rsidRPr="00D37FCE">
        <w:rPr>
          <w:rFonts w:eastAsia="Times"/>
          <w:sz w:val="18"/>
        </w:rPr>
        <w:t>Online)</w:t>
      </w:r>
    </w:p>
    <w:p w14:paraId="7968D12A" w14:textId="68B7484F" w:rsidR="002C04D2" w:rsidRPr="00D37FCE" w:rsidRDefault="00BD5C95" w:rsidP="00CB5874">
      <w:pPr>
        <w:spacing w:line="333" w:lineRule="auto"/>
        <w:ind w:left="114" w:right="5824"/>
        <w:rPr>
          <w:rFonts w:eastAsia="Times" w:cs="Times"/>
          <w:sz w:val="18"/>
          <w:szCs w:val="18"/>
        </w:rPr>
      </w:pPr>
      <w:r>
        <w:rPr>
          <w:rFonts w:ascii="ZWAdobeF" w:eastAsia="Times" w:hAnsi="ZWAdobeF" w:cs="ZWAdobeF"/>
          <w:color w:val="auto"/>
          <w:sz w:val="2"/>
          <w:szCs w:val="2"/>
        </w:rPr>
        <w:t>1014B</w:t>
      </w:r>
      <w:r w:rsidR="0049638A">
        <w:rPr>
          <w:rFonts w:ascii="ZWAdobeF" w:eastAsia="Times" w:hAnsi="ZWAdobeF" w:cs="ZWAdobeF"/>
          <w:color w:val="auto"/>
          <w:sz w:val="2"/>
          <w:szCs w:val="2"/>
        </w:rPr>
        <w:t>1014B</w:t>
      </w:r>
      <w:r w:rsidR="00D629FA">
        <w:rPr>
          <w:rFonts w:ascii="ZWAdobeF" w:eastAsia="Times" w:hAnsi="ZWAdobeF" w:cs="ZWAdobeF"/>
          <w:color w:val="auto"/>
          <w:sz w:val="2"/>
          <w:szCs w:val="2"/>
        </w:rPr>
        <w:t>1014B</w:t>
      </w:r>
      <w:r w:rsidR="00062703" w:rsidRPr="00D37FCE">
        <w:rPr>
          <w:rFonts w:eastAsia="Times"/>
          <w:sz w:val="18"/>
        </w:rPr>
        <w:t>ISSN 1177-</w:t>
      </w:r>
      <w:r w:rsidR="003F7044" w:rsidRPr="00D37FCE">
        <w:rPr>
          <w:rFonts w:eastAsia="Times"/>
          <w:sz w:val="18"/>
        </w:rPr>
        <w:t>7877</w:t>
      </w:r>
      <w:r w:rsidR="00247635" w:rsidRPr="00D37FCE">
        <w:rPr>
          <w:rFonts w:eastAsia="Times"/>
          <w:sz w:val="18"/>
        </w:rPr>
        <w:t xml:space="preserve"> </w:t>
      </w:r>
      <w:r w:rsidR="00CF0ABB" w:rsidRPr="00D37FCE">
        <w:rPr>
          <w:rFonts w:eastAsia="Times"/>
          <w:sz w:val="18"/>
        </w:rPr>
        <w:t>(</w:t>
      </w:r>
      <w:r w:rsidR="00062703" w:rsidRPr="00D37FCE">
        <w:rPr>
          <w:rFonts w:eastAsia="Times"/>
          <w:sz w:val="18"/>
        </w:rPr>
        <w:t>Online)</w:t>
      </w:r>
    </w:p>
    <w:p w14:paraId="452D1EAF" w14:textId="59BAA776" w:rsidR="002C04D2" w:rsidRPr="00D37FCE" w:rsidRDefault="00BD5C95" w:rsidP="00D26BBC">
      <w:pPr>
        <w:spacing w:line="333" w:lineRule="auto"/>
        <w:ind w:left="114" w:right="1997"/>
        <w:rPr>
          <w:rFonts w:eastAsia="Times" w:cs="Times"/>
          <w:sz w:val="18"/>
          <w:szCs w:val="18"/>
        </w:rPr>
      </w:pPr>
      <w:r>
        <w:rPr>
          <w:rFonts w:ascii="ZWAdobeF" w:eastAsia="Times" w:hAnsi="ZWAdobeF" w:cs="ZWAdobeF"/>
          <w:color w:val="auto"/>
          <w:sz w:val="2"/>
          <w:szCs w:val="2"/>
        </w:rPr>
        <w:t>1015B</w:t>
      </w:r>
      <w:r w:rsidR="0049638A">
        <w:rPr>
          <w:rFonts w:ascii="ZWAdobeF" w:eastAsia="Times" w:hAnsi="ZWAdobeF" w:cs="ZWAdobeF"/>
          <w:color w:val="auto"/>
          <w:sz w:val="2"/>
          <w:szCs w:val="2"/>
        </w:rPr>
        <w:t>1015B</w:t>
      </w:r>
      <w:r w:rsidR="00D629FA">
        <w:rPr>
          <w:rFonts w:ascii="ZWAdobeF" w:eastAsia="Times" w:hAnsi="ZWAdobeF" w:cs="ZWAdobeF"/>
          <w:color w:val="auto"/>
          <w:sz w:val="2"/>
          <w:szCs w:val="2"/>
        </w:rPr>
        <w:t>1015B</w:t>
      </w:r>
      <w:r w:rsidR="00062703" w:rsidRPr="00D37FCE">
        <w:rPr>
          <w:rFonts w:eastAsia="Times"/>
          <w:sz w:val="18"/>
        </w:rPr>
        <w:t xml:space="preserve">This title may be cited as NZLC </w:t>
      </w:r>
      <w:r w:rsidR="00181D48" w:rsidRPr="00D37FCE">
        <w:rPr>
          <w:rFonts w:eastAsia="Times"/>
          <w:sz w:val="18"/>
        </w:rPr>
        <w:t>IP4</w:t>
      </w:r>
      <w:r w:rsidR="00C903E1">
        <w:rPr>
          <w:rFonts w:eastAsia="Times"/>
          <w:sz w:val="18"/>
        </w:rPr>
        <w:t>8</w:t>
      </w:r>
      <w:r w:rsidR="00D26BBC" w:rsidRPr="00D37FCE">
        <w:rPr>
          <w:rFonts w:eastAsia="Times"/>
          <w:sz w:val="18"/>
        </w:rPr>
        <w:t xml:space="preserve">. </w:t>
      </w:r>
      <w:r w:rsidR="00D26BBC" w:rsidRPr="00D37FCE">
        <w:rPr>
          <w:sz w:val="18"/>
          <w:szCs w:val="18"/>
        </w:rPr>
        <w:t xml:space="preserve">This title is available on the internet at the website of Te Aka Matua o te Ture | Law Commission: </w:t>
      </w:r>
      <w:hyperlink r:id="rId18" w:history="1">
        <w:r w:rsidR="00D26BBC" w:rsidRPr="00D37FCE">
          <w:rPr>
            <w:rStyle w:val="Hyperlink"/>
            <w:sz w:val="18"/>
            <w:szCs w:val="18"/>
          </w:rPr>
          <w:t>www.lawcom.govt.nz</w:t>
        </w:r>
      </w:hyperlink>
    </w:p>
    <w:p w14:paraId="6EFF0519" w14:textId="0B8072A4" w:rsidR="005B588A" w:rsidRPr="00D37FCE" w:rsidRDefault="00BD5C95" w:rsidP="00E76292">
      <w:pPr>
        <w:spacing w:before="240" w:line="334" w:lineRule="auto"/>
        <w:ind w:left="113" w:right="1996"/>
        <w:rPr>
          <w:sz w:val="18"/>
          <w:szCs w:val="18"/>
        </w:rPr>
      </w:pPr>
      <w:r>
        <w:rPr>
          <w:rFonts w:ascii="ZWAdobeF" w:eastAsia="Arial Unicode MS" w:hAnsi="ZWAdobeF" w:cs="ZWAdobeF"/>
          <w:color w:val="auto"/>
          <w:sz w:val="2"/>
          <w:szCs w:val="2"/>
        </w:rPr>
        <w:t>1016B</w:t>
      </w:r>
      <w:r w:rsidR="0049638A">
        <w:rPr>
          <w:rFonts w:ascii="ZWAdobeF" w:eastAsia="Arial Unicode MS" w:hAnsi="ZWAdobeF" w:cs="ZWAdobeF"/>
          <w:color w:val="auto"/>
          <w:sz w:val="2"/>
          <w:szCs w:val="2"/>
        </w:rPr>
        <w:t>1016B</w:t>
      </w:r>
      <w:r w:rsidR="00D629FA">
        <w:rPr>
          <w:rFonts w:ascii="ZWAdobeF" w:eastAsia="Arial Unicode MS" w:hAnsi="ZWAdobeF" w:cs="ZWAdobeF"/>
          <w:color w:val="auto"/>
          <w:sz w:val="2"/>
          <w:szCs w:val="2"/>
        </w:rPr>
        <w:t>1016B</w:t>
      </w:r>
      <w:r w:rsidR="00D26BBC" w:rsidRPr="00D37FCE">
        <w:rPr>
          <w:rFonts w:eastAsia="Arial Unicode MS"/>
          <w:sz w:val="18"/>
          <w:szCs w:val="18"/>
        </w:rPr>
        <w:t xml:space="preserve">Copyright </w:t>
      </w:r>
      <w:r w:rsidR="00D26BBC" w:rsidRPr="00D37FCE">
        <w:rPr>
          <w:rFonts w:ascii="Calibri" w:eastAsia="Arial Unicode MS" w:hAnsi="Calibri" w:cs="Calibri"/>
          <w:sz w:val="18"/>
          <w:szCs w:val="18"/>
        </w:rPr>
        <w:t>©</w:t>
      </w:r>
      <w:r w:rsidR="00D26BBC" w:rsidRPr="00D37FCE">
        <w:rPr>
          <w:rFonts w:eastAsia="Arial Unicode MS"/>
          <w:sz w:val="18"/>
          <w:szCs w:val="18"/>
        </w:rPr>
        <w:t xml:space="preserve"> 202</w:t>
      </w:r>
      <w:r w:rsidR="00237C3D" w:rsidRPr="00D37FCE">
        <w:rPr>
          <w:rFonts w:eastAsia="Arial Unicode MS"/>
          <w:sz w:val="18"/>
          <w:szCs w:val="18"/>
        </w:rPr>
        <w:t>1</w:t>
      </w:r>
      <w:r w:rsidR="00D26BBC" w:rsidRPr="00D37FCE">
        <w:rPr>
          <w:rFonts w:eastAsia="Arial Unicode MS"/>
          <w:sz w:val="18"/>
          <w:szCs w:val="18"/>
        </w:rPr>
        <w:t xml:space="preserve"> </w:t>
      </w:r>
      <w:r w:rsidR="00D26BBC" w:rsidRPr="00D37FCE">
        <w:rPr>
          <w:sz w:val="18"/>
          <w:szCs w:val="18"/>
        </w:rPr>
        <w:t>Te Aka Matua o te Ture |</w:t>
      </w:r>
      <w:r w:rsidR="00D26BBC" w:rsidRPr="00D37FCE">
        <w:rPr>
          <w:rFonts w:eastAsia="Arial Unicode MS"/>
          <w:sz w:val="18"/>
          <w:szCs w:val="18"/>
        </w:rPr>
        <w:t xml:space="preserve"> Law Commission.</w:t>
      </w:r>
    </w:p>
    <w:p w14:paraId="48739501" w14:textId="77777777" w:rsidR="005B588A" w:rsidRPr="00D37FCE" w:rsidRDefault="005B588A" w:rsidP="00E76292">
      <w:pPr>
        <w:spacing w:before="3" w:line="180" w:lineRule="exact"/>
        <w:rPr>
          <w:sz w:val="18"/>
          <w:szCs w:val="18"/>
        </w:rPr>
      </w:pPr>
    </w:p>
    <w:p w14:paraId="15282A32" w14:textId="3CB87580" w:rsidR="00247635" w:rsidRPr="00D37FCE" w:rsidRDefault="005B5E2E" w:rsidP="00E76292">
      <w:pPr>
        <w:spacing w:before="3" w:line="180" w:lineRule="exact"/>
        <w:rPr>
          <w:color w:val="262626" w:themeColor="text1" w:themeTint="D9"/>
          <w:sz w:val="14"/>
        </w:rPr>
      </w:pPr>
      <w:r w:rsidRPr="00D37FCE">
        <w:rPr>
          <w:noProof/>
          <w:color w:val="262626" w:themeColor="text1" w:themeTint="D9"/>
          <w:sz w:val="14"/>
          <w:szCs w:val="16"/>
          <w:lang w:eastAsia="en-NZ"/>
        </w:rPr>
        <mc:AlternateContent>
          <mc:Choice Requires="wpg">
            <w:drawing>
              <wp:anchor distT="0" distB="0" distL="114300" distR="114300" simplePos="0" relativeHeight="251651080" behindDoc="1" locked="0" layoutInCell="1" allowOverlap="1" wp14:anchorId="7C0B189A" wp14:editId="7B89B6A3">
                <wp:simplePos x="0" y="0"/>
                <wp:positionH relativeFrom="page">
                  <wp:posOffset>1168400</wp:posOffset>
                </wp:positionH>
                <wp:positionV relativeFrom="page">
                  <wp:posOffset>9548837</wp:posOffset>
                </wp:positionV>
                <wp:extent cx="1007110" cy="344170"/>
                <wp:effectExtent l="0" t="0" r="2540" b="0"/>
                <wp:wrapSquare wrapText="bothSides"/>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44170"/>
                          <a:chOff x="1440" y="109"/>
                          <a:chExt cx="1320" cy="497"/>
                        </a:xfrm>
                      </wpg:grpSpPr>
                      <wpg:grpSp>
                        <wpg:cNvPr id="262" name="Group 227"/>
                        <wpg:cNvGrpSpPr>
                          <a:grpSpLocks/>
                        </wpg:cNvGrpSpPr>
                        <wpg:grpSpPr bwMode="auto">
                          <a:xfrm>
                            <a:off x="1440" y="109"/>
                            <a:ext cx="1320" cy="497"/>
                            <a:chOff x="1440" y="109"/>
                            <a:chExt cx="1320" cy="497"/>
                          </a:xfrm>
                        </wpg:grpSpPr>
                        <wps:wsp>
                          <wps:cNvPr id="263" name="Freeform 228"/>
                          <wps:cNvSpPr>
                            <a:spLocks/>
                          </wps:cNvSpPr>
                          <wps:spPr bwMode="auto">
                            <a:xfrm>
                              <a:off x="1440" y="126"/>
                              <a:ext cx="1320" cy="480"/>
                            </a:xfrm>
                            <a:custGeom>
                              <a:avLst/>
                              <a:gdLst>
                                <a:gd name="T0" fmla="+- 0 1440 1440"/>
                                <a:gd name="T1" fmla="*/ T0 w 1320"/>
                                <a:gd name="T2" fmla="+- 0 606 126"/>
                                <a:gd name="T3" fmla="*/ 606 h 480"/>
                                <a:gd name="T4" fmla="+- 0 2760 1440"/>
                                <a:gd name="T5" fmla="*/ T4 w 1320"/>
                                <a:gd name="T6" fmla="+- 0 606 126"/>
                                <a:gd name="T7" fmla="*/ 606 h 480"/>
                                <a:gd name="T8" fmla="+- 0 2760 1440"/>
                                <a:gd name="T9" fmla="*/ T8 w 1320"/>
                                <a:gd name="T10" fmla="+- 0 126 126"/>
                                <a:gd name="T11" fmla="*/ 126 h 480"/>
                                <a:gd name="T12" fmla="+- 0 1440 1440"/>
                                <a:gd name="T13" fmla="*/ T12 w 1320"/>
                                <a:gd name="T14" fmla="+- 0 126 126"/>
                                <a:gd name="T15" fmla="*/ 126 h 480"/>
                                <a:gd name="T16" fmla="+- 0 1440 1440"/>
                                <a:gd name="T17" fmla="*/ T16 w 1320"/>
                                <a:gd name="T18" fmla="+- 0 606 126"/>
                                <a:gd name="T19" fmla="*/ 606 h 480"/>
                              </a:gdLst>
                              <a:ahLst/>
                              <a:cxnLst>
                                <a:cxn ang="0">
                                  <a:pos x="T1" y="T3"/>
                                </a:cxn>
                                <a:cxn ang="0">
                                  <a:pos x="T5" y="T7"/>
                                </a:cxn>
                                <a:cxn ang="0">
                                  <a:pos x="T9" y="T11"/>
                                </a:cxn>
                                <a:cxn ang="0">
                                  <a:pos x="T13" y="T15"/>
                                </a:cxn>
                                <a:cxn ang="0">
                                  <a:pos x="T17" y="T19"/>
                                </a:cxn>
                              </a:cxnLst>
                              <a:rect l="0" t="0" r="r" b="b"/>
                              <a:pathLst>
                                <a:path w="1320" h="480">
                                  <a:moveTo>
                                    <a:pt x="0" y="480"/>
                                  </a:moveTo>
                                  <a:lnTo>
                                    <a:pt x="1320" y="480"/>
                                  </a:lnTo>
                                  <a:lnTo>
                                    <a:pt x="1320" y="0"/>
                                  </a:lnTo>
                                  <a:lnTo>
                                    <a:pt x="0" y="0"/>
                                  </a:lnTo>
                                  <a:lnTo>
                                    <a:pt x="0" y="480"/>
                                  </a:lnTo>
                                </a:path>
                              </a:pathLst>
                            </a:custGeom>
                            <a:solidFill>
                              <a:srgbClr val="002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4" name="Picture 2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0" y="109"/>
                              <a:ext cx="1320" cy="4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88BA7DD" id="Group 261" o:spid="_x0000_s1026" style="position:absolute;margin-left:92pt;margin-top:751.9pt;width:79.3pt;height:27.1pt;z-index:-251665400;mso-position-horizontal-relative:page;mso-position-vertical-relative:page" coordorigin="1440,109" coordsize="1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">
                <v:group id="Group 227" o:spid="_x0000_s1027" style="position:absolute;left:1440;top:109;width:1320;height:497" coordorigin="1440,109" coordsize="1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28" o:spid="_x0000_s1028" style="position:absolute;left:1440;top:126;width:1320;height:480;visibility:visible;mso-wrap-style:square;v-text-anchor:top" coordsize="1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" path="m,480r1320,l1320,,,,,480e" fillcolor="#002c30" stroked="f">
                    <v:path arrowok="t" o:connecttype="custom" o:connectlocs="0,606;1320,606;1320,126;0,126;0,606" o:connectangles="0,0,0,0,0"/>
                  </v:shape>
                  <v:shape id="Picture 229" o:spid="_x0000_s1029" type="#_x0000_t75" style="position:absolute;left:1440;top:109;width:132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">
                    <v:imagedata r:id="rId20" o:title=""/>
                  </v:shape>
                </v:group>
                <w10:wrap type="square" anchorx="page" anchory="page"/>
              </v:group>
            </w:pict>
          </mc:Fallback>
        </mc:AlternateContent>
      </w:r>
      <w:r w:rsidR="00BD5C95">
        <w:rPr>
          <w:rFonts w:ascii="ZWAdobeF" w:hAnsi="ZWAdobeF" w:cs="ZWAdobeF"/>
          <w:color w:val="auto"/>
          <w:sz w:val="2"/>
          <w:szCs w:val="2"/>
        </w:rPr>
        <w:t>1017B</w:t>
      </w:r>
      <w:r w:rsidR="0049638A">
        <w:rPr>
          <w:rFonts w:ascii="ZWAdobeF" w:hAnsi="ZWAdobeF" w:cs="ZWAdobeF"/>
          <w:color w:val="auto"/>
          <w:sz w:val="2"/>
          <w:szCs w:val="2"/>
        </w:rPr>
        <w:t>1017B</w:t>
      </w:r>
      <w:r w:rsidR="00D629FA">
        <w:rPr>
          <w:rFonts w:ascii="ZWAdobeF" w:hAnsi="ZWAdobeF" w:cs="ZWAdobeF"/>
          <w:color w:val="auto"/>
          <w:sz w:val="2"/>
          <w:szCs w:val="2"/>
        </w:rPr>
        <w:t>1017B</w:t>
      </w:r>
      <w:r w:rsidR="00247635" w:rsidRPr="00D37FCE">
        <w:rPr>
          <w:color w:val="262626" w:themeColor="text1" w:themeTint="D9"/>
          <w:sz w:val="14"/>
        </w:rPr>
        <w:t>T</w:t>
      </w:r>
      <w:r w:rsidR="00247635" w:rsidRPr="00D37FCE">
        <w:rPr>
          <w:color w:val="262626" w:themeColor="text1" w:themeTint="D9"/>
          <w:sz w:val="12"/>
          <w:szCs w:val="20"/>
        </w:rPr>
        <w:t xml:space="preserve">his work is licensed under the Creative Commons Attribution 4.0 International licence. In essence, you are free to copy, distribute and adapt the work, as long as you attribute the work to </w:t>
      </w:r>
      <w:r w:rsidR="00D26BBC" w:rsidRPr="00D37FCE">
        <w:rPr>
          <w:color w:val="262626" w:themeColor="text1" w:themeTint="D9"/>
          <w:sz w:val="12"/>
          <w:szCs w:val="20"/>
        </w:rPr>
        <w:t>Te Aka Matua o te Ture |</w:t>
      </w:r>
      <w:r w:rsidR="00247635" w:rsidRPr="00D37FCE">
        <w:rPr>
          <w:color w:val="262626" w:themeColor="text1" w:themeTint="D9"/>
          <w:sz w:val="12"/>
          <w:szCs w:val="20"/>
        </w:rPr>
        <w:t xml:space="preserve"> Law Commission and abide by other licence terms. To view a copy of this licence, visit https://crea</w:t>
      </w:r>
      <w:r w:rsidR="00CB5874" w:rsidRPr="00D37FCE">
        <w:rPr>
          <w:color w:val="262626" w:themeColor="text1" w:themeTint="D9"/>
          <w:sz w:val="12"/>
          <w:szCs w:val="20"/>
        </w:rPr>
        <w:t>tivecommons.org/licenses/by/4.0</w:t>
      </w:r>
    </w:p>
    <w:p w14:paraId="40E78A0B" w14:textId="77777777" w:rsidR="003D786A" w:rsidRPr="00D37FCE" w:rsidRDefault="003D786A" w:rsidP="00A617AF">
      <w:pPr>
        <w:pStyle w:val="Heading1nonum"/>
        <w:rPr>
          <w:rFonts w:eastAsia="Consolas"/>
        </w:rPr>
        <w:sectPr w:rsidR="003D786A" w:rsidRPr="00D37FCE" w:rsidSect="00FD6721">
          <w:headerReference w:type="default" r:id="rId21"/>
          <w:footerReference w:type="even" r:id="rId22"/>
          <w:footerReference w:type="default" r:id="rId23"/>
          <w:footnotePr>
            <w:numRestart w:val="eachSect"/>
          </w:footnotePr>
          <w:type w:val="nextColumn"/>
          <w:pgSz w:w="11907" w:h="16840" w:code="9"/>
          <w:pgMar w:top="1134" w:right="1134" w:bottom="1134" w:left="1701" w:header="567" w:footer="691" w:gutter="0"/>
          <w:pgNumType w:fmt="lowerRoman" w:start="3"/>
          <w:cols w:space="720"/>
          <w:docGrid w:linePitch="272"/>
        </w:sectPr>
      </w:pPr>
    </w:p>
    <w:p w14:paraId="342C31C5" w14:textId="77777777" w:rsidR="002D788B" w:rsidRPr="00D37FCE" w:rsidRDefault="002D788B" w:rsidP="002D788B">
      <w:pPr>
        <w:pStyle w:val="Heading1nonum"/>
        <w:spacing w:before="720"/>
        <w:ind w:left="0"/>
        <w:contextualSpacing/>
        <w:rPr>
          <w:rFonts w:eastAsia="Times New Roman Mäori"/>
        </w:rPr>
      </w:pPr>
      <w:bookmarkStart w:id="3" w:name="_Toc77858375"/>
      <w:bookmarkStart w:id="4" w:name="_Toc83895417"/>
      <w:bookmarkStart w:id="5" w:name="_Toc57815046"/>
      <w:bookmarkStart w:id="6" w:name="_Toc66105736"/>
      <w:bookmarkStart w:id="7" w:name="_Toc66116295"/>
      <w:r w:rsidRPr="00D37FCE">
        <w:rPr>
          <w:rFonts w:eastAsia="Times New Roman Mäori"/>
        </w:rPr>
        <w:lastRenderedPageBreak/>
        <w:t>Have your say</w:t>
      </w:r>
      <w:bookmarkEnd w:id="3"/>
      <w:bookmarkEnd w:id="4"/>
    </w:p>
    <w:p w14:paraId="1E7E0F8F" w14:textId="535D48A3" w:rsidR="002D788B" w:rsidRPr="00E479D9" w:rsidRDefault="00BD5C95" w:rsidP="00932E49">
      <w:pPr>
        <w:pStyle w:val="BodyTextIndent"/>
        <w:spacing w:after="120"/>
        <w:ind w:left="0"/>
      </w:pPr>
      <w:r>
        <w:rPr>
          <w:rFonts w:ascii="ZWAdobeF" w:hAnsi="ZWAdobeF" w:cs="ZWAdobeF"/>
          <w:color w:val="auto"/>
          <w:sz w:val="2"/>
          <w:szCs w:val="2"/>
        </w:rPr>
        <w:t>926B</w:t>
      </w:r>
      <w:r w:rsidR="0049638A">
        <w:rPr>
          <w:rFonts w:ascii="ZWAdobeF" w:hAnsi="ZWAdobeF" w:cs="ZWAdobeF"/>
          <w:color w:val="auto"/>
          <w:sz w:val="2"/>
          <w:szCs w:val="2"/>
        </w:rPr>
        <w:t>926B</w:t>
      </w:r>
      <w:r w:rsidR="00D629FA">
        <w:rPr>
          <w:rFonts w:ascii="ZWAdobeF" w:hAnsi="ZWAdobeF" w:cs="ZWAdobeF"/>
          <w:color w:val="auto"/>
          <w:sz w:val="2"/>
          <w:szCs w:val="2"/>
        </w:rPr>
        <w:t>926B</w:t>
      </w:r>
      <w:r w:rsidR="002D788B" w:rsidRPr="00E479D9">
        <w:t xml:space="preserve">We </w:t>
      </w:r>
      <w:r w:rsidR="002D788B" w:rsidRPr="00E479D9">
        <w:rPr>
          <w:rStyle w:val="normaltextrun"/>
        </w:rPr>
        <w:t>want</w:t>
      </w:r>
      <w:r w:rsidR="002D788B" w:rsidRPr="00E479D9">
        <w:t xml:space="preserve"> to know what you think about the issues, options and proposals set out in this paper. </w:t>
      </w:r>
    </w:p>
    <w:p w14:paraId="6527B53E" w14:textId="77777777" w:rsidR="002D788B" w:rsidRPr="00E479D9" w:rsidRDefault="002D788B" w:rsidP="00932E49">
      <w:pPr>
        <w:pStyle w:val="BodyTextIndent"/>
        <w:spacing w:after="120"/>
        <w:ind w:left="0"/>
        <w:rPr>
          <w:rStyle w:val="normaltextrun"/>
        </w:rPr>
      </w:pPr>
    </w:p>
    <w:p w14:paraId="3F60F2A0" w14:textId="7FB4BA55" w:rsidR="002D788B" w:rsidRPr="00E479D9" w:rsidRDefault="00BD5C95" w:rsidP="00932E49">
      <w:pPr>
        <w:pStyle w:val="BodyTextIndent"/>
        <w:spacing w:after="120"/>
        <w:ind w:left="0"/>
      </w:pPr>
      <w:r>
        <w:rPr>
          <w:rStyle w:val="normaltextrun"/>
          <w:rFonts w:ascii="ZWAdobeF" w:hAnsi="ZWAdobeF" w:cs="ZWAdobeF"/>
          <w:color w:val="auto"/>
          <w:sz w:val="2"/>
          <w:szCs w:val="2"/>
        </w:rPr>
        <w:t>927B</w:t>
      </w:r>
      <w:r w:rsidR="0049638A">
        <w:rPr>
          <w:rStyle w:val="normaltextrun"/>
          <w:rFonts w:ascii="ZWAdobeF" w:hAnsi="ZWAdobeF" w:cs="ZWAdobeF"/>
          <w:color w:val="auto"/>
          <w:sz w:val="2"/>
          <w:szCs w:val="2"/>
        </w:rPr>
        <w:t>927B</w:t>
      </w:r>
      <w:r w:rsidR="00D629FA">
        <w:rPr>
          <w:rStyle w:val="normaltextrun"/>
          <w:rFonts w:ascii="ZWAdobeF" w:hAnsi="ZWAdobeF" w:cs="ZWAdobeF"/>
          <w:color w:val="auto"/>
          <w:sz w:val="2"/>
          <w:szCs w:val="2"/>
        </w:rPr>
        <w:t>927B</w:t>
      </w:r>
      <w:r w:rsidR="002D788B" w:rsidRPr="00E479D9">
        <w:rPr>
          <w:rStyle w:val="normaltextrun"/>
        </w:rPr>
        <w:t>Submissions</w:t>
      </w:r>
      <w:r w:rsidR="002D788B" w:rsidRPr="00E479D9">
        <w:t xml:space="preserve"> on our Issues Paper must be received by </w:t>
      </w:r>
      <w:r w:rsidR="00FC16CD" w:rsidRPr="00E479D9">
        <w:rPr>
          <w:b/>
          <w:bCs/>
        </w:rPr>
        <w:t>12</w:t>
      </w:r>
      <w:r w:rsidR="002D788B" w:rsidRPr="00E479D9">
        <w:rPr>
          <w:b/>
          <w:bCs/>
        </w:rPr>
        <w:t xml:space="preserve"> </w:t>
      </w:r>
      <w:r w:rsidR="00FC16CD" w:rsidRPr="00E479D9">
        <w:rPr>
          <w:b/>
          <w:bCs/>
        </w:rPr>
        <w:t>November</w:t>
      </w:r>
      <w:r w:rsidR="002D788B" w:rsidRPr="00E479D9">
        <w:rPr>
          <w:b/>
          <w:bCs/>
        </w:rPr>
        <w:t xml:space="preserve"> 2021</w:t>
      </w:r>
      <w:r w:rsidR="002D788B" w:rsidRPr="00E479D9">
        <w:t>.</w:t>
      </w:r>
    </w:p>
    <w:p w14:paraId="5250828A" w14:textId="66DB2203" w:rsidR="002D788B" w:rsidRPr="00E479D9" w:rsidRDefault="00BD5C95" w:rsidP="00932E49">
      <w:pPr>
        <w:pStyle w:val="BodyTextIndent"/>
        <w:spacing w:after="120"/>
        <w:ind w:left="0"/>
      </w:pPr>
      <w:r>
        <w:rPr>
          <w:rFonts w:ascii="ZWAdobeF" w:hAnsi="ZWAdobeF" w:cs="ZWAdobeF"/>
          <w:color w:val="auto"/>
          <w:sz w:val="2"/>
          <w:szCs w:val="2"/>
        </w:rPr>
        <w:t>928B</w:t>
      </w:r>
      <w:r w:rsidR="0049638A">
        <w:rPr>
          <w:rFonts w:ascii="ZWAdobeF" w:hAnsi="ZWAdobeF" w:cs="ZWAdobeF"/>
          <w:color w:val="auto"/>
          <w:sz w:val="2"/>
          <w:szCs w:val="2"/>
        </w:rPr>
        <w:t>928B</w:t>
      </w:r>
      <w:r w:rsidR="00D629FA">
        <w:rPr>
          <w:rFonts w:ascii="ZWAdobeF" w:hAnsi="ZWAdobeF" w:cs="ZWAdobeF"/>
          <w:color w:val="auto"/>
          <w:sz w:val="2"/>
          <w:szCs w:val="2"/>
        </w:rPr>
        <w:t>928B</w:t>
      </w:r>
      <w:r w:rsidR="002D788B" w:rsidRPr="00E479D9">
        <w:t xml:space="preserve">You can email your submission to </w:t>
      </w:r>
      <w:hyperlink r:id="rId24" w:history="1">
        <w:r w:rsidR="00EC694E" w:rsidRPr="00E479D9">
          <w:rPr>
            <w:rStyle w:val="Hyperlink"/>
          </w:rPr>
          <w:t>cal@lawcom.govt.nz</w:t>
        </w:r>
      </w:hyperlink>
      <w:r w:rsidR="002D788B" w:rsidRPr="00E479D9">
        <w:t>.</w:t>
      </w:r>
    </w:p>
    <w:p w14:paraId="75ACD24E" w14:textId="5FAF65A4" w:rsidR="002D788B" w:rsidRPr="00E479D9" w:rsidRDefault="00BD5C95" w:rsidP="00932E49">
      <w:pPr>
        <w:pStyle w:val="BodyTextIndent"/>
        <w:spacing w:after="120"/>
        <w:ind w:left="0"/>
      </w:pPr>
      <w:r>
        <w:rPr>
          <w:rFonts w:ascii="ZWAdobeF" w:hAnsi="ZWAdobeF" w:cs="ZWAdobeF"/>
          <w:color w:val="auto"/>
          <w:sz w:val="2"/>
          <w:szCs w:val="2"/>
        </w:rPr>
        <w:t>929B</w:t>
      </w:r>
      <w:r w:rsidR="0049638A">
        <w:rPr>
          <w:rFonts w:ascii="ZWAdobeF" w:hAnsi="ZWAdobeF" w:cs="ZWAdobeF"/>
          <w:color w:val="auto"/>
          <w:sz w:val="2"/>
          <w:szCs w:val="2"/>
        </w:rPr>
        <w:t>929B</w:t>
      </w:r>
      <w:r w:rsidR="00D629FA">
        <w:rPr>
          <w:rFonts w:ascii="ZWAdobeF" w:hAnsi="ZWAdobeF" w:cs="ZWAdobeF"/>
          <w:color w:val="auto"/>
          <w:sz w:val="2"/>
          <w:szCs w:val="2"/>
        </w:rPr>
        <w:t>929B</w:t>
      </w:r>
      <w:r w:rsidR="002D788B" w:rsidRPr="00E479D9">
        <w:t xml:space="preserve">You </w:t>
      </w:r>
      <w:r w:rsidR="002D788B" w:rsidRPr="00E479D9">
        <w:rPr>
          <w:rStyle w:val="normaltextrun"/>
        </w:rPr>
        <w:t>can</w:t>
      </w:r>
      <w:r w:rsidR="002D788B" w:rsidRPr="00E479D9">
        <w:t xml:space="preserve"> post your submission to</w:t>
      </w:r>
    </w:p>
    <w:p w14:paraId="4D3E94A2" w14:textId="77777777" w:rsidR="00223588" w:rsidRPr="00E479D9" w:rsidRDefault="00223588" w:rsidP="00932E49">
      <w:pPr>
        <w:pStyle w:val="BodyTextIndent"/>
        <w:spacing w:after="120"/>
        <w:ind w:left="0"/>
      </w:pPr>
    </w:p>
    <w:p w14:paraId="020CE2F1" w14:textId="692586C0" w:rsidR="002D788B" w:rsidRPr="00E479D9" w:rsidRDefault="00BD5C95" w:rsidP="00932E49">
      <w:pPr>
        <w:pStyle w:val="BodyTextIndent"/>
        <w:rPr>
          <w:b/>
          <w:bCs/>
        </w:rPr>
      </w:pPr>
      <w:r>
        <w:rPr>
          <w:rFonts w:ascii="ZWAdobeF" w:hAnsi="ZWAdobeF" w:cs="ZWAdobeF"/>
          <w:bCs/>
          <w:color w:val="auto"/>
          <w:sz w:val="2"/>
          <w:szCs w:val="2"/>
        </w:rPr>
        <w:t>930B</w:t>
      </w:r>
      <w:r w:rsidR="0049638A">
        <w:rPr>
          <w:rFonts w:ascii="ZWAdobeF" w:hAnsi="ZWAdobeF" w:cs="ZWAdobeF"/>
          <w:bCs/>
          <w:color w:val="auto"/>
          <w:sz w:val="2"/>
          <w:szCs w:val="2"/>
        </w:rPr>
        <w:t>930B</w:t>
      </w:r>
      <w:r w:rsidR="00D629FA">
        <w:rPr>
          <w:rFonts w:ascii="ZWAdobeF" w:hAnsi="ZWAdobeF" w:cs="ZWAdobeF"/>
          <w:bCs/>
          <w:color w:val="auto"/>
          <w:sz w:val="2"/>
          <w:szCs w:val="2"/>
        </w:rPr>
        <w:t>930B</w:t>
      </w:r>
      <w:r w:rsidR="002D788B" w:rsidRPr="00E479D9">
        <w:rPr>
          <w:b/>
          <w:bCs/>
        </w:rPr>
        <w:t xml:space="preserve">Review of </w:t>
      </w:r>
      <w:r w:rsidR="00FC16CD" w:rsidRPr="00E479D9">
        <w:rPr>
          <w:b/>
          <w:bCs/>
        </w:rPr>
        <w:t>Class Actions &amp; Litigation Funding</w:t>
      </w:r>
      <w:r w:rsidR="002D788B" w:rsidRPr="00E479D9">
        <w:rPr>
          <w:b/>
          <w:bCs/>
        </w:rPr>
        <w:t xml:space="preserve"> </w:t>
      </w:r>
    </w:p>
    <w:p w14:paraId="436ADA8B" w14:textId="1F1E5166" w:rsidR="002D788B" w:rsidRPr="00E479D9" w:rsidRDefault="00BD5C95" w:rsidP="00932E49">
      <w:pPr>
        <w:pStyle w:val="BodyTextIndent"/>
        <w:rPr>
          <w:b/>
          <w:bCs/>
        </w:rPr>
      </w:pPr>
      <w:r>
        <w:rPr>
          <w:rFonts w:ascii="ZWAdobeF" w:hAnsi="ZWAdobeF" w:cs="ZWAdobeF"/>
          <w:bCs/>
          <w:color w:val="auto"/>
          <w:sz w:val="2"/>
          <w:szCs w:val="2"/>
        </w:rPr>
        <w:t>931B</w:t>
      </w:r>
      <w:r w:rsidR="0049638A">
        <w:rPr>
          <w:rFonts w:ascii="ZWAdobeF" w:hAnsi="ZWAdobeF" w:cs="ZWAdobeF"/>
          <w:bCs/>
          <w:color w:val="auto"/>
          <w:sz w:val="2"/>
          <w:szCs w:val="2"/>
        </w:rPr>
        <w:t>931B</w:t>
      </w:r>
      <w:r w:rsidR="00D629FA">
        <w:rPr>
          <w:rFonts w:ascii="ZWAdobeF" w:hAnsi="ZWAdobeF" w:cs="ZWAdobeF"/>
          <w:bCs/>
          <w:color w:val="auto"/>
          <w:sz w:val="2"/>
          <w:szCs w:val="2"/>
        </w:rPr>
        <w:t>931B</w:t>
      </w:r>
      <w:r w:rsidR="002D788B" w:rsidRPr="00E479D9">
        <w:rPr>
          <w:b/>
          <w:bCs/>
        </w:rPr>
        <w:t>Law Commission</w:t>
      </w:r>
    </w:p>
    <w:p w14:paraId="754ED9AA" w14:textId="7E51B1C8" w:rsidR="002D788B" w:rsidRPr="00E479D9" w:rsidRDefault="00BD5C95" w:rsidP="00932E49">
      <w:pPr>
        <w:pStyle w:val="BodyTextIndent"/>
        <w:rPr>
          <w:b/>
          <w:bCs/>
        </w:rPr>
      </w:pPr>
      <w:r>
        <w:rPr>
          <w:rFonts w:ascii="ZWAdobeF" w:hAnsi="ZWAdobeF" w:cs="ZWAdobeF"/>
          <w:bCs/>
          <w:color w:val="auto"/>
          <w:sz w:val="2"/>
          <w:szCs w:val="2"/>
        </w:rPr>
        <w:t>932B</w:t>
      </w:r>
      <w:r w:rsidR="0049638A">
        <w:rPr>
          <w:rFonts w:ascii="ZWAdobeF" w:hAnsi="ZWAdobeF" w:cs="ZWAdobeF"/>
          <w:bCs/>
          <w:color w:val="auto"/>
          <w:sz w:val="2"/>
          <w:szCs w:val="2"/>
        </w:rPr>
        <w:t>932B</w:t>
      </w:r>
      <w:r w:rsidR="00D629FA">
        <w:rPr>
          <w:rFonts w:ascii="ZWAdobeF" w:hAnsi="ZWAdobeF" w:cs="ZWAdobeF"/>
          <w:bCs/>
          <w:color w:val="auto"/>
          <w:sz w:val="2"/>
          <w:szCs w:val="2"/>
        </w:rPr>
        <w:t>932B</w:t>
      </w:r>
      <w:r w:rsidR="002D788B" w:rsidRPr="00E479D9">
        <w:rPr>
          <w:b/>
          <w:bCs/>
        </w:rPr>
        <w:t>PO Box 2590</w:t>
      </w:r>
    </w:p>
    <w:p w14:paraId="6D01576D" w14:textId="51171A1D" w:rsidR="002D788B" w:rsidRPr="00E479D9" w:rsidRDefault="00BD5C95" w:rsidP="00932E49">
      <w:pPr>
        <w:pStyle w:val="BodyTextIndent"/>
        <w:rPr>
          <w:b/>
          <w:bCs/>
        </w:rPr>
      </w:pPr>
      <w:r>
        <w:rPr>
          <w:rFonts w:ascii="ZWAdobeF" w:hAnsi="ZWAdobeF" w:cs="ZWAdobeF"/>
          <w:bCs/>
          <w:color w:val="auto"/>
          <w:sz w:val="2"/>
          <w:szCs w:val="2"/>
        </w:rPr>
        <w:t>933B</w:t>
      </w:r>
      <w:r w:rsidR="0049638A">
        <w:rPr>
          <w:rFonts w:ascii="ZWAdobeF" w:hAnsi="ZWAdobeF" w:cs="ZWAdobeF"/>
          <w:bCs/>
          <w:color w:val="auto"/>
          <w:sz w:val="2"/>
          <w:szCs w:val="2"/>
        </w:rPr>
        <w:t>933B</w:t>
      </w:r>
      <w:r w:rsidR="00D629FA">
        <w:rPr>
          <w:rFonts w:ascii="ZWAdobeF" w:hAnsi="ZWAdobeF" w:cs="ZWAdobeF"/>
          <w:bCs/>
          <w:color w:val="auto"/>
          <w:sz w:val="2"/>
          <w:szCs w:val="2"/>
        </w:rPr>
        <w:t>933B</w:t>
      </w:r>
      <w:r w:rsidR="002D788B" w:rsidRPr="00E479D9">
        <w:rPr>
          <w:b/>
          <w:bCs/>
        </w:rPr>
        <w:t>Wellington 6140</w:t>
      </w:r>
    </w:p>
    <w:p w14:paraId="6783D66C" w14:textId="77777777" w:rsidR="002D788B" w:rsidRPr="00D37FCE" w:rsidRDefault="002D788B" w:rsidP="00932E49">
      <w:pPr>
        <w:pStyle w:val="BodyTextIndent"/>
        <w:rPr>
          <w:b/>
          <w:bCs/>
        </w:rPr>
      </w:pPr>
    </w:p>
    <w:p w14:paraId="47C5E7BE" w14:textId="77777777" w:rsidR="002D788B" w:rsidRPr="00D37FCE" w:rsidRDefault="002D788B" w:rsidP="002D788B">
      <w:pPr>
        <w:pStyle w:val="Heading2"/>
        <w:rPr>
          <w:rFonts w:eastAsia="Times New Roman Mäori"/>
        </w:rPr>
      </w:pPr>
      <w:bookmarkStart w:id="8" w:name="_Toc76130082"/>
      <w:bookmarkStart w:id="9" w:name="_Toc76377125"/>
      <w:bookmarkStart w:id="10" w:name="_Toc76453453"/>
      <w:bookmarkStart w:id="11" w:name="_Toc77346353"/>
      <w:bookmarkStart w:id="12" w:name="_Toc77696559"/>
      <w:bookmarkStart w:id="13" w:name="_Toc77852835"/>
      <w:bookmarkStart w:id="14" w:name="_Toc77857364"/>
      <w:bookmarkStart w:id="15" w:name="_Toc77858376"/>
      <w:bookmarkStart w:id="16" w:name="_Toc83634875"/>
      <w:bookmarkStart w:id="17" w:name="_Toc83895418"/>
      <w:r w:rsidRPr="00D37FCE">
        <w:rPr>
          <w:rFonts w:eastAsia="Times New Roman Mäori"/>
        </w:rPr>
        <w:t>What happens to your submission?</w:t>
      </w:r>
      <w:bookmarkEnd w:id="8"/>
      <w:bookmarkEnd w:id="9"/>
      <w:bookmarkEnd w:id="10"/>
      <w:bookmarkEnd w:id="11"/>
      <w:bookmarkEnd w:id="12"/>
      <w:bookmarkEnd w:id="13"/>
      <w:bookmarkEnd w:id="14"/>
      <w:bookmarkEnd w:id="15"/>
      <w:bookmarkEnd w:id="16"/>
      <w:bookmarkEnd w:id="17"/>
    </w:p>
    <w:p w14:paraId="0E583D31" w14:textId="5000FDD8" w:rsidR="002D788B" w:rsidRPr="00E479D9" w:rsidRDefault="00BD5C95" w:rsidP="00E479D9">
      <w:pPr>
        <w:pStyle w:val="BodyTextnonum"/>
        <w:rPr>
          <w:rFonts w:eastAsia="Angsana New"/>
          <w:sz w:val="19"/>
          <w:szCs w:val="19"/>
        </w:rPr>
      </w:pPr>
      <w:r>
        <w:rPr>
          <w:rFonts w:ascii="ZWAdobeF" w:hAnsi="ZWAdobeF" w:cs="ZWAdobeF"/>
          <w:color w:val="auto"/>
          <w:sz w:val="2"/>
          <w:szCs w:val="2"/>
        </w:rPr>
        <w:t>577B</w:t>
      </w:r>
      <w:r w:rsidR="0049638A">
        <w:rPr>
          <w:rFonts w:ascii="ZWAdobeF" w:hAnsi="ZWAdobeF" w:cs="ZWAdobeF"/>
          <w:color w:val="auto"/>
          <w:sz w:val="2"/>
          <w:szCs w:val="2"/>
        </w:rPr>
        <w:t>577B</w:t>
      </w:r>
      <w:r w:rsidR="00D629FA">
        <w:rPr>
          <w:rFonts w:ascii="ZWAdobeF" w:hAnsi="ZWAdobeF" w:cs="ZWAdobeF"/>
          <w:color w:val="auto"/>
          <w:sz w:val="2"/>
          <w:szCs w:val="2"/>
        </w:rPr>
        <w:t>577B</w:t>
      </w:r>
      <w:r w:rsidR="002D788B" w:rsidRPr="00E479D9">
        <w:t>Te Aka Matua o te Ture | Law Commission will use your submission to inform our review, and we may refer to your submission in our publications. We will also keep all submissions as part of our official records. Information supplied to the Commission is subject to the Official Information Act 1982.</w:t>
      </w:r>
    </w:p>
    <w:p w14:paraId="4E2AA035" w14:textId="6B69AC39" w:rsidR="006D4404" w:rsidRPr="00E01D20" w:rsidRDefault="00BD5C95" w:rsidP="00E479D9">
      <w:pPr>
        <w:pStyle w:val="BodyTextnonum"/>
      </w:pPr>
      <w:r>
        <w:rPr>
          <w:rFonts w:ascii="ZWAdobeF" w:hAnsi="ZWAdobeF" w:cs="ZWAdobeF"/>
          <w:color w:val="auto"/>
          <w:sz w:val="2"/>
          <w:szCs w:val="2"/>
        </w:rPr>
        <w:t>578B</w:t>
      </w:r>
      <w:r w:rsidR="0049638A">
        <w:rPr>
          <w:rFonts w:ascii="ZWAdobeF" w:hAnsi="ZWAdobeF" w:cs="ZWAdobeF"/>
          <w:color w:val="auto"/>
          <w:sz w:val="2"/>
          <w:szCs w:val="2"/>
        </w:rPr>
        <w:t>578B</w:t>
      </w:r>
      <w:r w:rsidR="00D629FA">
        <w:rPr>
          <w:rFonts w:ascii="ZWAdobeF" w:hAnsi="ZWAdobeF" w:cs="ZWAdobeF"/>
          <w:color w:val="auto"/>
          <w:sz w:val="2"/>
          <w:szCs w:val="2"/>
        </w:rPr>
        <w:t>578B</w:t>
      </w:r>
      <w:r w:rsidR="006D4404" w:rsidRPr="00E01D20">
        <w:t>We will publish the submissions we receive on our website once we have published our final report. Only your name or your organisation’s name is required on a submission. You may wish to keep your contact details separate, as if they are included on the submission they will become publicly available if the submission is published on our website.</w:t>
      </w:r>
    </w:p>
    <w:p w14:paraId="57328F60" w14:textId="6680848B" w:rsidR="002D788B" w:rsidRPr="00E479D9" w:rsidRDefault="00BD5C95" w:rsidP="00E479D9">
      <w:pPr>
        <w:pStyle w:val="BodyTextnonum"/>
      </w:pPr>
      <w:r>
        <w:rPr>
          <w:rFonts w:ascii="ZWAdobeF" w:hAnsi="ZWAdobeF" w:cs="ZWAdobeF"/>
          <w:color w:val="auto"/>
          <w:sz w:val="2"/>
          <w:szCs w:val="2"/>
        </w:rPr>
        <w:t>579B</w:t>
      </w:r>
      <w:r w:rsidR="0049638A">
        <w:rPr>
          <w:rFonts w:ascii="ZWAdobeF" w:hAnsi="ZWAdobeF" w:cs="ZWAdobeF"/>
          <w:color w:val="auto"/>
          <w:sz w:val="2"/>
          <w:szCs w:val="2"/>
        </w:rPr>
        <w:t>579B</w:t>
      </w:r>
      <w:r w:rsidR="00D629FA">
        <w:rPr>
          <w:rFonts w:ascii="ZWAdobeF" w:hAnsi="ZWAdobeF" w:cs="ZWAdobeF"/>
          <w:color w:val="auto"/>
          <w:sz w:val="2"/>
          <w:szCs w:val="2"/>
        </w:rPr>
        <w:t>579B</w:t>
      </w:r>
      <w:r w:rsidR="002D788B" w:rsidRPr="00E479D9">
        <w:t xml:space="preserve">If you do not want us to release identifying information or any other part of your submission or do not want your submission to be referred to in our publications, please explain in your submission which parts should be withheld and the reasons. We will take your views into account in deciding: </w:t>
      </w:r>
    </w:p>
    <w:p w14:paraId="49B34717" w14:textId="0EBF933F" w:rsidR="002D788B" w:rsidRPr="00E479D9" w:rsidRDefault="00BD5C95" w:rsidP="00E479D9">
      <w:pPr>
        <w:pStyle w:val="ListBullet"/>
        <w:ind w:left="425"/>
      </w:pPr>
      <w:r>
        <w:rPr>
          <w:rFonts w:ascii="ZWAdobeF" w:hAnsi="ZWAdobeF" w:cs="ZWAdobeF"/>
          <w:color w:val="auto"/>
          <w:sz w:val="2"/>
          <w:szCs w:val="2"/>
        </w:rPr>
        <w:t>944B</w:t>
      </w:r>
      <w:r w:rsidR="0049638A">
        <w:rPr>
          <w:rFonts w:ascii="ZWAdobeF" w:hAnsi="ZWAdobeF" w:cs="ZWAdobeF"/>
          <w:color w:val="auto"/>
          <w:sz w:val="2"/>
          <w:szCs w:val="2"/>
        </w:rPr>
        <w:t>944B</w:t>
      </w:r>
      <w:r w:rsidR="00D629FA">
        <w:rPr>
          <w:rFonts w:ascii="ZWAdobeF" w:hAnsi="ZWAdobeF" w:cs="ZWAdobeF"/>
          <w:color w:val="auto"/>
          <w:sz w:val="2"/>
          <w:szCs w:val="2"/>
        </w:rPr>
        <w:t>944B</w:t>
      </w:r>
      <w:r w:rsidR="002D788B" w:rsidRPr="00E479D9">
        <w:t xml:space="preserve">whether to withhold or release any information requested under the Official Information Act; </w:t>
      </w:r>
    </w:p>
    <w:p w14:paraId="7DBB28CD" w14:textId="55934B60" w:rsidR="002D788B" w:rsidRPr="00E479D9" w:rsidRDefault="00BD5C95" w:rsidP="00E479D9">
      <w:pPr>
        <w:pStyle w:val="ListBullet"/>
        <w:ind w:left="425"/>
      </w:pPr>
      <w:r>
        <w:rPr>
          <w:rFonts w:ascii="ZWAdobeF" w:hAnsi="ZWAdobeF" w:cs="ZWAdobeF"/>
          <w:color w:val="auto"/>
          <w:sz w:val="2"/>
          <w:szCs w:val="2"/>
        </w:rPr>
        <w:t>945B</w:t>
      </w:r>
      <w:r w:rsidR="0049638A">
        <w:rPr>
          <w:rFonts w:ascii="ZWAdobeF" w:hAnsi="ZWAdobeF" w:cs="ZWAdobeF"/>
          <w:color w:val="auto"/>
          <w:sz w:val="2"/>
          <w:szCs w:val="2"/>
        </w:rPr>
        <w:t>945B</w:t>
      </w:r>
      <w:r w:rsidR="00D629FA">
        <w:rPr>
          <w:rFonts w:ascii="ZWAdobeF" w:hAnsi="ZWAdobeF" w:cs="ZWAdobeF"/>
          <w:color w:val="auto"/>
          <w:sz w:val="2"/>
          <w:szCs w:val="2"/>
        </w:rPr>
        <w:t>945B</w:t>
      </w:r>
      <w:r w:rsidR="002D788B" w:rsidRPr="00E479D9">
        <w:t xml:space="preserve">if and how to make your submission publicly available on our website; and </w:t>
      </w:r>
    </w:p>
    <w:p w14:paraId="10192C73" w14:textId="616407FC" w:rsidR="002D788B" w:rsidRPr="00E479D9" w:rsidRDefault="00BD5C95" w:rsidP="00E479D9">
      <w:pPr>
        <w:pStyle w:val="ListBullet"/>
        <w:ind w:left="425"/>
      </w:pPr>
      <w:r>
        <w:rPr>
          <w:rFonts w:ascii="ZWAdobeF" w:hAnsi="ZWAdobeF" w:cs="ZWAdobeF"/>
          <w:color w:val="auto"/>
          <w:sz w:val="2"/>
          <w:szCs w:val="2"/>
        </w:rPr>
        <w:t>946B</w:t>
      </w:r>
      <w:r w:rsidR="0049638A">
        <w:rPr>
          <w:rFonts w:ascii="ZWAdobeF" w:hAnsi="ZWAdobeF" w:cs="ZWAdobeF"/>
          <w:color w:val="auto"/>
          <w:sz w:val="2"/>
          <w:szCs w:val="2"/>
        </w:rPr>
        <w:t>946B</w:t>
      </w:r>
      <w:r w:rsidR="00D629FA">
        <w:rPr>
          <w:rFonts w:ascii="ZWAdobeF" w:hAnsi="ZWAdobeF" w:cs="ZWAdobeF"/>
          <w:color w:val="auto"/>
          <w:sz w:val="2"/>
          <w:szCs w:val="2"/>
        </w:rPr>
        <w:t>946B</w:t>
      </w:r>
      <w:r w:rsidR="002D788B" w:rsidRPr="00E479D9">
        <w:t xml:space="preserve">if and how to refer to your submission in our publications. </w:t>
      </w:r>
    </w:p>
    <w:p w14:paraId="30CAE183" w14:textId="77777777" w:rsidR="002D788B" w:rsidRPr="00E479D9" w:rsidRDefault="002D788B" w:rsidP="00E479D9">
      <w:pPr>
        <w:pStyle w:val="BodyTextnonum"/>
        <w:rPr>
          <w:rFonts w:eastAsia="Angsana New"/>
          <w:sz w:val="19"/>
          <w:szCs w:val="19"/>
        </w:rPr>
      </w:pPr>
    </w:p>
    <w:p w14:paraId="723A3F18" w14:textId="4028341D" w:rsidR="002D788B" w:rsidRPr="00E479D9" w:rsidRDefault="00BD5C95" w:rsidP="00E479D9">
      <w:pPr>
        <w:pStyle w:val="BodyTextnonum"/>
        <w:rPr>
          <w:rFonts w:eastAsia="Angsana New"/>
          <w:sz w:val="19"/>
          <w:szCs w:val="19"/>
        </w:rPr>
      </w:pPr>
      <w:r>
        <w:rPr>
          <w:rFonts w:ascii="ZWAdobeF" w:hAnsi="ZWAdobeF" w:cs="ZWAdobeF"/>
          <w:color w:val="auto"/>
          <w:sz w:val="2"/>
          <w:szCs w:val="2"/>
        </w:rPr>
        <w:t>580B</w:t>
      </w:r>
      <w:r w:rsidR="0049638A">
        <w:rPr>
          <w:rFonts w:ascii="ZWAdobeF" w:hAnsi="ZWAdobeF" w:cs="ZWAdobeF"/>
          <w:color w:val="auto"/>
          <w:sz w:val="2"/>
          <w:szCs w:val="2"/>
        </w:rPr>
        <w:t>580B</w:t>
      </w:r>
      <w:r w:rsidR="00D629FA">
        <w:rPr>
          <w:rFonts w:ascii="ZWAdobeF" w:hAnsi="ZWAdobeF" w:cs="ZWAdobeF"/>
          <w:color w:val="auto"/>
          <w:sz w:val="2"/>
          <w:szCs w:val="2"/>
        </w:rPr>
        <w:t>580B</w:t>
      </w:r>
      <w:r w:rsidR="002D788B" w:rsidRPr="00E479D9">
        <w:t>The Commission complies with the Privacy Act 2020, which governs how it collects, holds, uses and discloses personal information you provide. You have the right to access and correct your personal information.</w:t>
      </w:r>
    </w:p>
    <w:p w14:paraId="3F937A20" w14:textId="77777777" w:rsidR="002D788B" w:rsidRDefault="002D788B" w:rsidP="002D788B">
      <w:pPr>
        <w:widowControl w:val="0"/>
        <w:spacing w:after="200" w:line="276" w:lineRule="auto"/>
        <w:rPr>
          <w:rFonts w:eastAsia="Times New Roman Mäori"/>
          <w:b/>
          <w:color w:val="72AB6A"/>
          <w:spacing w:val="-19"/>
          <w:sz w:val="66"/>
          <w:szCs w:val="66"/>
        </w:rPr>
        <w:sectPr w:rsidR="002D788B" w:rsidSect="002511E2">
          <w:headerReference w:type="even" r:id="rId25"/>
          <w:headerReference w:type="default" r:id="rId26"/>
          <w:footnotePr>
            <w:numRestart w:val="eachSect"/>
          </w:footnotePr>
          <w:type w:val="continuous"/>
          <w:pgSz w:w="11907" w:h="16840" w:code="9"/>
          <w:pgMar w:top="1134" w:right="1134" w:bottom="1134" w:left="1701" w:header="720" w:footer="720" w:gutter="0"/>
          <w:pgNumType w:fmt="lowerRoman"/>
          <w:cols w:space="720"/>
          <w:docGrid w:linePitch="272"/>
        </w:sectPr>
      </w:pPr>
    </w:p>
    <w:bookmarkStart w:id="18" w:name="_Toc531954812"/>
    <w:bookmarkStart w:id="19" w:name="_Toc57815049"/>
    <w:bookmarkStart w:id="20" w:name="_Toc66116298"/>
    <w:bookmarkStart w:id="21" w:name="_Toc67055486"/>
    <w:bookmarkStart w:id="22" w:name="_Toc68863166"/>
    <w:bookmarkStart w:id="23" w:name="_Toc69283942"/>
    <w:bookmarkStart w:id="24" w:name="_Toc83895419"/>
    <w:bookmarkEnd w:id="5"/>
    <w:bookmarkEnd w:id="6"/>
    <w:bookmarkEnd w:id="7"/>
    <w:p w14:paraId="119B243F" w14:textId="77777777" w:rsidR="00870E17" w:rsidRPr="00D37FCE" w:rsidRDefault="00241B1A" w:rsidP="00241B1A">
      <w:pPr>
        <w:pStyle w:val="Heading1nonum"/>
        <w:spacing w:before="600" w:after="240"/>
        <w:ind w:left="0"/>
        <w:rPr>
          <w:rFonts w:eastAsia="Consolas"/>
        </w:rPr>
      </w:pPr>
      <w:r w:rsidRPr="00D37FCE">
        <w:rPr>
          <w:rFonts w:asciiTheme="minorHAnsi" w:hAnsiTheme="minorHAnsi"/>
          <w:noProof/>
          <w:lang w:eastAsia="en-NZ"/>
        </w:rPr>
        <w:lastRenderedPageBreak/>
        <mc:AlternateContent>
          <mc:Choice Requires="wpg">
            <w:drawing>
              <wp:anchor distT="0" distB="0" distL="114300" distR="114300" simplePos="0" relativeHeight="251651083" behindDoc="1" locked="0" layoutInCell="1" allowOverlap="1" wp14:anchorId="4E7FABF7" wp14:editId="6D30983A">
                <wp:simplePos x="0" y="0"/>
                <wp:positionH relativeFrom="page">
                  <wp:posOffset>1108710</wp:posOffset>
                </wp:positionH>
                <wp:positionV relativeFrom="paragraph">
                  <wp:posOffset>951865</wp:posOffset>
                </wp:positionV>
                <wp:extent cx="1332230" cy="1270"/>
                <wp:effectExtent l="0" t="19050" r="20320" b="177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390C8" id="Group 27" o:spid="_x0000_s1026" style="position:absolute;margin-left:87.3pt;margin-top:74.95pt;width:104.9pt;height:.1pt;z-index:-25166539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r w:rsidR="00870E17" w:rsidRPr="00D37FCE">
        <w:rPr>
          <w:rFonts w:eastAsia="Consolas"/>
        </w:rPr>
        <w:t>Contents</w:t>
      </w:r>
      <w:bookmarkEnd w:id="18"/>
      <w:bookmarkEnd w:id="19"/>
      <w:bookmarkEnd w:id="20"/>
      <w:bookmarkEnd w:id="21"/>
      <w:bookmarkEnd w:id="22"/>
      <w:bookmarkEnd w:id="23"/>
      <w:bookmarkEnd w:id="24"/>
    </w:p>
    <w:p w14:paraId="07CA4D7F" w14:textId="77777777" w:rsidR="00241B1A" w:rsidRPr="00D37FCE" w:rsidRDefault="00241B1A">
      <w:pPr>
        <w:pStyle w:val="TOC1"/>
        <w:rPr>
          <w:b w:val="0"/>
          <w:color w:val="auto"/>
          <w:sz w:val="24"/>
          <w:lang w:eastAsia="en-NZ"/>
        </w:rPr>
      </w:pPr>
    </w:p>
    <w:p w14:paraId="2CE59976" w14:textId="29A57517" w:rsidR="00CD0FC1" w:rsidRDefault="00BD5C95">
      <w:pPr>
        <w:pStyle w:val="TOC1"/>
        <w:rPr>
          <w:rFonts w:asciiTheme="minorHAnsi" w:eastAsiaTheme="minorEastAsia" w:hAnsiTheme="minorHAnsi" w:cstheme="minorBidi"/>
          <w:b w:val="0"/>
          <w:noProof/>
          <w:color w:val="auto"/>
          <w:sz w:val="22"/>
          <w:szCs w:val="22"/>
          <w:lang w:eastAsia="en-NZ"/>
        </w:rPr>
      </w:pPr>
      <w:r>
        <w:rPr>
          <w:rFonts w:ascii="ZWAdobeF" w:hAnsi="ZWAdobeF" w:cs="ZWAdobeF"/>
          <w:b w:val="0"/>
          <w:color w:val="auto"/>
          <w:sz w:val="2"/>
          <w:szCs w:val="2"/>
          <w:lang w:eastAsia="en-NZ"/>
        </w:rPr>
        <w:t>1476B</w:t>
      </w:r>
      <w:r w:rsidR="0049638A">
        <w:rPr>
          <w:rFonts w:ascii="ZWAdobeF" w:hAnsi="ZWAdobeF" w:cs="ZWAdobeF"/>
          <w:b w:val="0"/>
          <w:color w:val="auto"/>
          <w:sz w:val="2"/>
          <w:szCs w:val="2"/>
          <w:lang w:eastAsia="en-NZ"/>
        </w:rPr>
        <w:t>1476B</w:t>
      </w:r>
      <w:r w:rsidR="00D629FA">
        <w:rPr>
          <w:rFonts w:ascii="ZWAdobeF" w:hAnsi="ZWAdobeF" w:cs="ZWAdobeF"/>
          <w:b w:val="0"/>
          <w:color w:val="auto"/>
          <w:sz w:val="2"/>
          <w:szCs w:val="2"/>
          <w:lang w:eastAsia="en-NZ"/>
        </w:rPr>
        <w:t>1476B</w:t>
      </w:r>
      <w:r w:rsidR="00B06235">
        <w:rPr>
          <w:b w:val="0"/>
          <w:color w:val="auto"/>
          <w:sz w:val="24"/>
          <w:lang w:eastAsia="en-NZ"/>
        </w:rPr>
        <w:fldChar w:fldCharType="begin"/>
      </w:r>
      <w:r w:rsidR="00B06235">
        <w:rPr>
          <w:b w:val="0"/>
          <w:color w:val="auto"/>
          <w:sz w:val="24"/>
          <w:lang w:eastAsia="en-NZ"/>
        </w:rPr>
        <w:instrText xml:space="preserve"> TOC \o "1-2" \h \z \u </w:instrText>
      </w:r>
      <w:r w:rsidR="00B06235">
        <w:rPr>
          <w:b w:val="0"/>
          <w:color w:val="auto"/>
          <w:sz w:val="24"/>
          <w:lang w:eastAsia="en-NZ"/>
        </w:rPr>
        <w:fldChar w:fldCharType="separate"/>
      </w:r>
      <w:hyperlink w:anchor="_Toc83895417" w:history="1">
        <w:r w:rsidR="00CD0FC1" w:rsidRPr="001B4BB2">
          <w:rPr>
            <w:rStyle w:val="Hyperlink"/>
            <w:rFonts w:eastAsia="Times New Roman Mäori"/>
            <w:noProof/>
          </w:rPr>
          <w:t>Have your say</w:t>
        </w:r>
        <w:r w:rsidR="00CD0FC1">
          <w:rPr>
            <w:noProof/>
            <w:webHidden/>
          </w:rPr>
          <w:tab/>
        </w:r>
        <w:r w:rsidR="00CD0FC1">
          <w:rPr>
            <w:noProof/>
            <w:webHidden/>
          </w:rPr>
          <w:fldChar w:fldCharType="begin"/>
        </w:r>
        <w:r w:rsidR="00CD0FC1">
          <w:rPr>
            <w:noProof/>
            <w:webHidden/>
          </w:rPr>
          <w:instrText xml:space="preserve"> PAGEREF _Toc83895417 \h </w:instrText>
        </w:r>
        <w:r w:rsidR="00CD0FC1">
          <w:rPr>
            <w:noProof/>
            <w:webHidden/>
          </w:rPr>
        </w:r>
        <w:r w:rsidR="00CD0FC1">
          <w:rPr>
            <w:noProof/>
            <w:webHidden/>
          </w:rPr>
          <w:fldChar w:fldCharType="separate"/>
        </w:r>
        <w:r w:rsidR="00317AE4">
          <w:rPr>
            <w:noProof/>
            <w:webHidden/>
          </w:rPr>
          <w:t>iv</w:t>
        </w:r>
        <w:r w:rsidR="00CD0FC1">
          <w:rPr>
            <w:noProof/>
            <w:webHidden/>
          </w:rPr>
          <w:fldChar w:fldCharType="end"/>
        </w:r>
      </w:hyperlink>
    </w:p>
    <w:p w14:paraId="3BFE5BE4" w14:textId="1ED6AB0F" w:rsidR="00CD0FC1" w:rsidRDefault="00D629FA">
      <w:pPr>
        <w:pStyle w:val="TOC1"/>
        <w:rPr>
          <w:rFonts w:asciiTheme="minorHAnsi" w:eastAsiaTheme="minorEastAsia" w:hAnsiTheme="minorHAnsi" w:cstheme="minorBidi"/>
          <w:b w:val="0"/>
          <w:noProof/>
          <w:color w:val="auto"/>
          <w:sz w:val="22"/>
          <w:szCs w:val="22"/>
          <w:lang w:eastAsia="en-NZ"/>
        </w:rPr>
      </w:pPr>
      <w:r>
        <w:rPr>
          <w:rFonts w:ascii="ZWAdobeF" w:hAnsi="ZWAdobeF" w:cs="ZWAdobeF"/>
          <w:b w:val="0"/>
          <w:noProof/>
          <w:color w:val="auto"/>
          <w:sz w:val="2"/>
          <w:szCs w:val="2"/>
        </w:rPr>
        <w:t>1477B</w:t>
      </w:r>
      <w:hyperlink w:anchor="_Toc83895420" w:history="1">
        <w:r w:rsidR="00CD0FC1" w:rsidRPr="001B4BB2">
          <w:rPr>
            <w:rStyle w:val="Hyperlink"/>
            <w:rFonts w:eastAsia="Metropolis Black"/>
            <w:noProof/>
          </w:rPr>
          <w:t>List of questions</w:t>
        </w:r>
        <w:r w:rsidR="00CD0FC1">
          <w:rPr>
            <w:noProof/>
            <w:webHidden/>
          </w:rPr>
          <w:tab/>
        </w:r>
        <w:r w:rsidR="00CD0FC1">
          <w:rPr>
            <w:noProof/>
            <w:webHidden/>
          </w:rPr>
          <w:fldChar w:fldCharType="begin"/>
        </w:r>
        <w:r w:rsidR="00CD0FC1">
          <w:rPr>
            <w:noProof/>
            <w:webHidden/>
          </w:rPr>
          <w:instrText xml:space="preserve"> PAGEREF _Toc83895420 \h </w:instrText>
        </w:r>
        <w:r w:rsidR="00CD0FC1">
          <w:rPr>
            <w:noProof/>
            <w:webHidden/>
          </w:rPr>
        </w:r>
        <w:r w:rsidR="00CD0FC1">
          <w:rPr>
            <w:noProof/>
            <w:webHidden/>
          </w:rPr>
          <w:fldChar w:fldCharType="separate"/>
        </w:r>
        <w:r w:rsidR="00317AE4">
          <w:rPr>
            <w:noProof/>
            <w:webHidden/>
          </w:rPr>
          <w:t>3</w:t>
        </w:r>
        <w:r w:rsidR="00CD0FC1">
          <w:rPr>
            <w:noProof/>
            <w:webHidden/>
          </w:rPr>
          <w:fldChar w:fldCharType="end"/>
        </w:r>
      </w:hyperlink>
    </w:p>
    <w:p w14:paraId="4375FEB9" w14:textId="71102EDA" w:rsidR="00CD0FC1" w:rsidRDefault="00D629FA">
      <w:pPr>
        <w:pStyle w:val="TOC1"/>
        <w:rPr>
          <w:rFonts w:asciiTheme="minorHAnsi" w:eastAsiaTheme="minorEastAsia" w:hAnsiTheme="minorHAnsi" w:cstheme="minorBidi"/>
          <w:b w:val="0"/>
          <w:noProof/>
          <w:color w:val="auto"/>
          <w:sz w:val="22"/>
          <w:szCs w:val="22"/>
          <w:lang w:eastAsia="en-NZ"/>
        </w:rPr>
      </w:pPr>
      <w:r>
        <w:rPr>
          <w:rFonts w:ascii="ZWAdobeF" w:hAnsi="ZWAdobeF" w:cs="ZWAdobeF"/>
          <w:b w:val="0"/>
          <w:noProof/>
          <w:color w:val="auto"/>
          <w:sz w:val="2"/>
          <w:szCs w:val="2"/>
        </w:rPr>
        <w:t>1478B</w:t>
      </w:r>
      <w:hyperlink w:anchor="_Toc83895427" w:history="1">
        <w:r w:rsidR="00CD0FC1" w:rsidRPr="001B4BB2">
          <w:rPr>
            <w:rStyle w:val="Hyperlink"/>
            <w:rFonts w:eastAsia="Metropolis Black"/>
            <w:noProof/>
          </w:rPr>
          <w:t>Introduction</w:t>
        </w:r>
        <w:r w:rsidR="00CD0FC1">
          <w:rPr>
            <w:noProof/>
            <w:webHidden/>
          </w:rPr>
          <w:tab/>
        </w:r>
        <w:r w:rsidR="00CD0FC1">
          <w:rPr>
            <w:noProof/>
            <w:webHidden/>
          </w:rPr>
          <w:fldChar w:fldCharType="begin"/>
        </w:r>
        <w:r w:rsidR="00CD0FC1">
          <w:rPr>
            <w:noProof/>
            <w:webHidden/>
          </w:rPr>
          <w:instrText xml:space="preserve"> PAGEREF _Toc83895427 \h </w:instrText>
        </w:r>
        <w:r w:rsidR="00CD0FC1">
          <w:rPr>
            <w:noProof/>
            <w:webHidden/>
          </w:rPr>
        </w:r>
        <w:r w:rsidR="00CD0FC1">
          <w:rPr>
            <w:noProof/>
            <w:webHidden/>
          </w:rPr>
          <w:fldChar w:fldCharType="separate"/>
        </w:r>
        <w:r w:rsidR="00317AE4">
          <w:rPr>
            <w:noProof/>
            <w:webHidden/>
          </w:rPr>
          <w:t>10</w:t>
        </w:r>
        <w:r w:rsidR="00CD0FC1">
          <w:rPr>
            <w:noProof/>
            <w:webHidden/>
          </w:rPr>
          <w:fldChar w:fldCharType="end"/>
        </w:r>
      </w:hyperlink>
    </w:p>
    <w:p w14:paraId="7580DE9A" w14:textId="488EFC88" w:rsidR="00CD0FC1" w:rsidRDefault="00D629FA">
      <w:pPr>
        <w:pStyle w:val="TOC1"/>
        <w:rPr>
          <w:rFonts w:asciiTheme="minorHAnsi" w:eastAsiaTheme="minorEastAsia" w:hAnsiTheme="minorHAnsi" w:cstheme="minorBidi"/>
          <w:b w:val="0"/>
          <w:noProof/>
          <w:color w:val="auto"/>
          <w:sz w:val="22"/>
          <w:szCs w:val="22"/>
          <w:lang w:eastAsia="en-NZ"/>
        </w:rPr>
      </w:pPr>
      <w:r>
        <w:rPr>
          <w:rStyle w:val="Hyperlink"/>
          <w:rFonts w:ascii="ZWAdobeF" w:hAnsi="ZWAdobeF" w:cs="ZWAdobeF"/>
          <w:b w:val="0"/>
          <w:noProof/>
          <w:color w:val="auto"/>
          <w:sz w:val="2"/>
          <w:szCs w:val="2"/>
          <w:u w:val="none"/>
        </w:rPr>
        <w:t>1479B</w:t>
      </w:r>
      <w:r w:rsidR="00B73434" w:rsidRPr="00B73434">
        <w:rPr>
          <w:rStyle w:val="Hyperlink"/>
          <w:noProof/>
          <w:u w:val="none"/>
        </w:rPr>
        <w:t xml:space="preserve">Chapter </w:t>
      </w:r>
      <w:hyperlink w:anchor="_Toc83895432" w:history="1">
        <w:r w:rsidR="00CD0FC1" w:rsidRPr="001B4BB2">
          <w:rPr>
            <w:rStyle w:val="Hyperlink"/>
            <w:rFonts w:eastAsia="Metropolis Black"/>
            <w:noProof/>
          </w:rPr>
          <w:t>1</w:t>
        </w:r>
        <w:r w:rsidR="00B73434">
          <w:rPr>
            <w:rStyle w:val="Hyperlink"/>
            <w:rFonts w:eastAsia="Metropolis Black"/>
            <w:noProof/>
          </w:rPr>
          <w:t>:</w:t>
        </w:r>
        <w:r w:rsidR="00CD0FC1" w:rsidRPr="001B4BB2">
          <w:rPr>
            <w:rStyle w:val="Hyperlink"/>
            <w:rFonts w:eastAsia="Metropolis Black"/>
            <w:noProof/>
          </w:rPr>
          <w:t xml:space="preserve"> Commencement and certification of a class action</w:t>
        </w:r>
        <w:r w:rsidR="00CD0FC1">
          <w:rPr>
            <w:noProof/>
            <w:webHidden/>
          </w:rPr>
          <w:tab/>
        </w:r>
        <w:r w:rsidR="00CD0FC1">
          <w:rPr>
            <w:noProof/>
            <w:webHidden/>
          </w:rPr>
          <w:fldChar w:fldCharType="begin"/>
        </w:r>
        <w:r w:rsidR="00CD0FC1">
          <w:rPr>
            <w:noProof/>
            <w:webHidden/>
          </w:rPr>
          <w:instrText xml:space="preserve"> PAGEREF _Toc83895432 \h </w:instrText>
        </w:r>
        <w:r w:rsidR="00CD0FC1">
          <w:rPr>
            <w:noProof/>
            <w:webHidden/>
          </w:rPr>
        </w:r>
        <w:r w:rsidR="00CD0FC1">
          <w:rPr>
            <w:noProof/>
            <w:webHidden/>
          </w:rPr>
          <w:fldChar w:fldCharType="separate"/>
        </w:r>
        <w:r w:rsidR="00317AE4">
          <w:rPr>
            <w:noProof/>
            <w:webHidden/>
          </w:rPr>
          <w:t>22</w:t>
        </w:r>
        <w:r w:rsidR="00CD0FC1">
          <w:rPr>
            <w:noProof/>
            <w:webHidden/>
          </w:rPr>
          <w:fldChar w:fldCharType="end"/>
        </w:r>
      </w:hyperlink>
    </w:p>
    <w:p w14:paraId="6BE8AA30" w14:textId="6F6042E5"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1477B</w:t>
      </w:r>
      <w:r w:rsidR="0049638A">
        <w:rPr>
          <w:rFonts w:ascii="ZWAdobeF" w:hAnsi="ZWAdobeF" w:cs="ZWAdobeF"/>
          <w:noProof/>
          <w:color w:val="auto"/>
          <w:sz w:val="2"/>
          <w:szCs w:val="2"/>
        </w:rPr>
        <w:t>1477B</w:t>
      </w:r>
      <w:r w:rsidR="00D629FA">
        <w:rPr>
          <w:rFonts w:ascii="ZWAdobeF" w:hAnsi="ZWAdobeF" w:cs="ZWAdobeF"/>
          <w:noProof/>
          <w:color w:val="auto"/>
          <w:sz w:val="2"/>
          <w:szCs w:val="2"/>
        </w:rPr>
        <w:t>1487B</w:t>
      </w:r>
      <w:hyperlink w:anchor="_Toc83895433" w:history="1">
        <w:r w:rsidR="00CD0FC1" w:rsidRPr="001B4BB2">
          <w:rPr>
            <w:rStyle w:val="Hyperlink"/>
            <w:noProof/>
          </w:rPr>
          <w:t>Commencement</w:t>
        </w:r>
        <w:r w:rsidR="00CD0FC1">
          <w:rPr>
            <w:noProof/>
            <w:webHidden/>
          </w:rPr>
          <w:tab/>
        </w:r>
        <w:r w:rsidR="00CD0FC1">
          <w:rPr>
            <w:noProof/>
            <w:webHidden/>
          </w:rPr>
          <w:fldChar w:fldCharType="begin"/>
        </w:r>
        <w:r w:rsidR="00CD0FC1">
          <w:rPr>
            <w:noProof/>
            <w:webHidden/>
          </w:rPr>
          <w:instrText xml:space="preserve"> PAGEREF _Toc83895433 \h </w:instrText>
        </w:r>
        <w:r w:rsidR="00CD0FC1">
          <w:rPr>
            <w:noProof/>
            <w:webHidden/>
          </w:rPr>
        </w:r>
        <w:r w:rsidR="00CD0FC1">
          <w:rPr>
            <w:noProof/>
            <w:webHidden/>
          </w:rPr>
          <w:fldChar w:fldCharType="separate"/>
        </w:r>
        <w:r w:rsidR="00317AE4">
          <w:rPr>
            <w:noProof/>
            <w:webHidden/>
          </w:rPr>
          <w:t>22</w:t>
        </w:r>
        <w:r w:rsidR="00CD0FC1">
          <w:rPr>
            <w:noProof/>
            <w:webHidden/>
          </w:rPr>
          <w:fldChar w:fldCharType="end"/>
        </w:r>
      </w:hyperlink>
    </w:p>
    <w:p w14:paraId="57D5D12C" w14:textId="40F9A660"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1478B</w:t>
      </w:r>
      <w:r w:rsidR="0049638A">
        <w:rPr>
          <w:rFonts w:ascii="ZWAdobeF" w:hAnsi="ZWAdobeF" w:cs="ZWAdobeF"/>
          <w:noProof/>
          <w:color w:val="auto"/>
          <w:sz w:val="2"/>
          <w:szCs w:val="2"/>
        </w:rPr>
        <w:t>1478B</w:t>
      </w:r>
      <w:r w:rsidR="00D629FA">
        <w:rPr>
          <w:rFonts w:ascii="ZWAdobeF" w:hAnsi="ZWAdobeF" w:cs="ZWAdobeF"/>
          <w:noProof/>
          <w:color w:val="auto"/>
          <w:sz w:val="2"/>
          <w:szCs w:val="2"/>
        </w:rPr>
        <w:t>1488B</w:t>
      </w:r>
      <w:hyperlink w:anchor="_Toc83895434" w:history="1">
        <w:r w:rsidR="00CD0FC1" w:rsidRPr="001B4BB2">
          <w:rPr>
            <w:rStyle w:val="Hyperlink"/>
            <w:noProof/>
          </w:rPr>
          <w:t>Certification is desirable</w:t>
        </w:r>
        <w:r w:rsidR="00CD0FC1">
          <w:rPr>
            <w:noProof/>
            <w:webHidden/>
          </w:rPr>
          <w:tab/>
        </w:r>
        <w:r w:rsidR="00CD0FC1">
          <w:rPr>
            <w:noProof/>
            <w:webHidden/>
          </w:rPr>
          <w:fldChar w:fldCharType="begin"/>
        </w:r>
        <w:r w:rsidR="00CD0FC1">
          <w:rPr>
            <w:noProof/>
            <w:webHidden/>
          </w:rPr>
          <w:instrText xml:space="preserve"> PAGEREF _Toc83895434 \h </w:instrText>
        </w:r>
        <w:r w:rsidR="00CD0FC1">
          <w:rPr>
            <w:noProof/>
            <w:webHidden/>
          </w:rPr>
        </w:r>
        <w:r w:rsidR="00CD0FC1">
          <w:rPr>
            <w:noProof/>
            <w:webHidden/>
          </w:rPr>
          <w:fldChar w:fldCharType="separate"/>
        </w:r>
        <w:r w:rsidR="00317AE4">
          <w:rPr>
            <w:noProof/>
            <w:webHidden/>
          </w:rPr>
          <w:t>29</w:t>
        </w:r>
        <w:r w:rsidR="00CD0FC1">
          <w:rPr>
            <w:noProof/>
            <w:webHidden/>
          </w:rPr>
          <w:fldChar w:fldCharType="end"/>
        </w:r>
      </w:hyperlink>
    </w:p>
    <w:p w14:paraId="40C667D1" w14:textId="2B418EC5"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1479B</w:t>
      </w:r>
      <w:r w:rsidR="0049638A">
        <w:rPr>
          <w:rFonts w:ascii="ZWAdobeF" w:hAnsi="ZWAdobeF" w:cs="ZWAdobeF"/>
          <w:noProof/>
          <w:color w:val="auto"/>
          <w:sz w:val="2"/>
          <w:szCs w:val="2"/>
        </w:rPr>
        <w:t>1479B</w:t>
      </w:r>
      <w:r w:rsidR="00D629FA">
        <w:rPr>
          <w:rFonts w:ascii="ZWAdobeF" w:hAnsi="ZWAdobeF" w:cs="ZWAdobeF"/>
          <w:noProof/>
          <w:color w:val="auto"/>
          <w:sz w:val="2"/>
          <w:szCs w:val="2"/>
        </w:rPr>
        <w:t>1489B</w:t>
      </w:r>
      <w:hyperlink w:anchor="_Toc83895435" w:history="1">
        <w:r w:rsidR="00CD0FC1" w:rsidRPr="001B4BB2">
          <w:rPr>
            <w:rStyle w:val="Hyperlink"/>
            <w:noProof/>
          </w:rPr>
          <w:t>Certification test</w:t>
        </w:r>
        <w:r w:rsidR="00CD0FC1">
          <w:rPr>
            <w:noProof/>
            <w:webHidden/>
          </w:rPr>
          <w:tab/>
        </w:r>
        <w:r w:rsidR="00CD0FC1">
          <w:rPr>
            <w:noProof/>
            <w:webHidden/>
          </w:rPr>
          <w:fldChar w:fldCharType="begin"/>
        </w:r>
        <w:r w:rsidR="00CD0FC1">
          <w:rPr>
            <w:noProof/>
            <w:webHidden/>
          </w:rPr>
          <w:instrText xml:space="preserve"> PAGEREF _Toc83895435 \h </w:instrText>
        </w:r>
        <w:r w:rsidR="00CD0FC1">
          <w:rPr>
            <w:noProof/>
            <w:webHidden/>
          </w:rPr>
        </w:r>
        <w:r w:rsidR="00CD0FC1">
          <w:rPr>
            <w:noProof/>
            <w:webHidden/>
          </w:rPr>
          <w:fldChar w:fldCharType="separate"/>
        </w:r>
        <w:r w:rsidR="00317AE4">
          <w:rPr>
            <w:noProof/>
            <w:webHidden/>
          </w:rPr>
          <w:t>30</w:t>
        </w:r>
        <w:r w:rsidR="00CD0FC1">
          <w:rPr>
            <w:noProof/>
            <w:webHidden/>
          </w:rPr>
          <w:fldChar w:fldCharType="end"/>
        </w:r>
      </w:hyperlink>
    </w:p>
    <w:p w14:paraId="168986CF" w14:textId="0CE48244"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1480B</w:t>
      </w:r>
      <w:r w:rsidR="0049638A">
        <w:rPr>
          <w:rFonts w:ascii="ZWAdobeF" w:hAnsi="ZWAdobeF" w:cs="ZWAdobeF"/>
          <w:noProof/>
          <w:color w:val="auto"/>
          <w:sz w:val="2"/>
          <w:szCs w:val="2"/>
        </w:rPr>
        <w:t>1480B</w:t>
      </w:r>
      <w:r w:rsidR="00D629FA">
        <w:rPr>
          <w:rFonts w:ascii="ZWAdobeF" w:hAnsi="ZWAdobeF" w:cs="ZWAdobeF"/>
          <w:noProof/>
          <w:color w:val="auto"/>
          <w:sz w:val="2"/>
          <w:szCs w:val="2"/>
        </w:rPr>
        <w:t>1490B</w:t>
      </w:r>
      <w:hyperlink w:anchor="_Toc83895436" w:history="1">
        <w:r w:rsidR="00CD0FC1" w:rsidRPr="001B4BB2">
          <w:rPr>
            <w:rStyle w:val="Hyperlink"/>
            <w:noProof/>
          </w:rPr>
          <w:t>Additional certification matters</w:t>
        </w:r>
        <w:r w:rsidR="00CD0FC1">
          <w:rPr>
            <w:noProof/>
            <w:webHidden/>
          </w:rPr>
          <w:tab/>
        </w:r>
        <w:r w:rsidR="00CD0FC1">
          <w:rPr>
            <w:noProof/>
            <w:webHidden/>
          </w:rPr>
          <w:fldChar w:fldCharType="begin"/>
        </w:r>
        <w:r w:rsidR="00CD0FC1">
          <w:rPr>
            <w:noProof/>
            <w:webHidden/>
          </w:rPr>
          <w:instrText xml:space="preserve"> PAGEREF _Toc83895436 \h </w:instrText>
        </w:r>
        <w:r w:rsidR="00CD0FC1">
          <w:rPr>
            <w:noProof/>
            <w:webHidden/>
          </w:rPr>
        </w:r>
        <w:r w:rsidR="00CD0FC1">
          <w:rPr>
            <w:noProof/>
            <w:webHidden/>
          </w:rPr>
          <w:fldChar w:fldCharType="separate"/>
        </w:r>
        <w:r w:rsidR="00317AE4">
          <w:rPr>
            <w:noProof/>
            <w:webHidden/>
          </w:rPr>
          <w:t>48</w:t>
        </w:r>
        <w:r w:rsidR="00CD0FC1">
          <w:rPr>
            <w:noProof/>
            <w:webHidden/>
          </w:rPr>
          <w:fldChar w:fldCharType="end"/>
        </w:r>
      </w:hyperlink>
    </w:p>
    <w:p w14:paraId="35056A6C" w14:textId="29A93BFF"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1481B</w:t>
      </w:r>
      <w:r w:rsidR="0049638A">
        <w:rPr>
          <w:rFonts w:ascii="ZWAdobeF" w:hAnsi="ZWAdobeF" w:cs="ZWAdobeF"/>
          <w:noProof/>
          <w:color w:val="auto"/>
          <w:sz w:val="2"/>
          <w:szCs w:val="2"/>
        </w:rPr>
        <w:t>1481B</w:t>
      </w:r>
      <w:r w:rsidR="00D629FA">
        <w:rPr>
          <w:rFonts w:ascii="ZWAdobeF" w:hAnsi="ZWAdobeF" w:cs="ZWAdobeF"/>
          <w:noProof/>
          <w:color w:val="auto"/>
          <w:sz w:val="2"/>
          <w:szCs w:val="2"/>
        </w:rPr>
        <w:t>1491B</w:t>
      </w:r>
      <w:hyperlink w:anchor="_Toc83895437" w:history="1">
        <w:r w:rsidR="00CD0FC1" w:rsidRPr="001B4BB2">
          <w:rPr>
            <w:rStyle w:val="Hyperlink"/>
            <w:noProof/>
          </w:rPr>
          <w:t xml:space="preserve">Limitation </w:t>
        </w:r>
        <w:r w:rsidR="009E17B3">
          <w:rPr>
            <w:rStyle w:val="Hyperlink"/>
            <w:noProof/>
          </w:rPr>
          <w:t>p</w:t>
        </w:r>
        <w:r w:rsidR="00CD0FC1" w:rsidRPr="001B4BB2">
          <w:rPr>
            <w:rStyle w:val="Hyperlink"/>
            <w:noProof/>
          </w:rPr>
          <w:t>eriods</w:t>
        </w:r>
        <w:r w:rsidR="00CD0FC1">
          <w:rPr>
            <w:noProof/>
            <w:webHidden/>
          </w:rPr>
          <w:tab/>
        </w:r>
        <w:r w:rsidR="00CD0FC1">
          <w:rPr>
            <w:noProof/>
            <w:webHidden/>
          </w:rPr>
          <w:fldChar w:fldCharType="begin"/>
        </w:r>
        <w:r w:rsidR="00CD0FC1">
          <w:rPr>
            <w:noProof/>
            <w:webHidden/>
          </w:rPr>
          <w:instrText xml:space="preserve"> PAGEREF _Toc83895437 \h </w:instrText>
        </w:r>
        <w:r w:rsidR="00CD0FC1">
          <w:rPr>
            <w:noProof/>
            <w:webHidden/>
          </w:rPr>
        </w:r>
        <w:r w:rsidR="00CD0FC1">
          <w:rPr>
            <w:noProof/>
            <w:webHidden/>
          </w:rPr>
          <w:fldChar w:fldCharType="separate"/>
        </w:r>
        <w:r w:rsidR="00317AE4">
          <w:rPr>
            <w:noProof/>
            <w:webHidden/>
          </w:rPr>
          <w:t>50</w:t>
        </w:r>
        <w:r w:rsidR="00CD0FC1">
          <w:rPr>
            <w:noProof/>
            <w:webHidden/>
          </w:rPr>
          <w:fldChar w:fldCharType="end"/>
        </w:r>
      </w:hyperlink>
    </w:p>
    <w:p w14:paraId="2BD0860E" w14:textId="3A8EB31C" w:rsidR="00CD0FC1" w:rsidRPr="00B73434" w:rsidRDefault="00D629FA">
      <w:pPr>
        <w:pStyle w:val="TOC1"/>
        <w:rPr>
          <w:rFonts w:asciiTheme="minorHAnsi" w:eastAsiaTheme="minorEastAsia" w:hAnsiTheme="minorHAnsi" w:cstheme="minorBidi"/>
          <w:b w:val="0"/>
          <w:noProof/>
          <w:color w:val="auto"/>
          <w:sz w:val="22"/>
          <w:szCs w:val="22"/>
          <w:lang w:eastAsia="en-NZ"/>
        </w:rPr>
      </w:pPr>
      <w:r>
        <w:rPr>
          <w:rStyle w:val="Hyperlink"/>
          <w:rFonts w:ascii="ZWAdobeF" w:hAnsi="ZWAdobeF" w:cs="ZWAdobeF"/>
          <w:b w:val="0"/>
          <w:noProof/>
          <w:color w:val="auto"/>
          <w:sz w:val="2"/>
          <w:szCs w:val="2"/>
          <w:u w:val="none"/>
        </w:rPr>
        <w:t>1480B</w:t>
      </w:r>
      <w:r w:rsidR="00B73434" w:rsidRPr="00B73434">
        <w:rPr>
          <w:rStyle w:val="Hyperlink"/>
          <w:noProof/>
          <w:u w:val="none"/>
        </w:rPr>
        <w:t xml:space="preserve">Chapter </w:t>
      </w:r>
      <w:hyperlink w:anchor="_Toc83895438" w:history="1">
        <w:r w:rsidR="00CD0FC1" w:rsidRPr="00B73434">
          <w:rPr>
            <w:rStyle w:val="Hyperlink"/>
            <w:noProof/>
            <w:u w:val="none"/>
          </w:rPr>
          <w:t>2</w:t>
        </w:r>
        <w:r w:rsidR="00B73434" w:rsidRPr="00B73434">
          <w:rPr>
            <w:rStyle w:val="Hyperlink"/>
            <w:noProof/>
            <w:u w:val="none"/>
          </w:rPr>
          <w:t>:</w:t>
        </w:r>
        <w:r w:rsidR="00CD0FC1" w:rsidRPr="00B73434">
          <w:rPr>
            <w:rStyle w:val="Hyperlink"/>
            <w:noProof/>
            <w:u w:val="none"/>
          </w:rPr>
          <w:t xml:space="preserve"> </w:t>
        </w:r>
        <w:r w:rsidR="00CD0FC1" w:rsidRPr="00B73434">
          <w:rPr>
            <w:rStyle w:val="Hyperlink"/>
            <w:rFonts w:eastAsia="Metropolis Black"/>
            <w:noProof/>
            <w:u w:val="none"/>
          </w:rPr>
          <w:t>Competing class actions</w:t>
        </w:r>
        <w:r w:rsidR="00CD0FC1" w:rsidRPr="00B73434">
          <w:rPr>
            <w:noProof/>
            <w:webHidden/>
          </w:rPr>
          <w:tab/>
        </w:r>
        <w:r w:rsidR="00CD0FC1" w:rsidRPr="00B73434">
          <w:rPr>
            <w:noProof/>
            <w:webHidden/>
          </w:rPr>
          <w:fldChar w:fldCharType="begin"/>
        </w:r>
        <w:r w:rsidR="00CD0FC1" w:rsidRPr="00B73434">
          <w:rPr>
            <w:noProof/>
            <w:webHidden/>
          </w:rPr>
          <w:instrText xml:space="preserve"> PAGEREF _Toc83895438 \h </w:instrText>
        </w:r>
        <w:r w:rsidR="00CD0FC1" w:rsidRPr="00B73434">
          <w:rPr>
            <w:noProof/>
            <w:webHidden/>
          </w:rPr>
        </w:r>
        <w:r w:rsidR="00CD0FC1" w:rsidRPr="00B73434">
          <w:rPr>
            <w:noProof/>
            <w:webHidden/>
          </w:rPr>
          <w:fldChar w:fldCharType="separate"/>
        </w:r>
        <w:r w:rsidR="00317AE4">
          <w:rPr>
            <w:noProof/>
            <w:webHidden/>
          </w:rPr>
          <w:t>54</w:t>
        </w:r>
        <w:r w:rsidR="00CD0FC1" w:rsidRPr="00B73434">
          <w:rPr>
            <w:noProof/>
            <w:webHidden/>
          </w:rPr>
          <w:fldChar w:fldCharType="end"/>
        </w:r>
      </w:hyperlink>
    </w:p>
    <w:p w14:paraId="79B3923C" w14:textId="5586764F"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1482B</w:t>
      </w:r>
      <w:r w:rsidR="0049638A">
        <w:rPr>
          <w:rFonts w:ascii="ZWAdobeF" w:hAnsi="ZWAdobeF" w:cs="ZWAdobeF"/>
          <w:noProof/>
          <w:color w:val="auto"/>
          <w:sz w:val="2"/>
          <w:szCs w:val="2"/>
        </w:rPr>
        <w:t>1482B</w:t>
      </w:r>
      <w:r w:rsidR="00D629FA">
        <w:rPr>
          <w:rFonts w:ascii="ZWAdobeF" w:hAnsi="ZWAdobeF" w:cs="ZWAdobeF"/>
          <w:noProof/>
          <w:color w:val="auto"/>
          <w:sz w:val="2"/>
          <w:szCs w:val="2"/>
        </w:rPr>
        <w:t>1492B</w:t>
      </w:r>
      <w:hyperlink w:anchor="_Toc83895439" w:history="1">
        <w:r w:rsidR="00CD0FC1" w:rsidRPr="001B4BB2">
          <w:rPr>
            <w:rStyle w:val="Hyperlink"/>
            <w:noProof/>
          </w:rPr>
          <w:t>Approaches to managing competing class actions</w:t>
        </w:r>
        <w:r w:rsidR="00CD0FC1">
          <w:rPr>
            <w:noProof/>
            <w:webHidden/>
          </w:rPr>
          <w:tab/>
        </w:r>
        <w:r w:rsidR="00CD0FC1">
          <w:rPr>
            <w:noProof/>
            <w:webHidden/>
          </w:rPr>
          <w:fldChar w:fldCharType="begin"/>
        </w:r>
        <w:r w:rsidR="00CD0FC1">
          <w:rPr>
            <w:noProof/>
            <w:webHidden/>
          </w:rPr>
          <w:instrText xml:space="preserve"> PAGEREF _Toc83895439 \h </w:instrText>
        </w:r>
        <w:r w:rsidR="00CD0FC1">
          <w:rPr>
            <w:noProof/>
            <w:webHidden/>
          </w:rPr>
        </w:r>
        <w:r w:rsidR="00CD0FC1">
          <w:rPr>
            <w:noProof/>
            <w:webHidden/>
          </w:rPr>
          <w:fldChar w:fldCharType="separate"/>
        </w:r>
        <w:r w:rsidR="00317AE4">
          <w:rPr>
            <w:noProof/>
            <w:webHidden/>
          </w:rPr>
          <w:t>54</w:t>
        </w:r>
        <w:r w:rsidR="00CD0FC1">
          <w:rPr>
            <w:noProof/>
            <w:webHidden/>
          </w:rPr>
          <w:fldChar w:fldCharType="end"/>
        </w:r>
      </w:hyperlink>
    </w:p>
    <w:p w14:paraId="78FE0F1D" w14:textId="14CFDFF4"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1483B</w:t>
      </w:r>
      <w:r w:rsidR="0049638A">
        <w:rPr>
          <w:rFonts w:ascii="ZWAdobeF" w:hAnsi="ZWAdobeF" w:cs="ZWAdobeF"/>
          <w:noProof/>
          <w:color w:val="auto"/>
          <w:sz w:val="2"/>
          <w:szCs w:val="2"/>
        </w:rPr>
        <w:t>1483B</w:t>
      </w:r>
      <w:r w:rsidR="00D629FA">
        <w:rPr>
          <w:rFonts w:ascii="ZWAdobeF" w:hAnsi="ZWAdobeF" w:cs="ZWAdobeF"/>
          <w:noProof/>
          <w:color w:val="auto"/>
          <w:sz w:val="2"/>
          <w:szCs w:val="2"/>
        </w:rPr>
        <w:t>1493B</w:t>
      </w:r>
      <w:hyperlink w:anchor="_Toc83895440" w:history="1">
        <w:r w:rsidR="00CD0FC1" w:rsidRPr="001B4BB2">
          <w:rPr>
            <w:rStyle w:val="Hyperlink"/>
            <w:noProof/>
          </w:rPr>
          <w:t>Definition of competing class actions</w:t>
        </w:r>
        <w:r w:rsidR="00CD0FC1">
          <w:rPr>
            <w:noProof/>
            <w:webHidden/>
          </w:rPr>
          <w:tab/>
        </w:r>
        <w:r w:rsidR="00CD0FC1">
          <w:rPr>
            <w:noProof/>
            <w:webHidden/>
          </w:rPr>
          <w:fldChar w:fldCharType="begin"/>
        </w:r>
        <w:r w:rsidR="00CD0FC1">
          <w:rPr>
            <w:noProof/>
            <w:webHidden/>
          </w:rPr>
          <w:instrText xml:space="preserve"> PAGEREF _Toc83895440 \h </w:instrText>
        </w:r>
        <w:r w:rsidR="00CD0FC1">
          <w:rPr>
            <w:noProof/>
            <w:webHidden/>
          </w:rPr>
        </w:r>
        <w:r w:rsidR="00CD0FC1">
          <w:rPr>
            <w:noProof/>
            <w:webHidden/>
          </w:rPr>
          <w:fldChar w:fldCharType="separate"/>
        </w:r>
        <w:r w:rsidR="00317AE4">
          <w:rPr>
            <w:noProof/>
            <w:webHidden/>
          </w:rPr>
          <w:t>58</w:t>
        </w:r>
        <w:r w:rsidR="00CD0FC1">
          <w:rPr>
            <w:noProof/>
            <w:webHidden/>
          </w:rPr>
          <w:fldChar w:fldCharType="end"/>
        </w:r>
      </w:hyperlink>
    </w:p>
    <w:p w14:paraId="4596CD89" w14:textId="7AF3C68F"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1484B</w:t>
      </w:r>
      <w:r w:rsidR="0049638A">
        <w:rPr>
          <w:rFonts w:ascii="ZWAdobeF" w:hAnsi="ZWAdobeF" w:cs="ZWAdobeF"/>
          <w:noProof/>
          <w:color w:val="auto"/>
          <w:sz w:val="2"/>
          <w:szCs w:val="2"/>
        </w:rPr>
        <w:t>1484B</w:t>
      </w:r>
      <w:r w:rsidR="00D629FA">
        <w:rPr>
          <w:rFonts w:ascii="ZWAdobeF" w:hAnsi="ZWAdobeF" w:cs="ZWAdobeF"/>
          <w:noProof/>
          <w:color w:val="auto"/>
          <w:sz w:val="2"/>
          <w:szCs w:val="2"/>
        </w:rPr>
        <w:t>1494B</w:t>
      </w:r>
      <w:hyperlink w:anchor="_Toc83895441" w:history="1">
        <w:r w:rsidR="00CD0FC1" w:rsidRPr="001B4BB2">
          <w:rPr>
            <w:rStyle w:val="Hyperlink"/>
            <w:noProof/>
          </w:rPr>
          <w:t>Timing issues for competing class actions</w:t>
        </w:r>
        <w:r w:rsidR="00CD0FC1">
          <w:rPr>
            <w:noProof/>
            <w:webHidden/>
          </w:rPr>
          <w:tab/>
        </w:r>
        <w:r w:rsidR="00CD0FC1">
          <w:rPr>
            <w:noProof/>
            <w:webHidden/>
          </w:rPr>
          <w:fldChar w:fldCharType="begin"/>
        </w:r>
        <w:r w:rsidR="00CD0FC1">
          <w:rPr>
            <w:noProof/>
            <w:webHidden/>
          </w:rPr>
          <w:instrText xml:space="preserve"> PAGEREF _Toc83895441 \h </w:instrText>
        </w:r>
        <w:r w:rsidR="00CD0FC1">
          <w:rPr>
            <w:noProof/>
            <w:webHidden/>
          </w:rPr>
        </w:r>
        <w:r w:rsidR="00CD0FC1">
          <w:rPr>
            <w:noProof/>
            <w:webHidden/>
          </w:rPr>
          <w:fldChar w:fldCharType="separate"/>
        </w:r>
        <w:r w:rsidR="00317AE4">
          <w:rPr>
            <w:noProof/>
            <w:webHidden/>
          </w:rPr>
          <w:t>59</w:t>
        </w:r>
        <w:r w:rsidR="00CD0FC1">
          <w:rPr>
            <w:noProof/>
            <w:webHidden/>
          </w:rPr>
          <w:fldChar w:fldCharType="end"/>
        </w:r>
      </w:hyperlink>
    </w:p>
    <w:p w14:paraId="4557E04E" w14:textId="502C6DF3"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1485B</w:t>
      </w:r>
      <w:r w:rsidR="0049638A">
        <w:rPr>
          <w:rFonts w:ascii="ZWAdobeF" w:hAnsi="ZWAdobeF" w:cs="ZWAdobeF"/>
          <w:noProof/>
          <w:color w:val="auto"/>
          <w:sz w:val="2"/>
          <w:szCs w:val="2"/>
        </w:rPr>
        <w:t>1485B</w:t>
      </w:r>
      <w:r w:rsidR="00D629FA">
        <w:rPr>
          <w:rFonts w:ascii="ZWAdobeF" w:hAnsi="ZWAdobeF" w:cs="ZWAdobeF"/>
          <w:noProof/>
          <w:color w:val="auto"/>
          <w:sz w:val="2"/>
          <w:szCs w:val="2"/>
        </w:rPr>
        <w:t>1495B</w:t>
      </w:r>
      <w:hyperlink w:anchor="_Toc83895442" w:history="1">
        <w:r w:rsidR="00CD0FC1" w:rsidRPr="001B4BB2">
          <w:rPr>
            <w:rStyle w:val="Hyperlink"/>
            <w:noProof/>
          </w:rPr>
          <w:t>The Court’s powers to manage competing class actions</w:t>
        </w:r>
        <w:r w:rsidR="00CD0FC1">
          <w:rPr>
            <w:noProof/>
            <w:webHidden/>
          </w:rPr>
          <w:tab/>
        </w:r>
        <w:r w:rsidR="00CD0FC1">
          <w:rPr>
            <w:noProof/>
            <w:webHidden/>
          </w:rPr>
          <w:fldChar w:fldCharType="begin"/>
        </w:r>
        <w:r w:rsidR="00CD0FC1">
          <w:rPr>
            <w:noProof/>
            <w:webHidden/>
          </w:rPr>
          <w:instrText xml:space="preserve"> PAGEREF _Toc83895442 \h </w:instrText>
        </w:r>
        <w:r w:rsidR="00CD0FC1">
          <w:rPr>
            <w:noProof/>
            <w:webHidden/>
          </w:rPr>
        </w:r>
        <w:r w:rsidR="00CD0FC1">
          <w:rPr>
            <w:noProof/>
            <w:webHidden/>
          </w:rPr>
          <w:fldChar w:fldCharType="separate"/>
        </w:r>
        <w:r w:rsidR="00317AE4">
          <w:rPr>
            <w:noProof/>
            <w:webHidden/>
          </w:rPr>
          <w:t>62</w:t>
        </w:r>
        <w:r w:rsidR="00CD0FC1">
          <w:rPr>
            <w:noProof/>
            <w:webHidden/>
          </w:rPr>
          <w:fldChar w:fldCharType="end"/>
        </w:r>
      </w:hyperlink>
    </w:p>
    <w:p w14:paraId="5744DA84" w14:textId="60ED7C99"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1486B</w:t>
      </w:r>
      <w:r w:rsidR="0049638A">
        <w:rPr>
          <w:rFonts w:ascii="ZWAdobeF" w:hAnsi="ZWAdobeF" w:cs="ZWAdobeF"/>
          <w:noProof/>
          <w:color w:val="auto"/>
          <w:sz w:val="2"/>
          <w:szCs w:val="2"/>
        </w:rPr>
        <w:t>1486B</w:t>
      </w:r>
      <w:r w:rsidR="00D629FA">
        <w:rPr>
          <w:rFonts w:ascii="ZWAdobeF" w:hAnsi="ZWAdobeF" w:cs="ZWAdobeF"/>
          <w:noProof/>
          <w:color w:val="auto"/>
          <w:sz w:val="2"/>
          <w:szCs w:val="2"/>
        </w:rPr>
        <w:t>1496B</w:t>
      </w:r>
      <w:hyperlink w:anchor="_Toc83895443" w:history="1">
        <w:r w:rsidR="00CD0FC1" w:rsidRPr="001B4BB2">
          <w:rPr>
            <w:rStyle w:val="Hyperlink"/>
            <w:noProof/>
          </w:rPr>
          <w:t>Criteria to apply when determining how to manage competing class actions</w:t>
        </w:r>
        <w:r w:rsidR="00CD0FC1">
          <w:rPr>
            <w:noProof/>
            <w:webHidden/>
          </w:rPr>
          <w:tab/>
        </w:r>
        <w:r w:rsidR="00CD0FC1">
          <w:rPr>
            <w:noProof/>
            <w:webHidden/>
          </w:rPr>
          <w:fldChar w:fldCharType="begin"/>
        </w:r>
        <w:r w:rsidR="00CD0FC1">
          <w:rPr>
            <w:noProof/>
            <w:webHidden/>
          </w:rPr>
          <w:instrText xml:space="preserve"> PAGEREF _Toc83895443 \h </w:instrText>
        </w:r>
        <w:r w:rsidR="00CD0FC1">
          <w:rPr>
            <w:noProof/>
            <w:webHidden/>
          </w:rPr>
        </w:r>
        <w:r w:rsidR="00CD0FC1">
          <w:rPr>
            <w:noProof/>
            <w:webHidden/>
          </w:rPr>
          <w:fldChar w:fldCharType="separate"/>
        </w:r>
        <w:r w:rsidR="00317AE4">
          <w:rPr>
            <w:noProof/>
            <w:webHidden/>
          </w:rPr>
          <w:t>63</w:t>
        </w:r>
        <w:r w:rsidR="00CD0FC1">
          <w:rPr>
            <w:noProof/>
            <w:webHidden/>
          </w:rPr>
          <w:fldChar w:fldCharType="end"/>
        </w:r>
      </w:hyperlink>
    </w:p>
    <w:p w14:paraId="077FCD0D" w14:textId="3EFB2A9B"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1487B</w:t>
      </w:r>
      <w:r w:rsidR="0049638A">
        <w:rPr>
          <w:rFonts w:ascii="ZWAdobeF" w:hAnsi="ZWAdobeF" w:cs="ZWAdobeF"/>
          <w:noProof/>
          <w:color w:val="auto"/>
          <w:sz w:val="2"/>
          <w:szCs w:val="2"/>
        </w:rPr>
        <w:t>1487B</w:t>
      </w:r>
      <w:r w:rsidR="00D629FA">
        <w:rPr>
          <w:rFonts w:ascii="ZWAdobeF" w:hAnsi="ZWAdobeF" w:cs="ZWAdobeF"/>
          <w:noProof/>
          <w:color w:val="auto"/>
          <w:sz w:val="2"/>
          <w:szCs w:val="2"/>
        </w:rPr>
        <w:t>1497B</w:t>
      </w:r>
      <w:hyperlink w:anchor="_Toc83895444" w:history="1">
        <w:r w:rsidR="00CD0FC1" w:rsidRPr="001B4BB2">
          <w:rPr>
            <w:rStyle w:val="Hyperlink"/>
            <w:noProof/>
          </w:rPr>
          <w:t>Involvement of the defendant</w:t>
        </w:r>
        <w:r w:rsidR="00CD0FC1">
          <w:rPr>
            <w:noProof/>
            <w:webHidden/>
          </w:rPr>
          <w:tab/>
        </w:r>
        <w:r w:rsidR="00CD0FC1">
          <w:rPr>
            <w:noProof/>
            <w:webHidden/>
          </w:rPr>
          <w:fldChar w:fldCharType="begin"/>
        </w:r>
        <w:r w:rsidR="00CD0FC1">
          <w:rPr>
            <w:noProof/>
            <w:webHidden/>
          </w:rPr>
          <w:instrText xml:space="preserve"> PAGEREF _Toc83895444 \h </w:instrText>
        </w:r>
        <w:r w:rsidR="00CD0FC1">
          <w:rPr>
            <w:noProof/>
            <w:webHidden/>
          </w:rPr>
        </w:r>
        <w:r w:rsidR="00CD0FC1">
          <w:rPr>
            <w:noProof/>
            <w:webHidden/>
          </w:rPr>
          <w:fldChar w:fldCharType="separate"/>
        </w:r>
        <w:r w:rsidR="00317AE4">
          <w:rPr>
            <w:noProof/>
            <w:webHidden/>
          </w:rPr>
          <w:t>70</w:t>
        </w:r>
        <w:r w:rsidR="00CD0FC1">
          <w:rPr>
            <w:noProof/>
            <w:webHidden/>
          </w:rPr>
          <w:fldChar w:fldCharType="end"/>
        </w:r>
      </w:hyperlink>
    </w:p>
    <w:p w14:paraId="4CEA300F" w14:textId="09C33CD3" w:rsidR="00CD0FC1" w:rsidRPr="00B73434" w:rsidRDefault="00D629FA">
      <w:pPr>
        <w:pStyle w:val="TOC1"/>
        <w:rPr>
          <w:rFonts w:asciiTheme="minorHAnsi" w:eastAsiaTheme="minorEastAsia" w:hAnsiTheme="minorHAnsi" w:cstheme="minorBidi"/>
          <w:b w:val="0"/>
          <w:noProof/>
          <w:color w:val="auto"/>
          <w:sz w:val="22"/>
          <w:szCs w:val="22"/>
          <w:lang w:eastAsia="en-NZ"/>
        </w:rPr>
      </w:pPr>
      <w:r>
        <w:rPr>
          <w:rStyle w:val="Hyperlink"/>
          <w:rFonts w:ascii="ZWAdobeF" w:hAnsi="ZWAdobeF" w:cs="ZWAdobeF"/>
          <w:b w:val="0"/>
          <w:noProof/>
          <w:color w:val="auto"/>
          <w:sz w:val="2"/>
          <w:szCs w:val="2"/>
          <w:u w:val="none"/>
        </w:rPr>
        <w:t>1481B</w:t>
      </w:r>
      <w:r w:rsidR="00B73434" w:rsidRPr="00B73434">
        <w:rPr>
          <w:rStyle w:val="Hyperlink"/>
          <w:noProof/>
          <w:u w:val="none"/>
        </w:rPr>
        <w:t xml:space="preserve">Chapter </w:t>
      </w:r>
      <w:hyperlink w:anchor="_Toc83895445" w:history="1">
        <w:r w:rsidR="00CD0FC1" w:rsidRPr="00B73434">
          <w:rPr>
            <w:rStyle w:val="Hyperlink"/>
            <w:noProof/>
            <w:u w:val="none"/>
          </w:rPr>
          <w:t>3</w:t>
        </w:r>
        <w:r w:rsidR="00B73434" w:rsidRPr="00B73434">
          <w:rPr>
            <w:rStyle w:val="Hyperlink"/>
            <w:noProof/>
            <w:u w:val="none"/>
          </w:rPr>
          <w:t xml:space="preserve">: </w:t>
        </w:r>
        <w:r w:rsidR="00CD0FC1" w:rsidRPr="00B73434">
          <w:rPr>
            <w:rStyle w:val="Hyperlink"/>
            <w:rFonts w:eastAsia="Metropolis Black"/>
            <w:noProof/>
            <w:u w:val="none"/>
          </w:rPr>
          <w:t>Relationships with class members</w:t>
        </w:r>
        <w:r w:rsidR="00CD0FC1" w:rsidRPr="00B73434">
          <w:rPr>
            <w:noProof/>
            <w:webHidden/>
          </w:rPr>
          <w:tab/>
        </w:r>
        <w:r w:rsidR="00CD0FC1" w:rsidRPr="00B73434">
          <w:rPr>
            <w:noProof/>
            <w:webHidden/>
          </w:rPr>
          <w:fldChar w:fldCharType="begin"/>
        </w:r>
        <w:r w:rsidR="00CD0FC1" w:rsidRPr="00B73434">
          <w:rPr>
            <w:noProof/>
            <w:webHidden/>
          </w:rPr>
          <w:instrText xml:space="preserve"> PAGEREF _Toc83895445 \h </w:instrText>
        </w:r>
        <w:r w:rsidR="00CD0FC1" w:rsidRPr="00B73434">
          <w:rPr>
            <w:noProof/>
            <w:webHidden/>
          </w:rPr>
        </w:r>
        <w:r w:rsidR="00CD0FC1" w:rsidRPr="00B73434">
          <w:rPr>
            <w:noProof/>
            <w:webHidden/>
          </w:rPr>
          <w:fldChar w:fldCharType="separate"/>
        </w:r>
        <w:r w:rsidR="00317AE4">
          <w:rPr>
            <w:noProof/>
            <w:webHidden/>
          </w:rPr>
          <w:t>71</w:t>
        </w:r>
        <w:r w:rsidR="00CD0FC1" w:rsidRPr="00B73434">
          <w:rPr>
            <w:noProof/>
            <w:webHidden/>
          </w:rPr>
          <w:fldChar w:fldCharType="end"/>
        </w:r>
      </w:hyperlink>
    </w:p>
    <w:p w14:paraId="4F427C1A" w14:textId="209FE1A5"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1488B</w:t>
      </w:r>
      <w:r w:rsidR="0049638A">
        <w:rPr>
          <w:rFonts w:ascii="ZWAdobeF" w:hAnsi="ZWAdobeF" w:cs="ZWAdobeF"/>
          <w:noProof/>
          <w:color w:val="auto"/>
          <w:sz w:val="2"/>
          <w:szCs w:val="2"/>
        </w:rPr>
        <w:t>1488B</w:t>
      </w:r>
      <w:r w:rsidR="00D629FA">
        <w:rPr>
          <w:rFonts w:ascii="ZWAdobeF" w:hAnsi="ZWAdobeF" w:cs="ZWAdobeF"/>
          <w:noProof/>
          <w:color w:val="auto"/>
          <w:sz w:val="2"/>
          <w:szCs w:val="2"/>
        </w:rPr>
        <w:t>1498B</w:t>
      </w:r>
      <w:hyperlink w:anchor="_Toc83895446" w:history="1">
        <w:r w:rsidR="00CD0FC1" w:rsidRPr="001B4BB2">
          <w:rPr>
            <w:rStyle w:val="Hyperlink"/>
            <w:noProof/>
          </w:rPr>
          <w:t>The representative plaintiff and class members</w:t>
        </w:r>
        <w:r w:rsidR="00CD0FC1">
          <w:rPr>
            <w:noProof/>
            <w:webHidden/>
          </w:rPr>
          <w:tab/>
        </w:r>
        <w:r w:rsidR="00CD0FC1">
          <w:rPr>
            <w:noProof/>
            <w:webHidden/>
          </w:rPr>
          <w:fldChar w:fldCharType="begin"/>
        </w:r>
        <w:r w:rsidR="00CD0FC1">
          <w:rPr>
            <w:noProof/>
            <w:webHidden/>
          </w:rPr>
          <w:instrText xml:space="preserve"> PAGEREF _Toc83895446 \h </w:instrText>
        </w:r>
        <w:r w:rsidR="00CD0FC1">
          <w:rPr>
            <w:noProof/>
            <w:webHidden/>
          </w:rPr>
        </w:r>
        <w:r w:rsidR="00CD0FC1">
          <w:rPr>
            <w:noProof/>
            <w:webHidden/>
          </w:rPr>
          <w:fldChar w:fldCharType="separate"/>
        </w:r>
        <w:r w:rsidR="00317AE4">
          <w:rPr>
            <w:noProof/>
            <w:webHidden/>
          </w:rPr>
          <w:t>71</w:t>
        </w:r>
        <w:r w:rsidR="00CD0FC1">
          <w:rPr>
            <w:noProof/>
            <w:webHidden/>
          </w:rPr>
          <w:fldChar w:fldCharType="end"/>
        </w:r>
      </w:hyperlink>
    </w:p>
    <w:p w14:paraId="449FC451" w14:textId="0D6B06D2"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1489B</w:t>
      </w:r>
      <w:r w:rsidR="0049638A">
        <w:rPr>
          <w:rFonts w:ascii="ZWAdobeF" w:hAnsi="ZWAdobeF" w:cs="ZWAdobeF"/>
          <w:noProof/>
          <w:color w:val="auto"/>
          <w:sz w:val="2"/>
          <w:szCs w:val="2"/>
        </w:rPr>
        <w:t>1489B</w:t>
      </w:r>
      <w:r w:rsidR="00D629FA">
        <w:rPr>
          <w:rFonts w:ascii="ZWAdobeF" w:hAnsi="ZWAdobeF" w:cs="ZWAdobeF"/>
          <w:noProof/>
          <w:color w:val="auto"/>
          <w:sz w:val="2"/>
          <w:szCs w:val="2"/>
        </w:rPr>
        <w:t>1499B</w:t>
      </w:r>
      <w:hyperlink w:anchor="_Toc83895447" w:history="1">
        <w:r w:rsidR="00CD0FC1" w:rsidRPr="001B4BB2">
          <w:rPr>
            <w:rStyle w:val="Hyperlink"/>
            <w:noProof/>
          </w:rPr>
          <w:t>The representative plaintiff’s lawyer and class members</w:t>
        </w:r>
        <w:r w:rsidR="00CD0FC1">
          <w:rPr>
            <w:noProof/>
            <w:webHidden/>
          </w:rPr>
          <w:tab/>
        </w:r>
        <w:r w:rsidR="00CD0FC1">
          <w:rPr>
            <w:noProof/>
            <w:webHidden/>
          </w:rPr>
          <w:fldChar w:fldCharType="begin"/>
        </w:r>
        <w:r w:rsidR="00CD0FC1">
          <w:rPr>
            <w:noProof/>
            <w:webHidden/>
          </w:rPr>
          <w:instrText xml:space="preserve"> PAGEREF _Toc83895447 \h </w:instrText>
        </w:r>
        <w:r w:rsidR="00CD0FC1">
          <w:rPr>
            <w:noProof/>
            <w:webHidden/>
          </w:rPr>
        </w:r>
        <w:r w:rsidR="00CD0FC1">
          <w:rPr>
            <w:noProof/>
            <w:webHidden/>
          </w:rPr>
          <w:fldChar w:fldCharType="separate"/>
        </w:r>
        <w:r w:rsidR="00317AE4">
          <w:rPr>
            <w:noProof/>
            <w:webHidden/>
          </w:rPr>
          <w:t>76</w:t>
        </w:r>
        <w:r w:rsidR="00CD0FC1">
          <w:rPr>
            <w:noProof/>
            <w:webHidden/>
          </w:rPr>
          <w:fldChar w:fldCharType="end"/>
        </w:r>
      </w:hyperlink>
    </w:p>
    <w:p w14:paraId="403B2D38" w14:textId="0EB749C2"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1490B</w:t>
      </w:r>
      <w:r w:rsidR="0049638A">
        <w:rPr>
          <w:rFonts w:ascii="ZWAdobeF" w:hAnsi="ZWAdobeF" w:cs="ZWAdobeF"/>
          <w:noProof/>
          <w:color w:val="auto"/>
          <w:sz w:val="2"/>
          <w:szCs w:val="2"/>
        </w:rPr>
        <w:t>1490B</w:t>
      </w:r>
      <w:r w:rsidR="00D629FA">
        <w:rPr>
          <w:rFonts w:ascii="ZWAdobeF" w:hAnsi="ZWAdobeF" w:cs="ZWAdobeF"/>
          <w:noProof/>
          <w:color w:val="auto"/>
          <w:sz w:val="2"/>
          <w:szCs w:val="2"/>
        </w:rPr>
        <w:t>1500B</w:t>
      </w:r>
      <w:hyperlink w:anchor="_Toc83895448" w:history="1">
        <w:r w:rsidR="00CD0FC1" w:rsidRPr="001B4BB2">
          <w:rPr>
            <w:rStyle w:val="Hyperlink"/>
            <w:noProof/>
          </w:rPr>
          <w:t>The defendant and class members</w:t>
        </w:r>
        <w:r w:rsidR="00CD0FC1">
          <w:rPr>
            <w:noProof/>
            <w:webHidden/>
          </w:rPr>
          <w:tab/>
        </w:r>
        <w:r w:rsidR="00CD0FC1">
          <w:rPr>
            <w:noProof/>
            <w:webHidden/>
          </w:rPr>
          <w:fldChar w:fldCharType="begin"/>
        </w:r>
        <w:r w:rsidR="00CD0FC1">
          <w:rPr>
            <w:noProof/>
            <w:webHidden/>
          </w:rPr>
          <w:instrText xml:space="preserve"> PAGEREF _Toc83895448 \h </w:instrText>
        </w:r>
        <w:r w:rsidR="00CD0FC1">
          <w:rPr>
            <w:noProof/>
            <w:webHidden/>
          </w:rPr>
        </w:r>
        <w:r w:rsidR="00CD0FC1">
          <w:rPr>
            <w:noProof/>
            <w:webHidden/>
          </w:rPr>
          <w:fldChar w:fldCharType="separate"/>
        </w:r>
        <w:r w:rsidR="00317AE4">
          <w:rPr>
            <w:noProof/>
            <w:webHidden/>
          </w:rPr>
          <w:t>83</w:t>
        </w:r>
        <w:r w:rsidR="00CD0FC1">
          <w:rPr>
            <w:noProof/>
            <w:webHidden/>
          </w:rPr>
          <w:fldChar w:fldCharType="end"/>
        </w:r>
      </w:hyperlink>
    </w:p>
    <w:p w14:paraId="3942965C" w14:textId="039FB659" w:rsidR="00CD0FC1" w:rsidRDefault="00D629FA">
      <w:pPr>
        <w:pStyle w:val="TOC1"/>
        <w:rPr>
          <w:rFonts w:asciiTheme="minorHAnsi" w:eastAsiaTheme="minorEastAsia" w:hAnsiTheme="minorHAnsi" w:cstheme="minorBidi"/>
          <w:b w:val="0"/>
          <w:noProof/>
          <w:color w:val="auto"/>
          <w:sz w:val="22"/>
          <w:szCs w:val="22"/>
          <w:lang w:eastAsia="en-NZ"/>
        </w:rPr>
      </w:pPr>
      <w:r>
        <w:rPr>
          <w:rStyle w:val="Hyperlink"/>
          <w:rFonts w:ascii="ZWAdobeF" w:hAnsi="ZWAdobeF" w:cs="ZWAdobeF"/>
          <w:b w:val="0"/>
          <w:noProof/>
          <w:color w:val="auto"/>
          <w:sz w:val="2"/>
          <w:szCs w:val="2"/>
          <w:u w:val="none"/>
        </w:rPr>
        <w:t>1482B</w:t>
      </w:r>
      <w:r w:rsidR="00B73434" w:rsidRPr="00B73434">
        <w:rPr>
          <w:rStyle w:val="Hyperlink"/>
          <w:noProof/>
          <w:u w:val="none"/>
        </w:rPr>
        <w:t xml:space="preserve">Chapter </w:t>
      </w:r>
      <w:hyperlink w:anchor="_Toc83895449" w:history="1">
        <w:r w:rsidR="00CD0FC1" w:rsidRPr="001B4BB2">
          <w:rPr>
            <w:rStyle w:val="Hyperlink"/>
            <w:noProof/>
          </w:rPr>
          <w:t>4</w:t>
        </w:r>
        <w:r w:rsidR="00B73434">
          <w:rPr>
            <w:rStyle w:val="Hyperlink"/>
            <w:noProof/>
          </w:rPr>
          <w:t xml:space="preserve">: </w:t>
        </w:r>
        <w:r w:rsidR="00CD0FC1" w:rsidRPr="001B4BB2">
          <w:rPr>
            <w:rStyle w:val="Hyperlink"/>
            <w:rFonts w:eastAsia="Metropolis Black"/>
            <w:noProof/>
          </w:rPr>
          <w:t>During a class action</w:t>
        </w:r>
        <w:r w:rsidR="00CD0FC1">
          <w:rPr>
            <w:noProof/>
            <w:webHidden/>
          </w:rPr>
          <w:tab/>
        </w:r>
        <w:r w:rsidR="00CD0FC1">
          <w:rPr>
            <w:noProof/>
            <w:webHidden/>
          </w:rPr>
          <w:fldChar w:fldCharType="begin"/>
        </w:r>
        <w:r w:rsidR="00CD0FC1">
          <w:rPr>
            <w:noProof/>
            <w:webHidden/>
          </w:rPr>
          <w:instrText xml:space="preserve"> PAGEREF _Toc83895449 \h </w:instrText>
        </w:r>
        <w:r w:rsidR="00CD0FC1">
          <w:rPr>
            <w:noProof/>
            <w:webHidden/>
          </w:rPr>
        </w:r>
        <w:r w:rsidR="00CD0FC1">
          <w:rPr>
            <w:noProof/>
            <w:webHidden/>
          </w:rPr>
          <w:fldChar w:fldCharType="separate"/>
        </w:r>
        <w:r w:rsidR="00317AE4">
          <w:rPr>
            <w:noProof/>
            <w:webHidden/>
          </w:rPr>
          <w:t>88</w:t>
        </w:r>
        <w:r w:rsidR="00CD0FC1">
          <w:rPr>
            <w:noProof/>
            <w:webHidden/>
          </w:rPr>
          <w:fldChar w:fldCharType="end"/>
        </w:r>
      </w:hyperlink>
    </w:p>
    <w:p w14:paraId="4A8F192B" w14:textId="5EF42843"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1491B</w:t>
      </w:r>
      <w:r w:rsidR="0049638A">
        <w:rPr>
          <w:rFonts w:ascii="ZWAdobeF" w:hAnsi="ZWAdobeF" w:cs="ZWAdobeF"/>
          <w:noProof/>
          <w:color w:val="auto"/>
          <w:sz w:val="2"/>
          <w:szCs w:val="2"/>
        </w:rPr>
        <w:t>1491B</w:t>
      </w:r>
      <w:r w:rsidR="00D629FA">
        <w:rPr>
          <w:rFonts w:ascii="ZWAdobeF" w:hAnsi="ZWAdobeF" w:cs="ZWAdobeF"/>
          <w:noProof/>
          <w:color w:val="auto"/>
          <w:sz w:val="2"/>
          <w:szCs w:val="2"/>
        </w:rPr>
        <w:t>1501B</w:t>
      </w:r>
      <w:hyperlink w:anchor="_Toc83895450" w:history="1">
        <w:r w:rsidR="00CD0FC1" w:rsidRPr="001B4BB2">
          <w:rPr>
            <w:rStyle w:val="Hyperlink"/>
            <w:noProof/>
          </w:rPr>
          <w:t>Notice to class members</w:t>
        </w:r>
        <w:r w:rsidR="00CD0FC1">
          <w:rPr>
            <w:noProof/>
            <w:webHidden/>
          </w:rPr>
          <w:tab/>
        </w:r>
        <w:r w:rsidR="00CD0FC1">
          <w:rPr>
            <w:noProof/>
            <w:webHidden/>
          </w:rPr>
          <w:fldChar w:fldCharType="begin"/>
        </w:r>
        <w:r w:rsidR="00CD0FC1">
          <w:rPr>
            <w:noProof/>
            <w:webHidden/>
          </w:rPr>
          <w:instrText xml:space="preserve"> PAGEREF _Toc83895450 \h </w:instrText>
        </w:r>
        <w:r w:rsidR="00CD0FC1">
          <w:rPr>
            <w:noProof/>
            <w:webHidden/>
          </w:rPr>
        </w:r>
        <w:r w:rsidR="00CD0FC1">
          <w:rPr>
            <w:noProof/>
            <w:webHidden/>
          </w:rPr>
          <w:fldChar w:fldCharType="separate"/>
        </w:r>
        <w:r w:rsidR="00317AE4">
          <w:rPr>
            <w:noProof/>
            <w:webHidden/>
          </w:rPr>
          <w:t>88</w:t>
        </w:r>
        <w:r w:rsidR="00CD0FC1">
          <w:rPr>
            <w:noProof/>
            <w:webHidden/>
          </w:rPr>
          <w:fldChar w:fldCharType="end"/>
        </w:r>
      </w:hyperlink>
    </w:p>
    <w:p w14:paraId="6EC566FA" w14:textId="0399C2CB"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1492B</w:t>
      </w:r>
      <w:r w:rsidR="0049638A">
        <w:rPr>
          <w:rFonts w:ascii="ZWAdobeF" w:hAnsi="ZWAdobeF" w:cs="ZWAdobeF"/>
          <w:noProof/>
          <w:color w:val="auto"/>
          <w:sz w:val="2"/>
          <w:szCs w:val="2"/>
        </w:rPr>
        <w:t>1492B</w:t>
      </w:r>
      <w:r w:rsidR="00D629FA">
        <w:rPr>
          <w:rFonts w:ascii="ZWAdobeF" w:hAnsi="ZWAdobeF" w:cs="ZWAdobeF"/>
          <w:noProof/>
          <w:color w:val="auto"/>
          <w:sz w:val="2"/>
          <w:szCs w:val="2"/>
        </w:rPr>
        <w:t>1502B</w:t>
      </w:r>
      <w:hyperlink w:anchor="_Toc83895451" w:history="1">
        <w:r w:rsidR="00CD0FC1" w:rsidRPr="001B4BB2">
          <w:rPr>
            <w:rStyle w:val="Hyperlink"/>
            <w:noProof/>
          </w:rPr>
          <w:t>Case management</w:t>
        </w:r>
        <w:r w:rsidR="00CD0FC1">
          <w:rPr>
            <w:noProof/>
            <w:webHidden/>
          </w:rPr>
          <w:tab/>
        </w:r>
        <w:r w:rsidR="00CD0FC1">
          <w:rPr>
            <w:noProof/>
            <w:webHidden/>
          </w:rPr>
          <w:fldChar w:fldCharType="begin"/>
        </w:r>
        <w:r w:rsidR="00CD0FC1">
          <w:rPr>
            <w:noProof/>
            <w:webHidden/>
          </w:rPr>
          <w:instrText xml:space="preserve"> PAGEREF _Toc83895451 \h </w:instrText>
        </w:r>
        <w:r w:rsidR="00CD0FC1">
          <w:rPr>
            <w:noProof/>
            <w:webHidden/>
          </w:rPr>
        </w:r>
        <w:r w:rsidR="00CD0FC1">
          <w:rPr>
            <w:noProof/>
            <w:webHidden/>
          </w:rPr>
          <w:fldChar w:fldCharType="separate"/>
        </w:r>
        <w:r w:rsidR="00317AE4">
          <w:rPr>
            <w:noProof/>
            <w:webHidden/>
          </w:rPr>
          <w:t>94</w:t>
        </w:r>
        <w:r w:rsidR="00CD0FC1">
          <w:rPr>
            <w:noProof/>
            <w:webHidden/>
          </w:rPr>
          <w:fldChar w:fldCharType="end"/>
        </w:r>
      </w:hyperlink>
    </w:p>
    <w:p w14:paraId="260C754A" w14:textId="78ED931D"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1493B</w:t>
      </w:r>
      <w:r w:rsidR="0049638A">
        <w:rPr>
          <w:rFonts w:ascii="ZWAdobeF" w:hAnsi="ZWAdobeF" w:cs="ZWAdobeF"/>
          <w:noProof/>
          <w:color w:val="auto"/>
          <w:sz w:val="2"/>
          <w:szCs w:val="2"/>
        </w:rPr>
        <w:t>1493B</w:t>
      </w:r>
      <w:r w:rsidR="00D629FA">
        <w:rPr>
          <w:rFonts w:ascii="ZWAdobeF" w:hAnsi="ZWAdobeF" w:cs="ZWAdobeF"/>
          <w:noProof/>
          <w:color w:val="auto"/>
          <w:sz w:val="2"/>
          <w:szCs w:val="2"/>
        </w:rPr>
        <w:t>1503B</w:t>
      </w:r>
      <w:hyperlink w:anchor="_Toc83895452" w:history="1">
        <w:r w:rsidR="00CD0FC1" w:rsidRPr="001B4BB2">
          <w:rPr>
            <w:rStyle w:val="Hyperlink"/>
            <w:noProof/>
          </w:rPr>
          <w:t>Managing individual issues</w:t>
        </w:r>
        <w:r w:rsidR="00CD0FC1">
          <w:rPr>
            <w:noProof/>
            <w:webHidden/>
          </w:rPr>
          <w:tab/>
        </w:r>
        <w:r w:rsidR="00CD0FC1">
          <w:rPr>
            <w:noProof/>
            <w:webHidden/>
          </w:rPr>
          <w:fldChar w:fldCharType="begin"/>
        </w:r>
        <w:r w:rsidR="00CD0FC1">
          <w:rPr>
            <w:noProof/>
            <w:webHidden/>
          </w:rPr>
          <w:instrText xml:space="preserve"> PAGEREF _Toc83895452 \h </w:instrText>
        </w:r>
        <w:r w:rsidR="00CD0FC1">
          <w:rPr>
            <w:noProof/>
            <w:webHidden/>
          </w:rPr>
        </w:r>
        <w:r w:rsidR="00CD0FC1">
          <w:rPr>
            <w:noProof/>
            <w:webHidden/>
          </w:rPr>
          <w:fldChar w:fldCharType="separate"/>
        </w:r>
        <w:r w:rsidR="00317AE4">
          <w:rPr>
            <w:noProof/>
            <w:webHidden/>
          </w:rPr>
          <w:t>97</w:t>
        </w:r>
        <w:r w:rsidR="00CD0FC1">
          <w:rPr>
            <w:noProof/>
            <w:webHidden/>
          </w:rPr>
          <w:fldChar w:fldCharType="end"/>
        </w:r>
      </w:hyperlink>
    </w:p>
    <w:p w14:paraId="46FC6416" w14:textId="07BB113D"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1494B</w:t>
      </w:r>
      <w:r w:rsidR="0049638A">
        <w:rPr>
          <w:rFonts w:ascii="ZWAdobeF" w:hAnsi="ZWAdobeF" w:cs="ZWAdobeF"/>
          <w:noProof/>
          <w:color w:val="auto"/>
          <w:sz w:val="2"/>
          <w:szCs w:val="2"/>
        </w:rPr>
        <w:t>1494B</w:t>
      </w:r>
      <w:r w:rsidR="00D629FA">
        <w:rPr>
          <w:rFonts w:ascii="ZWAdobeF" w:hAnsi="ZWAdobeF" w:cs="ZWAdobeF"/>
          <w:noProof/>
          <w:color w:val="auto"/>
          <w:sz w:val="2"/>
          <w:szCs w:val="2"/>
        </w:rPr>
        <w:t>1504B</w:t>
      </w:r>
      <w:hyperlink w:anchor="_Toc83895453" w:history="1">
        <w:r w:rsidR="00CD0FC1" w:rsidRPr="001B4BB2">
          <w:rPr>
            <w:rStyle w:val="Hyperlink"/>
            <w:noProof/>
          </w:rPr>
          <w:t>Discovery and other requirements to provide information</w:t>
        </w:r>
        <w:r w:rsidR="00CD0FC1">
          <w:rPr>
            <w:noProof/>
            <w:webHidden/>
          </w:rPr>
          <w:tab/>
        </w:r>
        <w:r w:rsidR="00CD0FC1">
          <w:rPr>
            <w:noProof/>
            <w:webHidden/>
          </w:rPr>
          <w:fldChar w:fldCharType="begin"/>
        </w:r>
        <w:r w:rsidR="00CD0FC1">
          <w:rPr>
            <w:noProof/>
            <w:webHidden/>
          </w:rPr>
          <w:instrText xml:space="preserve"> PAGEREF _Toc83895453 \h </w:instrText>
        </w:r>
        <w:r w:rsidR="00CD0FC1">
          <w:rPr>
            <w:noProof/>
            <w:webHidden/>
          </w:rPr>
        </w:r>
        <w:r w:rsidR="00CD0FC1">
          <w:rPr>
            <w:noProof/>
            <w:webHidden/>
          </w:rPr>
          <w:fldChar w:fldCharType="separate"/>
        </w:r>
        <w:r w:rsidR="00317AE4">
          <w:rPr>
            <w:noProof/>
            <w:webHidden/>
          </w:rPr>
          <w:t>102</w:t>
        </w:r>
        <w:r w:rsidR="00CD0FC1">
          <w:rPr>
            <w:noProof/>
            <w:webHidden/>
          </w:rPr>
          <w:fldChar w:fldCharType="end"/>
        </w:r>
      </w:hyperlink>
    </w:p>
    <w:p w14:paraId="5B986F6A" w14:textId="0E573CC6"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1495B</w:t>
      </w:r>
      <w:r w:rsidR="0049638A">
        <w:rPr>
          <w:rFonts w:ascii="ZWAdobeF" w:hAnsi="ZWAdobeF" w:cs="ZWAdobeF"/>
          <w:noProof/>
          <w:color w:val="auto"/>
          <w:sz w:val="2"/>
          <w:szCs w:val="2"/>
        </w:rPr>
        <w:t>1495B</w:t>
      </w:r>
      <w:r w:rsidR="00D629FA">
        <w:rPr>
          <w:rFonts w:ascii="ZWAdobeF" w:hAnsi="ZWAdobeF" w:cs="ZWAdobeF"/>
          <w:noProof/>
          <w:color w:val="auto"/>
          <w:sz w:val="2"/>
          <w:szCs w:val="2"/>
        </w:rPr>
        <w:t>1505B</w:t>
      </w:r>
      <w:hyperlink w:anchor="_Toc83895454" w:history="1">
        <w:r w:rsidR="00CD0FC1" w:rsidRPr="001B4BB2">
          <w:rPr>
            <w:rStyle w:val="Hyperlink"/>
            <w:noProof/>
          </w:rPr>
          <w:t>Funding orders</w:t>
        </w:r>
        <w:r w:rsidR="00CD0FC1">
          <w:rPr>
            <w:noProof/>
            <w:webHidden/>
          </w:rPr>
          <w:tab/>
        </w:r>
        <w:r w:rsidR="00CD0FC1">
          <w:rPr>
            <w:noProof/>
            <w:webHidden/>
          </w:rPr>
          <w:fldChar w:fldCharType="begin"/>
        </w:r>
        <w:r w:rsidR="00CD0FC1">
          <w:rPr>
            <w:noProof/>
            <w:webHidden/>
          </w:rPr>
          <w:instrText xml:space="preserve"> PAGEREF _Toc83895454 \h </w:instrText>
        </w:r>
        <w:r w:rsidR="00CD0FC1">
          <w:rPr>
            <w:noProof/>
            <w:webHidden/>
          </w:rPr>
        </w:r>
        <w:r w:rsidR="00CD0FC1">
          <w:rPr>
            <w:noProof/>
            <w:webHidden/>
          </w:rPr>
          <w:fldChar w:fldCharType="separate"/>
        </w:r>
        <w:r w:rsidR="00317AE4">
          <w:rPr>
            <w:noProof/>
            <w:webHidden/>
          </w:rPr>
          <w:t>105</w:t>
        </w:r>
        <w:r w:rsidR="00CD0FC1">
          <w:rPr>
            <w:noProof/>
            <w:webHidden/>
          </w:rPr>
          <w:fldChar w:fldCharType="end"/>
        </w:r>
      </w:hyperlink>
    </w:p>
    <w:p w14:paraId="01F72408" w14:textId="34F43D75" w:rsidR="00CD0FC1" w:rsidRDefault="00D629FA">
      <w:pPr>
        <w:pStyle w:val="TOC1"/>
        <w:rPr>
          <w:rFonts w:asciiTheme="minorHAnsi" w:eastAsiaTheme="minorEastAsia" w:hAnsiTheme="minorHAnsi" w:cstheme="minorBidi"/>
          <w:b w:val="0"/>
          <w:noProof/>
          <w:color w:val="auto"/>
          <w:sz w:val="22"/>
          <w:szCs w:val="22"/>
          <w:lang w:eastAsia="en-NZ"/>
        </w:rPr>
      </w:pPr>
      <w:r>
        <w:rPr>
          <w:rStyle w:val="Hyperlink"/>
          <w:rFonts w:ascii="ZWAdobeF" w:hAnsi="ZWAdobeF" w:cs="ZWAdobeF"/>
          <w:b w:val="0"/>
          <w:noProof/>
          <w:color w:val="auto"/>
          <w:sz w:val="2"/>
          <w:szCs w:val="2"/>
          <w:u w:val="none"/>
        </w:rPr>
        <w:t>1483B</w:t>
      </w:r>
      <w:r w:rsidR="00B73434" w:rsidRPr="00B73434">
        <w:rPr>
          <w:rStyle w:val="Hyperlink"/>
          <w:noProof/>
          <w:u w:val="none"/>
        </w:rPr>
        <w:t xml:space="preserve">Chapter </w:t>
      </w:r>
      <w:hyperlink w:anchor="_Toc83895455" w:history="1">
        <w:r w:rsidR="00CD0FC1" w:rsidRPr="001B4BB2">
          <w:rPr>
            <w:rStyle w:val="Hyperlink"/>
            <w:rFonts w:eastAsia="Cordia New"/>
            <w:noProof/>
          </w:rPr>
          <w:t>5</w:t>
        </w:r>
        <w:r w:rsidR="00B73434">
          <w:rPr>
            <w:rStyle w:val="Hyperlink"/>
            <w:rFonts w:eastAsia="Cordia New"/>
            <w:noProof/>
          </w:rPr>
          <w:t>:</w:t>
        </w:r>
        <w:r w:rsidR="00CD0FC1" w:rsidRPr="001B4BB2">
          <w:rPr>
            <w:rStyle w:val="Hyperlink"/>
            <w:rFonts w:eastAsia="Cordia New"/>
            <w:noProof/>
          </w:rPr>
          <w:t xml:space="preserve"> </w:t>
        </w:r>
        <w:r w:rsidR="00CD0FC1" w:rsidRPr="001B4BB2">
          <w:rPr>
            <w:rStyle w:val="Hyperlink"/>
            <w:rFonts w:eastAsia="Metropolis Black"/>
            <w:noProof/>
          </w:rPr>
          <w:t>Judgments, damages and appeals</w:t>
        </w:r>
        <w:r w:rsidR="00CD0FC1">
          <w:rPr>
            <w:noProof/>
            <w:webHidden/>
          </w:rPr>
          <w:tab/>
        </w:r>
        <w:r w:rsidR="00CD0FC1">
          <w:rPr>
            <w:noProof/>
            <w:webHidden/>
          </w:rPr>
          <w:fldChar w:fldCharType="begin"/>
        </w:r>
        <w:r w:rsidR="00CD0FC1">
          <w:rPr>
            <w:noProof/>
            <w:webHidden/>
          </w:rPr>
          <w:instrText xml:space="preserve"> PAGEREF _Toc83895455 \h </w:instrText>
        </w:r>
        <w:r w:rsidR="00CD0FC1">
          <w:rPr>
            <w:noProof/>
            <w:webHidden/>
          </w:rPr>
        </w:r>
        <w:r w:rsidR="00CD0FC1">
          <w:rPr>
            <w:noProof/>
            <w:webHidden/>
          </w:rPr>
          <w:fldChar w:fldCharType="separate"/>
        </w:r>
        <w:r w:rsidR="00317AE4">
          <w:rPr>
            <w:noProof/>
            <w:webHidden/>
          </w:rPr>
          <w:t>115</w:t>
        </w:r>
        <w:r w:rsidR="00CD0FC1">
          <w:rPr>
            <w:noProof/>
            <w:webHidden/>
          </w:rPr>
          <w:fldChar w:fldCharType="end"/>
        </w:r>
      </w:hyperlink>
    </w:p>
    <w:p w14:paraId="012DF750" w14:textId="5F1DA4E8"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1496B</w:t>
      </w:r>
      <w:r w:rsidR="0049638A">
        <w:rPr>
          <w:rFonts w:ascii="ZWAdobeF" w:hAnsi="ZWAdobeF" w:cs="ZWAdobeF"/>
          <w:noProof/>
          <w:color w:val="auto"/>
          <w:sz w:val="2"/>
          <w:szCs w:val="2"/>
        </w:rPr>
        <w:t>1496B</w:t>
      </w:r>
      <w:r w:rsidR="00D629FA">
        <w:rPr>
          <w:rFonts w:ascii="ZWAdobeF" w:hAnsi="ZWAdobeF" w:cs="ZWAdobeF"/>
          <w:noProof/>
          <w:color w:val="auto"/>
          <w:sz w:val="2"/>
          <w:szCs w:val="2"/>
        </w:rPr>
        <w:t>1506B</w:t>
      </w:r>
      <w:hyperlink w:anchor="_Toc83895456" w:history="1">
        <w:r w:rsidR="00CD0FC1" w:rsidRPr="001B4BB2">
          <w:rPr>
            <w:rStyle w:val="Hyperlink"/>
            <w:noProof/>
          </w:rPr>
          <w:t>Class action judgments</w:t>
        </w:r>
        <w:r w:rsidR="00CD0FC1">
          <w:rPr>
            <w:noProof/>
            <w:webHidden/>
          </w:rPr>
          <w:tab/>
        </w:r>
        <w:r w:rsidR="00CD0FC1">
          <w:rPr>
            <w:noProof/>
            <w:webHidden/>
          </w:rPr>
          <w:fldChar w:fldCharType="begin"/>
        </w:r>
        <w:r w:rsidR="00CD0FC1">
          <w:rPr>
            <w:noProof/>
            <w:webHidden/>
          </w:rPr>
          <w:instrText xml:space="preserve"> PAGEREF _Toc83895456 \h </w:instrText>
        </w:r>
        <w:r w:rsidR="00CD0FC1">
          <w:rPr>
            <w:noProof/>
            <w:webHidden/>
          </w:rPr>
        </w:r>
        <w:r w:rsidR="00CD0FC1">
          <w:rPr>
            <w:noProof/>
            <w:webHidden/>
          </w:rPr>
          <w:fldChar w:fldCharType="separate"/>
        </w:r>
        <w:r w:rsidR="00317AE4">
          <w:rPr>
            <w:noProof/>
            <w:webHidden/>
          </w:rPr>
          <w:t>115</w:t>
        </w:r>
        <w:r w:rsidR="00CD0FC1">
          <w:rPr>
            <w:noProof/>
            <w:webHidden/>
          </w:rPr>
          <w:fldChar w:fldCharType="end"/>
        </w:r>
      </w:hyperlink>
    </w:p>
    <w:p w14:paraId="5B757894" w14:textId="7C3C5DA0"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1497B</w:t>
      </w:r>
      <w:r w:rsidR="0049638A">
        <w:rPr>
          <w:rFonts w:ascii="ZWAdobeF" w:hAnsi="ZWAdobeF" w:cs="ZWAdobeF"/>
          <w:noProof/>
          <w:color w:val="auto"/>
          <w:sz w:val="2"/>
          <w:szCs w:val="2"/>
        </w:rPr>
        <w:t>1497B</w:t>
      </w:r>
      <w:r w:rsidR="00D629FA">
        <w:rPr>
          <w:rFonts w:ascii="ZWAdobeF" w:hAnsi="ZWAdobeF" w:cs="ZWAdobeF"/>
          <w:noProof/>
          <w:color w:val="auto"/>
          <w:sz w:val="2"/>
          <w:szCs w:val="2"/>
        </w:rPr>
        <w:t>1507B</w:t>
      </w:r>
      <w:hyperlink w:anchor="_Toc83895457" w:history="1">
        <w:r w:rsidR="00CD0FC1" w:rsidRPr="001B4BB2">
          <w:rPr>
            <w:rStyle w:val="Hyperlink"/>
            <w:noProof/>
          </w:rPr>
          <w:t>Damages in class actions</w:t>
        </w:r>
        <w:r w:rsidR="00CD0FC1">
          <w:rPr>
            <w:noProof/>
            <w:webHidden/>
          </w:rPr>
          <w:tab/>
        </w:r>
        <w:r w:rsidR="00CD0FC1">
          <w:rPr>
            <w:noProof/>
            <w:webHidden/>
          </w:rPr>
          <w:fldChar w:fldCharType="begin"/>
        </w:r>
        <w:r w:rsidR="00CD0FC1">
          <w:rPr>
            <w:noProof/>
            <w:webHidden/>
          </w:rPr>
          <w:instrText xml:space="preserve"> PAGEREF _Toc83895457 \h </w:instrText>
        </w:r>
        <w:r w:rsidR="00CD0FC1">
          <w:rPr>
            <w:noProof/>
            <w:webHidden/>
          </w:rPr>
        </w:r>
        <w:r w:rsidR="00CD0FC1">
          <w:rPr>
            <w:noProof/>
            <w:webHidden/>
          </w:rPr>
          <w:fldChar w:fldCharType="separate"/>
        </w:r>
        <w:r w:rsidR="00317AE4">
          <w:rPr>
            <w:noProof/>
            <w:webHidden/>
          </w:rPr>
          <w:t>120</w:t>
        </w:r>
        <w:r w:rsidR="00CD0FC1">
          <w:rPr>
            <w:noProof/>
            <w:webHidden/>
          </w:rPr>
          <w:fldChar w:fldCharType="end"/>
        </w:r>
      </w:hyperlink>
    </w:p>
    <w:p w14:paraId="449F9F4D" w14:textId="71C0F5B5"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1498B</w:t>
      </w:r>
      <w:r w:rsidR="0049638A">
        <w:rPr>
          <w:rFonts w:ascii="ZWAdobeF" w:hAnsi="ZWAdobeF" w:cs="ZWAdobeF"/>
          <w:noProof/>
          <w:color w:val="auto"/>
          <w:sz w:val="2"/>
          <w:szCs w:val="2"/>
        </w:rPr>
        <w:t>1498B</w:t>
      </w:r>
      <w:r w:rsidR="00D629FA">
        <w:rPr>
          <w:rFonts w:ascii="ZWAdobeF" w:hAnsi="ZWAdobeF" w:cs="ZWAdobeF"/>
          <w:noProof/>
          <w:color w:val="auto"/>
          <w:sz w:val="2"/>
          <w:szCs w:val="2"/>
        </w:rPr>
        <w:t>1508B</w:t>
      </w:r>
      <w:hyperlink w:anchor="_Toc83895458" w:history="1">
        <w:r w:rsidR="00CD0FC1" w:rsidRPr="001B4BB2">
          <w:rPr>
            <w:rStyle w:val="Hyperlink"/>
            <w:noProof/>
          </w:rPr>
          <w:t>Appeals in class actions</w:t>
        </w:r>
        <w:r w:rsidR="00CD0FC1">
          <w:rPr>
            <w:noProof/>
            <w:webHidden/>
          </w:rPr>
          <w:tab/>
        </w:r>
        <w:r w:rsidR="00CD0FC1">
          <w:rPr>
            <w:noProof/>
            <w:webHidden/>
          </w:rPr>
          <w:fldChar w:fldCharType="begin"/>
        </w:r>
        <w:r w:rsidR="00CD0FC1">
          <w:rPr>
            <w:noProof/>
            <w:webHidden/>
          </w:rPr>
          <w:instrText xml:space="preserve"> PAGEREF _Toc83895458 \h </w:instrText>
        </w:r>
        <w:r w:rsidR="00CD0FC1">
          <w:rPr>
            <w:noProof/>
            <w:webHidden/>
          </w:rPr>
        </w:r>
        <w:r w:rsidR="00CD0FC1">
          <w:rPr>
            <w:noProof/>
            <w:webHidden/>
          </w:rPr>
          <w:fldChar w:fldCharType="separate"/>
        </w:r>
        <w:r w:rsidR="00317AE4">
          <w:rPr>
            <w:noProof/>
            <w:webHidden/>
          </w:rPr>
          <w:t>130</w:t>
        </w:r>
        <w:r w:rsidR="00CD0FC1">
          <w:rPr>
            <w:noProof/>
            <w:webHidden/>
          </w:rPr>
          <w:fldChar w:fldCharType="end"/>
        </w:r>
      </w:hyperlink>
    </w:p>
    <w:p w14:paraId="1775236E" w14:textId="77777777" w:rsidR="00B73434" w:rsidRDefault="00B73434">
      <w:pPr>
        <w:widowControl w:val="0"/>
        <w:spacing w:after="200" w:line="276" w:lineRule="auto"/>
        <w:rPr>
          <w:rStyle w:val="Hyperlink"/>
          <w:b/>
          <w:noProof/>
          <w:u w:val="none"/>
        </w:rPr>
      </w:pPr>
      <w:r>
        <w:rPr>
          <w:rStyle w:val="Hyperlink"/>
          <w:noProof/>
          <w:u w:val="none"/>
        </w:rPr>
        <w:br w:type="page"/>
      </w:r>
    </w:p>
    <w:p w14:paraId="3AAF1607" w14:textId="7D614D17" w:rsidR="00CD0FC1" w:rsidRDefault="00D629FA">
      <w:pPr>
        <w:pStyle w:val="TOC1"/>
        <w:rPr>
          <w:rFonts w:asciiTheme="minorHAnsi" w:eastAsiaTheme="minorEastAsia" w:hAnsiTheme="minorHAnsi" w:cstheme="minorBidi"/>
          <w:b w:val="0"/>
          <w:noProof/>
          <w:color w:val="auto"/>
          <w:sz w:val="22"/>
          <w:szCs w:val="22"/>
          <w:lang w:eastAsia="en-NZ"/>
        </w:rPr>
      </w:pPr>
      <w:r>
        <w:rPr>
          <w:rStyle w:val="Hyperlink"/>
          <w:rFonts w:ascii="ZWAdobeF" w:hAnsi="ZWAdobeF" w:cs="ZWAdobeF"/>
          <w:b w:val="0"/>
          <w:noProof/>
          <w:color w:val="auto"/>
          <w:sz w:val="2"/>
          <w:szCs w:val="2"/>
          <w:u w:val="none"/>
        </w:rPr>
        <w:lastRenderedPageBreak/>
        <w:t>1484B</w:t>
      </w:r>
      <w:r w:rsidR="00B73434" w:rsidRPr="00B73434">
        <w:rPr>
          <w:rStyle w:val="Hyperlink"/>
          <w:noProof/>
          <w:u w:val="none"/>
        </w:rPr>
        <w:t xml:space="preserve">Chapter </w:t>
      </w:r>
      <w:hyperlink w:anchor="_Toc83895459" w:history="1">
        <w:r w:rsidR="00CD0FC1" w:rsidRPr="001B4BB2">
          <w:rPr>
            <w:rStyle w:val="Hyperlink"/>
            <w:noProof/>
          </w:rPr>
          <w:t>6</w:t>
        </w:r>
        <w:r w:rsidR="00B73434">
          <w:rPr>
            <w:rStyle w:val="Hyperlink"/>
            <w:noProof/>
          </w:rPr>
          <w:t>:</w:t>
        </w:r>
        <w:r w:rsidR="00CD0FC1" w:rsidRPr="001B4BB2">
          <w:rPr>
            <w:rStyle w:val="Hyperlink"/>
            <w:noProof/>
          </w:rPr>
          <w:t xml:space="preserve"> </w:t>
        </w:r>
        <w:r w:rsidR="00CD0FC1" w:rsidRPr="001B4BB2">
          <w:rPr>
            <w:rStyle w:val="Hyperlink"/>
            <w:rFonts w:eastAsia="Metropolis Black"/>
            <w:noProof/>
          </w:rPr>
          <w:t>Settlement of a class action</w:t>
        </w:r>
        <w:r w:rsidR="00CD0FC1">
          <w:rPr>
            <w:noProof/>
            <w:webHidden/>
          </w:rPr>
          <w:tab/>
        </w:r>
        <w:r w:rsidR="00CD0FC1">
          <w:rPr>
            <w:noProof/>
            <w:webHidden/>
          </w:rPr>
          <w:fldChar w:fldCharType="begin"/>
        </w:r>
        <w:r w:rsidR="00CD0FC1">
          <w:rPr>
            <w:noProof/>
            <w:webHidden/>
          </w:rPr>
          <w:instrText xml:space="preserve"> PAGEREF _Toc83895459 \h </w:instrText>
        </w:r>
        <w:r w:rsidR="00CD0FC1">
          <w:rPr>
            <w:noProof/>
            <w:webHidden/>
          </w:rPr>
        </w:r>
        <w:r w:rsidR="00CD0FC1">
          <w:rPr>
            <w:noProof/>
            <w:webHidden/>
          </w:rPr>
          <w:fldChar w:fldCharType="separate"/>
        </w:r>
        <w:r w:rsidR="00317AE4">
          <w:rPr>
            <w:noProof/>
            <w:webHidden/>
          </w:rPr>
          <w:t>136</w:t>
        </w:r>
        <w:r w:rsidR="00CD0FC1">
          <w:rPr>
            <w:noProof/>
            <w:webHidden/>
          </w:rPr>
          <w:fldChar w:fldCharType="end"/>
        </w:r>
      </w:hyperlink>
    </w:p>
    <w:p w14:paraId="69ECE833" w14:textId="1AADC5A1"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1499B</w:t>
      </w:r>
      <w:r w:rsidR="0049638A">
        <w:rPr>
          <w:rFonts w:ascii="ZWAdobeF" w:hAnsi="ZWAdobeF" w:cs="ZWAdobeF"/>
          <w:noProof/>
          <w:color w:val="auto"/>
          <w:sz w:val="2"/>
          <w:szCs w:val="2"/>
        </w:rPr>
        <w:t>1499B</w:t>
      </w:r>
      <w:r w:rsidR="00D629FA">
        <w:rPr>
          <w:rFonts w:ascii="ZWAdobeF" w:hAnsi="ZWAdobeF" w:cs="ZWAdobeF"/>
          <w:noProof/>
          <w:color w:val="auto"/>
          <w:sz w:val="2"/>
          <w:szCs w:val="2"/>
        </w:rPr>
        <w:t>1509B</w:t>
      </w:r>
      <w:hyperlink w:anchor="_Toc83895460" w:history="1">
        <w:r w:rsidR="00CD0FC1" w:rsidRPr="001B4BB2">
          <w:rPr>
            <w:rStyle w:val="Hyperlink"/>
            <w:noProof/>
          </w:rPr>
          <w:t xml:space="preserve">Court approval of settlements in </w:t>
        </w:r>
        <w:r w:rsidR="0098782A">
          <w:rPr>
            <w:rStyle w:val="Hyperlink"/>
            <w:noProof/>
          </w:rPr>
          <w:t>c</w:t>
        </w:r>
        <w:r w:rsidR="00CD0FC1" w:rsidRPr="001B4BB2">
          <w:rPr>
            <w:rStyle w:val="Hyperlink"/>
            <w:noProof/>
          </w:rPr>
          <w:t xml:space="preserve">lass </w:t>
        </w:r>
        <w:r w:rsidR="0098782A">
          <w:rPr>
            <w:rStyle w:val="Hyperlink"/>
            <w:noProof/>
          </w:rPr>
          <w:t>a</w:t>
        </w:r>
        <w:r w:rsidR="00CD0FC1" w:rsidRPr="001B4BB2">
          <w:rPr>
            <w:rStyle w:val="Hyperlink"/>
            <w:noProof/>
          </w:rPr>
          <w:t>ctions</w:t>
        </w:r>
        <w:r w:rsidR="00CD0FC1">
          <w:rPr>
            <w:noProof/>
            <w:webHidden/>
          </w:rPr>
          <w:tab/>
        </w:r>
        <w:r w:rsidR="00CD0FC1">
          <w:rPr>
            <w:noProof/>
            <w:webHidden/>
          </w:rPr>
          <w:fldChar w:fldCharType="begin"/>
        </w:r>
        <w:r w:rsidR="00CD0FC1">
          <w:rPr>
            <w:noProof/>
            <w:webHidden/>
          </w:rPr>
          <w:instrText xml:space="preserve"> PAGEREF _Toc83895460 \h </w:instrText>
        </w:r>
        <w:r w:rsidR="00CD0FC1">
          <w:rPr>
            <w:noProof/>
            <w:webHidden/>
          </w:rPr>
        </w:r>
        <w:r w:rsidR="00CD0FC1">
          <w:rPr>
            <w:noProof/>
            <w:webHidden/>
          </w:rPr>
          <w:fldChar w:fldCharType="separate"/>
        </w:r>
        <w:r w:rsidR="00317AE4">
          <w:rPr>
            <w:noProof/>
            <w:webHidden/>
          </w:rPr>
          <w:t>136</w:t>
        </w:r>
        <w:r w:rsidR="00CD0FC1">
          <w:rPr>
            <w:noProof/>
            <w:webHidden/>
          </w:rPr>
          <w:fldChar w:fldCharType="end"/>
        </w:r>
      </w:hyperlink>
    </w:p>
    <w:p w14:paraId="4094EEAE" w14:textId="2707466E"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1500B</w:t>
      </w:r>
      <w:r w:rsidR="0049638A">
        <w:rPr>
          <w:rFonts w:ascii="ZWAdobeF" w:hAnsi="ZWAdobeF" w:cs="ZWAdobeF"/>
          <w:noProof/>
          <w:color w:val="auto"/>
          <w:sz w:val="2"/>
          <w:szCs w:val="2"/>
        </w:rPr>
        <w:t>1500B</w:t>
      </w:r>
      <w:r w:rsidR="00D629FA">
        <w:rPr>
          <w:rFonts w:ascii="ZWAdobeF" w:hAnsi="ZWAdobeF" w:cs="ZWAdobeF"/>
          <w:noProof/>
          <w:color w:val="auto"/>
          <w:sz w:val="2"/>
          <w:szCs w:val="2"/>
        </w:rPr>
        <w:t>1510B</w:t>
      </w:r>
      <w:hyperlink w:anchor="_Toc83895461" w:history="1">
        <w:r w:rsidR="00CD0FC1" w:rsidRPr="001B4BB2">
          <w:rPr>
            <w:rStyle w:val="Hyperlink"/>
            <w:noProof/>
          </w:rPr>
          <w:t>Process for court approval of settlement</w:t>
        </w:r>
        <w:r w:rsidR="00CD0FC1">
          <w:rPr>
            <w:noProof/>
            <w:webHidden/>
          </w:rPr>
          <w:tab/>
        </w:r>
        <w:r w:rsidR="00CD0FC1">
          <w:rPr>
            <w:noProof/>
            <w:webHidden/>
          </w:rPr>
          <w:fldChar w:fldCharType="begin"/>
        </w:r>
        <w:r w:rsidR="00CD0FC1">
          <w:rPr>
            <w:noProof/>
            <w:webHidden/>
          </w:rPr>
          <w:instrText xml:space="preserve"> PAGEREF _Toc83895461 \h </w:instrText>
        </w:r>
        <w:r w:rsidR="00CD0FC1">
          <w:rPr>
            <w:noProof/>
            <w:webHidden/>
          </w:rPr>
        </w:r>
        <w:r w:rsidR="00CD0FC1">
          <w:rPr>
            <w:noProof/>
            <w:webHidden/>
          </w:rPr>
          <w:fldChar w:fldCharType="separate"/>
        </w:r>
        <w:r w:rsidR="00317AE4">
          <w:rPr>
            <w:noProof/>
            <w:webHidden/>
          </w:rPr>
          <w:t>139</w:t>
        </w:r>
        <w:r w:rsidR="00CD0FC1">
          <w:rPr>
            <w:noProof/>
            <w:webHidden/>
          </w:rPr>
          <w:fldChar w:fldCharType="end"/>
        </w:r>
      </w:hyperlink>
    </w:p>
    <w:p w14:paraId="2C95503F" w14:textId="0A0F6117"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1501B</w:t>
      </w:r>
      <w:r w:rsidR="0049638A">
        <w:rPr>
          <w:rFonts w:ascii="ZWAdobeF" w:hAnsi="ZWAdobeF" w:cs="ZWAdobeF"/>
          <w:noProof/>
          <w:color w:val="auto"/>
          <w:sz w:val="2"/>
          <w:szCs w:val="2"/>
        </w:rPr>
        <w:t>1501B</w:t>
      </w:r>
      <w:r w:rsidR="00D629FA">
        <w:rPr>
          <w:rFonts w:ascii="ZWAdobeF" w:hAnsi="ZWAdobeF" w:cs="ZWAdobeF"/>
          <w:noProof/>
          <w:color w:val="auto"/>
          <w:sz w:val="2"/>
          <w:szCs w:val="2"/>
        </w:rPr>
        <w:t>1511B</w:t>
      </w:r>
      <w:hyperlink w:anchor="_Toc83895462" w:history="1">
        <w:r w:rsidR="00CD0FC1" w:rsidRPr="001B4BB2">
          <w:rPr>
            <w:rStyle w:val="Hyperlink"/>
            <w:noProof/>
          </w:rPr>
          <w:t>Test for approving a settlement</w:t>
        </w:r>
        <w:r w:rsidR="00CD0FC1">
          <w:rPr>
            <w:noProof/>
            <w:webHidden/>
          </w:rPr>
          <w:tab/>
        </w:r>
        <w:r w:rsidR="00CD0FC1">
          <w:rPr>
            <w:noProof/>
            <w:webHidden/>
          </w:rPr>
          <w:fldChar w:fldCharType="begin"/>
        </w:r>
        <w:r w:rsidR="00CD0FC1">
          <w:rPr>
            <w:noProof/>
            <w:webHidden/>
          </w:rPr>
          <w:instrText xml:space="preserve"> PAGEREF _Toc83895462 \h </w:instrText>
        </w:r>
        <w:r w:rsidR="00CD0FC1">
          <w:rPr>
            <w:noProof/>
            <w:webHidden/>
          </w:rPr>
        </w:r>
        <w:r w:rsidR="00CD0FC1">
          <w:rPr>
            <w:noProof/>
            <w:webHidden/>
          </w:rPr>
          <w:fldChar w:fldCharType="separate"/>
        </w:r>
        <w:r w:rsidR="00317AE4">
          <w:rPr>
            <w:noProof/>
            <w:webHidden/>
          </w:rPr>
          <w:t>148</w:t>
        </w:r>
        <w:r w:rsidR="00CD0FC1">
          <w:rPr>
            <w:noProof/>
            <w:webHidden/>
          </w:rPr>
          <w:fldChar w:fldCharType="end"/>
        </w:r>
      </w:hyperlink>
    </w:p>
    <w:p w14:paraId="77343BDA" w14:textId="7837D485"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1502B</w:t>
      </w:r>
      <w:r w:rsidR="0049638A">
        <w:rPr>
          <w:rFonts w:ascii="ZWAdobeF" w:hAnsi="ZWAdobeF" w:cs="ZWAdobeF"/>
          <w:noProof/>
          <w:color w:val="auto"/>
          <w:sz w:val="2"/>
          <w:szCs w:val="2"/>
        </w:rPr>
        <w:t>1502B</w:t>
      </w:r>
      <w:r w:rsidR="00D629FA">
        <w:rPr>
          <w:rFonts w:ascii="ZWAdobeF" w:hAnsi="ZWAdobeF" w:cs="ZWAdobeF"/>
          <w:noProof/>
          <w:color w:val="auto"/>
          <w:sz w:val="2"/>
          <w:szCs w:val="2"/>
        </w:rPr>
        <w:t>1512B</w:t>
      </w:r>
      <w:hyperlink w:anchor="_Toc83895463" w:history="1">
        <w:r w:rsidR="00CD0FC1" w:rsidRPr="001B4BB2">
          <w:rPr>
            <w:rStyle w:val="Hyperlink"/>
            <w:noProof/>
          </w:rPr>
          <w:t>Finalising the class for settlement</w:t>
        </w:r>
        <w:r w:rsidR="00CD0FC1">
          <w:rPr>
            <w:noProof/>
            <w:webHidden/>
          </w:rPr>
          <w:tab/>
        </w:r>
        <w:r w:rsidR="00CD0FC1">
          <w:rPr>
            <w:noProof/>
            <w:webHidden/>
          </w:rPr>
          <w:fldChar w:fldCharType="begin"/>
        </w:r>
        <w:r w:rsidR="00CD0FC1">
          <w:rPr>
            <w:noProof/>
            <w:webHidden/>
          </w:rPr>
          <w:instrText xml:space="preserve"> PAGEREF _Toc83895463 \h </w:instrText>
        </w:r>
        <w:r w:rsidR="00CD0FC1">
          <w:rPr>
            <w:noProof/>
            <w:webHidden/>
          </w:rPr>
        </w:r>
        <w:r w:rsidR="00CD0FC1">
          <w:rPr>
            <w:noProof/>
            <w:webHidden/>
          </w:rPr>
          <w:fldChar w:fldCharType="separate"/>
        </w:r>
        <w:r w:rsidR="00317AE4">
          <w:rPr>
            <w:noProof/>
            <w:webHidden/>
          </w:rPr>
          <w:t>161</w:t>
        </w:r>
        <w:r w:rsidR="00CD0FC1">
          <w:rPr>
            <w:noProof/>
            <w:webHidden/>
          </w:rPr>
          <w:fldChar w:fldCharType="end"/>
        </w:r>
      </w:hyperlink>
    </w:p>
    <w:p w14:paraId="29E91887" w14:textId="1CC837E7"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1503B</w:t>
      </w:r>
      <w:r w:rsidR="0049638A">
        <w:rPr>
          <w:rFonts w:ascii="ZWAdobeF" w:hAnsi="ZWAdobeF" w:cs="ZWAdobeF"/>
          <w:noProof/>
          <w:color w:val="auto"/>
          <w:sz w:val="2"/>
          <w:szCs w:val="2"/>
        </w:rPr>
        <w:t>1503B</w:t>
      </w:r>
      <w:r w:rsidR="00D629FA">
        <w:rPr>
          <w:rFonts w:ascii="ZWAdobeF" w:hAnsi="ZWAdobeF" w:cs="ZWAdobeF"/>
          <w:noProof/>
          <w:color w:val="auto"/>
          <w:sz w:val="2"/>
          <w:szCs w:val="2"/>
        </w:rPr>
        <w:t>1513B</w:t>
      </w:r>
      <w:hyperlink w:anchor="_Toc83895464" w:history="1">
        <w:r w:rsidR="00CD0FC1" w:rsidRPr="001B4BB2">
          <w:rPr>
            <w:rStyle w:val="Hyperlink"/>
            <w:noProof/>
          </w:rPr>
          <w:t>Settlement distribution and administration</w:t>
        </w:r>
        <w:r w:rsidR="00CD0FC1">
          <w:rPr>
            <w:noProof/>
            <w:webHidden/>
          </w:rPr>
          <w:tab/>
        </w:r>
        <w:r w:rsidR="00CD0FC1">
          <w:rPr>
            <w:noProof/>
            <w:webHidden/>
          </w:rPr>
          <w:fldChar w:fldCharType="begin"/>
        </w:r>
        <w:r w:rsidR="00CD0FC1">
          <w:rPr>
            <w:noProof/>
            <w:webHidden/>
          </w:rPr>
          <w:instrText xml:space="preserve"> PAGEREF _Toc83895464 \h </w:instrText>
        </w:r>
        <w:r w:rsidR="00CD0FC1">
          <w:rPr>
            <w:noProof/>
            <w:webHidden/>
          </w:rPr>
        </w:r>
        <w:r w:rsidR="00CD0FC1">
          <w:rPr>
            <w:noProof/>
            <w:webHidden/>
          </w:rPr>
          <w:fldChar w:fldCharType="separate"/>
        </w:r>
        <w:r w:rsidR="00317AE4">
          <w:rPr>
            <w:noProof/>
            <w:webHidden/>
          </w:rPr>
          <w:t>167</w:t>
        </w:r>
        <w:r w:rsidR="00CD0FC1">
          <w:rPr>
            <w:noProof/>
            <w:webHidden/>
          </w:rPr>
          <w:fldChar w:fldCharType="end"/>
        </w:r>
      </w:hyperlink>
    </w:p>
    <w:p w14:paraId="6E5EB01B" w14:textId="74D5A836" w:rsidR="00CD0FC1" w:rsidRDefault="00BD5C95">
      <w:pPr>
        <w:pStyle w:val="TOC2"/>
        <w:rPr>
          <w:rFonts w:asciiTheme="minorHAnsi" w:eastAsiaTheme="minorEastAsia" w:hAnsiTheme="minorHAnsi" w:cstheme="minorBidi"/>
          <w:noProof/>
          <w:color w:val="auto"/>
          <w:sz w:val="22"/>
          <w:szCs w:val="22"/>
          <w:lang w:eastAsia="en-NZ"/>
        </w:rPr>
      </w:pPr>
      <w:r>
        <w:rPr>
          <w:rFonts w:ascii="ZWAdobeF" w:hAnsi="ZWAdobeF" w:cs="ZWAdobeF"/>
          <w:noProof/>
          <w:color w:val="auto"/>
          <w:sz w:val="2"/>
          <w:szCs w:val="2"/>
        </w:rPr>
        <w:t>1504B</w:t>
      </w:r>
      <w:r w:rsidR="0049638A">
        <w:rPr>
          <w:rFonts w:ascii="ZWAdobeF" w:hAnsi="ZWAdobeF" w:cs="ZWAdobeF"/>
          <w:noProof/>
          <w:color w:val="auto"/>
          <w:sz w:val="2"/>
          <w:szCs w:val="2"/>
        </w:rPr>
        <w:t>1504B</w:t>
      </w:r>
      <w:r w:rsidR="00D629FA">
        <w:rPr>
          <w:rFonts w:ascii="ZWAdobeF" w:hAnsi="ZWAdobeF" w:cs="ZWAdobeF"/>
          <w:noProof/>
          <w:color w:val="auto"/>
          <w:sz w:val="2"/>
          <w:szCs w:val="2"/>
        </w:rPr>
        <w:t>1514B</w:t>
      </w:r>
      <w:hyperlink w:anchor="_Toc83895465" w:history="1">
        <w:r w:rsidR="00CD0FC1" w:rsidRPr="001B4BB2">
          <w:rPr>
            <w:rStyle w:val="Hyperlink"/>
            <w:noProof/>
          </w:rPr>
          <w:t>Our draft settlement provisions</w:t>
        </w:r>
        <w:r w:rsidR="00CD0FC1">
          <w:rPr>
            <w:noProof/>
            <w:webHidden/>
          </w:rPr>
          <w:tab/>
        </w:r>
        <w:r w:rsidR="00CD0FC1">
          <w:rPr>
            <w:noProof/>
            <w:webHidden/>
          </w:rPr>
          <w:fldChar w:fldCharType="begin"/>
        </w:r>
        <w:r w:rsidR="00CD0FC1">
          <w:rPr>
            <w:noProof/>
            <w:webHidden/>
          </w:rPr>
          <w:instrText xml:space="preserve"> PAGEREF _Toc83895465 \h </w:instrText>
        </w:r>
        <w:r w:rsidR="00CD0FC1">
          <w:rPr>
            <w:noProof/>
            <w:webHidden/>
          </w:rPr>
        </w:r>
        <w:r w:rsidR="00CD0FC1">
          <w:rPr>
            <w:noProof/>
            <w:webHidden/>
          </w:rPr>
          <w:fldChar w:fldCharType="separate"/>
        </w:r>
        <w:r w:rsidR="00317AE4">
          <w:rPr>
            <w:noProof/>
            <w:webHidden/>
          </w:rPr>
          <w:t>172</w:t>
        </w:r>
        <w:r w:rsidR="00CD0FC1">
          <w:rPr>
            <w:noProof/>
            <w:webHidden/>
          </w:rPr>
          <w:fldChar w:fldCharType="end"/>
        </w:r>
      </w:hyperlink>
    </w:p>
    <w:p w14:paraId="4196FD6F" w14:textId="654D5E58" w:rsidR="00CD0FC1" w:rsidRDefault="00D629FA">
      <w:pPr>
        <w:pStyle w:val="TOC1"/>
        <w:rPr>
          <w:rFonts w:asciiTheme="minorHAnsi" w:eastAsiaTheme="minorEastAsia" w:hAnsiTheme="minorHAnsi" w:cstheme="minorBidi"/>
          <w:b w:val="0"/>
          <w:noProof/>
          <w:color w:val="auto"/>
          <w:sz w:val="22"/>
          <w:szCs w:val="22"/>
          <w:lang w:eastAsia="en-NZ"/>
        </w:rPr>
      </w:pPr>
      <w:r>
        <w:rPr>
          <w:rStyle w:val="Hyperlink"/>
          <w:rFonts w:ascii="ZWAdobeF" w:hAnsi="ZWAdobeF" w:cs="ZWAdobeF"/>
          <w:b w:val="0"/>
          <w:noProof/>
          <w:color w:val="auto"/>
          <w:sz w:val="2"/>
          <w:szCs w:val="2"/>
          <w:u w:val="none"/>
        </w:rPr>
        <w:t>1485B</w:t>
      </w:r>
      <w:r w:rsidR="00B73434" w:rsidRPr="00B73434">
        <w:rPr>
          <w:rStyle w:val="Hyperlink"/>
          <w:noProof/>
          <w:u w:val="none"/>
        </w:rPr>
        <w:t xml:space="preserve">Appendix 1: </w:t>
      </w:r>
      <w:r w:rsidR="0098782A">
        <w:rPr>
          <w:rStyle w:val="Hyperlink"/>
          <w:noProof/>
          <w:u w:val="none"/>
        </w:rPr>
        <w:t>Diagram showing p</w:t>
      </w:r>
      <w:hyperlink w:anchor="_Toc83895466" w:history="1">
        <w:r w:rsidR="00CD0FC1" w:rsidRPr="001B4BB2">
          <w:rPr>
            <w:rStyle w:val="Hyperlink"/>
            <w:noProof/>
          </w:rPr>
          <w:t>rocess for settlement post-certification</w:t>
        </w:r>
        <w:r w:rsidR="00CD0FC1">
          <w:rPr>
            <w:noProof/>
            <w:webHidden/>
          </w:rPr>
          <w:tab/>
        </w:r>
        <w:r w:rsidR="00CD0FC1">
          <w:rPr>
            <w:noProof/>
            <w:webHidden/>
          </w:rPr>
          <w:fldChar w:fldCharType="begin"/>
        </w:r>
        <w:r w:rsidR="00CD0FC1">
          <w:rPr>
            <w:noProof/>
            <w:webHidden/>
          </w:rPr>
          <w:instrText xml:space="preserve"> PAGEREF _Toc83895466 \h </w:instrText>
        </w:r>
        <w:r w:rsidR="00CD0FC1">
          <w:rPr>
            <w:noProof/>
            <w:webHidden/>
          </w:rPr>
        </w:r>
        <w:r w:rsidR="00CD0FC1">
          <w:rPr>
            <w:noProof/>
            <w:webHidden/>
          </w:rPr>
          <w:fldChar w:fldCharType="separate"/>
        </w:r>
        <w:r w:rsidR="00317AE4">
          <w:rPr>
            <w:noProof/>
            <w:webHidden/>
          </w:rPr>
          <w:t>175</w:t>
        </w:r>
        <w:r w:rsidR="00CD0FC1">
          <w:rPr>
            <w:noProof/>
            <w:webHidden/>
          </w:rPr>
          <w:fldChar w:fldCharType="end"/>
        </w:r>
      </w:hyperlink>
    </w:p>
    <w:p w14:paraId="58856E74" w14:textId="1FFE519E" w:rsidR="00CD0FC1" w:rsidRDefault="00D629FA">
      <w:pPr>
        <w:pStyle w:val="TOC1"/>
        <w:rPr>
          <w:rFonts w:asciiTheme="minorHAnsi" w:eastAsiaTheme="minorEastAsia" w:hAnsiTheme="minorHAnsi" w:cstheme="minorBidi"/>
          <w:b w:val="0"/>
          <w:noProof/>
          <w:color w:val="auto"/>
          <w:sz w:val="22"/>
          <w:szCs w:val="22"/>
          <w:lang w:eastAsia="en-NZ"/>
        </w:rPr>
      </w:pPr>
      <w:r>
        <w:rPr>
          <w:rStyle w:val="Hyperlink"/>
          <w:rFonts w:ascii="ZWAdobeF" w:hAnsi="ZWAdobeF" w:cs="ZWAdobeF"/>
          <w:b w:val="0"/>
          <w:noProof/>
          <w:color w:val="auto"/>
          <w:sz w:val="2"/>
          <w:szCs w:val="2"/>
          <w:u w:val="none"/>
        </w:rPr>
        <w:t>1486B</w:t>
      </w:r>
      <w:r w:rsidR="00B73434" w:rsidRPr="00B73434">
        <w:rPr>
          <w:rStyle w:val="Hyperlink"/>
          <w:noProof/>
          <w:u w:val="none"/>
        </w:rPr>
        <w:t xml:space="preserve">Appendix </w:t>
      </w:r>
      <w:r w:rsidR="00B73434">
        <w:rPr>
          <w:rStyle w:val="Hyperlink"/>
          <w:noProof/>
          <w:u w:val="none"/>
        </w:rPr>
        <w:t>2</w:t>
      </w:r>
      <w:r w:rsidR="00B73434" w:rsidRPr="00B73434">
        <w:rPr>
          <w:rStyle w:val="Hyperlink"/>
          <w:noProof/>
          <w:u w:val="none"/>
        </w:rPr>
        <w:t xml:space="preserve">: </w:t>
      </w:r>
      <w:hyperlink w:anchor="_Toc83895467" w:history="1">
        <w:r w:rsidR="00CD0FC1" w:rsidRPr="001B4BB2">
          <w:rPr>
            <w:rStyle w:val="Hyperlink"/>
            <w:noProof/>
          </w:rPr>
          <w:t>Provisions for a Class Actions Bill</w:t>
        </w:r>
        <w:r w:rsidR="00CD0FC1">
          <w:rPr>
            <w:noProof/>
            <w:webHidden/>
          </w:rPr>
          <w:tab/>
        </w:r>
        <w:r w:rsidR="00CD0FC1">
          <w:rPr>
            <w:noProof/>
            <w:webHidden/>
          </w:rPr>
          <w:fldChar w:fldCharType="begin"/>
        </w:r>
        <w:r w:rsidR="00CD0FC1">
          <w:rPr>
            <w:noProof/>
            <w:webHidden/>
          </w:rPr>
          <w:instrText xml:space="preserve"> PAGEREF _Toc83895467 \h </w:instrText>
        </w:r>
        <w:r w:rsidR="00CD0FC1">
          <w:rPr>
            <w:noProof/>
            <w:webHidden/>
          </w:rPr>
        </w:r>
        <w:r w:rsidR="00CD0FC1">
          <w:rPr>
            <w:noProof/>
            <w:webHidden/>
          </w:rPr>
          <w:fldChar w:fldCharType="separate"/>
        </w:r>
        <w:r w:rsidR="00317AE4">
          <w:rPr>
            <w:noProof/>
            <w:webHidden/>
          </w:rPr>
          <w:t>176</w:t>
        </w:r>
        <w:r w:rsidR="00CD0FC1">
          <w:rPr>
            <w:noProof/>
            <w:webHidden/>
          </w:rPr>
          <w:fldChar w:fldCharType="end"/>
        </w:r>
      </w:hyperlink>
    </w:p>
    <w:p w14:paraId="4D0908CF" w14:textId="640FBA1E" w:rsidR="004A3CB5" w:rsidRPr="00A141F9" w:rsidRDefault="00B06235" w:rsidP="00A141F9">
      <w:pPr>
        <w:pStyle w:val="TOC2"/>
        <w:rPr>
          <w:rFonts w:eastAsiaTheme="minorEastAsia"/>
          <w:lang w:eastAsia="en-NZ"/>
        </w:rPr>
      </w:pPr>
      <w:r>
        <w:rPr>
          <w:b/>
          <w:sz w:val="24"/>
          <w:lang w:eastAsia="en-NZ"/>
        </w:rPr>
        <w:fldChar w:fldCharType="end"/>
      </w:r>
    </w:p>
    <w:p w14:paraId="54823FA4" w14:textId="77777777" w:rsidR="004A3CB5" w:rsidRDefault="004A3CB5" w:rsidP="00A25B46">
      <w:pPr>
        <w:pStyle w:val="Heading1nonum"/>
        <w:spacing w:before="600" w:after="240"/>
        <w:rPr>
          <w:rFonts w:ascii="Metropolis Light" w:hAnsi="Metropolis Light"/>
          <w:b w:val="0"/>
          <w:color w:val="auto"/>
          <w:sz w:val="24"/>
          <w:lang w:eastAsia="en-NZ"/>
        </w:rPr>
        <w:sectPr w:rsidR="004A3CB5" w:rsidSect="001705A0">
          <w:headerReference w:type="even" r:id="rId27"/>
          <w:headerReference w:type="default" r:id="rId28"/>
          <w:footerReference w:type="even" r:id="rId29"/>
          <w:footnotePr>
            <w:numRestart w:val="eachSect"/>
          </w:footnotePr>
          <w:type w:val="nextColumn"/>
          <w:pgSz w:w="11907" w:h="16840" w:code="9"/>
          <w:pgMar w:top="1134" w:right="1134" w:bottom="1134" w:left="1701" w:header="499" w:footer="0" w:gutter="0"/>
          <w:pgNumType w:start="1"/>
          <w:cols w:space="720"/>
        </w:sectPr>
      </w:pPr>
    </w:p>
    <w:bookmarkStart w:id="25" w:name="_Toc83895420"/>
    <w:p w14:paraId="23D06BEB" w14:textId="7D05C870" w:rsidR="004A3CB5" w:rsidRPr="00D37FCE" w:rsidRDefault="004A3CB5" w:rsidP="004A3CB5">
      <w:pPr>
        <w:pStyle w:val="Heading1nonum"/>
        <w:spacing w:before="600" w:after="240"/>
        <w:rPr>
          <w:rFonts w:eastAsia="Consolas"/>
        </w:rPr>
      </w:pPr>
      <w:r w:rsidRPr="00D37FCE">
        <w:rPr>
          <w:noProof/>
          <w:lang w:eastAsia="en-NZ"/>
        </w:rPr>
        <w:lastRenderedPageBreak/>
        <mc:AlternateContent>
          <mc:Choice Requires="wpg">
            <w:drawing>
              <wp:anchor distT="0" distB="0" distL="114300" distR="114300" simplePos="0" relativeHeight="251651095" behindDoc="1" locked="0" layoutInCell="1" allowOverlap="1" wp14:anchorId="7935C38C" wp14:editId="7C4CE393">
                <wp:simplePos x="0" y="0"/>
                <wp:positionH relativeFrom="column">
                  <wp:posOffset>25400</wp:posOffset>
                </wp:positionH>
                <wp:positionV relativeFrom="paragraph">
                  <wp:posOffset>1051750</wp:posOffset>
                </wp:positionV>
                <wp:extent cx="1332230" cy="1270"/>
                <wp:effectExtent l="0" t="19050" r="20320" b="1778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86F8BBA" id="Group 39" o:spid="_x0000_s1026" style="position:absolute;margin-left:2pt;margin-top:82.8pt;width:104.9pt;height:.1pt;z-index:-251665385"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UKAgMAAPs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" path="m,l2098,e" filled="f" strokecolor="#73ab6e" strokeweight="3pt">
                  <v:path arrowok="t" o:connecttype="custom" o:connectlocs="0,0;2098,0" o:connectangles="0,0"/>
                </v:shape>
              </v:group>
            </w:pict>
          </mc:Fallback>
        </mc:AlternateContent>
      </w:r>
      <w:r w:rsidR="00A141F9">
        <w:rPr>
          <w:rFonts w:eastAsia="Metropolis Black"/>
        </w:rPr>
        <w:t>List of questions</w:t>
      </w:r>
      <w:bookmarkEnd w:id="25"/>
      <w:r w:rsidRPr="00D37FCE">
        <w:rPr>
          <w:noProof/>
          <w:lang w:eastAsia="en-NZ"/>
        </w:rPr>
        <w:t xml:space="preserve"> </w:t>
      </w:r>
    </w:p>
    <w:p w14:paraId="0DC8DB15" w14:textId="77777777" w:rsidR="004A3CB5" w:rsidRPr="00D37FCE" w:rsidRDefault="004A3CB5" w:rsidP="004A3CB5">
      <w:pPr>
        <w:pStyle w:val="BodyTextalphalist"/>
      </w:pPr>
    </w:p>
    <w:bookmarkStart w:id="26" w:name="_Toc83895421"/>
    <w:p w14:paraId="43E88CEF" w14:textId="650BACF0" w:rsidR="00FD77EF" w:rsidRDefault="00AE7117" w:rsidP="00AE7117">
      <w:pPr>
        <w:pStyle w:val="Heading2"/>
      </w:pPr>
      <w:r>
        <w:rPr>
          <w:noProof/>
        </w:rPr>
        <mc:AlternateContent>
          <mc:Choice Requires="wpg">
            <w:drawing>
              <wp:anchor distT="0" distB="0" distL="114300" distR="114300" simplePos="0" relativeHeight="251663459" behindDoc="1" locked="0" layoutInCell="1" allowOverlap="1" wp14:anchorId="5CD880F6" wp14:editId="1BD25408">
                <wp:simplePos x="0" y="0"/>
                <wp:positionH relativeFrom="column">
                  <wp:posOffset>-635</wp:posOffset>
                </wp:positionH>
                <wp:positionV relativeFrom="paragraph">
                  <wp:posOffset>441960</wp:posOffset>
                </wp:positionV>
                <wp:extent cx="5760085" cy="5524412"/>
                <wp:effectExtent l="0" t="0" r="0" b="635"/>
                <wp:wrapNone/>
                <wp:docPr id="4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5524412"/>
                          <a:chOff x="1837" y="1791"/>
                          <a:chExt cx="9302" cy="9431"/>
                        </a:xfrm>
                      </wpg:grpSpPr>
                      <wps:wsp>
                        <wps:cNvPr id="49" name="Freeform 54"/>
                        <wps:cNvSpPr>
                          <a:spLocks/>
                        </wps:cNvSpPr>
                        <wps:spPr bwMode="auto">
                          <a:xfrm>
                            <a:off x="1837" y="1791"/>
                            <a:ext cx="9302" cy="943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8A246A8" id="Group 53" o:spid="_x0000_s1026" style="position:absolute;margin-left:-.05pt;margin-top:34.8pt;width:453.55pt;height:435pt;z-index:-251653021;mso-height-relative:margin" coordorigin="1837,1791" coordsize="9302,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">
                <v:shape id="Freeform 54" o:spid="_x0000_s1027" style="position:absolute;left:1837;top:1791;width:9302;height:943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" path="m,l9354,r,7809l,7809,,e" fillcolor="#edf2ea" stroked="f">
                  <v:path arrowok="t" o:connecttype="custom" o:connectlocs="0,1208;9302,1208;9302,10639;0,10639;0,1208" o:connectangles="0,0,0,0,0"/>
                </v:shape>
              </v:group>
            </w:pict>
          </mc:Fallback>
        </mc:AlternateContent>
      </w:r>
      <w:r w:rsidR="00BF2446">
        <w:rPr>
          <w:caps w:val="0"/>
        </w:rPr>
        <w:t xml:space="preserve">CHAPTER 1: </w:t>
      </w:r>
      <w:r w:rsidR="00BF2446" w:rsidRPr="00A24A1A">
        <w:rPr>
          <w:caps w:val="0"/>
        </w:rPr>
        <w:t>COMMENCEMENT AND CERTIFICATION OF A CLASS ACTION</w:t>
      </w:r>
      <w:bookmarkEnd w:id="26"/>
      <w:r w:rsidR="00BF2446" w:rsidRPr="00A24A1A">
        <w:rPr>
          <w:caps w:val="0"/>
        </w:rPr>
        <w:t xml:space="preserve"> </w:t>
      </w:r>
    </w:p>
    <w:p w14:paraId="0AF4C72B" w14:textId="397A04EE" w:rsidR="00AE7117" w:rsidRDefault="00AE7117" w:rsidP="00F43E7E">
      <w:pPr>
        <w:pStyle w:val="QuestionBox"/>
      </w:pPr>
      <w:r>
        <w:rPr>
          <w:noProof/>
        </w:rPr>
        <mc:AlternateContent>
          <mc:Choice Requires="wpg">
            <w:drawing>
              <wp:anchor distT="0" distB="0" distL="114300" distR="114300" simplePos="0" relativeHeight="251664483" behindDoc="1" locked="0" layoutInCell="1" allowOverlap="1" wp14:anchorId="3650C2F1" wp14:editId="224CA01E">
                <wp:simplePos x="0" y="0"/>
                <wp:positionH relativeFrom="column">
                  <wp:posOffset>-1905</wp:posOffset>
                </wp:positionH>
                <wp:positionV relativeFrom="paragraph">
                  <wp:posOffset>168910</wp:posOffset>
                </wp:positionV>
                <wp:extent cx="1443794" cy="251974"/>
                <wp:effectExtent l="0" t="0" r="42545" b="0"/>
                <wp:wrapNone/>
                <wp:docPr id="55" name="Group 55"/>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5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796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784B60" w14:textId="1B2A2A07" w:rsidR="0083563A" w:rsidRPr="00E700FF" w:rsidRDefault="0083563A" w:rsidP="0083563A">
                              <w:pPr>
                                <w:pStyle w:val="BoxTitle"/>
                                <w:spacing w:before="0" w:beforeAutospacing="0"/>
                              </w:pPr>
                              <w:r w:rsidRPr="001C1B37">
                                <w:t>Q</w:t>
                              </w:r>
                              <w:r w:rsidR="00485222">
                                <w:t>1</w:t>
                              </w:r>
                            </w:p>
                          </w:txbxContent>
                        </wps:txbx>
                        <wps:bodyPr rot="0" vert="horz" wrap="square" lIns="54000" tIns="82800" rIns="91440" bIns="45720" anchor="ctr" anchorCtr="0" upright="1">
                          <a:noAutofit/>
                        </wps:bodyPr>
                      </wps:wsp>
                    </wpg:wgp>
                  </a:graphicData>
                </a:graphic>
              </wp:anchor>
            </w:drawing>
          </mc:Choice>
          <mc:Fallback>
            <w:pict>
              <v:group w14:anchorId="3650C2F1" id="Group 55" o:spid="_x0000_s1031" style="position:absolute;left:0;text-align:left;margin-left:-.15pt;margin-top:13.3pt;width:113.7pt;height:19.85pt;z-index:-25165199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">
                <v:shape id="Freeform 58" o:spid="_x0000_s103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" path="m,l1815,e" filled="f" strokecolor="#72ab6a" strokeweight=".5pt">
                  <v:path arrowok="t" o:connecttype="custom" o:connectlocs="0,0;1073495,0" o:connectangles="0,0"/>
                </v:shape>
                <v:shape id="Freeform 66" o:spid="_x0000_s103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6784B60" w14:textId="1B2A2A07" w:rsidR="0083563A" w:rsidRPr="00E700FF" w:rsidRDefault="0083563A" w:rsidP="0083563A">
                        <w:pPr>
                          <w:pStyle w:val="BoxTitle"/>
                          <w:spacing w:before="0" w:beforeAutospacing="0"/>
                        </w:pPr>
                        <w:r w:rsidRPr="001C1B37">
                          <w:t>Q</w:t>
                        </w:r>
                        <w:r w:rsidR="00485222">
                          <w:t>1</w:t>
                        </w:r>
                      </w:p>
                    </w:txbxContent>
                  </v:textbox>
                </v:shape>
              </v:group>
            </w:pict>
          </mc:Fallback>
        </mc:AlternateContent>
      </w:r>
    </w:p>
    <w:p w14:paraId="78435D11" w14:textId="0A9E22FC" w:rsidR="00F43E7E" w:rsidRDefault="00BD5C95" w:rsidP="00F43E7E">
      <w:pPr>
        <w:pStyle w:val="QuestionBox"/>
      </w:pPr>
      <w:r>
        <w:rPr>
          <w:rFonts w:ascii="ZWAdobeF" w:hAnsi="ZWAdobeF" w:cs="ZWAdobeF"/>
          <w:color w:val="auto"/>
          <w:sz w:val="2"/>
          <w:szCs w:val="2"/>
        </w:rPr>
        <w:t>1321B</w:t>
      </w:r>
      <w:r w:rsidR="0049638A">
        <w:rPr>
          <w:rFonts w:ascii="ZWAdobeF" w:hAnsi="ZWAdobeF" w:cs="ZWAdobeF"/>
          <w:color w:val="auto"/>
          <w:sz w:val="2"/>
          <w:szCs w:val="2"/>
        </w:rPr>
        <w:t>1321B</w:t>
      </w:r>
      <w:r w:rsidR="00D629FA">
        <w:rPr>
          <w:rFonts w:ascii="ZWAdobeF" w:hAnsi="ZWAdobeF" w:cs="ZWAdobeF"/>
          <w:color w:val="auto"/>
          <w:sz w:val="2"/>
          <w:szCs w:val="2"/>
        </w:rPr>
        <w:t>1321B</w:t>
      </w:r>
      <w:r w:rsidR="00F43E7E">
        <w:t xml:space="preserve">Do you agree with our draft commencement provisions? If not, how should they be amended? </w:t>
      </w:r>
    </w:p>
    <w:p w14:paraId="2A120B90" w14:textId="6CD96CF1" w:rsidR="00AE7117" w:rsidRDefault="00AE7117" w:rsidP="00F43E7E">
      <w:pPr>
        <w:pStyle w:val="QuestionBox"/>
      </w:pPr>
      <w:r>
        <w:rPr>
          <w:noProof/>
        </w:rPr>
        <mc:AlternateContent>
          <mc:Choice Requires="wpg">
            <w:drawing>
              <wp:anchor distT="0" distB="0" distL="114300" distR="114300" simplePos="0" relativeHeight="251666531" behindDoc="1" locked="0" layoutInCell="1" allowOverlap="1" wp14:anchorId="01C4A2C1" wp14:editId="55A5562B">
                <wp:simplePos x="0" y="0"/>
                <wp:positionH relativeFrom="column">
                  <wp:posOffset>0</wp:posOffset>
                </wp:positionH>
                <wp:positionV relativeFrom="paragraph">
                  <wp:posOffset>170815</wp:posOffset>
                </wp:positionV>
                <wp:extent cx="1443794" cy="251974"/>
                <wp:effectExtent l="0" t="0" r="42545" b="0"/>
                <wp:wrapNone/>
                <wp:docPr id="764517961" name="Group 764517961"/>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796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D6AEB6" w14:textId="033AD41D" w:rsidR="00AE7117" w:rsidRPr="00E700FF" w:rsidRDefault="00AE7117" w:rsidP="00AE7117">
                              <w:pPr>
                                <w:pStyle w:val="BoxTitle"/>
                                <w:spacing w:before="0" w:beforeAutospacing="0"/>
                              </w:pPr>
                              <w:r w:rsidRPr="001C1B37">
                                <w:t>Q</w:t>
                              </w:r>
                              <w:r w:rsidR="00BF2446">
                                <w:t>2</w:t>
                              </w:r>
                            </w:p>
                          </w:txbxContent>
                        </wps:txbx>
                        <wps:bodyPr rot="0" vert="horz" wrap="square" lIns="54000" tIns="82800" rIns="91440" bIns="45720" anchor="ctr" anchorCtr="0" upright="1">
                          <a:noAutofit/>
                        </wps:bodyPr>
                      </wps:wsp>
                    </wpg:wgp>
                  </a:graphicData>
                </a:graphic>
              </wp:anchor>
            </w:drawing>
          </mc:Choice>
          <mc:Fallback>
            <w:pict>
              <v:group w14:anchorId="01C4A2C1" id="Group 764517961" o:spid="_x0000_s1034" style="position:absolute;left:0;text-align:left;margin-left:0;margin-top:13.45pt;width:113.7pt;height:19.85pt;z-index:-25164994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">
                <v:shape id="Freeform 58" o:spid="_x0000_s103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" path="m,l1815,e" filled="f" strokecolor="#72ab6a" strokeweight=".5pt">
                  <v:path arrowok="t" o:connecttype="custom" o:connectlocs="0,0;1073495,0" o:connectangles="0,0"/>
                </v:shape>
                <v:shape id="Freeform 66" o:spid="_x0000_s103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8D6AEB6" w14:textId="033AD41D" w:rsidR="00AE7117" w:rsidRPr="00E700FF" w:rsidRDefault="00AE7117" w:rsidP="00AE7117">
                        <w:pPr>
                          <w:pStyle w:val="BoxTitle"/>
                          <w:spacing w:before="0" w:beforeAutospacing="0"/>
                        </w:pPr>
                        <w:r w:rsidRPr="001C1B37">
                          <w:t>Q</w:t>
                        </w:r>
                        <w:r w:rsidR="00BF2446">
                          <w:t>2</w:t>
                        </w:r>
                      </w:p>
                    </w:txbxContent>
                  </v:textbox>
                </v:shape>
              </v:group>
            </w:pict>
          </mc:Fallback>
        </mc:AlternateContent>
      </w:r>
    </w:p>
    <w:p w14:paraId="4B565048" w14:textId="38B81F86" w:rsidR="00F43E7E" w:rsidRDefault="00BD5C95" w:rsidP="00F43E7E">
      <w:pPr>
        <w:pStyle w:val="QuestionBox"/>
      </w:pPr>
      <w:r>
        <w:rPr>
          <w:rFonts w:ascii="ZWAdobeF" w:hAnsi="ZWAdobeF" w:cs="ZWAdobeF"/>
          <w:color w:val="auto"/>
          <w:sz w:val="2"/>
          <w:szCs w:val="2"/>
        </w:rPr>
        <w:t>1322B</w:t>
      </w:r>
      <w:r w:rsidR="0049638A">
        <w:rPr>
          <w:rFonts w:ascii="ZWAdobeF" w:hAnsi="ZWAdobeF" w:cs="ZWAdobeF"/>
          <w:color w:val="auto"/>
          <w:sz w:val="2"/>
          <w:szCs w:val="2"/>
        </w:rPr>
        <w:t>1322B</w:t>
      </w:r>
      <w:r w:rsidR="00D629FA">
        <w:rPr>
          <w:rFonts w:ascii="ZWAdobeF" w:hAnsi="ZWAdobeF" w:cs="ZWAdobeF"/>
          <w:color w:val="auto"/>
          <w:sz w:val="2"/>
          <w:szCs w:val="2"/>
        </w:rPr>
        <w:t>1322B</w:t>
      </w:r>
      <w:r w:rsidR="00F43E7E">
        <w:t xml:space="preserve">Do you agree with our draft certification provision? If not, how should it be amended? </w:t>
      </w:r>
    </w:p>
    <w:p w14:paraId="295B6378" w14:textId="16C13AE7" w:rsidR="00BF2446" w:rsidRDefault="00BF2446" w:rsidP="00F43E7E">
      <w:pPr>
        <w:pStyle w:val="QuestionBox"/>
      </w:pPr>
      <w:r>
        <w:rPr>
          <w:noProof/>
        </w:rPr>
        <mc:AlternateContent>
          <mc:Choice Requires="wpg">
            <w:drawing>
              <wp:anchor distT="0" distB="0" distL="114300" distR="114300" simplePos="0" relativeHeight="251668579" behindDoc="1" locked="0" layoutInCell="1" allowOverlap="1" wp14:anchorId="0DFD632C" wp14:editId="3CBFBB30">
                <wp:simplePos x="0" y="0"/>
                <wp:positionH relativeFrom="column">
                  <wp:posOffset>0</wp:posOffset>
                </wp:positionH>
                <wp:positionV relativeFrom="paragraph">
                  <wp:posOffset>164465</wp:posOffset>
                </wp:positionV>
                <wp:extent cx="1443794" cy="251974"/>
                <wp:effectExtent l="0" t="0" r="42545" b="0"/>
                <wp:wrapNone/>
                <wp:docPr id="177" name="Group 177"/>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17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03C70A" w14:textId="70585F92" w:rsidR="00BF2446" w:rsidRPr="00E700FF" w:rsidRDefault="00BF2446" w:rsidP="00BF2446">
                              <w:pPr>
                                <w:pStyle w:val="BoxTitle"/>
                                <w:spacing w:before="0" w:beforeAutospacing="0"/>
                              </w:pPr>
                              <w:r w:rsidRPr="001C1B37">
                                <w:t>Q</w:t>
                              </w:r>
                              <w:r w:rsidR="00082500">
                                <w:t>3</w:t>
                              </w:r>
                            </w:p>
                          </w:txbxContent>
                        </wps:txbx>
                        <wps:bodyPr rot="0" vert="horz" wrap="square" lIns="54000" tIns="82800" rIns="91440" bIns="45720" anchor="ctr" anchorCtr="0" upright="1">
                          <a:noAutofit/>
                        </wps:bodyPr>
                      </wps:wsp>
                    </wpg:wgp>
                  </a:graphicData>
                </a:graphic>
              </wp:anchor>
            </w:drawing>
          </mc:Choice>
          <mc:Fallback>
            <w:pict>
              <v:group w14:anchorId="0DFD632C" id="Group 177" o:spid="_x0000_s1037" style="position:absolute;left:0;text-align:left;margin-left:0;margin-top:12.95pt;width:113.7pt;height:19.85pt;z-index:-25164790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">
                <v:shape id="Freeform 58" o:spid="_x0000_s103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" path="m,l1815,e" filled="f" strokecolor="#72ab6a" strokeweight=".5pt">
                  <v:path arrowok="t" o:connecttype="custom" o:connectlocs="0,0;1073495,0" o:connectangles="0,0"/>
                </v:shape>
                <v:shape id="Freeform 66" o:spid="_x0000_s103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203C70A" w14:textId="70585F92" w:rsidR="00BF2446" w:rsidRPr="00E700FF" w:rsidRDefault="00BF2446" w:rsidP="00BF2446">
                        <w:pPr>
                          <w:pStyle w:val="BoxTitle"/>
                          <w:spacing w:before="0" w:beforeAutospacing="0"/>
                        </w:pPr>
                        <w:r w:rsidRPr="001C1B37">
                          <w:t>Q</w:t>
                        </w:r>
                        <w:r w:rsidR="00082500">
                          <w:t>3</w:t>
                        </w:r>
                      </w:p>
                    </w:txbxContent>
                  </v:textbox>
                </v:shape>
              </v:group>
            </w:pict>
          </mc:Fallback>
        </mc:AlternateContent>
      </w:r>
    </w:p>
    <w:p w14:paraId="4952C4C7" w14:textId="0EF3C423" w:rsidR="00F43E7E" w:rsidRPr="00AC1BA5" w:rsidRDefault="00BD5C95" w:rsidP="00F43E7E">
      <w:pPr>
        <w:pStyle w:val="QuestionBox"/>
      </w:pPr>
      <w:r>
        <w:rPr>
          <w:rFonts w:ascii="ZWAdobeF" w:hAnsi="ZWAdobeF" w:cs="ZWAdobeF"/>
          <w:color w:val="auto"/>
          <w:sz w:val="2"/>
          <w:szCs w:val="2"/>
        </w:rPr>
        <w:t>1323B</w:t>
      </w:r>
      <w:r w:rsidR="0049638A">
        <w:rPr>
          <w:rFonts w:ascii="ZWAdobeF" w:hAnsi="ZWAdobeF" w:cs="ZWAdobeF"/>
          <w:color w:val="auto"/>
          <w:sz w:val="2"/>
          <w:szCs w:val="2"/>
        </w:rPr>
        <w:t>1323B</w:t>
      </w:r>
      <w:r w:rsidR="00D629FA">
        <w:rPr>
          <w:rFonts w:ascii="ZWAdobeF" w:hAnsi="ZWAdobeF" w:cs="ZWAdobeF"/>
          <w:color w:val="auto"/>
          <w:sz w:val="2"/>
          <w:szCs w:val="2"/>
        </w:rPr>
        <w:t>1323B</w:t>
      </w:r>
      <w:r w:rsidR="00F43E7E">
        <w:t>When should sub-classes be allowed? For example:</w:t>
      </w:r>
    </w:p>
    <w:p w14:paraId="0753F258" w14:textId="4072CB73" w:rsidR="00F43E7E" w:rsidRPr="00E44869" w:rsidRDefault="00BD5C95" w:rsidP="00BF2446">
      <w:pPr>
        <w:pStyle w:val="Questionabc"/>
      </w:pPr>
      <w:r>
        <w:rPr>
          <w:rFonts w:ascii="ZWAdobeF" w:hAnsi="ZWAdobeF" w:cs="ZWAdobeF"/>
          <w:color w:val="auto"/>
          <w:sz w:val="2"/>
          <w:szCs w:val="2"/>
        </w:rPr>
        <w:t>1247B</w:t>
      </w:r>
      <w:r w:rsidR="0049638A">
        <w:rPr>
          <w:rFonts w:ascii="ZWAdobeF" w:hAnsi="ZWAdobeF" w:cs="ZWAdobeF"/>
          <w:color w:val="auto"/>
          <w:sz w:val="2"/>
          <w:szCs w:val="2"/>
        </w:rPr>
        <w:t>1247B</w:t>
      </w:r>
      <w:r w:rsidR="00D629FA">
        <w:rPr>
          <w:rFonts w:ascii="ZWAdobeF" w:hAnsi="ZWAdobeF" w:cs="ZWAdobeF"/>
          <w:color w:val="auto"/>
          <w:sz w:val="2"/>
          <w:szCs w:val="2"/>
        </w:rPr>
        <w:t>1247B</w:t>
      </w:r>
      <w:r w:rsidR="00F43E7E">
        <w:t>Where there is a conflict of interest among class members?</w:t>
      </w:r>
    </w:p>
    <w:p w14:paraId="3A84CA99" w14:textId="7B106EAD" w:rsidR="00F43E7E" w:rsidRPr="00FD3F42" w:rsidRDefault="00BD5C95" w:rsidP="00BF2446">
      <w:pPr>
        <w:pStyle w:val="Questionabc"/>
      </w:pPr>
      <w:r>
        <w:rPr>
          <w:rFonts w:ascii="ZWAdobeF" w:hAnsi="ZWAdobeF" w:cs="ZWAdobeF"/>
          <w:color w:val="auto"/>
          <w:sz w:val="2"/>
          <w:szCs w:val="2"/>
        </w:rPr>
        <w:t>1248B</w:t>
      </w:r>
      <w:r w:rsidR="0049638A">
        <w:rPr>
          <w:rFonts w:ascii="ZWAdobeF" w:hAnsi="ZWAdobeF" w:cs="ZWAdobeF"/>
          <w:color w:val="auto"/>
          <w:sz w:val="2"/>
          <w:szCs w:val="2"/>
        </w:rPr>
        <w:t>1248B</w:t>
      </w:r>
      <w:r w:rsidR="00D629FA">
        <w:rPr>
          <w:rFonts w:ascii="ZWAdobeF" w:hAnsi="ZWAdobeF" w:cs="ZWAdobeF"/>
          <w:color w:val="auto"/>
          <w:sz w:val="2"/>
          <w:szCs w:val="2"/>
        </w:rPr>
        <w:t>1248B</w:t>
      </w:r>
      <w:r w:rsidR="00F43E7E">
        <w:t>Where there is a common issue across all class members, as well as additional issues only shared by a sub-group?</w:t>
      </w:r>
    </w:p>
    <w:p w14:paraId="135D2501" w14:textId="35222C76" w:rsidR="00F43E7E" w:rsidRPr="001862D0" w:rsidRDefault="00BD5C95" w:rsidP="00BF2446">
      <w:pPr>
        <w:pStyle w:val="Questionabc"/>
      </w:pPr>
      <w:r>
        <w:rPr>
          <w:rFonts w:ascii="ZWAdobeF" w:hAnsi="ZWAdobeF" w:cs="ZWAdobeF"/>
          <w:color w:val="auto"/>
          <w:sz w:val="2"/>
          <w:szCs w:val="2"/>
        </w:rPr>
        <w:t>1249B</w:t>
      </w:r>
      <w:r w:rsidR="0049638A">
        <w:rPr>
          <w:rFonts w:ascii="ZWAdobeF" w:hAnsi="ZWAdobeF" w:cs="ZWAdobeF"/>
          <w:color w:val="auto"/>
          <w:sz w:val="2"/>
          <w:szCs w:val="2"/>
        </w:rPr>
        <w:t>1249B</w:t>
      </w:r>
      <w:r w:rsidR="00D629FA">
        <w:rPr>
          <w:rFonts w:ascii="ZWAdobeF" w:hAnsi="ZWAdobeF" w:cs="ZWAdobeF"/>
          <w:color w:val="auto"/>
          <w:sz w:val="2"/>
          <w:szCs w:val="2"/>
        </w:rPr>
        <w:t>1249B</w:t>
      </w:r>
      <w:r w:rsidR="00F43E7E">
        <w:t>Where there are sub-groups with related issues but no common issue applying to all claims?</w:t>
      </w:r>
    </w:p>
    <w:p w14:paraId="4976B62F" w14:textId="4ACAEA11" w:rsidR="00BF2446" w:rsidRDefault="00BF2446" w:rsidP="00F43E7E">
      <w:pPr>
        <w:pStyle w:val="QuestionBox"/>
      </w:pPr>
      <w:r>
        <w:rPr>
          <w:noProof/>
        </w:rPr>
        <mc:AlternateContent>
          <mc:Choice Requires="wpg">
            <w:drawing>
              <wp:anchor distT="0" distB="0" distL="114300" distR="114300" simplePos="0" relativeHeight="251670627" behindDoc="1" locked="0" layoutInCell="1" allowOverlap="1" wp14:anchorId="65827008" wp14:editId="13A103BC">
                <wp:simplePos x="0" y="0"/>
                <wp:positionH relativeFrom="column">
                  <wp:posOffset>0</wp:posOffset>
                </wp:positionH>
                <wp:positionV relativeFrom="paragraph">
                  <wp:posOffset>151765</wp:posOffset>
                </wp:positionV>
                <wp:extent cx="1443794" cy="251974"/>
                <wp:effectExtent l="0" t="0" r="42545" b="0"/>
                <wp:wrapNone/>
                <wp:docPr id="185" name="Group 185"/>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18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37FF2A" w14:textId="75A5532F" w:rsidR="00BF2446" w:rsidRPr="00E700FF" w:rsidRDefault="00BF2446" w:rsidP="00BF2446">
                              <w:pPr>
                                <w:pStyle w:val="BoxTitle"/>
                                <w:spacing w:before="0" w:beforeAutospacing="0"/>
                              </w:pPr>
                              <w:r w:rsidRPr="001C1B37">
                                <w:t>Q</w:t>
                              </w:r>
                              <w:r w:rsidR="00082500">
                                <w:t>4</w:t>
                              </w:r>
                            </w:p>
                          </w:txbxContent>
                        </wps:txbx>
                        <wps:bodyPr rot="0" vert="horz" wrap="square" lIns="54000" tIns="82800" rIns="91440" bIns="45720" anchor="ctr" anchorCtr="0" upright="1">
                          <a:noAutofit/>
                        </wps:bodyPr>
                      </wps:wsp>
                    </wpg:wgp>
                  </a:graphicData>
                </a:graphic>
              </wp:anchor>
            </w:drawing>
          </mc:Choice>
          <mc:Fallback>
            <w:pict>
              <v:group w14:anchorId="65827008" id="Group 185" o:spid="_x0000_s1040" style="position:absolute;left:0;text-align:left;margin-left:0;margin-top:11.95pt;width:113.7pt;height:19.85pt;z-index:-25164585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">
                <v:shape id="Freeform 58" o:spid="_x0000_s104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" path="m,l1815,e" filled="f" strokecolor="#72ab6a" strokeweight=".5pt">
                  <v:path arrowok="t" o:connecttype="custom" o:connectlocs="0,0;1073495,0" o:connectangles="0,0"/>
                </v:shape>
                <v:shape id="Freeform 66" o:spid="_x0000_s104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A37FF2A" w14:textId="75A5532F" w:rsidR="00BF2446" w:rsidRPr="00E700FF" w:rsidRDefault="00BF2446" w:rsidP="00BF2446">
                        <w:pPr>
                          <w:pStyle w:val="BoxTitle"/>
                          <w:spacing w:before="0" w:beforeAutospacing="0"/>
                        </w:pPr>
                        <w:r w:rsidRPr="001C1B37">
                          <w:t>Q</w:t>
                        </w:r>
                        <w:r w:rsidR="00082500">
                          <w:t>4</w:t>
                        </w:r>
                      </w:p>
                    </w:txbxContent>
                  </v:textbox>
                </v:shape>
              </v:group>
            </w:pict>
          </mc:Fallback>
        </mc:AlternateContent>
      </w:r>
    </w:p>
    <w:p w14:paraId="77614D89" w14:textId="202B3879" w:rsidR="00F43E7E" w:rsidRPr="00F2026E" w:rsidRDefault="00BD5C95" w:rsidP="00F43E7E">
      <w:pPr>
        <w:pStyle w:val="QuestionBox"/>
      </w:pPr>
      <w:r>
        <w:rPr>
          <w:rFonts w:ascii="ZWAdobeF" w:hAnsi="ZWAdobeF" w:cs="ZWAdobeF"/>
          <w:color w:val="auto"/>
          <w:sz w:val="2"/>
          <w:szCs w:val="2"/>
        </w:rPr>
        <w:t>1324B</w:t>
      </w:r>
      <w:r w:rsidR="0049638A">
        <w:rPr>
          <w:rFonts w:ascii="ZWAdobeF" w:hAnsi="ZWAdobeF" w:cs="ZWAdobeF"/>
          <w:color w:val="auto"/>
          <w:sz w:val="2"/>
          <w:szCs w:val="2"/>
        </w:rPr>
        <w:t>1324B</w:t>
      </w:r>
      <w:r w:rsidR="00D629FA">
        <w:rPr>
          <w:rFonts w:ascii="ZWAdobeF" w:hAnsi="ZWAdobeF" w:cs="ZWAdobeF"/>
          <w:color w:val="auto"/>
          <w:sz w:val="2"/>
          <w:szCs w:val="2"/>
        </w:rPr>
        <w:t>1324B</w:t>
      </w:r>
      <w:r w:rsidR="00F43E7E">
        <w:t xml:space="preserve">Do you agree with our list of matters that should be included in the court’s certification order? </w:t>
      </w:r>
    </w:p>
    <w:p w14:paraId="12663D15" w14:textId="55C32608" w:rsidR="00BF2446" w:rsidRDefault="00BF2446" w:rsidP="00F43E7E">
      <w:pPr>
        <w:pStyle w:val="QuestionBox"/>
      </w:pPr>
      <w:r>
        <w:rPr>
          <w:noProof/>
        </w:rPr>
        <mc:AlternateContent>
          <mc:Choice Requires="wpg">
            <w:drawing>
              <wp:anchor distT="0" distB="0" distL="114300" distR="114300" simplePos="0" relativeHeight="251672675" behindDoc="1" locked="0" layoutInCell="1" allowOverlap="1" wp14:anchorId="3A96EF93" wp14:editId="0601DF3E">
                <wp:simplePos x="0" y="0"/>
                <wp:positionH relativeFrom="column">
                  <wp:posOffset>0</wp:posOffset>
                </wp:positionH>
                <wp:positionV relativeFrom="paragraph">
                  <wp:posOffset>164465</wp:posOffset>
                </wp:positionV>
                <wp:extent cx="1443794" cy="251974"/>
                <wp:effectExtent l="0" t="0" r="42545" b="0"/>
                <wp:wrapNone/>
                <wp:docPr id="188" name="Group 188"/>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189"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05FB6E" w14:textId="461673F4" w:rsidR="00BF2446" w:rsidRPr="00E700FF" w:rsidRDefault="00BF2446" w:rsidP="00BF2446">
                              <w:pPr>
                                <w:pStyle w:val="BoxTitle"/>
                                <w:spacing w:before="0" w:beforeAutospacing="0"/>
                              </w:pPr>
                              <w:r w:rsidRPr="001C1B37">
                                <w:t>Q</w:t>
                              </w:r>
                              <w:r w:rsidR="00082500">
                                <w:t>5</w:t>
                              </w:r>
                            </w:p>
                          </w:txbxContent>
                        </wps:txbx>
                        <wps:bodyPr rot="0" vert="horz" wrap="square" lIns="54000" tIns="82800" rIns="91440" bIns="45720" anchor="ctr" anchorCtr="0" upright="1">
                          <a:noAutofit/>
                        </wps:bodyPr>
                      </wps:wsp>
                    </wpg:wgp>
                  </a:graphicData>
                </a:graphic>
              </wp:anchor>
            </w:drawing>
          </mc:Choice>
          <mc:Fallback>
            <w:pict>
              <v:group w14:anchorId="3A96EF93" id="Group 188" o:spid="_x0000_s1043" style="position:absolute;left:0;text-align:left;margin-left:0;margin-top:12.95pt;width:113.7pt;height:19.85pt;z-index:-25164380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">
                <v:shape id="Freeform 58" o:spid="_x0000_s104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" path="m,l1815,e" filled="f" strokecolor="#72ab6a" strokeweight=".5pt">
                  <v:path arrowok="t" o:connecttype="custom" o:connectlocs="0,0;1073495,0" o:connectangles="0,0"/>
                </v:shape>
                <v:shape id="Freeform 66" o:spid="_x0000_s104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B05FB6E" w14:textId="461673F4" w:rsidR="00BF2446" w:rsidRPr="00E700FF" w:rsidRDefault="00BF2446" w:rsidP="00BF2446">
                        <w:pPr>
                          <w:pStyle w:val="BoxTitle"/>
                          <w:spacing w:before="0" w:beforeAutospacing="0"/>
                        </w:pPr>
                        <w:r w:rsidRPr="001C1B37">
                          <w:t>Q</w:t>
                        </w:r>
                        <w:r w:rsidR="00082500">
                          <w:t>5</w:t>
                        </w:r>
                      </w:p>
                    </w:txbxContent>
                  </v:textbox>
                </v:shape>
              </v:group>
            </w:pict>
          </mc:Fallback>
        </mc:AlternateContent>
      </w:r>
    </w:p>
    <w:p w14:paraId="6AE8671F" w14:textId="2BFCE6B3" w:rsidR="00F43E7E" w:rsidRDefault="00BD5C95" w:rsidP="00F43E7E">
      <w:pPr>
        <w:pStyle w:val="QuestionBox"/>
      </w:pPr>
      <w:r>
        <w:rPr>
          <w:rFonts w:ascii="ZWAdobeF" w:hAnsi="ZWAdobeF" w:cs="ZWAdobeF"/>
          <w:color w:val="auto"/>
          <w:sz w:val="2"/>
          <w:szCs w:val="2"/>
        </w:rPr>
        <w:t>1325B</w:t>
      </w:r>
      <w:r w:rsidR="0049638A">
        <w:rPr>
          <w:rFonts w:ascii="ZWAdobeF" w:hAnsi="ZWAdobeF" w:cs="ZWAdobeF"/>
          <w:color w:val="auto"/>
          <w:sz w:val="2"/>
          <w:szCs w:val="2"/>
        </w:rPr>
        <w:t>1325B</w:t>
      </w:r>
      <w:r w:rsidR="00D629FA">
        <w:rPr>
          <w:rFonts w:ascii="ZWAdobeF" w:hAnsi="ZWAdobeF" w:cs="ZWAdobeF"/>
          <w:color w:val="auto"/>
          <w:sz w:val="2"/>
          <w:szCs w:val="2"/>
        </w:rPr>
        <w:t>1325B</w:t>
      </w:r>
      <w:r w:rsidR="00F43E7E">
        <w:t>Do you agree that the limitation periods applying to all proposed class members should be suspended when a class action is commenced?</w:t>
      </w:r>
    </w:p>
    <w:p w14:paraId="3E00AD52" w14:textId="41BA2058" w:rsidR="00BF2446" w:rsidRDefault="00BF2446" w:rsidP="00F43E7E">
      <w:pPr>
        <w:pStyle w:val="QuestionBox"/>
      </w:pPr>
      <w:r>
        <w:rPr>
          <w:noProof/>
        </w:rPr>
        <mc:AlternateContent>
          <mc:Choice Requires="wpg">
            <w:drawing>
              <wp:anchor distT="0" distB="0" distL="114300" distR="114300" simplePos="0" relativeHeight="251674723" behindDoc="1" locked="0" layoutInCell="1" allowOverlap="1" wp14:anchorId="1C77A371" wp14:editId="5B1A9FAE">
                <wp:simplePos x="0" y="0"/>
                <wp:positionH relativeFrom="column">
                  <wp:posOffset>0</wp:posOffset>
                </wp:positionH>
                <wp:positionV relativeFrom="paragraph">
                  <wp:posOffset>145415</wp:posOffset>
                </wp:positionV>
                <wp:extent cx="1443794" cy="251974"/>
                <wp:effectExtent l="0" t="0" r="42545" b="0"/>
                <wp:wrapNone/>
                <wp:docPr id="764518080" name="Group 764518080"/>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08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8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DE020D" w14:textId="3BCB9109" w:rsidR="00BF2446" w:rsidRPr="00E700FF" w:rsidRDefault="00BF2446" w:rsidP="00BF2446">
                              <w:pPr>
                                <w:pStyle w:val="BoxTitle"/>
                                <w:spacing w:before="0" w:beforeAutospacing="0"/>
                              </w:pPr>
                              <w:r w:rsidRPr="001C1B37">
                                <w:t>Q</w:t>
                              </w:r>
                              <w:r w:rsidR="00082500">
                                <w:t>6</w:t>
                              </w:r>
                            </w:p>
                          </w:txbxContent>
                        </wps:txbx>
                        <wps:bodyPr rot="0" vert="horz" wrap="square" lIns="54000" tIns="82800" rIns="91440" bIns="45720" anchor="ctr" anchorCtr="0" upright="1">
                          <a:noAutofit/>
                        </wps:bodyPr>
                      </wps:wsp>
                    </wpg:wgp>
                  </a:graphicData>
                </a:graphic>
              </wp:anchor>
            </w:drawing>
          </mc:Choice>
          <mc:Fallback>
            <w:pict>
              <v:group w14:anchorId="1C77A371" id="Group 764518080" o:spid="_x0000_s1046" style="position:absolute;left:0;text-align:left;margin-left:0;margin-top:11.45pt;width:113.7pt;height:19.85pt;z-index:-25164175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">
                <v:shape id="Freeform 58" o:spid="_x0000_s104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" path="m,l1815,e" filled="f" strokecolor="#72ab6a" strokeweight=".5pt">
                  <v:path arrowok="t" o:connecttype="custom" o:connectlocs="0,0;1073495,0" o:connectangles="0,0"/>
                </v:shape>
                <v:shape id="Freeform 66" o:spid="_x0000_s104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0DE020D" w14:textId="3BCB9109" w:rsidR="00BF2446" w:rsidRPr="00E700FF" w:rsidRDefault="00BF2446" w:rsidP="00BF2446">
                        <w:pPr>
                          <w:pStyle w:val="BoxTitle"/>
                          <w:spacing w:before="0" w:beforeAutospacing="0"/>
                        </w:pPr>
                        <w:r w:rsidRPr="001C1B37">
                          <w:t>Q</w:t>
                        </w:r>
                        <w:r w:rsidR="00082500">
                          <w:t>6</w:t>
                        </w:r>
                      </w:p>
                    </w:txbxContent>
                  </v:textbox>
                </v:shape>
              </v:group>
            </w:pict>
          </mc:Fallback>
        </mc:AlternateContent>
      </w:r>
    </w:p>
    <w:p w14:paraId="70C8EEE5" w14:textId="25CFB26E" w:rsidR="00F43E7E" w:rsidRDefault="00BD5C95" w:rsidP="00F43E7E">
      <w:pPr>
        <w:pStyle w:val="QuestionBox"/>
      </w:pPr>
      <w:r>
        <w:rPr>
          <w:rFonts w:ascii="ZWAdobeF" w:hAnsi="ZWAdobeF" w:cs="ZWAdobeF"/>
          <w:color w:val="auto"/>
          <w:sz w:val="2"/>
          <w:szCs w:val="2"/>
        </w:rPr>
        <w:t>1326B</w:t>
      </w:r>
      <w:r w:rsidR="0049638A">
        <w:rPr>
          <w:rFonts w:ascii="ZWAdobeF" w:hAnsi="ZWAdobeF" w:cs="ZWAdobeF"/>
          <w:color w:val="auto"/>
          <w:sz w:val="2"/>
          <w:szCs w:val="2"/>
        </w:rPr>
        <w:t>1326B</w:t>
      </w:r>
      <w:r w:rsidR="00D629FA">
        <w:rPr>
          <w:rFonts w:ascii="ZWAdobeF" w:hAnsi="ZWAdobeF" w:cs="ZWAdobeF"/>
          <w:color w:val="auto"/>
          <w:sz w:val="2"/>
          <w:szCs w:val="2"/>
        </w:rPr>
        <w:t>1326B</w:t>
      </w:r>
      <w:r w:rsidR="00F43E7E">
        <w:t xml:space="preserve">Do you agree with the events we propose should start the limitation period applying to a class member running again? </w:t>
      </w:r>
    </w:p>
    <w:p w14:paraId="6781B0EA" w14:textId="77777777" w:rsidR="00F43E7E" w:rsidRPr="00F12540" w:rsidRDefault="00F43E7E" w:rsidP="00F43E7E">
      <w:pPr>
        <w:pStyle w:val="QuestionBox"/>
        <w:rPr>
          <w:lang w:val="en-US"/>
        </w:rPr>
      </w:pPr>
    </w:p>
    <w:p w14:paraId="16689952" w14:textId="77777777" w:rsidR="00F72E75" w:rsidRDefault="00F72E75">
      <w:pPr>
        <w:widowControl w:val="0"/>
        <w:spacing w:after="200" w:line="276" w:lineRule="auto"/>
        <w:rPr>
          <w:rFonts w:ascii="Metropolis" w:hAnsi="Metropolis"/>
          <w:b/>
          <w:caps/>
          <w:color w:val="73AB6E"/>
          <w:sz w:val="22"/>
        </w:rPr>
      </w:pPr>
      <w:r>
        <w:br w:type="page"/>
      </w:r>
    </w:p>
    <w:bookmarkStart w:id="27" w:name="_Toc83895422"/>
    <w:p w14:paraId="756CE63C" w14:textId="39C16675" w:rsidR="00F43E7E" w:rsidRPr="00F12540" w:rsidRDefault="00075B4E" w:rsidP="00BF2446">
      <w:pPr>
        <w:pStyle w:val="Heading2"/>
      </w:pPr>
      <w:r>
        <w:rPr>
          <w:noProof/>
        </w:rPr>
        <w:lastRenderedPageBreak/>
        <mc:AlternateContent>
          <mc:Choice Requires="wpg">
            <w:drawing>
              <wp:anchor distT="0" distB="0" distL="114300" distR="114300" simplePos="0" relativeHeight="251678819" behindDoc="1" locked="0" layoutInCell="1" allowOverlap="1" wp14:anchorId="06ED34E8" wp14:editId="12C9E3AC">
                <wp:simplePos x="0" y="0"/>
                <wp:positionH relativeFrom="column">
                  <wp:posOffset>-635</wp:posOffset>
                </wp:positionH>
                <wp:positionV relativeFrom="paragraph">
                  <wp:posOffset>270510</wp:posOffset>
                </wp:positionV>
                <wp:extent cx="5760085" cy="8991634"/>
                <wp:effectExtent l="0" t="0" r="0" b="0"/>
                <wp:wrapNone/>
                <wp:docPr id="76451813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8991634"/>
                          <a:chOff x="1837" y="-2670"/>
                          <a:chExt cx="9302" cy="85580"/>
                        </a:xfrm>
                      </wpg:grpSpPr>
                      <wps:wsp>
                        <wps:cNvPr id="198" name="Freeform 54"/>
                        <wps:cNvSpPr>
                          <a:spLocks/>
                        </wps:cNvSpPr>
                        <wps:spPr bwMode="auto">
                          <a:xfrm>
                            <a:off x="1837" y="-2670"/>
                            <a:ext cx="9302" cy="8558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09DA488" id="Group 53" o:spid="_x0000_s1026" style="position:absolute;margin-left:-.05pt;margin-top:21.3pt;width:453.55pt;height:708pt;z-index:-251637661;mso-height-relative:margin" coordorigin="1837,-2670" coordsize="9302,8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">
                <v:shape id="Freeform 54" o:spid="_x0000_s1027" style="position:absolute;left:1837;top:-2670;width:9302;height:8558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" path="m,l9354,r,7809l,7809,,e" fillcolor="#edf2ea" stroked="f">
                  <v:path arrowok="t" o:connecttype="custom" o:connectlocs="0,10959;9302,10959;9302,96539;0,96539;0,10959" o:connectangles="0,0,0,0,0"/>
                </v:shape>
              </v:group>
            </w:pict>
          </mc:Fallback>
        </mc:AlternateContent>
      </w:r>
      <w:r w:rsidR="00BF2446">
        <w:t xml:space="preserve">CHAPTER 2: </w:t>
      </w:r>
      <w:r w:rsidR="00BF2446" w:rsidRPr="00F12540">
        <w:t>COMPETING CLASS ACTIONS</w:t>
      </w:r>
      <w:bookmarkEnd w:id="27"/>
    </w:p>
    <w:p w14:paraId="7396E768" w14:textId="65639E6B" w:rsidR="00082500" w:rsidRDefault="00886372" w:rsidP="00F43E7E">
      <w:pPr>
        <w:pStyle w:val="QuestionBox"/>
      </w:pPr>
      <w:r>
        <w:rPr>
          <w:noProof/>
        </w:rPr>
        <mc:AlternateContent>
          <mc:Choice Requires="wpg">
            <w:drawing>
              <wp:anchor distT="0" distB="0" distL="114300" distR="114300" simplePos="0" relativeHeight="251680867" behindDoc="1" locked="0" layoutInCell="1" allowOverlap="1" wp14:anchorId="6B078982" wp14:editId="4268B66E">
                <wp:simplePos x="0" y="0"/>
                <wp:positionH relativeFrom="column">
                  <wp:posOffset>0</wp:posOffset>
                </wp:positionH>
                <wp:positionV relativeFrom="paragraph">
                  <wp:posOffset>139065</wp:posOffset>
                </wp:positionV>
                <wp:extent cx="1443794" cy="251974"/>
                <wp:effectExtent l="0" t="0" r="42545" b="0"/>
                <wp:wrapNone/>
                <wp:docPr id="201" name="Group 201"/>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0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5B26F3" w14:textId="0C9BCA6C" w:rsidR="00886372" w:rsidRPr="00E700FF" w:rsidRDefault="00886372" w:rsidP="00886372">
                              <w:pPr>
                                <w:pStyle w:val="BoxTitle"/>
                                <w:spacing w:before="0" w:beforeAutospacing="0"/>
                              </w:pPr>
                              <w:r w:rsidRPr="001C1B37">
                                <w:t>Q</w:t>
                              </w:r>
                              <w:r>
                                <w:t>7</w:t>
                              </w:r>
                            </w:p>
                          </w:txbxContent>
                        </wps:txbx>
                        <wps:bodyPr rot="0" vert="horz" wrap="square" lIns="54000" tIns="82800" rIns="91440" bIns="45720" anchor="ctr" anchorCtr="0" upright="1">
                          <a:noAutofit/>
                        </wps:bodyPr>
                      </wps:wsp>
                    </wpg:wgp>
                  </a:graphicData>
                </a:graphic>
              </wp:anchor>
            </w:drawing>
          </mc:Choice>
          <mc:Fallback>
            <w:pict>
              <v:group w14:anchorId="6B078982" id="Group 201" o:spid="_x0000_s1049" style="position:absolute;left:0;text-align:left;margin-left:0;margin-top:10.95pt;width:113.7pt;height:19.85pt;z-index:-25163561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">
                <v:shape id="Freeform 58" o:spid="_x0000_s1050"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" path="m,l1815,e" filled="f" strokecolor="#72ab6a" strokeweight=".5pt">
                  <v:path arrowok="t" o:connecttype="custom" o:connectlocs="0,0;1073495,0" o:connectangles="0,0"/>
                </v:shape>
                <v:shape id="Freeform 66" o:spid="_x0000_s105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85B26F3" w14:textId="0C9BCA6C" w:rsidR="00886372" w:rsidRPr="00E700FF" w:rsidRDefault="00886372" w:rsidP="00886372">
                        <w:pPr>
                          <w:pStyle w:val="BoxTitle"/>
                          <w:spacing w:before="0" w:beforeAutospacing="0"/>
                        </w:pPr>
                        <w:r w:rsidRPr="001C1B37">
                          <w:t>Q</w:t>
                        </w:r>
                        <w:r>
                          <w:t>7</w:t>
                        </w:r>
                      </w:p>
                    </w:txbxContent>
                  </v:textbox>
                </v:shape>
              </v:group>
            </w:pict>
          </mc:Fallback>
        </mc:AlternateContent>
      </w:r>
    </w:p>
    <w:p w14:paraId="6DC974D8" w14:textId="4823F08A" w:rsidR="00F43E7E" w:rsidRDefault="00BD5C95" w:rsidP="00F43E7E">
      <w:pPr>
        <w:pStyle w:val="QuestionBox"/>
      </w:pPr>
      <w:r>
        <w:rPr>
          <w:rFonts w:ascii="ZWAdobeF" w:hAnsi="ZWAdobeF" w:cs="ZWAdobeF"/>
          <w:color w:val="auto"/>
          <w:sz w:val="2"/>
          <w:szCs w:val="2"/>
        </w:rPr>
        <w:t>1327B</w:t>
      </w:r>
      <w:r w:rsidR="0049638A">
        <w:rPr>
          <w:rFonts w:ascii="ZWAdobeF" w:hAnsi="ZWAdobeF" w:cs="ZWAdobeF"/>
          <w:color w:val="auto"/>
          <w:sz w:val="2"/>
          <w:szCs w:val="2"/>
        </w:rPr>
        <w:t>1327B</w:t>
      </w:r>
      <w:r w:rsidR="00D629FA">
        <w:rPr>
          <w:rFonts w:ascii="ZWAdobeF" w:hAnsi="ZWAdobeF" w:cs="ZWAdobeF"/>
          <w:color w:val="auto"/>
          <w:sz w:val="2"/>
          <w:szCs w:val="2"/>
        </w:rPr>
        <w:t>1327B</w:t>
      </w:r>
      <w:r w:rsidR="00F43E7E">
        <w:t xml:space="preserve">Do you agree competing class actions should be defined as two or more class actions with respect to the same or substantially similar issues filed against the same defendant by different representative plaintiffs? If not, how should they be defined? </w:t>
      </w:r>
    </w:p>
    <w:p w14:paraId="33BC4CED" w14:textId="29F96672" w:rsidR="00886372" w:rsidRDefault="00545E12" w:rsidP="00F43E7E">
      <w:pPr>
        <w:pStyle w:val="QuestionBox"/>
      </w:pPr>
      <w:r>
        <w:rPr>
          <w:noProof/>
        </w:rPr>
        <mc:AlternateContent>
          <mc:Choice Requires="wpg">
            <w:drawing>
              <wp:anchor distT="0" distB="0" distL="114300" distR="114300" simplePos="0" relativeHeight="251682915" behindDoc="1" locked="0" layoutInCell="1" allowOverlap="1" wp14:anchorId="357957C4" wp14:editId="585150F3">
                <wp:simplePos x="0" y="0"/>
                <wp:positionH relativeFrom="column">
                  <wp:posOffset>0</wp:posOffset>
                </wp:positionH>
                <wp:positionV relativeFrom="paragraph">
                  <wp:posOffset>151765</wp:posOffset>
                </wp:positionV>
                <wp:extent cx="1443794" cy="251974"/>
                <wp:effectExtent l="0" t="0" r="42545" b="0"/>
                <wp:wrapNone/>
                <wp:docPr id="204" name="Group 204"/>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05"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3C32E4" w14:textId="641462D0" w:rsidR="00545E12" w:rsidRPr="00E700FF" w:rsidRDefault="00545E12" w:rsidP="00545E12">
                              <w:pPr>
                                <w:pStyle w:val="BoxTitle"/>
                                <w:spacing w:before="0" w:beforeAutospacing="0"/>
                              </w:pPr>
                              <w:r w:rsidRPr="001C1B37">
                                <w:t>Q</w:t>
                              </w:r>
                              <w:r w:rsidR="00D02560">
                                <w:t>8</w:t>
                              </w:r>
                            </w:p>
                          </w:txbxContent>
                        </wps:txbx>
                        <wps:bodyPr rot="0" vert="horz" wrap="square" lIns="54000" tIns="82800" rIns="91440" bIns="45720" anchor="ctr" anchorCtr="0" upright="1">
                          <a:noAutofit/>
                        </wps:bodyPr>
                      </wps:wsp>
                    </wpg:wgp>
                  </a:graphicData>
                </a:graphic>
              </wp:anchor>
            </w:drawing>
          </mc:Choice>
          <mc:Fallback>
            <w:pict>
              <v:group w14:anchorId="357957C4" id="Group 204" o:spid="_x0000_s1052" style="position:absolute;left:0;text-align:left;margin-left:0;margin-top:11.95pt;width:113.7pt;height:19.85pt;z-index:-25163356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">
                <v:shape id="Freeform 58" o:spid="_x0000_s1053"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" path="m,l1815,e" filled="f" strokecolor="#72ab6a" strokeweight=".5pt">
                  <v:path arrowok="t" o:connecttype="custom" o:connectlocs="0,0;1073495,0" o:connectangles="0,0"/>
                </v:shape>
                <v:shape id="Freeform 66" o:spid="_x0000_s105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93C32E4" w14:textId="641462D0" w:rsidR="00545E12" w:rsidRPr="00E700FF" w:rsidRDefault="00545E12" w:rsidP="00545E12">
                        <w:pPr>
                          <w:pStyle w:val="BoxTitle"/>
                          <w:spacing w:before="0" w:beforeAutospacing="0"/>
                        </w:pPr>
                        <w:r w:rsidRPr="001C1B37">
                          <w:t>Q</w:t>
                        </w:r>
                        <w:r w:rsidR="00D02560">
                          <w:t>8</w:t>
                        </w:r>
                      </w:p>
                    </w:txbxContent>
                  </v:textbox>
                </v:shape>
              </v:group>
            </w:pict>
          </mc:Fallback>
        </mc:AlternateContent>
      </w:r>
    </w:p>
    <w:p w14:paraId="649475C8" w14:textId="60C030FB" w:rsidR="00F43E7E" w:rsidRDefault="00BD5C95" w:rsidP="00F43E7E">
      <w:pPr>
        <w:pStyle w:val="QuestionBox"/>
      </w:pPr>
      <w:r>
        <w:rPr>
          <w:rFonts w:ascii="ZWAdobeF" w:hAnsi="ZWAdobeF" w:cs="ZWAdobeF"/>
          <w:color w:val="auto"/>
          <w:sz w:val="2"/>
          <w:szCs w:val="2"/>
        </w:rPr>
        <w:t>1328B</w:t>
      </w:r>
      <w:r w:rsidR="0049638A">
        <w:rPr>
          <w:rFonts w:ascii="ZWAdobeF" w:hAnsi="ZWAdobeF" w:cs="ZWAdobeF"/>
          <w:color w:val="auto"/>
          <w:sz w:val="2"/>
          <w:szCs w:val="2"/>
        </w:rPr>
        <w:t>1328B</w:t>
      </w:r>
      <w:r w:rsidR="00D629FA">
        <w:rPr>
          <w:rFonts w:ascii="ZWAdobeF" w:hAnsi="ZWAdobeF" w:cs="ZWAdobeF"/>
          <w:color w:val="auto"/>
          <w:sz w:val="2"/>
          <w:szCs w:val="2"/>
        </w:rPr>
        <w:t>1328B</w:t>
      </w:r>
      <w:r w:rsidR="00F43E7E">
        <w:t xml:space="preserve">Do you agree that a competing class action should be filed within 90 days of the first class action being filed (or with the leave of the court)? How can information about new class actions be made available to lawyers and funders? </w:t>
      </w:r>
    </w:p>
    <w:p w14:paraId="509FD9F5" w14:textId="2931DDC9" w:rsidR="00342BB9" w:rsidRDefault="00342BB9" w:rsidP="00F43E7E">
      <w:pPr>
        <w:pStyle w:val="QuestionBox"/>
      </w:pPr>
      <w:r>
        <w:rPr>
          <w:noProof/>
        </w:rPr>
        <mc:AlternateContent>
          <mc:Choice Requires="wpg">
            <w:drawing>
              <wp:anchor distT="0" distB="0" distL="114300" distR="114300" simplePos="0" relativeHeight="251684963" behindDoc="1" locked="0" layoutInCell="1" allowOverlap="1" wp14:anchorId="7916418E" wp14:editId="624728CB">
                <wp:simplePos x="0" y="0"/>
                <wp:positionH relativeFrom="column">
                  <wp:posOffset>0</wp:posOffset>
                </wp:positionH>
                <wp:positionV relativeFrom="paragraph">
                  <wp:posOffset>158115</wp:posOffset>
                </wp:positionV>
                <wp:extent cx="1443794" cy="251974"/>
                <wp:effectExtent l="0" t="0" r="42545" b="0"/>
                <wp:wrapNone/>
                <wp:docPr id="210" name="Group 210"/>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1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147ADF" w14:textId="4315EE5D" w:rsidR="00342BB9" w:rsidRPr="00E700FF" w:rsidRDefault="00342BB9" w:rsidP="00342BB9">
                              <w:pPr>
                                <w:pStyle w:val="BoxTitle"/>
                                <w:spacing w:before="0" w:beforeAutospacing="0"/>
                              </w:pPr>
                              <w:r w:rsidRPr="001C1B37">
                                <w:t>Q</w:t>
                              </w:r>
                              <w:r w:rsidR="00D02560">
                                <w:t>9</w:t>
                              </w:r>
                            </w:p>
                          </w:txbxContent>
                        </wps:txbx>
                        <wps:bodyPr rot="0" vert="horz" wrap="square" lIns="54000" tIns="82800" rIns="91440" bIns="45720" anchor="ctr" anchorCtr="0" upright="1">
                          <a:noAutofit/>
                        </wps:bodyPr>
                      </wps:wsp>
                    </wpg:wgp>
                  </a:graphicData>
                </a:graphic>
              </wp:anchor>
            </w:drawing>
          </mc:Choice>
          <mc:Fallback>
            <w:pict>
              <v:group w14:anchorId="7916418E" id="Group 210" o:spid="_x0000_s1055" style="position:absolute;left:0;text-align:left;margin-left:0;margin-top:12.45pt;width:113.7pt;height:19.85pt;z-index:-25163151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">
                <v:shape id="Freeform 58" o:spid="_x0000_s105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" path="m,l1815,e" filled="f" strokecolor="#72ab6a" strokeweight=".5pt">
                  <v:path arrowok="t" o:connecttype="custom" o:connectlocs="0,0;1073495,0" o:connectangles="0,0"/>
                </v:shape>
                <v:shape id="Freeform 66" o:spid="_x0000_s105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7147ADF" w14:textId="4315EE5D" w:rsidR="00342BB9" w:rsidRPr="00E700FF" w:rsidRDefault="00342BB9" w:rsidP="00342BB9">
                        <w:pPr>
                          <w:pStyle w:val="BoxTitle"/>
                          <w:spacing w:before="0" w:beforeAutospacing="0"/>
                        </w:pPr>
                        <w:r w:rsidRPr="001C1B37">
                          <w:t>Q</w:t>
                        </w:r>
                        <w:r w:rsidR="00D02560">
                          <w:t>9</w:t>
                        </w:r>
                      </w:p>
                    </w:txbxContent>
                  </v:textbox>
                </v:shape>
              </v:group>
            </w:pict>
          </mc:Fallback>
        </mc:AlternateContent>
      </w:r>
    </w:p>
    <w:p w14:paraId="2E77687A" w14:textId="342A95C3" w:rsidR="00F43E7E" w:rsidRDefault="00BD5C95" w:rsidP="00F43E7E">
      <w:pPr>
        <w:pStyle w:val="QuestionBox"/>
      </w:pPr>
      <w:r>
        <w:rPr>
          <w:rFonts w:ascii="ZWAdobeF" w:hAnsi="ZWAdobeF" w:cs="ZWAdobeF"/>
          <w:color w:val="auto"/>
          <w:sz w:val="2"/>
          <w:szCs w:val="2"/>
        </w:rPr>
        <w:t>1329B</w:t>
      </w:r>
      <w:r w:rsidR="0049638A">
        <w:rPr>
          <w:rFonts w:ascii="ZWAdobeF" w:hAnsi="ZWAdobeF" w:cs="ZWAdobeF"/>
          <w:color w:val="auto"/>
          <w:sz w:val="2"/>
          <w:szCs w:val="2"/>
        </w:rPr>
        <w:t>1329B</w:t>
      </w:r>
      <w:r w:rsidR="00D629FA">
        <w:rPr>
          <w:rFonts w:ascii="ZWAdobeF" w:hAnsi="ZWAdobeF" w:cs="ZWAdobeF"/>
          <w:color w:val="auto"/>
          <w:sz w:val="2"/>
          <w:szCs w:val="2"/>
        </w:rPr>
        <w:t>1329B</w:t>
      </w:r>
      <w:r w:rsidR="00F43E7E">
        <w:t>When should the court determine the issue of competing class actions?</w:t>
      </w:r>
    </w:p>
    <w:p w14:paraId="35EFDC99" w14:textId="6A114901" w:rsidR="00F43E7E" w:rsidRDefault="00BD5C95" w:rsidP="00B73434">
      <w:pPr>
        <w:pStyle w:val="Questionabc"/>
        <w:numPr>
          <w:ilvl w:val="0"/>
          <w:numId w:val="90"/>
        </w:numPr>
        <w:ind w:left="1418" w:hanging="425"/>
      </w:pPr>
      <w:r>
        <w:rPr>
          <w:rFonts w:ascii="ZWAdobeF" w:hAnsi="ZWAdobeF" w:cs="ZWAdobeF"/>
          <w:color w:val="auto"/>
          <w:sz w:val="2"/>
          <w:szCs w:val="2"/>
        </w:rPr>
        <w:t>1250B</w:t>
      </w:r>
      <w:r w:rsidR="0049638A">
        <w:rPr>
          <w:rFonts w:ascii="ZWAdobeF" w:hAnsi="ZWAdobeF" w:cs="ZWAdobeF"/>
          <w:color w:val="auto"/>
          <w:sz w:val="2"/>
          <w:szCs w:val="2"/>
        </w:rPr>
        <w:t>1250B</w:t>
      </w:r>
      <w:r w:rsidR="00D629FA">
        <w:rPr>
          <w:rFonts w:ascii="ZWAdobeF" w:hAnsi="ZWAdobeF" w:cs="ZWAdobeF"/>
          <w:color w:val="auto"/>
          <w:sz w:val="2"/>
          <w:szCs w:val="2"/>
        </w:rPr>
        <w:t>1250B</w:t>
      </w:r>
      <w:r w:rsidR="00F43E7E">
        <w:t>Prior to certification.</w:t>
      </w:r>
    </w:p>
    <w:p w14:paraId="4DEEAFF9" w14:textId="19303942" w:rsidR="00F43E7E" w:rsidRDefault="00BD5C95" w:rsidP="00B73434">
      <w:pPr>
        <w:pStyle w:val="Questionabc"/>
        <w:numPr>
          <w:ilvl w:val="0"/>
          <w:numId w:val="90"/>
        </w:numPr>
        <w:ind w:left="1418" w:hanging="425"/>
      </w:pPr>
      <w:r>
        <w:rPr>
          <w:rFonts w:ascii="ZWAdobeF" w:hAnsi="ZWAdobeF" w:cs="ZWAdobeF"/>
          <w:color w:val="auto"/>
          <w:sz w:val="2"/>
          <w:szCs w:val="2"/>
        </w:rPr>
        <w:t>1251B</w:t>
      </w:r>
      <w:r w:rsidR="0049638A">
        <w:rPr>
          <w:rFonts w:ascii="ZWAdobeF" w:hAnsi="ZWAdobeF" w:cs="ZWAdobeF"/>
          <w:color w:val="auto"/>
          <w:sz w:val="2"/>
          <w:szCs w:val="2"/>
        </w:rPr>
        <w:t>1251B</w:t>
      </w:r>
      <w:r w:rsidR="00D629FA">
        <w:rPr>
          <w:rFonts w:ascii="ZWAdobeF" w:hAnsi="ZWAdobeF" w:cs="ZWAdobeF"/>
          <w:color w:val="auto"/>
          <w:sz w:val="2"/>
          <w:szCs w:val="2"/>
        </w:rPr>
        <w:t>1251B</w:t>
      </w:r>
      <w:r w:rsidR="00F43E7E">
        <w:t>At the same time as certification.</w:t>
      </w:r>
    </w:p>
    <w:p w14:paraId="58E1CDDB" w14:textId="22B51D42" w:rsidR="00F43E7E" w:rsidRDefault="00BD5C95" w:rsidP="00B73434">
      <w:pPr>
        <w:pStyle w:val="Questionabc"/>
        <w:numPr>
          <w:ilvl w:val="0"/>
          <w:numId w:val="90"/>
        </w:numPr>
        <w:ind w:left="1418" w:hanging="425"/>
      </w:pPr>
      <w:r>
        <w:rPr>
          <w:rFonts w:ascii="ZWAdobeF" w:hAnsi="ZWAdobeF" w:cs="ZWAdobeF"/>
          <w:color w:val="auto"/>
          <w:sz w:val="2"/>
          <w:szCs w:val="2"/>
        </w:rPr>
        <w:t>1252B</w:t>
      </w:r>
      <w:r w:rsidR="0049638A">
        <w:rPr>
          <w:rFonts w:ascii="ZWAdobeF" w:hAnsi="ZWAdobeF" w:cs="ZWAdobeF"/>
          <w:color w:val="auto"/>
          <w:sz w:val="2"/>
          <w:szCs w:val="2"/>
        </w:rPr>
        <w:t>1252B</w:t>
      </w:r>
      <w:r w:rsidR="00D629FA">
        <w:rPr>
          <w:rFonts w:ascii="ZWAdobeF" w:hAnsi="ZWAdobeF" w:cs="ZWAdobeF"/>
          <w:color w:val="auto"/>
          <w:sz w:val="2"/>
          <w:szCs w:val="2"/>
        </w:rPr>
        <w:t>1252B</w:t>
      </w:r>
      <w:r w:rsidR="00F43E7E">
        <w:t>The court should have discretion to determine the issue of competing class actions prior to certification or at certification.</w:t>
      </w:r>
    </w:p>
    <w:p w14:paraId="2927FCB4" w14:textId="00A6DEF8" w:rsidR="00D02560" w:rsidRDefault="00D02560" w:rsidP="00F43E7E">
      <w:pPr>
        <w:pStyle w:val="QuestionBox"/>
      </w:pPr>
      <w:r>
        <w:rPr>
          <w:noProof/>
        </w:rPr>
        <mc:AlternateContent>
          <mc:Choice Requires="wpg">
            <w:drawing>
              <wp:anchor distT="0" distB="0" distL="114300" distR="114300" simplePos="0" relativeHeight="251687011" behindDoc="1" locked="0" layoutInCell="1" allowOverlap="1" wp14:anchorId="1CC4824C" wp14:editId="4979354E">
                <wp:simplePos x="0" y="0"/>
                <wp:positionH relativeFrom="column">
                  <wp:posOffset>0</wp:posOffset>
                </wp:positionH>
                <wp:positionV relativeFrom="paragraph">
                  <wp:posOffset>151765</wp:posOffset>
                </wp:positionV>
                <wp:extent cx="1443794" cy="251974"/>
                <wp:effectExtent l="0" t="0" r="42545" b="0"/>
                <wp:wrapNone/>
                <wp:docPr id="213" name="Group 213"/>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14"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16429B" w14:textId="4ED2169F" w:rsidR="00D02560" w:rsidRPr="00E700FF" w:rsidRDefault="00D02560" w:rsidP="00D02560">
                              <w:pPr>
                                <w:pStyle w:val="BoxTitle"/>
                                <w:spacing w:before="0" w:beforeAutospacing="0"/>
                              </w:pPr>
                              <w:r w:rsidRPr="001C1B37">
                                <w:t>Q</w:t>
                              </w:r>
                              <w:r>
                                <w:t>10</w:t>
                              </w:r>
                            </w:p>
                          </w:txbxContent>
                        </wps:txbx>
                        <wps:bodyPr rot="0" vert="horz" wrap="square" lIns="54000" tIns="82800" rIns="91440" bIns="45720" anchor="ctr" anchorCtr="0" upright="1">
                          <a:noAutofit/>
                        </wps:bodyPr>
                      </wps:wsp>
                    </wpg:wgp>
                  </a:graphicData>
                </a:graphic>
              </wp:anchor>
            </w:drawing>
          </mc:Choice>
          <mc:Fallback>
            <w:pict>
              <v:group w14:anchorId="1CC4824C" id="Group 213" o:spid="_x0000_s1058" style="position:absolute;left:0;text-align:left;margin-left:0;margin-top:11.95pt;width:113.7pt;height:19.85pt;z-index:-25162946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">
                <v:shape id="Freeform 58" o:spid="_x0000_s105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" path="m,l1815,e" filled="f" strokecolor="#72ab6a" strokeweight=".5pt">
                  <v:path arrowok="t" o:connecttype="custom" o:connectlocs="0,0;1073495,0" o:connectangles="0,0"/>
                </v:shape>
                <v:shape id="Freeform 66" o:spid="_x0000_s106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E16429B" w14:textId="4ED2169F" w:rsidR="00D02560" w:rsidRPr="00E700FF" w:rsidRDefault="00D02560" w:rsidP="00D02560">
                        <w:pPr>
                          <w:pStyle w:val="BoxTitle"/>
                          <w:spacing w:before="0" w:beforeAutospacing="0"/>
                        </w:pPr>
                        <w:r w:rsidRPr="001C1B37">
                          <w:t>Q</w:t>
                        </w:r>
                        <w:r>
                          <w:t>10</w:t>
                        </w:r>
                      </w:p>
                    </w:txbxContent>
                  </v:textbox>
                </v:shape>
              </v:group>
            </w:pict>
          </mc:Fallback>
        </mc:AlternateContent>
      </w:r>
    </w:p>
    <w:p w14:paraId="69A321B3" w14:textId="247B2131" w:rsidR="00F43E7E" w:rsidRDefault="00BD5C95" w:rsidP="00F43E7E">
      <w:pPr>
        <w:pStyle w:val="QuestionBox"/>
      </w:pPr>
      <w:r>
        <w:rPr>
          <w:rFonts w:ascii="ZWAdobeF" w:hAnsi="ZWAdobeF" w:cs="ZWAdobeF"/>
          <w:color w:val="auto"/>
          <w:sz w:val="2"/>
          <w:szCs w:val="2"/>
        </w:rPr>
        <w:t>1330B</w:t>
      </w:r>
      <w:r w:rsidR="0049638A">
        <w:rPr>
          <w:rFonts w:ascii="ZWAdobeF" w:hAnsi="ZWAdobeF" w:cs="ZWAdobeF"/>
          <w:color w:val="auto"/>
          <w:sz w:val="2"/>
          <w:szCs w:val="2"/>
        </w:rPr>
        <w:t>1330B</w:t>
      </w:r>
      <w:r w:rsidR="00D629FA">
        <w:rPr>
          <w:rFonts w:ascii="ZWAdobeF" w:hAnsi="ZWAdobeF" w:cs="ZWAdobeF"/>
          <w:color w:val="auto"/>
          <w:sz w:val="2"/>
          <w:szCs w:val="2"/>
        </w:rPr>
        <w:t>1330B</w:t>
      </w:r>
      <w:r w:rsidR="00F43E7E">
        <w:t xml:space="preserve">What powers should the court have for managing competing class actions? </w:t>
      </w:r>
    </w:p>
    <w:p w14:paraId="3250B362" w14:textId="72C25671" w:rsidR="00F43E7E" w:rsidRDefault="00BD5C95" w:rsidP="00B73434">
      <w:pPr>
        <w:pStyle w:val="Questionabc"/>
        <w:numPr>
          <w:ilvl w:val="0"/>
          <w:numId w:val="91"/>
        </w:numPr>
        <w:ind w:left="1418" w:hanging="425"/>
      </w:pPr>
      <w:r>
        <w:rPr>
          <w:rFonts w:ascii="ZWAdobeF" w:hAnsi="ZWAdobeF" w:cs="ZWAdobeF"/>
          <w:color w:val="auto"/>
          <w:sz w:val="2"/>
          <w:szCs w:val="2"/>
        </w:rPr>
        <w:t>1253B</w:t>
      </w:r>
      <w:r w:rsidR="0049638A">
        <w:rPr>
          <w:rFonts w:ascii="ZWAdobeF" w:hAnsi="ZWAdobeF" w:cs="ZWAdobeF"/>
          <w:color w:val="auto"/>
          <w:sz w:val="2"/>
          <w:szCs w:val="2"/>
        </w:rPr>
        <w:t>1253B</w:t>
      </w:r>
      <w:r w:rsidR="00D629FA">
        <w:rPr>
          <w:rFonts w:ascii="ZWAdobeF" w:hAnsi="ZWAdobeF" w:cs="ZWAdobeF"/>
          <w:color w:val="auto"/>
          <w:sz w:val="2"/>
          <w:szCs w:val="2"/>
        </w:rPr>
        <w:t>1253B</w:t>
      </w:r>
      <w:r w:rsidR="00F43E7E">
        <w:t xml:space="preserve">Should a court be required to select one class action to proceed and stay the other proceedings? </w:t>
      </w:r>
    </w:p>
    <w:p w14:paraId="5CFE8AE5" w14:textId="3DF81ECC" w:rsidR="00F43E7E" w:rsidRDefault="00BD5C95" w:rsidP="00B73434">
      <w:pPr>
        <w:pStyle w:val="Questionabc"/>
        <w:numPr>
          <w:ilvl w:val="0"/>
          <w:numId w:val="91"/>
        </w:numPr>
        <w:ind w:left="1418" w:hanging="425"/>
      </w:pPr>
      <w:r>
        <w:rPr>
          <w:rFonts w:ascii="ZWAdobeF" w:hAnsi="ZWAdobeF" w:cs="ZWAdobeF"/>
          <w:color w:val="auto"/>
          <w:sz w:val="2"/>
          <w:szCs w:val="2"/>
        </w:rPr>
        <w:t>1254B</w:t>
      </w:r>
      <w:r w:rsidR="0049638A">
        <w:rPr>
          <w:rFonts w:ascii="ZWAdobeF" w:hAnsi="ZWAdobeF" w:cs="ZWAdobeF"/>
          <w:color w:val="auto"/>
          <w:sz w:val="2"/>
          <w:szCs w:val="2"/>
        </w:rPr>
        <w:t>1254B</w:t>
      </w:r>
      <w:r w:rsidR="00D629FA">
        <w:rPr>
          <w:rFonts w:ascii="ZWAdobeF" w:hAnsi="ZWAdobeF" w:cs="ZWAdobeF"/>
          <w:color w:val="auto"/>
          <w:sz w:val="2"/>
          <w:szCs w:val="2"/>
        </w:rPr>
        <w:t>1254B</w:t>
      </w:r>
      <w:r w:rsidR="00F43E7E">
        <w:t xml:space="preserve">Or should the court have a broader range of powers available to it? </w:t>
      </w:r>
    </w:p>
    <w:p w14:paraId="746430C2" w14:textId="1A7BD3EE" w:rsidR="00AB793E" w:rsidRDefault="00545EA9" w:rsidP="00F43E7E">
      <w:pPr>
        <w:pStyle w:val="QuestionBox"/>
      </w:pPr>
      <w:r>
        <w:rPr>
          <w:noProof/>
        </w:rPr>
        <mc:AlternateContent>
          <mc:Choice Requires="wpg">
            <w:drawing>
              <wp:anchor distT="0" distB="0" distL="114300" distR="114300" simplePos="0" relativeHeight="251689059" behindDoc="1" locked="0" layoutInCell="1" allowOverlap="1" wp14:anchorId="1B7E12BA" wp14:editId="3B133705">
                <wp:simplePos x="0" y="0"/>
                <wp:positionH relativeFrom="column">
                  <wp:posOffset>0</wp:posOffset>
                </wp:positionH>
                <wp:positionV relativeFrom="paragraph">
                  <wp:posOffset>151765</wp:posOffset>
                </wp:positionV>
                <wp:extent cx="1443794" cy="251974"/>
                <wp:effectExtent l="0" t="0" r="42545" b="0"/>
                <wp:wrapNone/>
                <wp:docPr id="216" name="Group 216"/>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1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B6E4B7" w14:textId="2B4EB21E" w:rsidR="00545EA9" w:rsidRPr="00E700FF" w:rsidRDefault="00545EA9" w:rsidP="00545EA9">
                              <w:pPr>
                                <w:pStyle w:val="BoxTitle"/>
                                <w:spacing w:before="0" w:beforeAutospacing="0"/>
                              </w:pPr>
                              <w:r w:rsidRPr="001C1B37">
                                <w:t>Q</w:t>
                              </w:r>
                              <w:r>
                                <w:t>11</w:t>
                              </w:r>
                            </w:p>
                          </w:txbxContent>
                        </wps:txbx>
                        <wps:bodyPr rot="0" vert="horz" wrap="square" lIns="54000" tIns="82800" rIns="91440" bIns="45720" anchor="ctr" anchorCtr="0" upright="1">
                          <a:noAutofit/>
                        </wps:bodyPr>
                      </wps:wsp>
                    </wpg:wgp>
                  </a:graphicData>
                </a:graphic>
              </wp:anchor>
            </w:drawing>
          </mc:Choice>
          <mc:Fallback>
            <w:pict>
              <v:group w14:anchorId="1B7E12BA" id="Group 216" o:spid="_x0000_s1061" style="position:absolute;left:0;text-align:left;margin-left:0;margin-top:11.95pt;width:113.7pt;height:19.85pt;z-index:-25162742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">
                <v:shape id="Freeform 58" o:spid="_x0000_s106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" path="m,l1815,e" filled="f" strokecolor="#72ab6a" strokeweight=".5pt">
                  <v:path arrowok="t" o:connecttype="custom" o:connectlocs="0,0;1073495,0" o:connectangles="0,0"/>
                </v:shape>
                <v:shape id="Freeform 66" o:spid="_x0000_s106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6B6E4B7" w14:textId="2B4EB21E" w:rsidR="00545EA9" w:rsidRPr="00E700FF" w:rsidRDefault="00545EA9" w:rsidP="00545EA9">
                        <w:pPr>
                          <w:pStyle w:val="BoxTitle"/>
                          <w:spacing w:before="0" w:beforeAutospacing="0"/>
                        </w:pPr>
                        <w:r w:rsidRPr="001C1B37">
                          <w:t>Q</w:t>
                        </w:r>
                        <w:r>
                          <w:t>11</w:t>
                        </w:r>
                      </w:p>
                    </w:txbxContent>
                  </v:textbox>
                </v:shape>
              </v:group>
            </w:pict>
          </mc:Fallback>
        </mc:AlternateContent>
      </w:r>
    </w:p>
    <w:p w14:paraId="2C235A4B" w14:textId="46B58D3C" w:rsidR="00F43E7E" w:rsidRPr="004569B6" w:rsidRDefault="00BD5C95" w:rsidP="00F43E7E">
      <w:pPr>
        <w:pStyle w:val="QuestionBox"/>
      </w:pPr>
      <w:r>
        <w:rPr>
          <w:rFonts w:ascii="ZWAdobeF" w:hAnsi="ZWAdobeF" w:cs="ZWAdobeF"/>
          <w:color w:val="auto"/>
          <w:sz w:val="2"/>
          <w:szCs w:val="2"/>
        </w:rPr>
        <w:t>1331B</w:t>
      </w:r>
      <w:r w:rsidR="0049638A">
        <w:rPr>
          <w:rFonts w:ascii="ZWAdobeF" w:hAnsi="ZWAdobeF" w:cs="ZWAdobeF"/>
          <w:color w:val="auto"/>
          <w:sz w:val="2"/>
          <w:szCs w:val="2"/>
        </w:rPr>
        <w:t>1331B</w:t>
      </w:r>
      <w:r w:rsidR="00D629FA">
        <w:rPr>
          <w:rFonts w:ascii="ZWAdobeF" w:hAnsi="ZWAdobeF" w:cs="ZWAdobeF"/>
          <w:color w:val="auto"/>
          <w:sz w:val="2"/>
          <w:szCs w:val="2"/>
        </w:rPr>
        <w:t>1331B</w:t>
      </w:r>
      <w:r w:rsidR="00F43E7E" w:rsidRPr="004569B6">
        <w:t>When a court considers how competing class actions should be managed, should it consider which approach would</w:t>
      </w:r>
      <w:r w:rsidR="00F43E7E">
        <w:t xml:space="preserve"> best</w:t>
      </w:r>
      <w:r w:rsidR="00F43E7E" w:rsidRPr="004569B6">
        <w:t xml:space="preserve"> allow class member claims to be </w:t>
      </w:r>
      <w:r w:rsidR="00F43E7E">
        <w:t>resolved</w:t>
      </w:r>
      <w:r w:rsidR="00F43E7E" w:rsidRPr="004569B6">
        <w:t xml:space="preserve"> in a just</w:t>
      </w:r>
      <w:r w:rsidR="00F43E7E">
        <w:t xml:space="preserve"> and</w:t>
      </w:r>
      <w:r w:rsidR="00F43E7E" w:rsidRPr="004569B6">
        <w:t xml:space="preserve"> efficient way? If not, what test do you favour? </w:t>
      </w:r>
    </w:p>
    <w:p w14:paraId="6AFF06BC" w14:textId="71EE7F41" w:rsidR="00545EA9" w:rsidRDefault="00545EA9" w:rsidP="00F43E7E">
      <w:pPr>
        <w:pStyle w:val="QuestionBox"/>
      </w:pPr>
      <w:r>
        <w:rPr>
          <w:noProof/>
        </w:rPr>
        <mc:AlternateContent>
          <mc:Choice Requires="wpg">
            <w:drawing>
              <wp:anchor distT="0" distB="0" distL="114300" distR="114300" simplePos="0" relativeHeight="251691107" behindDoc="1" locked="0" layoutInCell="1" allowOverlap="1" wp14:anchorId="76B5312F" wp14:editId="3F5FA000">
                <wp:simplePos x="0" y="0"/>
                <wp:positionH relativeFrom="column">
                  <wp:posOffset>0</wp:posOffset>
                </wp:positionH>
                <wp:positionV relativeFrom="paragraph">
                  <wp:posOffset>158115</wp:posOffset>
                </wp:positionV>
                <wp:extent cx="1443794" cy="251974"/>
                <wp:effectExtent l="0" t="0" r="42545" b="0"/>
                <wp:wrapNone/>
                <wp:docPr id="219" name="Group 219"/>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2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AFB23E" w14:textId="33BA8865" w:rsidR="00545EA9" w:rsidRPr="00E700FF" w:rsidRDefault="00545EA9" w:rsidP="00545EA9">
                              <w:pPr>
                                <w:pStyle w:val="BoxTitle"/>
                                <w:spacing w:before="0" w:beforeAutospacing="0"/>
                              </w:pPr>
                              <w:r w:rsidRPr="001C1B37">
                                <w:t>Q</w:t>
                              </w:r>
                              <w:r>
                                <w:t>12</w:t>
                              </w:r>
                            </w:p>
                          </w:txbxContent>
                        </wps:txbx>
                        <wps:bodyPr rot="0" vert="horz" wrap="square" lIns="54000" tIns="82800" rIns="91440" bIns="45720" anchor="ctr" anchorCtr="0" upright="1">
                          <a:noAutofit/>
                        </wps:bodyPr>
                      </wps:wsp>
                    </wpg:wgp>
                  </a:graphicData>
                </a:graphic>
              </wp:anchor>
            </w:drawing>
          </mc:Choice>
          <mc:Fallback>
            <w:pict>
              <v:group w14:anchorId="76B5312F" id="Group 219" o:spid="_x0000_s1064" style="position:absolute;left:0;text-align:left;margin-left:0;margin-top:12.45pt;width:113.7pt;height:19.85pt;z-index:-25162537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">
                <v:shape id="Freeform 58" o:spid="_x0000_s106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" path="m,l1815,e" filled="f" strokecolor="#72ab6a" strokeweight=".5pt">
                  <v:path arrowok="t" o:connecttype="custom" o:connectlocs="0,0;1073495,0" o:connectangles="0,0"/>
                </v:shape>
                <v:shape id="Freeform 66" o:spid="_x0000_s106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5AFB23E" w14:textId="33BA8865" w:rsidR="00545EA9" w:rsidRPr="00E700FF" w:rsidRDefault="00545EA9" w:rsidP="00545EA9">
                        <w:pPr>
                          <w:pStyle w:val="BoxTitle"/>
                          <w:spacing w:before="0" w:beforeAutospacing="0"/>
                        </w:pPr>
                        <w:r w:rsidRPr="001C1B37">
                          <w:t>Q</w:t>
                        </w:r>
                        <w:r>
                          <w:t>12</w:t>
                        </w:r>
                      </w:p>
                    </w:txbxContent>
                  </v:textbox>
                </v:shape>
              </v:group>
            </w:pict>
          </mc:Fallback>
        </mc:AlternateContent>
      </w:r>
    </w:p>
    <w:p w14:paraId="634BC6B0" w14:textId="44E956D9" w:rsidR="00F43E7E" w:rsidRDefault="00BD5C95" w:rsidP="00F43E7E">
      <w:pPr>
        <w:pStyle w:val="QuestionBox"/>
      </w:pPr>
      <w:r>
        <w:rPr>
          <w:rFonts w:ascii="ZWAdobeF" w:hAnsi="ZWAdobeF" w:cs="ZWAdobeF"/>
          <w:color w:val="auto"/>
          <w:sz w:val="2"/>
          <w:szCs w:val="2"/>
        </w:rPr>
        <w:t>1332B</w:t>
      </w:r>
      <w:r w:rsidR="0049638A">
        <w:rPr>
          <w:rFonts w:ascii="ZWAdobeF" w:hAnsi="ZWAdobeF" w:cs="ZWAdobeF"/>
          <w:color w:val="auto"/>
          <w:sz w:val="2"/>
          <w:szCs w:val="2"/>
        </w:rPr>
        <w:t>1332B</w:t>
      </w:r>
      <w:r w:rsidR="00D629FA">
        <w:rPr>
          <w:rFonts w:ascii="ZWAdobeF" w:hAnsi="ZWAdobeF" w:cs="ZWAdobeF"/>
          <w:color w:val="auto"/>
          <w:sz w:val="2"/>
          <w:szCs w:val="2"/>
        </w:rPr>
        <w:t>1332B</w:t>
      </w:r>
      <w:r w:rsidR="00F43E7E">
        <w:t>What factors should be relevant to the court’s consideration of which approach would best allow class member claims to be resolved in a just and efficient way? For example, should the court consider:</w:t>
      </w:r>
    </w:p>
    <w:p w14:paraId="6D1226CD" w14:textId="76A2216D" w:rsidR="00F43E7E" w:rsidRDefault="00BD5C95" w:rsidP="00B73434">
      <w:pPr>
        <w:pStyle w:val="Questionabc"/>
        <w:numPr>
          <w:ilvl w:val="0"/>
          <w:numId w:val="92"/>
        </w:numPr>
        <w:ind w:left="1418" w:hanging="425"/>
      </w:pPr>
      <w:r>
        <w:rPr>
          <w:rFonts w:ascii="ZWAdobeF" w:hAnsi="ZWAdobeF" w:cs="ZWAdobeF"/>
          <w:color w:val="auto"/>
          <w:sz w:val="2"/>
          <w:szCs w:val="2"/>
        </w:rPr>
        <w:t>1255B</w:t>
      </w:r>
      <w:r w:rsidR="0049638A">
        <w:rPr>
          <w:rFonts w:ascii="ZWAdobeF" w:hAnsi="ZWAdobeF" w:cs="ZWAdobeF"/>
          <w:color w:val="auto"/>
          <w:sz w:val="2"/>
          <w:szCs w:val="2"/>
        </w:rPr>
        <w:t>1255B</w:t>
      </w:r>
      <w:r w:rsidR="00D629FA">
        <w:rPr>
          <w:rFonts w:ascii="ZWAdobeF" w:hAnsi="ZWAdobeF" w:cs="ZWAdobeF"/>
          <w:color w:val="auto"/>
          <w:sz w:val="2"/>
          <w:szCs w:val="2"/>
        </w:rPr>
        <w:t>1255B</w:t>
      </w:r>
      <w:r w:rsidR="00F43E7E">
        <w:t xml:space="preserve">How each case is formulated? </w:t>
      </w:r>
    </w:p>
    <w:p w14:paraId="6C6770A5" w14:textId="491646AC" w:rsidR="00F43E7E" w:rsidRDefault="00BD5C95" w:rsidP="00B73434">
      <w:pPr>
        <w:pStyle w:val="Questionabc"/>
        <w:numPr>
          <w:ilvl w:val="0"/>
          <w:numId w:val="92"/>
        </w:numPr>
        <w:ind w:left="1418" w:hanging="425"/>
      </w:pPr>
      <w:r>
        <w:rPr>
          <w:rFonts w:ascii="ZWAdobeF" w:hAnsi="ZWAdobeF" w:cs="ZWAdobeF"/>
          <w:color w:val="auto"/>
          <w:sz w:val="2"/>
          <w:szCs w:val="2"/>
        </w:rPr>
        <w:t>1256B</w:t>
      </w:r>
      <w:r w:rsidR="0049638A">
        <w:rPr>
          <w:rFonts w:ascii="ZWAdobeF" w:hAnsi="ZWAdobeF" w:cs="ZWAdobeF"/>
          <w:color w:val="auto"/>
          <w:sz w:val="2"/>
          <w:szCs w:val="2"/>
        </w:rPr>
        <w:t>1256B</w:t>
      </w:r>
      <w:r w:rsidR="00D629FA">
        <w:rPr>
          <w:rFonts w:ascii="ZWAdobeF" w:hAnsi="ZWAdobeF" w:cs="ZWAdobeF"/>
          <w:color w:val="auto"/>
          <w:sz w:val="2"/>
          <w:szCs w:val="2"/>
        </w:rPr>
        <w:t>1256B</w:t>
      </w:r>
      <w:r w:rsidR="00F43E7E">
        <w:t>The preferences of potential class members?</w:t>
      </w:r>
    </w:p>
    <w:p w14:paraId="5759529D" w14:textId="67D09CA5" w:rsidR="00F43E7E" w:rsidRDefault="00BD5C95" w:rsidP="00B73434">
      <w:pPr>
        <w:pStyle w:val="Questionabc"/>
        <w:numPr>
          <w:ilvl w:val="0"/>
          <w:numId w:val="92"/>
        </w:numPr>
        <w:ind w:left="1418" w:hanging="425"/>
      </w:pPr>
      <w:r>
        <w:rPr>
          <w:rFonts w:ascii="ZWAdobeF" w:hAnsi="ZWAdobeF" w:cs="ZWAdobeF"/>
          <w:color w:val="auto"/>
          <w:sz w:val="2"/>
          <w:szCs w:val="2"/>
        </w:rPr>
        <w:t>1257B</w:t>
      </w:r>
      <w:r w:rsidR="0049638A">
        <w:rPr>
          <w:rFonts w:ascii="ZWAdobeF" w:hAnsi="ZWAdobeF" w:cs="ZWAdobeF"/>
          <w:color w:val="auto"/>
          <w:sz w:val="2"/>
          <w:szCs w:val="2"/>
        </w:rPr>
        <w:t>1257B</w:t>
      </w:r>
      <w:r w:rsidR="00D629FA">
        <w:rPr>
          <w:rFonts w:ascii="ZWAdobeF" w:hAnsi="ZWAdobeF" w:cs="ZWAdobeF"/>
          <w:color w:val="auto"/>
          <w:sz w:val="2"/>
          <w:szCs w:val="2"/>
        </w:rPr>
        <w:t>1257B</w:t>
      </w:r>
      <w:r w:rsidR="00F43E7E">
        <w:t>Litigation funding arrangements?</w:t>
      </w:r>
    </w:p>
    <w:p w14:paraId="18C347CD" w14:textId="138170C9" w:rsidR="00F43E7E" w:rsidRDefault="00BD5C95" w:rsidP="00B73434">
      <w:pPr>
        <w:pStyle w:val="Questionabc"/>
        <w:numPr>
          <w:ilvl w:val="0"/>
          <w:numId w:val="92"/>
        </w:numPr>
        <w:ind w:left="1418" w:hanging="425"/>
      </w:pPr>
      <w:r>
        <w:rPr>
          <w:rFonts w:ascii="ZWAdobeF" w:hAnsi="ZWAdobeF" w:cs="ZWAdobeF"/>
          <w:color w:val="auto"/>
          <w:sz w:val="2"/>
          <w:szCs w:val="2"/>
        </w:rPr>
        <w:t>1258B</w:t>
      </w:r>
      <w:r w:rsidR="0049638A">
        <w:rPr>
          <w:rFonts w:ascii="ZWAdobeF" w:hAnsi="ZWAdobeF" w:cs="ZWAdobeF"/>
          <w:color w:val="auto"/>
          <w:sz w:val="2"/>
          <w:szCs w:val="2"/>
        </w:rPr>
        <w:t>1258B</w:t>
      </w:r>
      <w:r w:rsidR="00D629FA">
        <w:rPr>
          <w:rFonts w:ascii="ZWAdobeF" w:hAnsi="ZWAdobeF" w:cs="ZWAdobeF"/>
          <w:color w:val="auto"/>
          <w:sz w:val="2"/>
          <w:szCs w:val="2"/>
        </w:rPr>
        <w:t>1258B</w:t>
      </w:r>
      <w:r w:rsidR="00F43E7E">
        <w:t>Legal representation?</w:t>
      </w:r>
    </w:p>
    <w:p w14:paraId="3D7F3608" w14:textId="51E3220F" w:rsidR="00545EA9" w:rsidRDefault="00545EA9" w:rsidP="00F43E7E">
      <w:pPr>
        <w:pStyle w:val="QuestionBox"/>
      </w:pPr>
      <w:r>
        <w:rPr>
          <w:noProof/>
        </w:rPr>
        <mc:AlternateContent>
          <mc:Choice Requires="wpg">
            <w:drawing>
              <wp:anchor distT="0" distB="0" distL="114300" distR="114300" simplePos="0" relativeHeight="251693155" behindDoc="1" locked="0" layoutInCell="1" allowOverlap="1" wp14:anchorId="7637F929" wp14:editId="49EEFF03">
                <wp:simplePos x="0" y="0"/>
                <wp:positionH relativeFrom="column">
                  <wp:posOffset>0</wp:posOffset>
                </wp:positionH>
                <wp:positionV relativeFrom="paragraph">
                  <wp:posOffset>170815</wp:posOffset>
                </wp:positionV>
                <wp:extent cx="1443794" cy="251974"/>
                <wp:effectExtent l="0" t="0" r="42545" b="0"/>
                <wp:wrapNone/>
                <wp:docPr id="232" name="Group 232"/>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3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48B682" w14:textId="55AA5B89" w:rsidR="00545EA9" w:rsidRPr="00E700FF" w:rsidRDefault="00545EA9" w:rsidP="00545EA9">
                              <w:pPr>
                                <w:pStyle w:val="BoxTitle"/>
                                <w:spacing w:before="0" w:beforeAutospacing="0"/>
                              </w:pPr>
                              <w:r w:rsidRPr="001C1B37">
                                <w:t>Q</w:t>
                              </w:r>
                              <w:r>
                                <w:t>13</w:t>
                              </w:r>
                            </w:p>
                          </w:txbxContent>
                        </wps:txbx>
                        <wps:bodyPr rot="0" vert="horz" wrap="square" lIns="54000" tIns="82800" rIns="91440" bIns="45720" anchor="ctr" anchorCtr="0" upright="1">
                          <a:noAutofit/>
                        </wps:bodyPr>
                      </wps:wsp>
                    </wpg:wgp>
                  </a:graphicData>
                </a:graphic>
              </wp:anchor>
            </w:drawing>
          </mc:Choice>
          <mc:Fallback>
            <w:pict>
              <v:group w14:anchorId="7637F929" id="Group 232" o:spid="_x0000_s1067" style="position:absolute;left:0;text-align:left;margin-left:0;margin-top:13.45pt;width:113.7pt;height:19.85pt;z-index:-25162332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">
                <v:shape id="Freeform 58" o:spid="_x0000_s106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" path="m,l1815,e" filled="f" strokecolor="#72ab6a" strokeweight=".5pt">
                  <v:path arrowok="t" o:connecttype="custom" o:connectlocs="0,0;1073495,0" o:connectangles="0,0"/>
                </v:shape>
                <v:shape id="Freeform 66" o:spid="_x0000_s106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448B682" w14:textId="55AA5B89" w:rsidR="00545EA9" w:rsidRPr="00E700FF" w:rsidRDefault="00545EA9" w:rsidP="00545EA9">
                        <w:pPr>
                          <w:pStyle w:val="BoxTitle"/>
                          <w:spacing w:before="0" w:beforeAutospacing="0"/>
                        </w:pPr>
                        <w:r w:rsidRPr="001C1B37">
                          <w:t>Q</w:t>
                        </w:r>
                        <w:r>
                          <w:t>13</w:t>
                        </w:r>
                      </w:p>
                    </w:txbxContent>
                  </v:textbox>
                </v:shape>
              </v:group>
            </w:pict>
          </mc:Fallback>
        </mc:AlternateContent>
      </w:r>
    </w:p>
    <w:p w14:paraId="16A63321" w14:textId="23BC8D32" w:rsidR="00F43E7E" w:rsidRDefault="00BD5C95" w:rsidP="00F43E7E">
      <w:pPr>
        <w:pStyle w:val="QuestionBox"/>
      </w:pPr>
      <w:r>
        <w:rPr>
          <w:rFonts w:ascii="ZWAdobeF" w:hAnsi="ZWAdobeF" w:cs="ZWAdobeF"/>
          <w:color w:val="auto"/>
          <w:sz w:val="2"/>
          <w:szCs w:val="2"/>
        </w:rPr>
        <w:t>1333B</w:t>
      </w:r>
      <w:r w:rsidR="0049638A">
        <w:rPr>
          <w:rFonts w:ascii="ZWAdobeF" w:hAnsi="ZWAdobeF" w:cs="ZWAdobeF"/>
          <w:color w:val="auto"/>
          <w:sz w:val="2"/>
          <w:szCs w:val="2"/>
        </w:rPr>
        <w:t>1333B</w:t>
      </w:r>
      <w:r w:rsidR="00D629FA">
        <w:rPr>
          <w:rFonts w:ascii="ZWAdobeF" w:hAnsi="ZWAdobeF" w:cs="ZWAdobeF"/>
          <w:color w:val="auto"/>
          <w:sz w:val="2"/>
          <w:szCs w:val="2"/>
        </w:rPr>
        <w:t>1333B</w:t>
      </w:r>
      <w:r w:rsidR="00F43E7E">
        <w:t>Do you have any concerns about defendants gaining a tactical advantage from a competing class action hearing? If so, how should they be managed?</w:t>
      </w:r>
    </w:p>
    <w:p w14:paraId="0104408D" w14:textId="77777777" w:rsidR="00F43E7E" w:rsidRPr="00F12540" w:rsidRDefault="00F43E7E" w:rsidP="00F43E7E">
      <w:pPr>
        <w:pStyle w:val="QuestionBox"/>
        <w:rPr>
          <w:lang w:val="en-US"/>
        </w:rPr>
      </w:pPr>
    </w:p>
    <w:p w14:paraId="0308AFDB" w14:textId="77777777" w:rsidR="00F72E75" w:rsidRDefault="00F72E75">
      <w:pPr>
        <w:widowControl w:val="0"/>
        <w:spacing w:after="200" w:line="276" w:lineRule="auto"/>
        <w:rPr>
          <w:rFonts w:eastAsia="Metropolis Light"/>
          <w:b/>
          <w:bCs/>
          <w:color w:val="000000" w:themeColor="text1"/>
        </w:rPr>
      </w:pPr>
      <w:r>
        <w:rPr>
          <w:b/>
          <w:bCs/>
        </w:rPr>
        <w:br w:type="page"/>
      </w:r>
    </w:p>
    <w:bookmarkStart w:id="28" w:name="_Toc83895423"/>
    <w:p w14:paraId="1B2D003F" w14:textId="4FF1DB9A" w:rsidR="00F43E7E" w:rsidRPr="00F12540" w:rsidRDefault="00075B4E" w:rsidP="00075B4E">
      <w:pPr>
        <w:pStyle w:val="Heading2"/>
      </w:pPr>
      <w:r>
        <w:rPr>
          <w:noProof/>
        </w:rPr>
        <w:lastRenderedPageBreak/>
        <mc:AlternateContent>
          <mc:Choice Requires="wpg">
            <w:drawing>
              <wp:anchor distT="0" distB="0" distL="114300" distR="114300" simplePos="0" relativeHeight="251695203" behindDoc="1" locked="0" layoutInCell="1" allowOverlap="1" wp14:anchorId="04E3CACC" wp14:editId="03BD8715">
                <wp:simplePos x="0" y="0"/>
                <wp:positionH relativeFrom="column">
                  <wp:posOffset>-635</wp:posOffset>
                </wp:positionH>
                <wp:positionV relativeFrom="paragraph">
                  <wp:posOffset>283210</wp:posOffset>
                </wp:positionV>
                <wp:extent cx="5760085" cy="6267448"/>
                <wp:effectExtent l="0" t="0" r="0" b="635"/>
                <wp:wrapNone/>
                <wp:docPr id="23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6267448"/>
                          <a:chOff x="1837" y="-5692"/>
                          <a:chExt cx="9302" cy="59652"/>
                        </a:xfrm>
                      </wpg:grpSpPr>
                      <wps:wsp>
                        <wps:cNvPr id="238" name="Freeform 54"/>
                        <wps:cNvSpPr>
                          <a:spLocks/>
                        </wps:cNvSpPr>
                        <wps:spPr bwMode="auto">
                          <a:xfrm>
                            <a:off x="1837" y="-5692"/>
                            <a:ext cx="9302" cy="5965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FDBE66E" id="Group 53" o:spid="_x0000_s1026" style="position:absolute;margin-left:-.05pt;margin-top:22.3pt;width:453.55pt;height:493.5pt;z-index:-251621277;mso-height-relative:margin" coordorigin="1837,-5692" coordsize="9302,5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">
                <v:shape id="Freeform 54" o:spid="_x0000_s1027" style="position:absolute;left:1837;top:-5692;width:9302;height:5965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" path="m,l9354,r,7809l,7809,,e" fillcolor="#edf2ea" stroked="f">
                  <v:path arrowok="t" o:connecttype="custom" o:connectlocs="0,7639;9302,7639;9302,67291;0,67291;0,7639" o:connectangles="0,0,0,0,0"/>
                </v:shape>
              </v:group>
            </w:pict>
          </mc:Fallback>
        </mc:AlternateContent>
      </w:r>
      <w:r>
        <w:t xml:space="preserve">CHAPTER 3: </w:t>
      </w:r>
      <w:bookmarkEnd w:id="28"/>
      <w:r w:rsidR="00FF56D0">
        <w:t>RELATIONSHIPS WITH CLASS MEMBERS</w:t>
      </w:r>
    </w:p>
    <w:p w14:paraId="0882FF58" w14:textId="74E03369" w:rsidR="00075B4E" w:rsidRDefault="00075B4E" w:rsidP="00F43E7E">
      <w:pPr>
        <w:pStyle w:val="QuestionBox"/>
      </w:pPr>
      <w:r>
        <w:rPr>
          <w:noProof/>
        </w:rPr>
        <mc:AlternateContent>
          <mc:Choice Requires="wpg">
            <w:drawing>
              <wp:anchor distT="0" distB="0" distL="114300" distR="114300" simplePos="0" relativeHeight="251697251" behindDoc="1" locked="0" layoutInCell="1" allowOverlap="1" wp14:anchorId="337A55BD" wp14:editId="49F27A03">
                <wp:simplePos x="0" y="0"/>
                <wp:positionH relativeFrom="column">
                  <wp:posOffset>0</wp:posOffset>
                </wp:positionH>
                <wp:positionV relativeFrom="paragraph">
                  <wp:posOffset>145415</wp:posOffset>
                </wp:positionV>
                <wp:extent cx="1443794" cy="251974"/>
                <wp:effectExtent l="0" t="0" r="42545" b="0"/>
                <wp:wrapNone/>
                <wp:docPr id="239" name="Group 239"/>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4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E751FE" w14:textId="0E91C58C" w:rsidR="00075B4E" w:rsidRPr="00E700FF" w:rsidRDefault="00075B4E" w:rsidP="00075B4E">
                              <w:pPr>
                                <w:pStyle w:val="BoxTitle"/>
                                <w:spacing w:before="0" w:beforeAutospacing="0"/>
                              </w:pPr>
                              <w:r w:rsidRPr="001C1B37">
                                <w:t>Q</w:t>
                              </w:r>
                              <w:r>
                                <w:t>14</w:t>
                              </w:r>
                            </w:p>
                          </w:txbxContent>
                        </wps:txbx>
                        <wps:bodyPr rot="0" vert="horz" wrap="square" lIns="54000" tIns="82800" rIns="91440" bIns="45720" anchor="ctr" anchorCtr="0" upright="1">
                          <a:noAutofit/>
                        </wps:bodyPr>
                      </wps:wsp>
                    </wpg:wgp>
                  </a:graphicData>
                </a:graphic>
              </wp:anchor>
            </w:drawing>
          </mc:Choice>
          <mc:Fallback>
            <w:pict>
              <v:group w14:anchorId="337A55BD" id="Group 239" o:spid="_x0000_s1070" style="position:absolute;left:0;text-align:left;margin-left:0;margin-top:11.45pt;width:113.7pt;height:19.85pt;z-index:-25161922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">
                <v:shape id="Freeform 58" o:spid="_x0000_s107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" path="m,l1815,e" filled="f" strokecolor="#72ab6a" strokeweight=".5pt">
                  <v:path arrowok="t" o:connecttype="custom" o:connectlocs="0,0;1073495,0" o:connectangles="0,0"/>
                </v:shape>
                <v:shape id="Freeform 66" o:spid="_x0000_s107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EE751FE" w14:textId="0E91C58C" w:rsidR="00075B4E" w:rsidRPr="00E700FF" w:rsidRDefault="00075B4E" w:rsidP="00075B4E">
                        <w:pPr>
                          <w:pStyle w:val="BoxTitle"/>
                          <w:spacing w:before="0" w:beforeAutospacing="0"/>
                        </w:pPr>
                        <w:r w:rsidRPr="001C1B37">
                          <w:t>Q</w:t>
                        </w:r>
                        <w:r>
                          <w:t>14</w:t>
                        </w:r>
                      </w:p>
                    </w:txbxContent>
                  </v:textbox>
                </v:shape>
              </v:group>
            </w:pict>
          </mc:Fallback>
        </mc:AlternateContent>
      </w:r>
    </w:p>
    <w:p w14:paraId="286F2C02" w14:textId="0A601970" w:rsidR="00F43E7E" w:rsidRDefault="00BD5C95" w:rsidP="00F43E7E">
      <w:pPr>
        <w:pStyle w:val="QuestionBox"/>
      </w:pPr>
      <w:r>
        <w:rPr>
          <w:rFonts w:ascii="ZWAdobeF" w:hAnsi="ZWAdobeF" w:cs="ZWAdobeF"/>
          <w:color w:val="auto"/>
          <w:sz w:val="2"/>
          <w:szCs w:val="2"/>
        </w:rPr>
        <w:t>1334B</w:t>
      </w:r>
      <w:r w:rsidR="0049638A">
        <w:rPr>
          <w:rFonts w:ascii="ZWAdobeF" w:hAnsi="ZWAdobeF" w:cs="ZWAdobeF"/>
          <w:color w:val="auto"/>
          <w:sz w:val="2"/>
          <w:szCs w:val="2"/>
        </w:rPr>
        <w:t>1334B</w:t>
      </w:r>
      <w:r w:rsidR="00D629FA">
        <w:rPr>
          <w:rFonts w:ascii="ZWAdobeF" w:hAnsi="ZWAdobeF" w:cs="ZWAdobeF"/>
          <w:color w:val="auto"/>
          <w:sz w:val="2"/>
          <w:szCs w:val="2"/>
        </w:rPr>
        <w:t>1334B</w:t>
      </w:r>
      <w:r w:rsidR="00F43E7E">
        <w:t xml:space="preserve">What obligations should the representative plaintiff have? For example: </w:t>
      </w:r>
    </w:p>
    <w:p w14:paraId="4BF813C4" w14:textId="4656C8BF" w:rsidR="00F43E7E" w:rsidRDefault="00BD5C95" w:rsidP="00B73434">
      <w:pPr>
        <w:pStyle w:val="Questionabc"/>
        <w:numPr>
          <w:ilvl w:val="0"/>
          <w:numId w:val="93"/>
        </w:numPr>
        <w:ind w:left="1418" w:hanging="425"/>
      </w:pPr>
      <w:r>
        <w:rPr>
          <w:rFonts w:ascii="ZWAdobeF" w:hAnsi="ZWAdobeF" w:cs="ZWAdobeF"/>
          <w:color w:val="auto"/>
          <w:sz w:val="2"/>
          <w:szCs w:val="2"/>
        </w:rPr>
        <w:t>1259B</w:t>
      </w:r>
      <w:r w:rsidR="0049638A">
        <w:rPr>
          <w:rFonts w:ascii="ZWAdobeF" w:hAnsi="ZWAdobeF" w:cs="ZWAdobeF"/>
          <w:color w:val="auto"/>
          <w:sz w:val="2"/>
          <w:szCs w:val="2"/>
        </w:rPr>
        <w:t>1259B</w:t>
      </w:r>
      <w:r w:rsidR="00D629FA">
        <w:rPr>
          <w:rFonts w:ascii="ZWAdobeF" w:hAnsi="ZWAdobeF" w:cs="ZWAdobeF"/>
          <w:color w:val="auto"/>
          <w:sz w:val="2"/>
          <w:szCs w:val="2"/>
        </w:rPr>
        <w:t>1259B</w:t>
      </w:r>
      <w:r w:rsidR="00F43E7E" w:rsidRPr="0088096F">
        <w:t xml:space="preserve">Acting </w:t>
      </w:r>
      <w:r w:rsidR="00F43E7E" w:rsidRPr="002F0862">
        <w:t>in</w:t>
      </w:r>
      <w:r w:rsidR="00F43E7E" w:rsidRPr="0088096F">
        <w:t xml:space="preserve"> the best interests of the class</w:t>
      </w:r>
      <w:r w:rsidR="00F43E7E">
        <w:t xml:space="preserve">. </w:t>
      </w:r>
    </w:p>
    <w:p w14:paraId="071B2FE5" w14:textId="22B9A0B3" w:rsidR="00F43E7E" w:rsidRDefault="00BD5C95" w:rsidP="00B73434">
      <w:pPr>
        <w:pStyle w:val="Questionabc"/>
        <w:numPr>
          <w:ilvl w:val="0"/>
          <w:numId w:val="93"/>
        </w:numPr>
        <w:ind w:left="1418" w:hanging="425"/>
      </w:pPr>
      <w:r>
        <w:rPr>
          <w:rFonts w:ascii="ZWAdobeF" w:hAnsi="ZWAdobeF" w:cs="ZWAdobeF"/>
          <w:color w:val="auto"/>
          <w:sz w:val="2"/>
          <w:szCs w:val="2"/>
        </w:rPr>
        <w:t>1260B</w:t>
      </w:r>
      <w:r w:rsidR="0049638A">
        <w:rPr>
          <w:rFonts w:ascii="ZWAdobeF" w:hAnsi="ZWAdobeF" w:cs="ZWAdobeF"/>
          <w:color w:val="auto"/>
          <w:sz w:val="2"/>
          <w:szCs w:val="2"/>
        </w:rPr>
        <w:t>1260B</w:t>
      </w:r>
      <w:r w:rsidR="00D629FA">
        <w:rPr>
          <w:rFonts w:ascii="ZWAdobeF" w:hAnsi="ZWAdobeF" w:cs="ZWAdobeF"/>
          <w:color w:val="auto"/>
          <w:sz w:val="2"/>
          <w:szCs w:val="2"/>
        </w:rPr>
        <w:t>1260B</w:t>
      </w:r>
      <w:r w:rsidR="00F43E7E" w:rsidRPr="0088096F">
        <w:t>Ensuring the case is properly prosecuted</w:t>
      </w:r>
      <w:r w:rsidR="00F43E7E">
        <w:t xml:space="preserve">. </w:t>
      </w:r>
    </w:p>
    <w:p w14:paraId="39090C5B" w14:textId="063B0EF6" w:rsidR="00F43E7E" w:rsidRDefault="00BD5C95" w:rsidP="00B73434">
      <w:pPr>
        <w:pStyle w:val="Questionabc"/>
        <w:numPr>
          <w:ilvl w:val="0"/>
          <w:numId w:val="93"/>
        </w:numPr>
        <w:ind w:left="1418" w:hanging="425"/>
      </w:pPr>
      <w:r>
        <w:rPr>
          <w:rFonts w:ascii="ZWAdobeF" w:hAnsi="ZWAdobeF" w:cs="ZWAdobeF"/>
          <w:color w:val="auto"/>
          <w:sz w:val="2"/>
          <w:szCs w:val="2"/>
        </w:rPr>
        <w:t>1261B</w:t>
      </w:r>
      <w:r w:rsidR="0049638A">
        <w:rPr>
          <w:rFonts w:ascii="ZWAdobeF" w:hAnsi="ZWAdobeF" w:cs="ZWAdobeF"/>
          <w:color w:val="auto"/>
          <w:sz w:val="2"/>
          <w:szCs w:val="2"/>
        </w:rPr>
        <w:t>1261B</w:t>
      </w:r>
      <w:r w:rsidR="00D629FA">
        <w:rPr>
          <w:rFonts w:ascii="ZWAdobeF" w:hAnsi="ZWAdobeF" w:cs="ZWAdobeF"/>
          <w:color w:val="auto"/>
          <w:sz w:val="2"/>
          <w:szCs w:val="2"/>
        </w:rPr>
        <w:t>1261B</w:t>
      </w:r>
      <w:r w:rsidR="00F43E7E">
        <w:t>Being liable for adverse costs (or ensuring an indemnity is in place).</w:t>
      </w:r>
    </w:p>
    <w:p w14:paraId="2B2BC053" w14:textId="72B433FB" w:rsidR="00F43E7E" w:rsidRDefault="00BD5C95" w:rsidP="00B73434">
      <w:pPr>
        <w:pStyle w:val="Questionabc"/>
        <w:numPr>
          <w:ilvl w:val="0"/>
          <w:numId w:val="93"/>
        </w:numPr>
        <w:ind w:left="1418" w:hanging="425"/>
      </w:pPr>
      <w:r>
        <w:rPr>
          <w:rFonts w:ascii="ZWAdobeF" w:hAnsi="ZWAdobeF" w:cs="ZWAdobeF"/>
          <w:color w:val="auto"/>
          <w:sz w:val="2"/>
          <w:szCs w:val="2"/>
        </w:rPr>
        <w:t>1262B</w:t>
      </w:r>
      <w:r w:rsidR="0049638A">
        <w:rPr>
          <w:rFonts w:ascii="ZWAdobeF" w:hAnsi="ZWAdobeF" w:cs="ZWAdobeF"/>
          <w:color w:val="auto"/>
          <w:sz w:val="2"/>
          <w:szCs w:val="2"/>
        </w:rPr>
        <w:t>1262B</w:t>
      </w:r>
      <w:r w:rsidR="00D629FA">
        <w:rPr>
          <w:rFonts w:ascii="ZWAdobeF" w:hAnsi="ZWAdobeF" w:cs="ZWAdobeF"/>
          <w:color w:val="auto"/>
          <w:sz w:val="2"/>
          <w:szCs w:val="2"/>
        </w:rPr>
        <w:t>1262B</w:t>
      </w:r>
      <w:r w:rsidR="00F43E7E">
        <w:t>Making decisions on any settlement, including applying for court approval of settlement.</w:t>
      </w:r>
    </w:p>
    <w:p w14:paraId="09A21E8A" w14:textId="3ECD9E8D" w:rsidR="00075B4E" w:rsidRDefault="00075B4E" w:rsidP="00F43E7E">
      <w:pPr>
        <w:pStyle w:val="QuestionBox"/>
      </w:pPr>
      <w:r>
        <w:rPr>
          <w:noProof/>
        </w:rPr>
        <mc:AlternateContent>
          <mc:Choice Requires="wpg">
            <w:drawing>
              <wp:anchor distT="0" distB="0" distL="114300" distR="114300" simplePos="0" relativeHeight="251699299" behindDoc="1" locked="0" layoutInCell="1" allowOverlap="1" wp14:anchorId="7148578B" wp14:editId="07C2E3EB">
                <wp:simplePos x="0" y="0"/>
                <wp:positionH relativeFrom="column">
                  <wp:posOffset>0</wp:posOffset>
                </wp:positionH>
                <wp:positionV relativeFrom="paragraph">
                  <wp:posOffset>139065</wp:posOffset>
                </wp:positionV>
                <wp:extent cx="1443794" cy="251974"/>
                <wp:effectExtent l="0" t="0" r="42545" b="0"/>
                <wp:wrapNone/>
                <wp:docPr id="242" name="Group 242"/>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4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7A4FB4" w14:textId="67C86A19" w:rsidR="00075B4E" w:rsidRPr="00E700FF" w:rsidRDefault="00075B4E" w:rsidP="00075B4E">
                              <w:pPr>
                                <w:pStyle w:val="BoxTitle"/>
                                <w:spacing w:before="0" w:beforeAutospacing="0"/>
                              </w:pPr>
                              <w:r w:rsidRPr="001C1B37">
                                <w:t>Q</w:t>
                              </w:r>
                              <w:r>
                                <w:t>1</w:t>
                              </w:r>
                              <w:r w:rsidR="00D1157D">
                                <w:t>5</w:t>
                              </w:r>
                            </w:p>
                          </w:txbxContent>
                        </wps:txbx>
                        <wps:bodyPr rot="0" vert="horz" wrap="square" lIns="54000" tIns="82800" rIns="91440" bIns="45720" anchor="ctr" anchorCtr="0" upright="1">
                          <a:noAutofit/>
                        </wps:bodyPr>
                      </wps:wsp>
                    </wpg:wgp>
                  </a:graphicData>
                </a:graphic>
              </wp:anchor>
            </w:drawing>
          </mc:Choice>
          <mc:Fallback>
            <w:pict>
              <v:group w14:anchorId="7148578B" id="Group 242" o:spid="_x0000_s1073" style="position:absolute;left:0;text-align:left;margin-left:0;margin-top:10.95pt;width:113.7pt;height:19.85pt;z-index:-25161718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">
                <v:shape id="Freeform 58" o:spid="_x0000_s107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" path="m,l1815,e" filled="f" strokecolor="#72ab6a" strokeweight=".5pt">
                  <v:path arrowok="t" o:connecttype="custom" o:connectlocs="0,0;1073495,0" o:connectangles="0,0"/>
                </v:shape>
                <v:shape id="Freeform 66" o:spid="_x0000_s107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B7A4FB4" w14:textId="67C86A19" w:rsidR="00075B4E" w:rsidRPr="00E700FF" w:rsidRDefault="00075B4E" w:rsidP="00075B4E">
                        <w:pPr>
                          <w:pStyle w:val="BoxTitle"/>
                          <w:spacing w:before="0" w:beforeAutospacing="0"/>
                        </w:pPr>
                        <w:r w:rsidRPr="001C1B37">
                          <w:t>Q</w:t>
                        </w:r>
                        <w:r>
                          <w:t>1</w:t>
                        </w:r>
                        <w:r w:rsidR="00D1157D">
                          <w:t>5</w:t>
                        </w:r>
                      </w:p>
                    </w:txbxContent>
                  </v:textbox>
                </v:shape>
              </v:group>
            </w:pict>
          </mc:Fallback>
        </mc:AlternateContent>
      </w:r>
    </w:p>
    <w:p w14:paraId="487DEBA5" w14:textId="4580A12E" w:rsidR="00F43E7E" w:rsidRDefault="00BD5C95" w:rsidP="00F43E7E">
      <w:pPr>
        <w:pStyle w:val="QuestionBox"/>
      </w:pPr>
      <w:r>
        <w:rPr>
          <w:rFonts w:ascii="ZWAdobeF" w:hAnsi="ZWAdobeF" w:cs="ZWAdobeF"/>
          <w:color w:val="auto"/>
          <w:sz w:val="2"/>
          <w:szCs w:val="2"/>
        </w:rPr>
        <w:t>1335B</w:t>
      </w:r>
      <w:r w:rsidR="0049638A">
        <w:rPr>
          <w:rFonts w:ascii="ZWAdobeF" w:hAnsi="ZWAdobeF" w:cs="ZWAdobeF"/>
          <w:color w:val="auto"/>
          <w:sz w:val="2"/>
          <w:szCs w:val="2"/>
        </w:rPr>
        <w:t>1335B</w:t>
      </w:r>
      <w:r w:rsidR="00D629FA">
        <w:rPr>
          <w:rFonts w:ascii="ZWAdobeF" w:hAnsi="ZWAdobeF" w:cs="ZWAdobeF"/>
          <w:color w:val="auto"/>
          <w:sz w:val="2"/>
          <w:szCs w:val="2"/>
        </w:rPr>
        <w:t>1335B</w:t>
      </w:r>
      <w:r w:rsidR="00F43E7E">
        <w:t xml:space="preserve">Should the representative plaintiff’s obligations be set out in a class actions statute? </w:t>
      </w:r>
    </w:p>
    <w:p w14:paraId="6C62F0BB" w14:textId="77B53E55" w:rsidR="00075B4E" w:rsidRDefault="00075B4E" w:rsidP="00F43E7E">
      <w:pPr>
        <w:pStyle w:val="QuestionBox"/>
      </w:pPr>
      <w:r>
        <w:rPr>
          <w:noProof/>
        </w:rPr>
        <mc:AlternateContent>
          <mc:Choice Requires="wpg">
            <w:drawing>
              <wp:anchor distT="0" distB="0" distL="114300" distR="114300" simplePos="0" relativeHeight="251701347" behindDoc="1" locked="0" layoutInCell="1" allowOverlap="1" wp14:anchorId="7F253FEE" wp14:editId="1D4EC5E7">
                <wp:simplePos x="0" y="0"/>
                <wp:positionH relativeFrom="column">
                  <wp:posOffset>0</wp:posOffset>
                </wp:positionH>
                <wp:positionV relativeFrom="paragraph">
                  <wp:posOffset>151765</wp:posOffset>
                </wp:positionV>
                <wp:extent cx="1443794" cy="251974"/>
                <wp:effectExtent l="0" t="0" r="42545" b="0"/>
                <wp:wrapNone/>
                <wp:docPr id="249" name="Group 249"/>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5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BA19F7" w14:textId="71308CB6" w:rsidR="00075B4E" w:rsidRPr="00E700FF" w:rsidRDefault="00075B4E" w:rsidP="00075B4E">
                              <w:pPr>
                                <w:pStyle w:val="BoxTitle"/>
                                <w:spacing w:before="0" w:beforeAutospacing="0"/>
                              </w:pPr>
                              <w:r w:rsidRPr="001C1B37">
                                <w:t>Q</w:t>
                              </w:r>
                              <w:r>
                                <w:t>1</w:t>
                              </w:r>
                              <w:r w:rsidR="00D1157D">
                                <w:t>6</w:t>
                              </w:r>
                            </w:p>
                          </w:txbxContent>
                        </wps:txbx>
                        <wps:bodyPr rot="0" vert="horz" wrap="square" lIns="54000" tIns="82800" rIns="91440" bIns="45720" anchor="ctr" anchorCtr="0" upright="1">
                          <a:noAutofit/>
                        </wps:bodyPr>
                      </wps:wsp>
                    </wpg:wgp>
                  </a:graphicData>
                </a:graphic>
              </wp:anchor>
            </w:drawing>
          </mc:Choice>
          <mc:Fallback>
            <w:pict>
              <v:group w14:anchorId="7F253FEE" id="Group 249" o:spid="_x0000_s1076" style="position:absolute;left:0;text-align:left;margin-left:0;margin-top:11.95pt;width:113.7pt;height:19.85pt;z-index:-25161513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">
                <v:shape id="Freeform 58" o:spid="_x0000_s107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" path="m,l1815,e" filled="f" strokecolor="#72ab6a" strokeweight=".5pt">
                  <v:path arrowok="t" o:connecttype="custom" o:connectlocs="0,0;1073495,0" o:connectangles="0,0"/>
                </v:shape>
                <v:shape id="Freeform 66" o:spid="_x0000_s10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ABA19F7" w14:textId="71308CB6" w:rsidR="00075B4E" w:rsidRPr="00E700FF" w:rsidRDefault="00075B4E" w:rsidP="00075B4E">
                        <w:pPr>
                          <w:pStyle w:val="BoxTitle"/>
                          <w:spacing w:before="0" w:beforeAutospacing="0"/>
                        </w:pPr>
                        <w:r w:rsidRPr="001C1B37">
                          <w:t>Q</w:t>
                        </w:r>
                        <w:r>
                          <w:t>1</w:t>
                        </w:r>
                        <w:r w:rsidR="00D1157D">
                          <w:t>6</w:t>
                        </w:r>
                      </w:p>
                    </w:txbxContent>
                  </v:textbox>
                </v:shape>
              </v:group>
            </w:pict>
          </mc:Fallback>
        </mc:AlternateContent>
      </w:r>
    </w:p>
    <w:p w14:paraId="21C5FB53" w14:textId="15AA68BC" w:rsidR="00F43E7E" w:rsidRDefault="00BD5C95" w:rsidP="00F43E7E">
      <w:pPr>
        <w:pStyle w:val="QuestionBox"/>
      </w:pPr>
      <w:r>
        <w:rPr>
          <w:rFonts w:ascii="ZWAdobeF" w:hAnsi="ZWAdobeF" w:cs="ZWAdobeF"/>
          <w:color w:val="auto"/>
          <w:sz w:val="2"/>
          <w:szCs w:val="2"/>
        </w:rPr>
        <w:t>1336B</w:t>
      </w:r>
      <w:r w:rsidR="0049638A">
        <w:rPr>
          <w:rFonts w:ascii="ZWAdobeF" w:hAnsi="ZWAdobeF" w:cs="ZWAdobeF"/>
          <w:color w:val="auto"/>
          <w:sz w:val="2"/>
          <w:szCs w:val="2"/>
        </w:rPr>
        <w:t>1336B</w:t>
      </w:r>
      <w:r w:rsidR="00D629FA">
        <w:rPr>
          <w:rFonts w:ascii="ZWAdobeF" w:hAnsi="ZWAdobeF" w:cs="ZWAdobeF"/>
          <w:color w:val="auto"/>
          <w:sz w:val="2"/>
          <w:szCs w:val="2"/>
        </w:rPr>
        <w:t>1336B</w:t>
      </w:r>
      <w:r w:rsidR="00F43E7E">
        <w:t xml:space="preserve">How can a representative plaintiff be supported to meet their obligations? </w:t>
      </w:r>
    </w:p>
    <w:p w14:paraId="2B8155FB" w14:textId="39E966D2" w:rsidR="00075B4E" w:rsidRDefault="00075B4E" w:rsidP="00F43E7E">
      <w:pPr>
        <w:pStyle w:val="QuestionBox"/>
      </w:pPr>
      <w:r>
        <w:rPr>
          <w:noProof/>
        </w:rPr>
        <mc:AlternateContent>
          <mc:Choice Requires="wpg">
            <w:drawing>
              <wp:anchor distT="0" distB="0" distL="114300" distR="114300" simplePos="0" relativeHeight="251703395" behindDoc="1" locked="0" layoutInCell="1" allowOverlap="1" wp14:anchorId="4A1A4C1F" wp14:editId="5A1AE3FD">
                <wp:simplePos x="0" y="0"/>
                <wp:positionH relativeFrom="column">
                  <wp:posOffset>0</wp:posOffset>
                </wp:positionH>
                <wp:positionV relativeFrom="paragraph">
                  <wp:posOffset>145415</wp:posOffset>
                </wp:positionV>
                <wp:extent cx="1443794" cy="251974"/>
                <wp:effectExtent l="0" t="0" r="42545" b="0"/>
                <wp:wrapNone/>
                <wp:docPr id="252" name="Group 252"/>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5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CC37A8" w14:textId="1C7342BB" w:rsidR="00075B4E" w:rsidRPr="00E700FF" w:rsidRDefault="00075B4E" w:rsidP="00075B4E">
                              <w:pPr>
                                <w:pStyle w:val="BoxTitle"/>
                                <w:spacing w:before="0" w:beforeAutospacing="0"/>
                              </w:pPr>
                              <w:r w:rsidRPr="001C1B37">
                                <w:t>Q</w:t>
                              </w:r>
                              <w:r>
                                <w:t>1</w:t>
                              </w:r>
                              <w:r w:rsidR="00D1157D">
                                <w:t>7</w:t>
                              </w:r>
                            </w:p>
                          </w:txbxContent>
                        </wps:txbx>
                        <wps:bodyPr rot="0" vert="horz" wrap="square" lIns="54000" tIns="82800" rIns="91440" bIns="45720" anchor="ctr" anchorCtr="0" upright="1">
                          <a:noAutofit/>
                        </wps:bodyPr>
                      </wps:wsp>
                    </wpg:wgp>
                  </a:graphicData>
                </a:graphic>
              </wp:anchor>
            </w:drawing>
          </mc:Choice>
          <mc:Fallback>
            <w:pict>
              <v:group w14:anchorId="4A1A4C1F" id="Group 252" o:spid="_x0000_s1079" style="position:absolute;left:0;text-align:left;margin-left:0;margin-top:11.45pt;width:113.7pt;height:19.85pt;z-index:-25161308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">
                <v:shape id="Freeform 58" o:spid="_x0000_s1080"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" path="m,l1815,e" filled="f" strokecolor="#72ab6a" strokeweight=".5pt">
                  <v:path arrowok="t" o:connecttype="custom" o:connectlocs="0,0;1073495,0" o:connectangles="0,0"/>
                </v:shape>
                <v:shape id="Freeform 66" o:spid="_x0000_s108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BCC37A8" w14:textId="1C7342BB" w:rsidR="00075B4E" w:rsidRPr="00E700FF" w:rsidRDefault="00075B4E" w:rsidP="00075B4E">
                        <w:pPr>
                          <w:pStyle w:val="BoxTitle"/>
                          <w:spacing w:before="0" w:beforeAutospacing="0"/>
                        </w:pPr>
                        <w:r w:rsidRPr="001C1B37">
                          <w:t>Q</w:t>
                        </w:r>
                        <w:r>
                          <w:t>1</w:t>
                        </w:r>
                        <w:r w:rsidR="00D1157D">
                          <w:t>7</w:t>
                        </w:r>
                      </w:p>
                    </w:txbxContent>
                  </v:textbox>
                </v:shape>
              </v:group>
            </w:pict>
          </mc:Fallback>
        </mc:AlternateContent>
      </w:r>
    </w:p>
    <w:p w14:paraId="43476596" w14:textId="7BA575F0" w:rsidR="00F43E7E" w:rsidRDefault="00BD5C95" w:rsidP="00F43E7E">
      <w:pPr>
        <w:pStyle w:val="QuestionBox"/>
      </w:pPr>
      <w:r>
        <w:rPr>
          <w:rFonts w:ascii="ZWAdobeF" w:hAnsi="ZWAdobeF" w:cs="ZWAdobeF"/>
          <w:color w:val="auto"/>
          <w:sz w:val="2"/>
          <w:szCs w:val="2"/>
        </w:rPr>
        <w:t>1337B</w:t>
      </w:r>
      <w:r w:rsidR="0049638A">
        <w:rPr>
          <w:rFonts w:ascii="ZWAdobeF" w:hAnsi="ZWAdobeF" w:cs="ZWAdobeF"/>
          <w:color w:val="auto"/>
          <w:sz w:val="2"/>
          <w:szCs w:val="2"/>
        </w:rPr>
        <w:t>1337B</w:t>
      </w:r>
      <w:r w:rsidR="00D629FA">
        <w:rPr>
          <w:rFonts w:ascii="ZWAdobeF" w:hAnsi="ZWAdobeF" w:cs="ZWAdobeF"/>
          <w:color w:val="auto"/>
          <w:sz w:val="2"/>
          <w:szCs w:val="2"/>
        </w:rPr>
        <w:t>1337B</w:t>
      </w:r>
      <w:r w:rsidR="00F43E7E" w:rsidRPr="00ED6F55">
        <w:t xml:space="preserve">Do you </w:t>
      </w:r>
      <w:r w:rsidR="00F43E7E">
        <w:t>agree that the representative plaintiff’s lawyer should be regarded as the lawyer for the class after certification</w:t>
      </w:r>
      <w:r w:rsidR="00F43E7E" w:rsidRPr="00ED6F55">
        <w:t xml:space="preserve">? </w:t>
      </w:r>
    </w:p>
    <w:p w14:paraId="2510FB71" w14:textId="1547B989" w:rsidR="00F43E7E" w:rsidRDefault="00BD5C95" w:rsidP="00B73434">
      <w:pPr>
        <w:pStyle w:val="Questionabc"/>
        <w:numPr>
          <w:ilvl w:val="0"/>
          <w:numId w:val="94"/>
        </w:numPr>
        <w:ind w:left="1418" w:hanging="425"/>
      </w:pPr>
      <w:r>
        <w:rPr>
          <w:rFonts w:ascii="ZWAdobeF" w:hAnsi="ZWAdobeF" w:cs="ZWAdobeF"/>
          <w:color w:val="auto"/>
          <w:sz w:val="2"/>
          <w:szCs w:val="2"/>
        </w:rPr>
        <w:t>1263B</w:t>
      </w:r>
      <w:r w:rsidR="0049638A">
        <w:rPr>
          <w:rFonts w:ascii="ZWAdobeF" w:hAnsi="ZWAdobeF" w:cs="ZWAdobeF"/>
          <w:color w:val="auto"/>
          <w:sz w:val="2"/>
          <w:szCs w:val="2"/>
        </w:rPr>
        <w:t>1263B</w:t>
      </w:r>
      <w:r w:rsidR="00D629FA">
        <w:rPr>
          <w:rFonts w:ascii="ZWAdobeF" w:hAnsi="ZWAdobeF" w:cs="ZWAdobeF"/>
          <w:color w:val="auto"/>
          <w:sz w:val="2"/>
          <w:szCs w:val="2"/>
        </w:rPr>
        <w:t>1263B</w:t>
      </w:r>
      <w:r w:rsidR="00F43E7E">
        <w:t xml:space="preserve">If so, what duties should the lawyer owe to the class? </w:t>
      </w:r>
    </w:p>
    <w:p w14:paraId="178AF0A0" w14:textId="6E001C39" w:rsidR="00F43E7E" w:rsidRPr="006A0F43" w:rsidRDefault="00BD5C95" w:rsidP="00B73434">
      <w:pPr>
        <w:pStyle w:val="Questionabc"/>
        <w:numPr>
          <w:ilvl w:val="0"/>
          <w:numId w:val="94"/>
        </w:numPr>
        <w:ind w:left="1418" w:hanging="425"/>
      </w:pPr>
      <w:r>
        <w:rPr>
          <w:rFonts w:ascii="ZWAdobeF" w:hAnsi="ZWAdobeF" w:cs="ZWAdobeF"/>
          <w:color w:val="auto"/>
          <w:sz w:val="2"/>
          <w:szCs w:val="2"/>
        </w:rPr>
        <w:t>1264B</w:t>
      </w:r>
      <w:r w:rsidR="0049638A">
        <w:rPr>
          <w:rFonts w:ascii="ZWAdobeF" w:hAnsi="ZWAdobeF" w:cs="ZWAdobeF"/>
          <w:color w:val="auto"/>
          <w:sz w:val="2"/>
          <w:szCs w:val="2"/>
        </w:rPr>
        <w:t>1264B</w:t>
      </w:r>
      <w:r w:rsidR="00D629FA">
        <w:rPr>
          <w:rFonts w:ascii="ZWAdobeF" w:hAnsi="ZWAdobeF" w:cs="ZWAdobeF"/>
          <w:color w:val="auto"/>
          <w:sz w:val="2"/>
          <w:szCs w:val="2"/>
        </w:rPr>
        <w:t>1264B</w:t>
      </w:r>
      <w:r w:rsidR="00F43E7E" w:rsidRPr="00ED6F55">
        <w:t xml:space="preserve">If not, what relationship should exist between the representative plaintiff’s lawyer and </w:t>
      </w:r>
      <w:r w:rsidR="00F43E7E">
        <w:t>the class</w:t>
      </w:r>
      <w:r w:rsidR="00F43E7E" w:rsidRPr="00ED6F55">
        <w:t xml:space="preserve">?  </w:t>
      </w:r>
    </w:p>
    <w:p w14:paraId="36F90204" w14:textId="756E9568" w:rsidR="00D1157D" w:rsidRDefault="00D1157D" w:rsidP="00F43E7E">
      <w:pPr>
        <w:pStyle w:val="QuestionBox"/>
      </w:pPr>
      <w:r>
        <w:rPr>
          <w:noProof/>
        </w:rPr>
        <mc:AlternateContent>
          <mc:Choice Requires="wpg">
            <w:drawing>
              <wp:anchor distT="0" distB="0" distL="114300" distR="114300" simplePos="0" relativeHeight="251705443" behindDoc="1" locked="0" layoutInCell="1" allowOverlap="1" wp14:anchorId="2E66ADEB" wp14:editId="49E91FAB">
                <wp:simplePos x="0" y="0"/>
                <wp:positionH relativeFrom="column">
                  <wp:posOffset>0</wp:posOffset>
                </wp:positionH>
                <wp:positionV relativeFrom="paragraph">
                  <wp:posOffset>145415</wp:posOffset>
                </wp:positionV>
                <wp:extent cx="1443794" cy="251974"/>
                <wp:effectExtent l="0" t="0" r="42545" b="0"/>
                <wp:wrapNone/>
                <wp:docPr id="268" name="Group 268"/>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69"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CF1E76" w14:textId="4DCEE5E7" w:rsidR="00D1157D" w:rsidRPr="00E700FF" w:rsidRDefault="00D1157D" w:rsidP="00D1157D">
                              <w:pPr>
                                <w:pStyle w:val="BoxTitle"/>
                                <w:spacing w:before="0" w:beforeAutospacing="0"/>
                              </w:pPr>
                              <w:r w:rsidRPr="001C1B37">
                                <w:t>Q</w:t>
                              </w:r>
                              <w:r>
                                <w:t>18</w:t>
                              </w:r>
                            </w:p>
                          </w:txbxContent>
                        </wps:txbx>
                        <wps:bodyPr rot="0" vert="horz" wrap="square" lIns="54000" tIns="82800" rIns="91440" bIns="45720" anchor="ctr" anchorCtr="0" upright="1">
                          <a:noAutofit/>
                        </wps:bodyPr>
                      </wps:wsp>
                    </wpg:wgp>
                  </a:graphicData>
                </a:graphic>
              </wp:anchor>
            </w:drawing>
          </mc:Choice>
          <mc:Fallback>
            <w:pict>
              <v:group w14:anchorId="2E66ADEB" id="Group 268" o:spid="_x0000_s1082" style="position:absolute;left:0;text-align:left;margin-left:0;margin-top:11.45pt;width:113.7pt;height:19.85pt;z-index:-25161103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">
                <v:shape id="Freeform 58" o:spid="_x0000_s1083"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" path="m,l1815,e" filled="f" strokecolor="#72ab6a" strokeweight=".5pt">
                  <v:path arrowok="t" o:connecttype="custom" o:connectlocs="0,0;1073495,0" o:connectangles="0,0"/>
                </v:shape>
                <v:shape id="Freeform 66" o:spid="_x0000_s108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9CF1E76" w14:textId="4DCEE5E7" w:rsidR="00D1157D" w:rsidRPr="00E700FF" w:rsidRDefault="00D1157D" w:rsidP="00D1157D">
                        <w:pPr>
                          <w:pStyle w:val="BoxTitle"/>
                          <w:spacing w:before="0" w:beforeAutospacing="0"/>
                        </w:pPr>
                        <w:r w:rsidRPr="001C1B37">
                          <w:t>Q</w:t>
                        </w:r>
                        <w:r>
                          <w:t>18</w:t>
                        </w:r>
                      </w:p>
                    </w:txbxContent>
                  </v:textbox>
                </v:shape>
              </v:group>
            </w:pict>
          </mc:Fallback>
        </mc:AlternateContent>
      </w:r>
    </w:p>
    <w:p w14:paraId="483DE40B" w14:textId="1CB8862D" w:rsidR="00F43E7E" w:rsidRDefault="00BD5C95" w:rsidP="00F43E7E">
      <w:pPr>
        <w:pStyle w:val="QuestionBox"/>
      </w:pPr>
      <w:r>
        <w:rPr>
          <w:rFonts w:ascii="ZWAdobeF" w:hAnsi="ZWAdobeF" w:cs="ZWAdobeF"/>
          <w:color w:val="auto"/>
          <w:sz w:val="2"/>
          <w:szCs w:val="2"/>
        </w:rPr>
        <w:t>1338B</w:t>
      </w:r>
      <w:r w:rsidR="0049638A">
        <w:rPr>
          <w:rFonts w:ascii="ZWAdobeF" w:hAnsi="ZWAdobeF" w:cs="ZWAdobeF"/>
          <w:color w:val="auto"/>
          <w:sz w:val="2"/>
          <w:szCs w:val="2"/>
        </w:rPr>
        <w:t>1338B</w:t>
      </w:r>
      <w:r w:rsidR="00D629FA">
        <w:rPr>
          <w:rFonts w:ascii="ZWAdobeF" w:hAnsi="ZWAdobeF" w:cs="ZWAdobeF"/>
          <w:color w:val="auto"/>
          <w:sz w:val="2"/>
          <w:szCs w:val="2"/>
        </w:rPr>
        <w:t>1338B</w:t>
      </w:r>
      <w:r w:rsidR="00F43E7E">
        <w:t xml:space="preserve">Do you agree communications between the defendant’s lawyer and class members should be directed to the representative plaintiff’s lawyer after certification? If not, how should the defendant’s lawyer communicate with class members? </w:t>
      </w:r>
    </w:p>
    <w:p w14:paraId="71814CE2" w14:textId="2E74547C" w:rsidR="00D1157D" w:rsidRDefault="00D1157D" w:rsidP="00F43E7E">
      <w:pPr>
        <w:pStyle w:val="QuestionBox"/>
      </w:pPr>
      <w:r>
        <w:rPr>
          <w:noProof/>
        </w:rPr>
        <mc:AlternateContent>
          <mc:Choice Requires="wpg">
            <w:drawing>
              <wp:anchor distT="0" distB="0" distL="114300" distR="114300" simplePos="0" relativeHeight="251707491" behindDoc="1" locked="0" layoutInCell="1" allowOverlap="1" wp14:anchorId="3FD9E58D" wp14:editId="28D44720">
                <wp:simplePos x="0" y="0"/>
                <wp:positionH relativeFrom="column">
                  <wp:posOffset>0</wp:posOffset>
                </wp:positionH>
                <wp:positionV relativeFrom="paragraph">
                  <wp:posOffset>139065</wp:posOffset>
                </wp:positionV>
                <wp:extent cx="1443794" cy="251974"/>
                <wp:effectExtent l="0" t="0" r="42545" b="0"/>
                <wp:wrapNone/>
                <wp:docPr id="271" name="Group 271"/>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29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6F731D" w14:textId="3B2FCE25" w:rsidR="00D1157D" w:rsidRPr="00E700FF" w:rsidRDefault="00D1157D" w:rsidP="00D1157D">
                              <w:pPr>
                                <w:pStyle w:val="BoxTitle"/>
                                <w:spacing w:before="0" w:beforeAutospacing="0"/>
                              </w:pPr>
                              <w:r w:rsidRPr="001C1B37">
                                <w:t>Q</w:t>
                              </w:r>
                              <w:r>
                                <w:t>19</w:t>
                              </w:r>
                            </w:p>
                          </w:txbxContent>
                        </wps:txbx>
                        <wps:bodyPr rot="0" vert="horz" wrap="square" lIns="54000" tIns="82800" rIns="91440" bIns="45720" anchor="ctr" anchorCtr="0" upright="1">
                          <a:noAutofit/>
                        </wps:bodyPr>
                      </wps:wsp>
                    </wpg:wgp>
                  </a:graphicData>
                </a:graphic>
              </wp:anchor>
            </w:drawing>
          </mc:Choice>
          <mc:Fallback>
            <w:pict>
              <v:group w14:anchorId="3FD9E58D" id="Group 271" o:spid="_x0000_s1085" style="position:absolute;left:0;text-align:left;margin-left:0;margin-top:10.95pt;width:113.7pt;height:19.85pt;z-index:-25160898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">
                <v:shape id="Freeform 58" o:spid="_x0000_s108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" path="m,l1815,e" filled="f" strokecolor="#72ab6a" strokeweight=".5pt">
                  <v:path arrowok="t" o:connecttype="custom" o:connectlocs="0,0;1073495,0" o:connectangles="0,0"/>
                </v:shape>
                <v:shape id="Freeform 66" o:spid="_x0000_s108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86F731D" w14:textId="3B2FCE25" w:rsidR="00D1157D" w:rsidRPr="00E700FF" w:rsidRDefault="00D1157D" w:rsidP="00D1157D">
                        <w:pPr>
                          <w:pStyle w:val="BoxTitle"/>
                          <w:spacing w:before="0" w:beforeAutospacing="0"/>
                        </w:pPr>
                        <w:r w:rsidRPr="001C1B37">
                          <w:t>Q</w:t>
                        </w:r>
                        <w:r>
                          <w:t>19</w:t>
                        </w:r>
                      </w:p>
                    </w:txbxContent>
                  </v:textbox>
                </v:shape>
              </v:group>
            </w:pict>
          </mc:Fallback>
        </mc:AlternateContent>
      </w:r>
    </w:p>
    <w:p w14:paraId="09626380" w14:textId="33C4B74B" w:rsidR="00F43E7E" w:rsidRDefault="00BD5C95" w:rsidP="00F43E7E">
      <w:pPr>
        <w:pStyle w:val="QuestionBox"/>
      </w:pPr>
      <w:r>
        <w:rPr>
          <w:rFonts w:ascii="ZWAdobeF" w:hAnsi="ZWAdobeF" w:cs="ZWAdobeF"/>
          <w:color w:val="auto"/>
          <w:sz w:val="2"/>
          <w:szCs w:val="2"/>
        </w:rPr>
        <w:t>1339B</w:t>
      </w:r>
      <w:r w:rsidR="0049638A">
        <w:rPr>
          <w:rFonts w:ascii="ZWAdobeF" w:hAnsi="ZWAdobeF" w:cs="ZWAdobeF"/>
          <w:color w:val="auto"/>
          <w:sz w:val="2"/>
          <w:szCs w:val="2"/>
        </w:rPr>
        <w:t>1339B</w:t>
      </w:r>
      <w:r w:rsidR="00D629FA">
        <w:rPr>
          <w:rFonts w:ascii="ZWAdobeF" w:hAnsi="ZWAdobeF" w:cs="ZWAdobeF"/>
          <w:color w:val="auto"/>
          <w:sz w:val="2"/>
          <w:szCs w:val="2"/>
        </w:rPr>
        <w:t>1339B</w:t>
      </w:r>
      <w:r w:rsidR="00F43E7E">
        <w:t xml:space="preserve">Do you agree the court should review defendant communications with class members about individual settlements after certification? If not, what, if any, defendant communications with class members should require court review? </w:t>
      </w:r>
    </w:p>
    <w:p w14:paraId="1E8FCF63" w14:textId="77777777" w:rsidR="00F43E7E" w:rsidRPr="00F12540" w:rsidRDefault="00F43E7E" w:rsidP="00F43E7E">
      <w:pPr>
        <w:pStyle w:val="QuestionBox"/>
        <w:rPr>
          <w:lang w:val="en-US"/>
        </w:rPr>
      </w:pPr>
    </w:p>
    <w:bookmarkStart w:id="29" w:name="_Toc83895424"/>
    <w:p w14:paraId="0E13D10D" w14:textId="1B4F4FC7" w:rsidR="00F43E7E" w:rsidRPr="00540298" w:rsidRDefault="00D1157D" w:rsidP="00D1157D">
      <w:pPr>
        <w:pStyle w:val="Heading2"/>
      </w:pPr>
      <w:r>
        <w:rPr>
          <w:noProof/>
        </w:rPr>
        <mc:AlternateContent>
          <mc:Choice Requires="wpg">
            <w:drawing>
              <wp:anchor distT="0" distB="0" distL="114300" distR="114300" simplePos="0" relativeHeight="251711587" behindDoc="1" locked="0" layoutInCell="1" allowOverlap="1" wp14:anchorId="6AC29516" wp14:editId="5FCACA57">
                <wp:simplePos x="0" y="0"/>
                <wp:positionH relativeFrom="column">
                  <wp:posOffset>-635</wp:posOffset>
                </wp:positionH>
                <wp:positionV relativeFrom="paragraph">
                  <wp:posOffset>441960</wp:posOffset>
                </wp:positionV>
                <wp:extent cx="5760085" cy="2070113"/>
                <wp:effectExtent l="0" t="0" r="0" b="6350"/>
                <wp:wrapNone/>
                <wp:docPr id="30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070113"/>
                          <a:chOff x="1837" y="-5692"/>
                          <a:chExt cx="9302" cy="72834"/>
                        </a:xfrm>
                      </wpg:grpSpPr>
                      <wps:wsp>
                        <wps:cNvPr id="305" name="Freeform 54"/>
                        <wps:cNvSpPr>
                          <a:spLocks/>
                        </wps:cNvSpPr>
                        <wps:spPr bwMode="auto">
                          <a:xfrm>
                            <a:off x="1837" y="-5692"/>
                            <a:ext cx="9302" cy="728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3BA521B" id="Group 53" o:spid="_x0000_s1026" style="position:absolute;margin-left:-.05pt;margin-top:34.8pt;width:453.55pt;height:163pt;z-index:-251604893;mso-height-relative:margin" coordorigin="1837,-5692" coordsize="9302,7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">
                <v:shape id="Freeform 54" o:spid="_x0000_s1027" style="position:absolute;left:1837;top:-5692;width:9302;height:7283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" path="m,l9354,r,7809l,7809,,e" fillcolor="#edf2ea" stroked="f">
                  <v:path arrowok="t" o:connecttype="custom" o:connectlocs="0,9327;9302,9327;9302,82161;0,82161;0,9327" o:connectangles="0,0,0,0,0"/>
                </v:shape>
              </v:group>
            </w:pict>
          </mc:Fallback>
        </mc:AlternateContent>
      </w:r>
      <w:r>
        <w:t xml:space="preserve">CHAPTER 4: </w:t>
      </w:r>
      <w:r w:rsidR="00805BC0">
        <w:t>during</w:t>
      </w:r>
      <w:r w:rsidRPr="00540298">
        <w:t xml:space="preserve"> A CLASS ACTION</w:t>
      </w:r>
      <w:bookmarkEnd w:id="29"/>
    </w:p>
    <w:p w14:paraId="0018100D" w14:textId="546F98BE" w:rsidR="00D1157D" w:rsidRDefault="00D1157D" w:rsidP="00F43E7E">
      <w:pPr>
        <w:pStyle w:val="QuestionBox"/>
      </w:pPr>
      <w:r>
        <w:rPr>
          <w:noProof/>
        </w:rPr>
        <mc:AlternateContent>
          <mc:Choice Requires="wpg">
            <w:drawing>
              <wp:anchor distT="0" distB="0" distL="114300" distR="114300" simplePos="0" relativeHeight="251713635" behindDoc="1" locked="0" layoutInCell="1" allowOverlap="1" wp14:anchorId="6A12A689" wp14:editId="73D5EF65">
                <wp:simplePos x="0" y="0"/>
                <wp:positionH relativeFrom="column">
                  <wp:posOffset>-635</wp:posOffset>
                </wp:positionH>
                <wp:positionV relativeFrom="paragraph">
                  <wp:posOffset>124460</wp:posOffset>
                </wp:positionV>
                <wp:extent cx="1443794" cy="251974"/>
                <wp:effectExtent l="0" t="0" r="42545" b="0"/>
                <wp:wrapNone/>
                <wp:docPr id="306" name="Group 306"/>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0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0C108D" w14:textId="2216B988" w:rsidR="00D1157D" w:rsidRPr="00E700FF" w:rsidRDefault="00D1157D" w:rsidP="00D1157D">
                              <w:pPr>
                                <w:pStyle w:val="BoxTitle"/>
                                <w:spacing w:before="0" w:beforeAutospacing="0"/>
                              </w:pPr>
                              <w:r w:rsidRPr="001C1B37">
                                <w:t>Q</w:t>
                              </w:r>
                              <w:r>
                                <w:t>20</w:t>
                              </w:r>
                            </w:p>
                          </w:txbxContent>
                        </wps:txbx>
                        <wps:bodyPr rot="0" vert="horz" wrap="square" lIns="54000" tIns="82800" rIns="91440" bIns="45720" anchor="ctr" anchorCtr="0" upright="1">
                          <a:noAutofit/>
                        </wps:bodyPr>
                      </wps:wsp>
                    </wpg:wgp>
                  </a:graphicData>
                </a:graphic>
              </wp:anchor>
            </w:drawing>
          </mc:Choice>
          <mc:Fallback>
            <w:pict>
              <v:group w14:anchorId="6A12A689" id="Group 306" o:spid="_x0000_s1088" style="position:absolute;left:0;text-align:left;margin-left:-.05pt;margin-top:9.8pt;width:113.7pt;height:19.85pt;z-index:-25160284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">
                <v:shape id="Freeform 58" o:spid="_x0000_s108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" path="m,l1815,e" filled="f" strokecolor="#72ab6a" strokeweight=".5pt">
                  <v:path arrowok="t" o:connecttype="custom" o:connectlocs="0,0;1073495,0" o:connectangles="0,0"/>
                </v:shape>
                <v:shape id="Freeform 66" o:spid="_x0000_s1090"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4F0C108D" w14:textId="2216B988" w:rsidR="00D1157D" w:rsidRPr="00E700FF" w:rsidRDefault="00D1157D" w:rsidP="00D1157D">
                        <w:pPr>
                          <w:pStyle w:val="BoxTitle"/>
                          <w:spacing w:before="0" w:beforeAutospacing="0"/>
                        </w:pPr>
                        <w:r w:rsidRPr="001C1B37">
                          <w:t>Q</w:t>
                        </w:r>
                        <w:r>
                          <w:t>20</w:t>
                        </w:r>
                      </w:p>
                    </w:txbxContent>
                  </v:textbox>
                </v:shape>
              </v:group>
            </w:pict>
          </mc:Fallback>
        </mc:AlternateContent>
      </w:r>
    </w:p>
    <w:p w14:paraId="29478929" w14:textId="42E70557" w:rsidR="00F43E7E" w:rsidRDefault="00BD5C95" w:rsidP="00F43E7E">
      <w:pPr>
        <w:pStyle w:val="QuestionBox"/>
      </w:pPr>
      <w:r>
        <w:rPr>
          <w:rFonts w:ascii="ZWAdobeF" w:hAnsi="ZWAdobeF" w:cs="ZWAdobeF"/>
          <w:color w:val="auto"/>
          <w:sz w:val="2"/>
          <w:szCs w:val="2"/>
        </w:rPr>
        <w:t>1340B</w:t>
      </w:r>
      <w:r w:rsidR="0049638A">
        <w:rPr>
          <w:rFonts w:ascii="ZWAdobeF" w:hAnsi="ZWAdobeF" w:cs="ZWAdobeF"/>
          <w:color w:val="auto"/>
          <w:sz w:val="2"/>
          <w:szCs w:val="2"/>
        </w:rPr>
        <w:t>1340B</w:t>
      </w:r>
      <w:r w:rsidR="00D629FA">
        <w:rPr>
          <w:rFonts w:ascii="ZWAdobeF" w:hAnsi="ZWAdobeF" w:cs="ZWAdobeF"/>
          <w:color w:val="auto"/>
          <w:sz w:val="2"/>
          <w:szCs w:val="2"/>
        </w:rPr>
        <w:t>1340B</w:t>
      </w:r>
      <w:r w:rsidR="00F43E7E">
        <w:t xml:space="preserve">Do you agree with our list of events that should require notice to class members? </w:t>
      </w:r>
    </w:p>
    <w:p w14:paraId="568BC7C3" w14:textId="1C6D6FCA" w:rsidR="00D1157D" w:rsidRDefault="00C45FC6" w:rsidP="00F43E7E">
      <w:pPr>
        <w:pStyle w:val="QuestionBox"/>
      </w:pPr>
      <w:r>
        <w:rPr>
          <w:noProof/>
        </w:rPr>
        <mc:AlternateContent>
          <mc:Choice Requires="wpg">
            <w:drawing>
              <wp:anchor distT="0" distB="0" distL="114300" distR="114300" simplePos="0" relativeHeight="251715683" behindDoc="1" locked="0" layoutInCell="1" allowOverlap="1" wp14:anchorId="2D66675C" wp14:editId="759D44AB">
                <wp:simplePos x="0" y="0"/>
                <wp:positionH relativeFrom="column">
                  <wp:posOffset>0</wp:posOffset>
                </wp:positionH>
                <wp:positionV relativeFrom="paragraph">
                  <wp:posOffset>132715</wp:posOffset>
                </wp:positionV>
                <wp:extent cx="1443794" cy="251974"/>
                <wp:effectExtent l="0" t="0" r="42545" b="0"/>
                <wp:wrapNone/>
                <wp:docPr id="310" name="Group 310"/>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1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C69D5A" w14:textId="24F1BECF" w:rsidR="00C45FC6" w:rsidRPr="00E700FF" w:rsidRDefault="00C45FC6" w:rsidP="00C45FC6">
                              <w:pPr>
                                <w:pStyle w:val="BoxTitle"/>
                                <w:spacing w:before="0" w:beforeAutospacing="0"/>
                              </w:pPr>
                              <w:r w:rsidRPr="001C1B37">
                                <w:t>Q</w:t>
                              </w:r>
                              <w:r>
                                <w:t>21</w:t>
                              </w:r>
                            </w:p>
                          </w:txbxContent>
                        </wps:txbx>
                        <wps:bodyPr rot="0" vert="horz" wrap="square" lIns="54000" tIns="82800" rIns="91440" bIns="45720" anchor="ctr" anchorCtr="0" upright="1">
                          <a:noAutofit/>
                        </wps:bodyPr>
                      </wps:wsp>
                    </wpg:wgp>
                  </a:graphicData>
                </a:graphic>
              </wp:anchor>
            </w:drawing>
          </mc:Choice>
          <mc:Fallback>
            <w:pict>
              <v:group w14:anchorId="2D66675C" id="Group 310" o:spid="_x0000_s1091" style="position:absolute;left:0;text-align:left;margin-left:0;margin-top:10.45pt;width:113.7pt;height:19.85pt;z-index:-25160079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">
                <v:shape id="Freeform 58" o:spid="_x0000_s109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" path="m,l1815,e" filled="f" strokecolor="#72ab6a" strokeweight=".5pt">
                  <v:path arrowok="t" o:connecttype="custom" o:connectlocs="0,0;1073495,0" o:connectangles="0,0"/>
                </v:shape>
                <v:shape id="Freeform 66" o:spid="_x0000_s109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EC69D5A" w14:textId="24F1BECF" w:rsidR="00C45FC6" w:rsidRPr="00E700FF" w:rsidRDefault="00C45FC6" w:rsidP="00C45FC6">
                        <w:pPr>
                          <w:pStyle w:val="BoxTitle"/>
                          <w:spacing w:before="0" w:beforeAutospacing="0"/>
                        </w:pPr>
                        <w:r w:rsidRPr="001C1B37">
                          <w:t>Q</w:t>
                        </w:r>
                        <w:r>
                          <w:t>21</w:t>
                        </w:r>
                      </w:p>
                    </w:txbxContent>
                  </v:textbox>
                </v:shape>
              </v:group>
            </w:pict>
          </mc:Fallback>
        </mc:AlternateContent>
      </w:r>
    </w:p>
    <w:p w14:paraId="3865AE88" w14:textId="67EE7AB9" w:rsidR="00F43E7E" w:rsidRDefault="00BD5C95" w:rsidP="00F43E7E">
      <w:pPr>
        <w:pStyle w:val="QuestionBox"/>
      </w:pPr>
      <w:r>
        <w:rPr>
          <w:rFonts w:ascii="ZWAdobeF" w:hAnsi="ZWAdobeF" w:cs="ZWAdobeF"/>
          <w:color w:val="auto"/>
          <w:sz w:val="2"/>
          <w:szCs w:val="2"/>
        </w:rPr>
        <w:t>1341B</w:t>
      </w:r>
      <w:r w:rsidR="0049638A">
        <w:rPr>
          <w:rFonts w:ascii="ZWAdobeF" w:hAnsi="ZWAdobeF" w:cs="ZWAdobeF"/>
          <w:color w:val="auto"/>
          <w:sz w:val="2"/>
          <w:szCs w:val="2"/>
        </w:rPr>
        <w:t>1341B</w:t>
      </w:r>
      <w:r w:rsidR="00D629FA">
        <w:rPr>
          <w:rFonts w:ascii="ZWAdobeF" w:hAnsi="ZWAdobeF" w:cs="ZWAdobeF"/>
          <w:color w:val="auto"/>
          <w:sz w:val="2"/>
          <w:szCs w:val="2"/>
        </w:rPr>
        <w:t>1341B</w:t>
      </w:r>
      <w:r w:rsidR="00F43E7E">
        <w:t>Should the court have the power to order the defendant to:</w:t>
      </w:r>
    </w:p>
    <w:p w14:paraId="2FE55992" w14:textId="34EC4A63" w:rsidR="00F43E7E" w:rsidRDefault="00BD5C95" w:rsidP="00B73434">
      <w:pPr>
        <w:pStyle w:val="Questionabc"/>
        <w:numPr>
          <w:ilvl w:val="0"/>
          <w:numId w:val="95"/>
        </w:numPr>
        <w:ind w:left="1418" w:hanging="425"/>
      </w:pPr>
      <w:r>
        <w:rPr>
          <w:rFonts w:ascii="ZWAdobeF" w:hAnsi="ZWAdobeF" w:cs="ZWAdobeF"/>
          <w:color w:val="auto"/>
          <w:sz w:val="2"/>
          <w:szCs w:val="2"/>
        </w:rPr>
        <w:t>1265B</w:t>
      </w:r>
      <w:r w:rsidR="0049638A">
        <w:rPr>
          <w:rFonts w:ascii="ZWAdobeF" w:hAnsi="ZWAdobeF" w:cs="ZWAdobeF"/>
          <w:color w:val="auto"/>
          <w:sz w:val="2"/>
          <w:szCs w:val="2"/>
        </w:rPr>
        <w:t>1265B</w:t>
      </w:r>
      <w:r w:rsidR="00D629FA">
        <w:rPr>
          <w:rFonts w:ascii="ZWAdobeF" w:hAnsi="ZWAdobeF" w:cs="ZWAdobeF"/>
          <w:color w:val="auto"/>
          <w:sz w:val="2"/>
          <w:szCs w:val="2"/>
        </w:rPr>
        <w:t>1265B</w:t>
      </w:r>
      <w:r w:rsidR="00F43E7E">
        <w:t>Disclose the names and contact details of potential class members to the representative plaintiff?</w:t>
      </w:r>
    </w:p>
    <w:p w14:paraId="0CA9F86E" w14:textId="20714838" w:rsidR="00F43E7E" w:rsidRDefault="00BD5C95" w:rsidP="00B73434">
      <w:pPr>
        <w:pStyle w:val="Questionabc"/>
        <w:numPr>
          <w:ilvl w:val="0"/>
          <w:numId w:val="95"/>
        </w:numPr>
        <w:ind w:left="1418" w:hanging="425"/>
      </w:pPr>
      <w:r>
        <w:rPr>
          <w:rFonts w:ascii="ZWAdobeF" w:hAnsi="ZWAdobeF" w:cs="ZWAdobeF"/>
          <w:color w:val="auto"/>
          <w:sz w:val="2"/>
          <w:szCs w:val="2"/>
        </w:rPr>
        <w:t>1266B</w:t>
      </w:r>
      <w:r w:rsidR="0049638A">
        <w:rPr>
          <w:rFonts w:ascii="ZWAdobeF" w:hAnsi="ZWAdobeF" w:cs="ZWAdobeF"/>
          <w:color w:val="auto"/>
          <w:sz w:val="2"/>
          <w:szCs w:val="2"/>
        </w:rPr>
        <w:t>1266B</w:t>
      </w:r>
      <w:r w:rsidR="00D629FA">
        <w:rPr>
          <w:rFonts w:ascii="ZWAdobeF" w:hAnsi="ZWAdobeF" w:cs="ZWAdobeF"/>
          <w:color w:val="auto"/>
          <w:sz w:val="2"/>
          <w:szCs w:val="2"/>
        </w:rPr>
        <w:t>1266B</w:t>
      </w:r>
      <w:r w:rsidR="00F43E7E">
        <w:t xml:space="preserve">Assist with giving notice directly to class members?  </w:t>
      </w:r>
    </w:p>
    <w:p w14:paraId="4238BF08" w14:textId="77777777" w:rsidR="00791327" w:rsidRDefault="00791327" w:rsidP="00F43E7E">
      <w:pPr>
        <w:pStyle w:val="QuestionBox"/>
      </w:pPr>
    </w:p>
    <w:p w14:paraId="67861C1C" w14:textId="454925F7" w:rsidR="00791327" w:rsidRDefault="00A15A26" w:rsidP="00F43E7E">
      <w:pPr>
        <w:pStyle w:val="QuestionBox"/>
      </w:pPr>
      <w:r>
        <w:rPr>
          <w:noProof/>
        </w:rPr>
        <w:lastRenderedPageBreak/>
        <mc:AlternateContent>
          <mc:Choice Requires="wpg">
            <w:drawing>
              <wp:anchor distT="0" distB="0" distL="114300" distR="114300" simplePos="0" relativeHeight="251709539" behindDoc="1" locked="0" layoutInCell="1" allowOverlap="1" wp14:anchorId="3D9F5764" wp14:editId="1D756150">
                <wp:simplePos x="0" y="0"/>
                <wp:positionH relativeFrom="column">
                  <wp:posOffset>-635</wp:posOffset>
                </wp:positionH>
                <wp:positionV relativeFrom="paragraph">
                  <wp:posOffset>-2540</wp:posOffset>
                </wp:positionV>
                <wp:extent cx="5760085" cy="9251950"/>
                <wp:effectExtent l="0" t="0" r="0" b="6350"/>
                <wp:wrapNone/>
                <wp:docPr id="30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9251950"/>
                          <a:chOff x="1837" y="-5692"/>
                          <a:chExt cx="9302" cy="75639"/>
                        </a:xfrm>
                      </wpg:grpSpPr>
                      <wps:wsp>
                        <wps:cNvPr id="303" name="Freeform 54"/>
                        <wps:cNvSpPr>
                          <a:spLocks/>
                        </wps:cNvSpPr>
                        <wps:spPr bwMode="auto">
                          <a:xfrm>
                            <a:off x="1837" y="-5692"/>
                            <a:ext cx="9302" cy="7563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4C4E43" id="Group 53" o:spid="_x0000_s1026" style="position:absolute;margin-left:-.05pt;margin-top:-.2pt;width:453.55pt;height:728.5pt;z-index:-251606941;mso-height-relative:margin" coordorigin="1837,-5692" coordsize="9302,7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">
                <v:shape id="Freeform 54" o:spid="_x0000_s1027" style="position:absolute;left:1837;top:-5692;width:9302;height:7563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" path="m,l9354,r,7809l,7809,,e" fillcolor="#edf2ea" stroked="f">
                  <v:path arrowok="t" o:connecttype="custom" o:connectlocs="0,9686;9302,9686;9302,85325;0,85325;0,9686" o:connectangles="0,0,0,0,0"/>
                </v:shape>
              </v:group>
            </w:pict>
          </mc:Fallback>
        </mc:AlternateContent>
      </w:r>
      <w:r w:rsidR="00791327">
        <w:rPr>
          <w:noProof/>
        </w:rPr>
        <mc:AlternateContent>
          <mc:Choice Requires="wpg">
            <w:drawing>
              <wp:anchor distT="0" distB="0" distL="114300" distR="114300" simplePos="0" relativeHeight="251717731" behindDoc="1" locked="0" layoutInCell="1" allowOverlap="1" wp14:anchorId="47B6C669" wp14:editId="79353FFD">
                <wp:simplePos x="0" y="0"/>
                <wp:positionH relativeFrom="column">
                  <wp:posOffset>0</wp:posOffset>
                </wp:positionH>
                <wp:positionV relativeFrom="paragraph">
                  <wp:posOffset>158115</wp:posOffset>
                </wp:positionV>
                <wp:extent cx="1443794" cy="251974"/>
                <wp:effectExtent l="0" t="0" r="42545" b="0"/>
                <wp:wrapNone/>
                <wp:docPr id="313" name="Group 313"/>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14"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E5787" w14:textId="1B052B49" w:rsidR="00791327" w:rsidRPr="00E700FF" w:rsidRDefault="00791327" w:rsidP="00791327">
                              <w:pPr>
                                <w:pStyle w:val="BoxTitle"/>
                                <w:spacing w:before="0" w:beforeAutospacing="0"/>
                              </w:pPr>
                              <w:r w:rsidRPr="001C1B37">
                                <w:t>Q</w:t>
                              </w:r>
                              <w:r>
                                <w:t>22</w:t>
                              </w:r>
                            </w:p>
                          </w:txbxContent>
                        </wps:txbx>
                        <wps:bodyPr rot="0" vert="horz" wrap="square" lIns="54000" tIns="82800" rIns="91440" bIns="45720" anchor="ctr" anchorCtr="0" upright="1">
                          <a:noAutofit/>
                        </wps:bodyPr>
                      </wps:wsp>
                    </wpg:wgp>
                  </a:graphicData>
                </a:graphic>
              </wp:anchor>
            </w:drawing>
          </mc:Choice>
          <mc:Fallback>
            <w:pict>
              <v:group w14:anchorId="47B6C669" id="Group 313" o:spid="_x0000_s1094" style="position:absolute;left:0;text-align:left;margin-left:0;margin-top:12.45pt;width:113.7pt;height:19.85pt;z-index:-25159874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">
                <v:shape id="Freeform 58" o:spid="_x0000_s109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" path="m,l1815,e" filled="f" strokecolor="#72ab6a" strokeweight=".5pt">
                  <v:path arrowok="t" o:connecttype="custom" o:connectlocs="0,0;1073495,0" o:connectangles="0,0"/>
                </v:shape>
                <v:shape id="Freeform 66" o:spid="_x0000_s109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BAE5787" w14:textId="1B052B49" w:rsidR="00791327" w:rsidRPr="00E700FF" w:rsidRDefault="00791327" w:rsidP="00791327">
                        <w:pPr>
                          <w:pStyle w:val="BoxTitle"/>
                          <w:spacing w:before="0" w:beforeAutospacing="0"/>
                        </w:pPr>
                        <w:r w:rsidRPr="001C1B37">
                          <w:t>Q</w:t>
                        </w:r>
                        <w:r>
                          <w:t>22</w:t>
                        </w:r>
                      </w:p>
                    </w:txbxContent>
                  </v:textbox>
                </v:shape>
              </v:group>
            </w:pict>
          </mc:Fallback>
        </mc:AlternateContent>
      </w:r>
    </w:p>
    <w:p w14:paraId="6FAC44E3" w14:textId="55BBCB40" w:rsidR="00F43E7E" w:rsidRDefault="00BD5C95" w:rsidP="00F43E7E">
      <w:pPr>
        <w:pStyle w:val="QuestionBox"/>
      </w:pPr>
      <w:r>
        <w:rPr>
          <w:rFonts w:ascii="ZWAdobeF" w:hAnsi="ZWAdobeF" w:cs="ZWAdobeF"/>
          <w:color w:val="auto"/>
          <w:sz w:val="2"/>
          <w:szCs w:val="2"/>
        </w:rPr>
        <w:t>1342B</w:t>
      </w:r>
      <w:r w:rsidR="0049638A">
        <w:rPr>
          <w:rFonts w:ascii="ZWAdobeF" w:hAnsi="ZWAdobeF" w:cs="ZWAdobeF"/>
          <w:color w:val="auto"/>
          <w:sz w:val="2"/>
          <w:szCs w:val="2"/>
        </w:rPr>
        <w:t>1342B</w:t>
      </w:r>
      <w:r w:rsidR="00D629FA">
        <w:rPr>
          <w:rFonts w:ascii="ZWAdobeF" w:hAnsi="ZWAdobeF" w:cs="ZWAdobeF"/>
          <w:color w:val="auto"/>
          <w:sz w:val="2"/>
          <w:szCs w:val="2"/>
        </w:rPr>
        <w:t>1342B</w:t>
      </w:r>
      <w:r w:rsidR="00F43E7E">
        <w:t xml:space="preserve">Do you agree with our proposed requirements for an opt-in/opt-out notice? </w:t>
      </w:r>
    </w:p>
    <w:p w14:paraId="12197EB1" w14:textId="6BF12836" w:rsidR="00791327" w:rsidRDefault="00791327" w:rsidP="00F43E7E">
      <w:pPr>
        <w:pStyle w:val="QuestionBox"/>
      </w:pPr>
      <w:r>
        <w:rPr>
          <w:noProof/>
        </w:rPr>
        <mc:AlternateContent>
          <mc:Choice Requires="wpg">
            <w:drawing>
              <wp:anchor distT="0" distB="0" distL="114300" distR="114300" simplePos="0" relativeHeight="251719779" behindDoc="1" locked="0" layoutInCell="1" allowOverlap="1" wp14:anchorId="1DA09076" wp14:editId="6573B51D">
                <wp:simplePos x="0" y="0"/>
                <wp:positionH relativeFrom="column">
                  <wp:posOffset>0</wp:posOffset>
                </wp:positionH>
                <wp:positionV relativeFrom="paragraph">
                  <wp:posOffset>158115</wp:posOffset>
                </wp:positionV>
                <wp:extent cx="1443794" cy="251974"/>
                <wp:effectExtent l="0" t="0" r="42545" b="0"/>
                <wp:wrapNone/>
                <wp:docPr id="316" name="Group 316"/>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1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1DFF06" w14:textId="2B890161" w:rsidR="00791327" w:rsidRPr="00E700FF" w:rsidRDefault="00791327" w:rsidP="00791327">
                              <w:pPr>
                                <w:pStyle w:val="BoxTitle"/>
                                <w:spacing w:before="0" w:beforeAutospacing="0"/>
                              </w:pPr>
                              <w:r w:rsidRPr="001C1B37">
                                <w:t>Q</w:t>
                              </w:r>
                              <w:r>
                                <w:t>23</w:t>
                              </w:r>
                            </w:p>
                          </w:txbxContent>
                        </wps:txbx>
                        <wps:bodyPr rot="0" vert="horz" wrap="square" lIns="54000" tIns="82800" rIns="91440" bIns="45720" anchor="ctr" anchorCtr="0" upright="1">
                          <a:noAutofit/>
                        </wps:bodyPr>
                      </wps:wsp>
                    </wpg:wgp>
                  </a:graphicData>
                </a:graphic>
              </wp:anchor>
            </w:drawing>
          </mc:Choice>
          <mc:Fallback>
            <w:pict>
              <v:group w14:anchorId="1DA09076" id="Group 316" o:spid="_x0000_s1097" style="position:absolute;left:0;text-align:left;margin-left:0;margin-top:12.45pt;width:113.7pt;height:19.85pt;z-index:-25159670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">
                <v:shape id="Freeform 58" o:spid="_x0000_s109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" path="m,l1815,e" filled="f" strokecolor="#72ab6a" strokeweight=".5pt">
                  <v:path arrowok="t" o:connecttype="custom" o:connectlocs="0,0;1073495,0" o:connectangles="0,0"/>
                </v:shape>
                <v:shape id="Freeform 66" o:spid="_x0000_s109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71DFF06" w14:textId="2B890161" w:rsidR="00791327" w:rsidRPr="00E700FF" w:rsidRDefault="00791327" w:rsidP="00791327">
                        <w:pPr>
                          <w:pStyle w:val="BoxTitle"/>
                          <w:spacing w:before="0" w:beforeAutospacing="0"/>
                        </w:pPr>
                        <w:r w:rsidRPr="001C1B37">
                          <w:t>Q</w:t>
                        </w:r>
                        <w:r>
                          <w:t>23</w:t>
                        </w:r>
                      </w:p>
                    </w:txbxContent>
                  </v:textbox>
                </v:shape>
              </v:group>
            </w:pict>
          </mc:Fallback>
        </mc:AlternateContent>
      </w:r>
    </w:p>
    <w:p w14:paraId="3EDBA9C2" w14:textId="1BBA50D5" w:rsidR="00F43E7E" w:rsidRDefault="00BD5C95" w:rsidP="00F43E7E">
      <w:pPr>
        <w:pStyle w:val="QuestionBox"/>
      </w:pPr>
      <w:r>
        <w:rPr>
          <w:rFonts w:ascii="ZWAdobeF" w:hAnsi="ZWAdobeF" w:cs="ZWAdobeF"/>
          <w:color w:val="auto"/>
          <w:sz w:val="2"/>
          <w:szCs w:val="2"/>
        </w:rPr>
        <w:t>1343B</w:t>
      </w:r>
      <w:r w:rsidR="0049638A">
        <w:rPr>
          <w:rFonts w:ascii="ZWAdobeF" w:hAnsi="ZWAdobeF" w:cs="ZWAdobeF"/>
          <w:color w:val="auto"/>
          <w:sz w:val="2"/>
          <w:szCs w:val="2"/>
        </w:rPr>
        <w:t>1343B</w:t>
      </w:r>
      <w:r w:rsidR="00D629FA">
        <w:rPr>
          <w:rFonts w:ascii="ZWAdobeF" w:hAnsi="ZWAdobeF" w:cs="ZWAdobeF"/>
          <w:color w:val="auto"/>
          <w:sz w:val="2"/>
          <w:szCs w:val="2"/>
        </w:rPr>
        <w:t>1343B</w:t>
      </w:r>
      <w:r w:rsidR="00F43E7E">
        <w:t>Do you agree that the High Court Rules and the court’s inherent jurisdiction are adequate to ensure the efficient case management of class actions? If not, what specific provisions are needed? For example:</w:t>
      </w:r>
    </w:p>
    <w:p w14:paraId="0C0C4388" w14:textId="090B90AF" w:rsidR="00F43E7E" w:rsidRDefault="00BD5C95" w:rsidP="00B73434">
      <w:pPr>
        <w:pStyle w:val="Questionabc"/>
        <w:numPr>
          <w:ilvl w:val="0"/>
          <w:numId w:val="96"/>
        </w:numPr>
        <w:ind w:left="1418" w:hanging="425"/>
      </w:pPr>
      <w:r>
        <w:rPr>
          <w:rFonts w:ascii="ZWAdobeF" w:hAnsi="ZWAdobeF" w:cs="ZWAdobeF"/>
          <w:color w:val="auto"/>
          <w:sz w:val="2"/>
          <w:szCs w:val="2"/>
        </w:rPr>
        <w:t>1267B</w:t>
      </w:r>
      <w:r w:rsidR="0049638A">
        <w:rPr>
          <w:rFonts w:ascii="ZWAdobeF" w:hAnsi="ZWAdobeF" w:cs="ZWAdobeF"/>
          <w:color w:val="auto"/>
          <w:sz w:val="2"/>
          <w:szCs w:val="2"/>
        </w:rPr>
        <w:t>1267B</w:t>
      </w:r>
      <w:r w:rsidR="00D629FA">
        <w:rPr>
          <w:rFonts w:ascii="ZWAdobeF" w:hAnsi="ZWAdobeF" w:cs="ZWAdobeF"/>
          <w:color w:val="auto"/>
          <w:sz w:val="2"/>
          <w:szCs w:val="2"/>
        </w:rPr>
        <w:t>1267B</w:t>
      </w:r>
      <w:r w:rsidR="00F43E7E">
        <w:t>A general power for the court to make any orders necessary in a class action?</w:t>
      </w:r>
    </w:p>
    <w:p w14:paraId="4D8779E5" w14:textId="4CAFA2F6" w:rsidR="00F43E7E" w:rsidRDefault="00BD5C95" w:rsidP="00B73434">
      <w:pPr>
        <w:pStyle w:val="Questionabc"/>
        <w:numPr>
          <w:ilvl w:val="0"/>
          <w:numId w:val="96"/>
        </w:numPr>
        <w:ind w:left="1418" w:hanging="425"/>
      </w:pPr>
      <w:r>
        <w:rPr>
          <w:rFonts w:ascii="ZWAdobeF" w:hAnsi="ZWAdobeF" w:cs="ZWAdobeF"/>
          <w:color w:val="auto"/>
          <w:sz w:val="2"/>
          <w:szCs w:val="2"/>
        </w:rPr>
        <w:t>1268B</w:t>
      </w:r>
      <w:r w:rsidR="0049638A">
        <w:rPr>
          <w:rFonts w:ascii="ZWAdobeF" w:hAnsi="ZWAdobeF" w:cs="ZWAdobeF"/>
          <w:color w:val="auto"/>
          <w:sz w:val="2"/>
          <w:szCs w:val="2"/>
        </w:rPr>
        <w:t>1268B</w:t>
      </w:r>
      <w:r w:rsidR="00D629FA">
        <w:rPr>
          <w:rFonts w:ascii="ZWAdobeF" w:hAnsi="ZWAdobeF" w:cs="ZWAdobeF"/>
          <w:color w:val="auto"/>
          <w:sz w:val="2"/>
          <w:szCs w:val="2"/>
        </w:rPr>
        <w:t>1268B</w:t>
      </w:r>
      <w:r w:rsidR="00F43E7E">
        <w:t>Specific provisions for class actions case management conferences?</w:t>
      </w:r>
    </w:p>
    <w:p w14:paraId="615C1696" w14:textId="5C5F3CE2" w:rsidR="00F43E7E" w:rsidRDefault="00BD5C95" w:rsidP="00B73434">
      <w:pPr>
        <w:pStyle w:val="Questionabc"/>
        <w:numPr>
          <w:ilvl w:val="0"/>
          <w:numId w:val="96"/>
        </w:numPr>
        <w:ind w:left="1418" w:hanging="425"/>
      </w:pPr>
      <w:r>
        <w:rPr>
          <w:rFonts w:ascii="ZWAdobeF" w:hAnsi="ZWAdobeF" w:cs="ZWAdobeF"/>
          <w:color w:val="auto"/>
          <w:sz w:val="2"/>
          <w:szCs w:val="2"/>
        </w:rPr>
        <w:t>1269B</w:t>
      </w:r>
      <w:r w:rsidR="0049638A">
        <w:rPr>
          <w:rFonts w:ascii="ZWAdobeF" w:hAnsi="ZWAdobeF" w:cs="ZWAdobeF"/>
          <w:color w:val="auto"/>
          <w:sz w:val="2"/>
          <w:szCs w:val="2"/>
        </w:rPr>
        <w:t>1269B</w:t>
      </w:r>
      <w:r w:rsidR="00D629FA">
        <w:rPr>
          <w:rFonts w:ascii="ZWAdobeF" w:hAnsi="ZWAdobeF" w:cs="ZWAdobeF"/>
          <w:color w:val="auto"/>
          <w:sz w:val="2"/>
          <w:szCs w:val="2"/>
        </w:rPr>
        <w:t>1269B</w:t>
      </w:r>
      <w:r w:rsidR="00F43E7E">
        <w:t>Restrictions on filing interlocutory applications in class actions or procedures for dealing with interlocutory applications in an expedited way?</w:t>
      </w:r>
    </w:p>
    <w:p w14:paraId="24DB74E0" w14:textId="17B380C1" w:rsidR="00F43E7E" w:rsidRPr="00F46264" w:rsidRDefault="00BD5C95" w:rsidP="00B73434">
      <w:pPr>
        <w:pStyle w:val="Questionabc"/>
        <w:numPr>
          <w:ilvl w:val="0"/>
          <w:numId w:val="96"/>
        </w:numPr>
        <w:ind w:left="1418" w:hanging="425"/>
      </w:pPr>
      <w:r>
        <w:rPr>
          <w:rFonts w:ascii="ZWAdobeF" w:hAnsi="ZWAdobeF" w:cs="ZWAdobeF"/>
          <w:color w:val="auto"/>
          <w:sz w:val="2"/>
          <w:szCs w:val="2"/>
        </w:rPr>
        <w:t>1270B</w:t>
      </w:r>
      <w:r w:rsidR="0049638A">
        <w:rPr>
          <w:rFonts w:ascii="ZWAdobeF" w:hAnsi="ZWAdobeF" w:cs="ZWAdobeF"/>
          <w:color w:val="auto"/>
          <w:sz w:val="2"/>
          <w:szCs w:val="2"/>
        </w:rPr>
        <w:t>1270B</w:t>
      </w:r>
      <w:r w:rsidR="00D629FA">
        <w:rPr>
          <w:rFonts w:ascii="ZWAdobeF" w:hAnsi="ZWAdobeF" w:cs="ZWAdobeF"/>
          <w:color w:val="auto"/>
          <w:sz w:val="2"/>
          <w:szCs w:val="2"/>
        </w:rPr>
        <w:t>1270B</w:t>
      </w:r>
      <w:r w:rsidR="00F43E7E">
        <w:t xml:space="preserve">Automatic dismissal of a class action proceeding that is not progressed within a certain time frame? </w:t>
      </w:r>
    </w:p>
    <w:p w14:paraId="320E5294" w14:textId="79972272" w:rsidR="00791327" w:rsidRDefault="00791327" w:rsidP="00F43E7E">
      <w:pPr>
        <w:pStyle w:val="QuestionBox"/>
      </w:pPr>
      <w:r>
        <w:rPr>
          <w:noProof/>
        </w:rPr>
        <mc:AlternateContent>
          <mc:Choice Requires="wpg">
            <w:drawing>
              <wp:anchor distT="0" distB="0" distL="114300" distR="114300" simplePos="0" relativeHeight="251721827" behindDoc="1" locked="0" layoutInCell="1" allowOverlap="1" wp14:anchorId="36116DF8" wp14:editId="2309E824">
                <wp:simplePos x="0" y="0"/>
                <wp:positionH relativeFrom="column">
                  <wp:posOffset>-635</wp:posOffset>
                </wp:positionH>
                <wp:positionV relativeFrom="paragraph">
                  <wp:posOffset>162560</wp:posOffset>
                </wp:positionV>
                <wp:extent cx="1443794" cy="251974"/>
                <wp:effectExtent l="0" t="0" r="42545" b="0"/>
                <wp:wrapNone/>
                <wp:docPr id="764518218" name="Group 764518218"/>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219"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20"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82B4E8" w14:textId="4F8BFB37" w:rsidR="00791327" w:rsidRPr="00E700FF" w:rsidRDefault="00791327" w:rsidP="00791327">
                              <w:pPr>
                                <w:pStyle w:val="BoxTitle"/>
                                <w:spacing w:before="0" w:beforeAutospacing="0"/>
                              </w:pPr>
                              <w:r w:rsidRPr="001C1B37">
                                <w:t>Q</w:t>
                              </w:r>
                              <w:r>
                                <w:t>24</w:t>
                              </w:r>
                            </w:p>
                          </w:txbxContent>
                        </wps:txbx>
                        <wps:bodyPr rot="0" vert="horz" wrap="square" lIns="54000" tIns="82800" rIns="91440" bIns="45720" anchor="ctr" anchorCtr="0" upright="1">
                          <a:noAutofit/>
                        </wps:bodyPr>
                      </wps:wsp>
                    </wpg:wgp>
                  </a:graphicData>
                </a:graphic>
              </wp:anchor>
            </w:drawing>
          </mc:Choice>
          <mc:Fallback>
            <w:pict>
              <v:group w14:anchorId="36116DF8" id="Group 764518218" o:spid="_x0000_s1100" style="position:absolute;left:0;text-align:left;margin-left:-.05pt;margin-top:12.8pt;width:113.7pt;height:19.85pt;z-index:-25159465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">
                <v:shape id="Freeform 58" o:spid="_x0000_s110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" path="m,l1815,e" filled="f" strokecolor="#72ab6a" strokeweight=".5pt">
                  <v:path arrowok="t" o:connecttype="custom" o:connectlocs="0,0;1073495,0" o:connectangles="0,0"/>
                </v:shape>
                <v:shape id="Freeform 66" o:spid="_x0000_s1102"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6A82B4E8" w14:textId="4F8BFB37" w:rsidR="00791327" w:rsidRPr="00E700FF" w:rsidRDefault="00791327" w:rsidP="00791327">
                        <w:pPr>
                          <w:pStyle w:val="BoxTitle"/>
                          <w:spacing w:before="0" w:beforeAutospacing="0"/>
                        </w:pPr>
                        <w:r w:rsidRPr="001C1B37">
                          <w:t>Q</w:t>
                        </w:r>
                        <w:r>
                          <w:t>24</w:t>
                        </w:r>
                      </w:p>
                    </w:txbxContent>
                  </v:textbox>
                </v:shape>
              </v:group>
            </w:pict>
          </mc:Fallback>
        </mc:AlternateContent>
      </w:r>
    </w:p>
    <w:p w14:paraId="121F7CEF" w14:textId="154874BF" w:rsidR="00F43E7E" w:rsidRDefault="00BD5C95" w:rsidP="00F43E7E">
      <w:pPr>
        <w:pStyle w:val="QuestionBox"/>
      </w:pPr>
      <w:r>
        <w:rPr>
          <w:rFonts w:ascii="ZWAdobeF" w:hAnsi="ZWAdobeF" w:cs="ZWAdobeF"/>
          <w:color w:val="auto"/>
          <w:sz w:val="2"/>
          <w:szCs w:val="2"/>
        </w:rPr>
        <w:t>1344B</w:t>
      </w:r>
      <w:r w:rsidR="0049638A">
        <w:rPr>
          <w:rFonts w:ascii="ZWAdobeF" w:hAnsi="ZWAdobeF" w:cs="ZWAdobeF"/>
          <w:color w:val="auto"/>
          <w:sz w:val="2"/>
          <w:szCs w:val="2"/>
        </w:rPr>
        <w:t>1344B</w:t>
      </w:r>
      <w:r w:rsidR="00D629FA">
        <w:rPr>
          <w:rFonts w:ascii="ZWAdobeF" w:hAnsi="ZWAdobeF" w:cs="ZWAdobeF"/>
          <w:color w:val="auto"/>
          <w:sz w:val="2"/>
          <w:szCs w:val="2"/>
        </w:rPr>
        <w:t>1344B</w:t>
      </w:r>
      <w:r w:rsidR="00F43E7E">
        <w:t>Do you agree that:</w:t>
      </w:r>
    </w:p>
    <w:p w14:paraId="5D08A235" w14:textId="711D8A1D" w:rsidR="00F43E7E" w:rsidRDefault="00BD5C95" w:rsidP="00B73434">
      <w:pPr>
        <w:pStyle w:val="Questionabc"/>
        <w:numPr>
          <w:ilvl w:val="0"/>
          <w:numId w:val="97"/>
        </w:numPr>
        <w:ind w:left="1418" w:hanging="425"/>
      </w:pPr>
      <w:r>
        <w:rPr>
          <w:rFonts w:ascii="ZWAdobeF" w:hAnsi="ZWAdobeF" w:cs="ZWAdobeF"/>
          <w:color w:val="auto"/>
          <w:sz w:val="2"/>
          <w:szCs w:val="2"/>
        </w:rPr>
        <w:t>1271B</w:t>
      </w:r>
      <w:r w:rsidR="0049638A">
        <w:rPr>
          <w:rFonts w:ascii="ZWAdobeF" w:hAnsi="ZWAdobeF" w:cs="ZWAdobeF"/>
          <w:color w:val="auto"/>
          <w:sz w:val="2"/>
          <w:szCs w:val="2"/>
        </w:rPr>
        <w:t>1271B</w:t>
      </w:r>
      <w:r w:rsidR="00D629FA">
        <w:rPr>
          <w:rFonts w:ascii="ZWAdobeF" w:hAnsi="ZWAdobeF" w:cs="ZWAdobeF"/>
          <w:color w:val="auto"/>
          <w:sz w:val="2"/>
          <w:szCs w:val="2"/>
        </w:rPr>
        <w:t>1271B</w:t>
      </w:r>
      <w:r w:rsidR="00F43E7E">
        <w:t xml:space="preserve">There should be a presumption in favour of staged hearings in class actions? </w:t>
      </w:r>
    </w:p>
    <w:p w14:paraId="2F43ACBD" w14:textId="6EF96827" w:rsidR="00F43E7E" w:rsidRDefault="00BD5C95" w:rsidP="00B73434">
      <w:pPr>
        <w:pStyle w:val="Questionabc"/>
        <w:numPr>
          <w:ilvl w:val="0"/>
          <w:numId w:val="97"/>
        </w:numPr>
        <w:ind w:left="1418" w:hanging="425"/>
      </w:pPr>
      <w:r>
        <w:rPr>
          <w:rFonts w:ascii="ZWAdobeF" w:hAnsi="ZWAdobeF" w:cs="ZWAdobeF"/>
          <w:color w:val="auto"/>
          <w:sz w:val="2"/>
          <w:szCs w:val="2"/>
        </w:rPr>
        <w:t>1272B</w:t>
      </w:r>
      <w:r w:rsidR="0049638A">
        <w:rPr>
          <w:rFonts w:ascii="ZWAdobeF" w:hAnsi="ZWAdobeF" w:cs="ZWAdobeF"/>
          <w:color w:val="auto"/>
          <w:sz w:val="2"/>
          <w:szCs w:val="2"/>
        </w:rPr>
        <w:t>1272B</w:t>
      </w:r>
      <w:r w:rsidR="00D629FA">
        <w:rPr>
          <w:rFonts w:ascii="ZWAdobeF" w:hAnsi="ZWAdobeF" w:cs="ZWAdobeF"/>
          <w:color w:val="auto"/>
          <w:sz w:val="2"/>
          <w:szCs w:val="2"/>
        </w:rPr>
        <w:t>1272B</w:t>
      </w:r>
      <w:r w:rsidR="00F43E7E">
        <w:t>The court should have flexibility as to which issues are determined at stage one and stage two hearings?</w:t>
      </w:r>
      <w:r w:rsidR="00D1157D" w:rsidRPr="00D1157D">
        <w:rPr>
          <w:noProof/>
        </w:rPr>
        <w:t xml:space="preserve"> </w:t>
      </w:r>
    </w:p>
    <w:p w14:paraId="2F33A003" w14:textId="687DF154" w:rsidR="00791327" w:rsidRDefault="00791327" w:rsidP="00F43E7E">
      <w:pPr>
        <w:pStyle w:val="QuestionBox"/>
      </w:pPr>
      <w:r>
        <w:rPr>
          <w:noProof/>
        </w:rPr>
        <mc:AlternateContent>
          <mc:Choice Requires="wpg">
            <w:drawing>
              <wp:anchor distT="0" distB="0" distL="114300" distR="114300" simplePos="0" relativeHeight="251723875" behindDoc="1" locked="0" layoutInCell="1" allowOverlap="1" wp14:anchorId="42A016D5" wp14:editId="3C4F55FD">
                <wp:simplePos x="0" y="0"/>
                <wp:positionH relativeFrom="column">
                  <wp:posOffset>0</wp:posOffset>
                </wp:positionH>
                <wp:positionV relativeFrom="paragraph">
                  <wp:posOffset>164465</wp:posOffset>
                </wp:positionV>
                <wp:extent cx="1443794" cy="251974"/>
                <wp:effectExtent l="0" t="0" r="42545" b="0"/>
                <wp:wrapNone/>
                <wp:docPr id="764518221" name="Group 764518221"/>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22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2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8E64FC" w14:textId="42BCC40F" w:rsidR="00791327" w:rsidRPr="00E700FF" w:rsidRDefault="00791327" w:rsidP="00791327">
                              <w:pPr>
                                <w:pStyle w:val="BoxTitle"/>
                                <w:spacing w:before="0" w:beforeAutospacing="0"/>
                              </w:pPr>
                              <w:r w:rsidRPr="001C1B37">
                                <w:t>Q</w:t>
                              </w:r>
                              <w:r w:rsidR="00A15A26">
                                <w:t>25</w:t>
                              </w:r>
                            </w:p>
                          </w:txbxContent>
                        </wps:txbx>
                        <wps:bodyPr rot="0" vert="horz" wrap="square" lIns="54000" tIns="82800" rIns="91440" bIns="45720" anchor="ctr" anchorCtr="0" upright="1">
                          <a:noAutofit/>
                        </wps:bodyPr>
                      </wps:wsp>
                    </wpg:wgp>
                  </a:graphicData>
                </a:graphic>
              </wp:anchor>
            </w:drawing>
          </mc:Choice>
          <mc:Fallback>
            <w:pict>
              <v:group w14:anchorId="42A016D5" id="Group 764518221" o:spid="_x0000_s1103" style="position:absolute;left:0;text-align:left;margin-left:0;margin-top:12.95pt;width:113.7pt;height:19.85pt;z-index:-25159260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">
                <v:shape id="Freeform 58" o:spid="_x0000_s110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" path="m,l1815,e" filled="f" strokecolor="#72ab6a" strokeweight=".5pt">
                  <v:path arrowok="t" o:connecttype="custom" o:connectlocs="0,0;1073495,0" o:connectangles="0,0"/>
                </v:shape>
                <v:shape id="Freeform 66" o:spid="_x0000_s110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A8E64FC" w14:textId="42BCC40F" w:rsidR="00791327" w:rsidRPr="00E700FF" w:rsidRDefault="00791327" w:rsidP="00791327">
                        <w:pPr>
                          <w:pStyle w:val="BoxTitle"/>
                          <w:spacing w:before="0" w:beforeAutospacing="0"/>
                        </w:pPr>
                        <w:r w:rsidRPr="001C1B37">
                          <w:t>Q</w:t>
                        </w:r>
                        <w:r w:rsidR="00A15A26">
                          <w:t>25</w:t>
                        </w:r>
                      </w:p>
                    </w:txbxContent>
                  </v:textbox>
                </v:shape>
              </v:group>
            </w:pict>
          </mc:Fallback>
        </mc:AlternateContent>
      </w:r>
    </w:p>
    <w:p w14:paraId="52468E33" w14:textId="0DA43106" w:rsidR="00F43E7E" w:rsidRDefault="00BD5C95" w:rsidP="00F43E7E">
      <w:pPr>
        <w:pStyle w:val="QuestionBox"/>
      </w:pPr>
      <w:r>
        <w:rPr>
          <w:rFonts w:ascii="ZWAdobeF" w:hAnsi="ZWAdobeF" w:cs="ZWAdobeF"/>
          <w:color w:val="auto"/>
          <w:sz w:val="2"/>
          <w:szCs w:val="2"/>
        </w:rPr>
        <w:t>1345B</w:t>
      </w:r>
      <w:r w:rsidR="0049638A">
        <w:rPr>
          <w:rFonts w:ascii="ZWAdobeF" w:hAnsi="ZWAdobeF" w:cs="ZWAdobeF"/>
          <w:color w:val="auto"/>
          <w:sz w:val="2"/>
          <w:szCs w:val="2"/>
        </w:rPr>
        <w:t>1345B</w:t>
      </w:r>
      <w:r w:rsidR="00D629FA">
        <w:rPr>
          <w:rFonts w:ascii="ZWAdobeF" w:hAnsi="ZWAdobeF" w:cs="ZWAdobeF"/>
          <w:color w:val="auto"/>
          <w:sz w:val="2"/>
          <w:szCs w:val="2"/>
        </w:rPr>
        <w:t>1345B</w:t>
      </w:r>
      <w:r w:rsidR="00F43E7E">
        <w:t>How can individual issues in a class action be determined in an efficient way? For example, should the court have the power to:</w:t>
      </w:r>
    </w:p>
    <w:p w14:paraId="77CA1590" w14:textId="6F7F9C83" w:rsidR="00F43E7E" w:rsidRDefault="00BD5C95" w:rsidP="00B73434">
      <w:pPr>
        <w:pStyle w:val="Questionabc"/>
        <w:numPr>
          <w:ilvl w:val="0"/>
          <w:numId w:val="98"/>
        </w:numPr>
        <w:ind w:left="1418" w:hanging="425"/>
      </w:pPr>
      <w:r>
        <w:rPr>
          <w:rFonts w:ascii="ZWAdobeF" w:hAnsi="ZWAdobeF" w:cs="ZWAdobeF"/>
          <w:color w:val="auto"/>
          <w:sz w:val="2"/>
          <w:szCs w:val="2"/>
        </w:rPr>
        <w:t>1273B</w:t>
      </w:r>
      <w:r w:rsidR="0049638A">
        <w:rPr>
          <w:rFonts w:ascii="ZWAdobeF" w:hAnsi="ZWAdobeF" w:cs="ZWAdobeF"/>
          <w:color w:val="auto"/>
          <w:sz w:val="2"/>
          <w:szCs w:val="2"/>
        </w:rPr>
        <w:t>1273B</w:t>
      </w:r>
      <w:r w:rsidR="00D629FA">
        <w:rPr>
          <w:rFonts w:ascii="ZWAdobeF" w:hAnsi="ZWAdobeF" w:cs="ZWAdobeF"/>
          <w:color w:val="auto"/>
          <w:sz w:val="2"/>
          <w:szCs w:val="2"/>
        </w:rPr>
        <w:t>1273B</w:t>
      </w:r>
      <w:r w:rsidR="00F43E7E">
        <w:t xml:space="preserve">Appoint an expert to enquire into individual issues. </w:t>
      </w:r>
    </w:p>
    <w:p w14:paraId="1EAA29C1" w14:textId="4EE2D7DA" w:rsidR="00F43E7E" w:rsidRDefault="00BD5C95" w:rsidP="00B73434">
      <w:pPr>
        <w:pStyle w:val="Questionabc"/>
        <w:numPr>
          <w:ilvl w:val="0"/>
          <w:numId w:val="98"/>
        </w:numPr>
        <w:ind w:left="1418" w:hanging="425"/>
      </w:pPr>
      <w:r>
        <w:rPr>
          <w:rFonts w:ascii="ZWAdobeF" w:hAnsi="ZWAdobeF" w:cs="ZWAdobeF"/>
          <w:color w:val="auto"/>
          <w:sz w:val="2"/>
          <w:szCs w:val="2"/>
        </w:rPr>
        <w:t>1274B</w:t>
      </w:r>
      <w:r w:rsidR="0049638A">
        <w:rPr>
          <w:rFonts w:ascii="ZWAdobeF" w:hAnsi="ZWAdobeF" w:cs="ZWAdobeF"/>
          <w:color w:val="auto"/>
          <w:sz w:val="2"/>
          <w:szCs w:val="2"/>
        </w:rPr>
        <w:t>1274B</w:t>
      </w:r>
      <w:r w:rsidR="00D629FA">
        <w:rPr>
          <w:rFonts w:ascii="ZWAdobeF" w:hAnsi="ZWAdobeF" w:cs="ZWAdobeF"/>
          <w:color w:val="auto"/>
          <w:sz w:val="2"/>
          <w:szCs w:val="2"/>
        </w:rPr>
        <w:t>1274B</w:t>
      </w:r>
      <w:r w:rsidR="00F43E7E">
        <w:t>Order individual issues to be determined through a non-judicial process, where the parties agree to that.</w:t>
      </w:r>
    </w:p>
    <w:p w14:paraId="01108F15" w14:textId="15E009C0" w:rsidR="00F43E7E" w:rsidRDefault="00BD5C95" w:rsidP="00B73434">
      <w:pPr>
        <w:pStyle w:val="Questionabc"/>
        <w:numPr>
          <w:ilvl w:val="0"/>
          <w:numId w:val="98"/>
        </w:numPr>
        <w:ind w:left="1418" w:hanging="425"/>
      </w:pPr>
      <w:r>
        <w:rPr>
          <w:rFonts w:ascii="ZWAdobeF" w:hAnsi="ZWAdobeF" w:cs="ZWAdobeF"/>
          <w:color w:val="auto"/>
          <w:sz w:val="2"/>
          <w:szCs w:val="2"/>
        </w:rPr>
        <w:t>1275B</w:t>
      </w:r>
      <w:r w:rsidR="0049638A">
        <w:rPr>
          <w:rFonts w:ascii="ZWAdobeF" w:hAnsi="ZWAdobeF" w:cs="ZWAdobeF"/>
          <w:color w:val="auto"/>
          <w:sz w:val="2"/>
          <w:szCs w:val="2"/>
        </w:rPr>
        <w:t>1275B</w:t>
      </w:r>
      <w:r w:rsidR="00D629FA">
        <w:rPr>
          <w:rFonts w:ascii="ZWAdobeF" w:hAnsi="ZWAdobeF" w:cs="ZWAdobeF"/>
          <w:color w:val="auto"/>
          <w:sz w:val="2"/>
          <w:szCs w:val="2"/>
        </w:rPr>
        <w:t>1275B</w:t>
      </w:r>
      <w:r w:rsidR="00F43E7E">
        <w:t>Give directions as to the form or way in which evidence on individual issues may be given.</w:t>
      </w:r>
    </w:p>
    <w:p w14:paraId="5A4BB8EB" w14:textId="54CD2927" w:rsidR="00A15A26" w:rsidRDefault="00A15A26" w:rsidP="00F43E7E">
      <w:pPr>
        <w:pStyle w:val="QuestionBox"/>
      </w:pPr>
      <w:r>
        <w:rPr>
          <w:noProof/>
        </w:rPr>
        <mc:AlternateContent>
          <mc:Choice Requires="wpg">
            <w:drawing>
              <wp:anchor distT="0" distB="0" distL="114300" distR="114300" simplePos="0" relativeHeight="251725923" behindDoc="1" locked="0" layoutInCell="1" allowOverlap="1" wp14:anchorId="5DB091FC" wp14:editId="2A627342">
                <wp:simplePos x="0" y="0"/>
                <wp:positionH relativeFrom="column">
                  <wp:posOffset>0</wp:posOffset>
                </wp:positionH>
                <wp:positionV relativeFrom="paragraph">
                  <wp:posOffset>145415</wp:posOffset>
                </wp:positionV>
                <wp:extent cx="1443794" cy="251974"/>
                <wp:effectExtent l="0" t="0" r="42545" b="0"/>
                <wp:wrapNone/>
                <wp:docPr id="764518228" name="Group 764518228"/>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229"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3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01F234" w14:textId="2CC25797" w:rsidR="00A15A26" w:rsidRPr="00E700FF" w:rsidRDefault="00A15A26" w:rsidP="00A15A26">
                              <w:pPr>
                                <w:pStyle w:val="BoxTitle"/>
                                <w:spacing w:before="0" w:beforeAutospacing="0"/>
                              </w:pPr>
                              <w:r w:rsidRPr="001C1B37">
                                <w:t>Q</w:t>
                              </w:r>
                              <w:r>
                                <w:t>26</w:t>
                              </w:r>
                            </w:p>
                          </w:txbxContent>
                        </wps:txbx>
                        <wps:bodyPr rot="0" vert="horz" wrap="square" lIns="54000" tIns="82800" rIns="91440" bIns="45720" anchor="ctr" anchorCtr="0" upright="1">
                          <a:noAutofit/>
                        </wps:bodyPr>
                      </wps:wsp>
                    </wpg:wgp>
                  </a:graphicData>
                </a:graphic>
              </wp:anchor>
            </w:drawing>
          </mc:Choice>
          <mc:Fallback>
            <w:pict>
              <v:group w14:anchorId="5DB091FC" id="Group 764518228" o:spid="_x0000_s1106" style="position:absolute;left:0;text-align:left;margin-left:0;margin-top:11.45pt;width:113.7pt;height:19.85pt;z-index:-25159055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">
                <v:shape id="Freeform 58" o:spid="_x0000_s110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" path="m,l1815,e" filled="f" strokecolor="#72ab6a" strokeweight=".5pt">
                  <v:path arrowok="t" o:connecttype="custom" o:connectlocs="0,0;1073495,0" o:connectangles="0,0"/>
                </v:shape>
                <v:shape id="Freeform 66" o:spid="_x0000_s110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601F234" w14:textId="2CC25797" w:rsidR="00A15A26" w:rsidRPr="00E700FF" w:rsidRDefault="00A15A26" w:rsidP="00A15A26">
                        <w:pPr>
                          <w:pStyle w:val="BoxTitle"/>
                          <w:spacing w:before="0" w:beforeAutospacing="0"/>
                        </w:pPr>
                        <w:r w:rsidRPr="001C1B37">
                          <w:t>Q</w:t>
                        </w:r>
                        <w:r>
                          <w:t>26</w:t>
                        </w:r>
                      </w:p>
                    </w:txbxContent>
                  </v:textbox>
                </v:shape>
              </v:group>
            </w:pict>
          </mc:Fallback>
        </mc:AlternateContent>
      </w:r>
    </w:p>
    <w:p w14:paraId="734DD46B" w14:textId="2243960C" w:rsidR="00F43E7E" w:rsidRDefault="00BD5C95" w:rsidP="00F43E7E">
      <w:pPr>
        <w:pStyle w:val="QuestionBox"/>
      </w:pPr>
      <w:r>
        <w:rPr>
          <w:rFonts w:ascii="ZWAdobeF" w:hAnsi="ZWAdobeF" w:cs="ZWAdobeF"/>
          <w:color w:val="auto"/>
          <w:sz w:val="2"/>
          <w:szCs w:val="2"/>
        </w:rPr>
        <w:t>1346B</w:t>
      </w:r>
      <w:r w:rsidR="0049638A">
        <w:rPr>
          <w:rFonts w:ascii="ZWAdobeF" w:hAnsi="ZWAdobeF" w:cs="ZWAdobeF"/>
          <w:color w:val="auto"/>
          <w:sz w:val="2"/>
          <w:szCs w:val="2"/>
        </w:rPr>
        <w:t>1346B</w:t>
      </w:r>
      <w:r w:rsidR="00D629FA">
        <w:rPr>
          <w:rFonts w:ascii="ZWAdobeF" w:hAnsi="ZWAdobeF" w:cs="ZWAdobeF"/>
          <w:color w:val="auto"/>
          <w:sz w:val="2"/>
          <w:szCs w:val="2"/>
        </w:rPr>
        <w:t>1346B</w:t>
      </w:r>
      <w:r w:rsidR="00F43E7E">
        <w:t>Are current rules for discovery and information provision adequate for class actions or are specific rules required? For example:</w:t>
      </w:r>
    </w:p>
    <w:p w14:paraId="0BDB0B21" w14:textId="3D773BF2" w:rsidR="00F43E7E" w:rsidRDefault="00BD5C95" w:rsidP="00B73434">
      <w:pPr>
        <w:pStyle w:val="Questionabc"/>
        <w:numPr>
          <w:ilvl w:val="0"/>
          <w:numId w:val="99"/>
        </w:numPr>
        <w:ind w:left="1418" w:hanging="425"/>
      </w:pPr>
      <w:r>
        <w:rPr>
          <w:rFonts w:ascii="ZWAdobeF" w:hAnsi="ZWAdobeF" w:cs="ZWAdobeF"/>
          <w:color w:val="auto"/>
          <w:sz w:val="2"/>
          <w:szCs w:val="2"/>
        </w:rPr>
        <w:t>1276B</w:t>
      </w:r>
      <w:r w:rsidR="0049638A">
        <w:rPr>
          <w:rFonts w:ascii="ZWAdobeF" w:hAnsi="ZWAdobeF" w:cs="ZWAdobeF"/>
          <w:color w:val="auto"/>
          <w:sz w:val="2"/>
          <w:szCs w:val="2"/>
        </w:rPr>
        <w:t>1276B</w:t>
      </w:r>
      <w:r w:rsidR="00D629FA">
        <w:rPr>
          <w:rFonts w:ascii="ZWAdobeF" w:hAnsi="ZWAdobeF" w:cs="ZWAdobeF"/>
          <w:color w:val="auto"/>
          <w:sz w:val="2"/>
          <w:szCs w:val="2"/>
        </w:rPr>
        <w:t>1276B</w:t>
      </w:r>
      <w:r w:rsidR="00F43E7E">
        <w:t>Should there be a specific rule permitting discovery by class members?</w:t>
      </w:r>
    </w:p>
    <w:p w14:paraId="6D46B28C" w14:textId="7C149A7A" w:rsidR="00F43E7E" w:rsidRDefault="00BD5C95" w:rsidP="00B73434">
      <w:pPr>
        <w:pStyle w:val="Questionabc"/>
        <w:numPr>
          <w:ilvl w:val="0"/>
          <w:numId w:val="99"/>
        </w:numPr>
        <w:ind w:left="1418" w:hanging="425"/>
      </w:pPr>
      <w:r>
        <w:rPr>
          <w:rFonts w:ascii="ZWAdobeF" w:hAnsi="ZWAdobeF" w:cs="ZWAdobeF"/>
          <w:color w:val="auto"/>
          <w:sz w:val="2"/>
          <w:szCs w:val="2"/>
        </w:rPr>
        <w:t>1277B</w:t>
      </w:r>
      <w:r w:rsidR="0049638A">
        <w:rPr>
          <w:rFonts w:ascii="ZWAdobeF" w:hAnsi="ZWAdobeF" w:cs="ZWAdobeF"/>
          <w:color w:val="auto"/>
          <w:sz w:val="2"/>
          <w:szCs w:val="2"/>
        </w:rPr>
        <w:t>1277B</w:t>
      </w:r>
      <w:r w:rsidR="00D629FA">
        <w:rPr>
          <w:rFonts w:ascii="ZWAdobeF" w:hAnsi="ZWAdobeF" w:cs="ZWAdobeF"/>
          <w:color w:val="auto"/>
          <w:sz w:val="2"/>
          <w:szCs w:val="2"/>
        </w:rPr>
        <w:t>1277B</w:t>
      </w:r>
      <w:r w:rsidR="00F43E7E">
        <w:t xml:space="preserve">Should the defendant be entitled to any information about class member claims such as a list of class members who have opted in or the number of class members who have opted out? </w:t>
      </w:r>
    </w:p>
    <w:p w14:paraId="15A76BF8" w14:textId="1BDBF7BB" w:rsidR="00AE3F17" w:rsidRDefault="00AE3F17" w:rsidP="00F43E7E">
      <w:pPr>
        <w:pStyle w:val="QuestionBox"/>
      </w:pPr>
      <w:r>
        <w:rPr>
          <w:noProof/>
        </w:rPr>
        <mc:AlternateContent>
          <mc:Choice Requires="wpg">
            <w:drawing>
              <wp:anchor distT="0" distB="0" distL="114300" distR="114300" simplePos="0" relativeHeight="251727971" behindDoc="1" locked="0" layoutInCell="1" allowOverlap="1" wp14:anchorId="60BB7DD9" wp14:editId="5D2D332A">
                <wp:simplePos x="0" y="0"/>
                <wp:positionH relativeFrom="column">
                  <wp:posOffset>0</wp:posOffset>
                </wp:positionH>
                <wp:positionV relativeFrom="paragraph">
                  <wp:posOffset>145415</wp:posOffset>
                </wp:positionV>
                <wp:extent cx="1443794" cy="251974"/>
                <wp:effectExtent l="0" t="0" r="42545" b="0"/>
                <wp:wrapNone/>
                <wp:docPr id="764518232" name="Group 764518232"/>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23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3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6CBFD3" w14:textId="611B4B04" w:rsidR="00AE3F17" w:rsidRPr="00E700FF" w:rsidRDefault="00AE3F17" w:rsidP="00AE3F17">
                              <w:pPr>
                                <w:pStyle w:val="BoxTitle"/>
                                <w:spacing w:before="0" w:beforeAutospacing="0"/>
                              </w:pPr>
                              <w:r w:rsidRPr="001C1B37">
                                <w:t>Q</w:t>
                              </w:r>
                              <w:r>
                                <w:t>27</w:t>
                              </w:r>
                            </w:p>
                          </w:txbxContent>
                        </wps:txbx>
                        <wps:bodyPr rot="0" vert="horz" wrap="square" lIns="54000" tIns="82800" rIns="91440" bIns="45720" anchor="ctr" anchorCtr="0" upright="1">
                          <a:noAutofit/>
                        </wps:bodyPr>
                      </wps:wsp>
                    </wpg:wgp>
                  </a:graphicData>
                </a:graphic>
              </wp:anchor>
            </w:drawing>
          </mc:Choice>
          <mc:Fallback>
            <w:pict>
              <v:group w14:anchorId="60BB7DD9" id="Group 764518232" o:spid="_x0000_s1109" style="position:absolute;left:0;text-align:left;margin-left:0;margin-top:11.45pt;width:113.7pt;height:19.85pt;z-index:-25158850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">
                <v:shape id="Freeform 58" o:spid="_x0000_s1110"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" path="m,l1815,e" filled="f" strokecolor="#72ab6a" strokeweight=".5pt">
                  <v:path arrowok="t" o:connecttype="custom" o:connectlocs="0,0;1073495,0" o:connectangles="0,0"/>
                </v:shape>
                <v:shape id="Freeform 66" o:spid="_x0000_s111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56CBFD3" w14:textId="611B4B04" w:rsidR="00AE3F17" w:rsidRPr="00E700FF" w:rsidRDefault="00AE3F17" w:rsidP="00AE3F17">
                        <w:pPr>
                          <w:pStyle w:val="BoxTitle"/>
                          <w:spacing w:before="0" w:beforeAutospacing="0"/>
                        </w:pPr>
                        <w:r w:rsidRPr="001C1B37">
                          <w:t>Q</w:t>
                        </w:r>
                        <w:r>
                          <w:t>27</w:t>
                        </w:r>
                      </w:p>
                    </w:txbxContent>
                  </v:textbox>
                </v:shape>
              </v:group>
            </w:pict>
          </mc:Fallback>
        </mc:AlternateContent>
      </w:r>
    </w:p>
    <w:p w14:paraId="4C3CA297" w14:textId="1ED56872" w:rsidR="00F43E7E" w:rsidRDefault="00BD5C95" w:rsidP="00F43E7E">
      <w:pPr>
        <w:pStyle w:val="QuestionBox"/>
      </w:pPr>
      <w:r>
        <w:rPr>
          <w:rFonts w:ascii="ZWAdobeF" w:hAnsi="ZWAdobeF" w:cs="ZWAdobeF"/>
          <w:color w:val="auto"/>
          <w:sz w:val="2"/>
          <w:szCs w:val="2"/>
        </w:rPr>
        <w:t>1347B</w:t>
      </w:r>
      <w:r w:rsidR="0049638A">
        <w:rPr>
          <w:rFonts w:ascii="ZWAdobeF" w:hAnsi="ZWAdobeF" w:cs="ZWAdobeF"/>
          <w:color w:val="auto"/>
          <w:sz w:val="2"/>
          <w:szCs w:val="2"/>
        </w:rPr>
        <w:t>1347B</w:t>
      </w:r>
      <w:r w:rsidR="00D629FA">
        <w:rPr>
          <w:rFonts w:ascii="ZWAdobeF" w:hAnsi="ZWAdobeF" w:cs="ZWAdobeF"/>
          <w:color w:val="auto"/>
          <w:sz w:val="2"/>
          <w:szCs w:val="2"/>
        </w:rPr>
        <w:t>1347B</w:t>
      </w:r>
      <w:r w:rsidR="00F43E7E">
        <w:t>Do you support?</w:t>
      </w:r>
    </w:p>
    <w:p w14:paraId="4D364CE7" w14:textId="700F87B0" w:rsidR="00F43E7E" w:rsidRDefault="00BD5C95" w:rsidP="00B73434">
      <w:pPr>
        <w:pStyle w:val="Questionabc"/>
        <w:numPr>
          <w:ilvl w:val="0"/>
          <w:numId w:val="100"/>
        </w:numPr>
        <w:ind w:left="1418" w:hanging="425"/>
      </w:pPr>
      <w:r>
        <w:rPr>
          <w:rFonts w:ascii="ZWAdobeF" w:hAnsi="ZWAdobeF" w:cs="ZWAdobeF"/>
          <w:color w:val="auto"/>
          <w:sz w:val="2"/>
          <w:szCs w:val="2"/>
        </w:rPr>
        <w:t>1278B</w:t>
      </w:r>
      <w:r w:rsidR="0049638A">
        <w:rPr>
          <w:rFonts w:ascii="ZWAdobeF" w:hAnsi="ZWAdobeF" w:cs="ZWAdobeF"/>
          <w:color w:val="auto"/>
          <w:sz w:val="2"/>
          <w:szCs w:val="2"/>
        </w:rPr>
        <w:t>1278B</w:t>
      </w:r>
      <w:r w:rsidR="00D629FA">
        <w:rPr>
          <w:rFonts w:ascii="ZWAdobeF" w:hAnsi="ZWAdobeF" w:cs="ZWAdobeF"/>
          <w:color w:val="auto"/>
          <w:sz w:val="2"/>
          <w:szCs w:val="2"/>
        </w:rPr>
        <w:t>1278B</w:t>
      </w:r>
      <w:r w:rsidR="00F43E7E">
        <w:t>The court having an express power to make common fund orders; and/or</w:t>
      </w:r>
    </w:p>
    <w:p w14:paraId="37310FC9" w14:textId="2D3547C8" w:rsidR="00F43E7E" w:rsidRDefault="00BD5C95" w:rsidP="00B73434">
      <w:pPr>
        <w:pStyle w:val="Questionabc"/>
        <w:numPr>
          <w:ilvl w:val="0"/>
          <w:numId w:val="100"/>
        </w:numPr>
        <w:ind w:left="1418" w:hanging="425"/>
      </w:pPr>
      <w:r>
        <w:rPr>
          <w:rFonts w:ascii="ZWAdobeF" w:hAnsi="ZWAdobeF" w:cs="ZWAdobeF"/>
          <w:color w:val="auto"/>
          <w:sz w:val="2"/>
          <w:szCs w:val="2"/>
        </w:rPr>
        <w:t>1279B</w:t>
      </w:r>
      <w:r w:rsidR="0049638A">
        <w:rPr>
          <w:rFonts w:ascii="ZWAdobeF" w:hAnsi="ZWAdobeF" w:cs="ZWAdobeF"/>
          <w:color w:val="auto"/>
          <w:sz w:val="2"/>
          <w:szCs w:val="2"/>
        </w:rPr>
        <w:t>1279B</w:t>
      </w:r>
      <w:r w:rsidR="00D629FA">
        <w:rPr>
          <w:rFonts w:ascii="ZWAdobeF" w:hAnsi="ZWAdobeF" w:cs="ZWAdobeF"/>
          <w:color w:val="auto"/>
          <w:sz w:val="2"/>
          <w:szCs w:val="2"/>
        </w:rPr>
        <w:t>1279B</w:t>
      </w:r>
      <w:r w:rsidR="00F43E7E">
        <w:t>The court having an express power to make funding equalisation orders.</w:t>
      </w:r>
    </w:p>
    <w:p w14:paraId="01134D1C" w14:textId="77777777" w:rsidR="000C4FEB" w:rsidRDefault="000C4FEB">
      <w:pPr>
        <w:widowControl w:val="0"/>
        <w:spacing w:after="200" w:line="276" w:lineRule="auto"/>
        <w:rPr>
          <w:rStyle w:val="Strong"/>
          <w:rFonts w:eastAsia="Metropolis Light"/>
          <w:b w:val="0"/>
        </w:rPr>
      </w:pPr>
      <w:r>
        <w:rPr>
          <w:rStyle w:val="Strong"/>
          <w:b w:val="0"/>
        </w:rPr>
        <w:br w:type="page"/>
      </w:r>
    </w:p>
    <w:p w14:paraId="7DCB9206" w14:textId="42619813" w:rsidR="000C4FEB" w:rsidRDefault="001916C1" w:rsidP="00F43E7E">
      <w:pPr>
        <w:pStyle w:val="QuestionBox"/>
        <w:rPr>
          <w:rStyle w:val="Strong"/>
          <w:b w:val="0"/>
        </w:rPr>
      </w:pPr>
      <w:r>
        <w:rPr>
          <w:noProof/>
        </w:rPr>
        <w:lastRenderedPageBreak/>
        <mc:AlternateContent>
          <mc:Choice Requires="wpg">
            <w:drawing>
              <wp:anchor distT="0" distB="0" distL="114300" distR="114300" simplePos="0" relativeHeight="251650047" behindDoc="1" locked="0" layoutInCell="1" allowOverlap="1" wp14:anchorId="0EDE0C4A" wp14:editId="49064710">
                <wp:simplePos x="0" y="0"/>
                <wp:positionH relativeFrom="column">
                  <wp:posOffset>-635</wp:posOffset>
                </wp:positionH>
                <wp:positionV relativeFrom="paragraph">
                  <wp:posOffset>-8890</wp:posOffset>
                </wp:positionV>
                <wp:extent cx="5760085" cy="2336856"/>
                <wp:effectExtent l="0" t="0" r="0" b="6350"/>
                <wp:wrapNone/>
                <wp:docPr id="76451825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2336856"/>
                          <a:chOff x="1837" y="-10105"/>
                          <a:chExt cx="9302" cy="19105"/>
                        </a:xfrm>
                      </wpg:grpSpPr>
                      <wps:wsp>
                        <wps:cNvPr id="764518252" name="Freeform 54"/>
                        <wps:cNvSpPr>
                          <a:spLocks/>
                        </wps:cNvSpPr>
                        <wps:spPr bwMode="auto">
                          <a:xfrm>
                            <a:off x="1837" y="-10105"/>
                            <a:ext cx="9302" cy="1910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01E8BA" id="Group 53" o:spid="_x0000_s1026" style="position:absolute;margin-left:-.05pt;margin-top:-.7pt;width:453.55pt;height:184pt;z-index:-251666433;mso-height-relative:margin" coordorigin="1837,-10105" coordsize="9302,1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">
                <v:shape id="Freeform 54" o:spid="_x0000_s1027" style="position:absolute;left:1837;top:-10105;width:9302;height:1910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" path="m,l9354,r,7809l,7809,,e" fillcolor="#edf2ea" stroked="f">
                  <v:path arrowok="t" o:connecttype="custom" o:connectlocs="0,2447;9302,2447;9302,21552;0,21552;0,2447" o:connectangles="0,0,0,0,0"/>
                </v:shape>
              </v:group>
            </w:pict>
          </mc:Fallback>
        </mc:AlternateContent>
      </w:r>
      <w:r w:rsidR="00916D43">
        <w:rPr>
          <w:noProof/>
        </w:rPr>
        <mc:AlternateContent>
          <mc:Choice Requires="wpg">
            <w:drawing>
              <wp:anchor distT="0" distB="0" distL="114300" distR="114300" simplePos="0" relativeHeight="251730019" behindDoc="1" locked="0" layoutInCell="1" allowOverlap="1" wp14:anchorId="2AB4505C" wp14:editId="3513DFBA">
                <wp:simplePos x="0" y="0"/>
                <wp:positionH relativeFrom="column">
                  <wp:posOffset>0</wp:posOffset>
                </wp:positionH>
                <wp:positionV relativeFrom="paragraph">
                  <wp:posOffset>145415</wp:posOffset>
                </wp:positionV>
                <wp:extent cx="1443794" cy="251974"/>
                <wp:effectExtent l="0" t="0" r="42545" b="0"/>
                <wp:wrapNone/>
                <wp:docPr id="764518239" name="Group 764518239"/>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24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5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3C7286" w14:textId="4FE0AD29" w:rsidR="00916D43" w:rsidRPr="00E700FF" w:rsidRDefault="00916D43" w:rsidP="00916D43">
                              <w:pPr>
                                <w:pStyle w:val="BoxTitle"/>
                                <w:spacing w:before="0" w:beforeAutospacing="0"/>
                              </w:pPr>
                              <w:r w:rsidRPr="001C1B37">
                                <w:t>Q</w:t>
                              </w:r>
                              <w:r w:rsidR="001916C1">
                                <w:t>28</w:t>
                              </w:r>
                            </w:p>
                          </w:txbxContent>
                        </wps:txbx>
                        <wps:bodyPr rot="0" vert="horz" wrap="square" lIns="54000" tIns="82800" rIns="91440" bIns="45720" anchor="ctr" anchorCtr="0" upright="1">
                          <a:noAutofit/>
                        </wps:bodyPr>
                      </wps:wsp>
                    </wpg:wgp>
                  </a:graphicData>
                </a:graphic>
              </wp:anchor>
            </w:drawing>
          </mc:Choice>
          <mc:Fallback>
            <w:pict>
              <v:group w14:anchorId="2AB4505C" id="Group 764518239" o:spid="_x0000_s1112" style="position:absolute;left:0;text-align:left;margin-left:0;margin-top:11.45pt;width:113.7pt;height:19.85pt;z-index:-25158646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">
                <v:shape id="Freeform 58" o:spid="_x0000_s1113"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" path="m,l1815,e" filled="f" strokecolor="#72ab6a" strokeweight=".5pt">
                  <v:path arrowok="t" o:connecttype="custom" o:connectlocs="0,0;1073495,0" o:connectangles="0,0"/>
                </v:shape>
                <v:shape id="Freeform 66" o:spid="_x0000_s111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B3C7286" w14:textId="4FE0AD29" w:rsidR="00916D43" w:rsidRPr="00E700FF" w:rsidRDefault="00916D43" w:rsidP="00916D43">
                        <w:pPr>
                          <w:pStyle w:val="BoxTitle"/>
                          <w:spacing w:before="0" w:beforeAutospacing="0"/>
                        </w:pPr>
                        <w:r w:rsidRPr="001C1B37">
                          <w:t>Q</w:t>
                        </w:r>
                        <w:r w:rsidR="001916C1">
                          <w:t>28</w:t>
                        </w:r>
                      </w:p>
                    </w:txbxContent>
                  </v:textbox>
                </v:shape>
              </v:group>
            </w:pict>
          </mc:Fallback>
        </mc:AlternateContent>
      </w:r>
    </w:p>
    <w:p w14:paraId="70377200" w14:textId="28DC39E1" w:rsidR="00F43E7E" w:rsidRPr="00540298" w:rsidRDefault="00F43E7E" w:rsidP="00F43E7E">
      <w:pPr>
        <w:pStyle w:val="QuestionBox"/>
        <w:rPr>
          <w:rStyle w:val="Strong"/>
          <w:b w:val="0"/>
          <w:bCs w:val="0"/>
        </w:rPr>
      </w:pPr>
      <w:r w:rsidRPr="0033360F">
        <w:rPr>
          <w:rStyle w:val="Strong"/>
          <w:b w:val="0"/>
        </w:rPr>
        <w:t>If common fund orders are available, when in the proceeding should they be made</w:t>
      </w:r>
      <w:r w:rsidRPr="00540298">
        <w:rPr>
          <w:rStyle w:val="Strong"/>
          <w:b w:val="0"/>
        </w:rPr>
        <w:t>?</w:t>
      </w:r>
    </w:p>
    <w:p w14:paraId="1A1D5DFE" w14:textId="77777777" w:rsidR="00F43E7E" w:rsidRPr="001916C1" w:rsidRDefault="00F43E7E" w:rsidP="00B73434">
      <w:pPr>
        <w:pStyle w:val="Questionabc"/>
        <w:numPr>
          <w:ilvl w:val="0"/>
          <w:numId w:val="101"/>
        </w:numPr>
        <w:ind w:left="1418" w:hanging="425"/>
        <w:rPr>
          <w:rStyle w:val="Strong"/>
          <w:b w:val="0"/>
          <w:bCs w:val="0"/>
        </w:rPr>
      </w:pPr>
      <w:r w:rsidRPr="001916C1">
        <w:rPr>
          <w:rStyle w:val="Strong"/>
          <w:b w:val="0"/>
        </w:rPr>
        <w:t>At an early stage of the proceeding, with the rate set at this stage.</w:t>
      </w:r>
    </w:p>
    <w:p w14:paraId="73AB93A4" w14:textId="77777777" w:rsidR="00F43E7E" w:rsidRDefault="00F43E7E" w:rsidP="001916C1">
      <w:pPr>
        <w:pStyle w:val="Questionabc"/>
        <w:rPr>
          <w:rStyle w:val="Strong"/>
          <w:b w:val="0"/>
          <w:bCs w:val="0"/>
        </w:rPr>
      </w:pPr>
      <w:r w:rsidRPr="00650487">
        <w:rPr>
          <w:rStyle w:val="Strong"/>
          <w:b w:val="0"/>
        </w:rPr>
        <w:t>At an early stage of the proceeding, with the court providing a provisional or maximum rate at this stage and setting the final rate at a later stage</w:t>
      </w:r>
      <w:r>
        <w:rPr>
          <w:rStyle w:val="Strong"/>
          <w:b w:val="0"/>
        </w:rPr>
        <w:t>.</w:t>
      </w:r>
    </w:p>
    <w:p w14:paraId="184BE787" w14:textId="77777777" w:rsidR="00F43E7E" w:rsidRDefault="00F43E7E" w:rsidP="001916C1">
      <w:pPr>
        <w:pStyle w:val="Questionabc"/>
        <w:rPr>
          <w:rStyle w:val="Strong"/>
          <w:b w:val="0"/>
          <w:bCs w:val="0"/>
        </w:rPr>
      </w:pPr>
      <w:r>
        <w:rPr>
          <w:rStyle w:val="Strong"/>
          <w:b w:val="0"/>
        </w:rPr>
        <w:t>After the common issues are determined.</w:t>
      </w:r>
    </w:p>
    <w:p w14:paraId="32FDDDB7" w14:textId="77777777" w:rsidR="00F43E7E" w:rsidRDefault="00F43E7E" w:rsidP="001916C1">
      <w:pPr>
        <w:pStyle w:val="Questionabc"/>
        <w:rPr>
          <w:rStyle w:val="Strong"/>
          <w:b w:val="0"/>
          <w:bCs w:val="0"/>
        </w:rPr>
      </w:pPr>
      <w:r w:rsidRPr="00650487">
        <w:rPr>
          <w:rStyle w:val="Strong"/>
          <w:b w:val="0"/>
        </w:rPr>
        <w:t>At a late stage of proceedings, such as at settlement or before damages are distributed</w:t>
      </w:r>
      <w:r>
        <w:rPr>
          <w:rStyle w:val="Strong"/>
          <w:b w:val="0"/>
        </w:rPr>
        <w:t xml:space="preserve">.  </w:t>
      </w:r>
    </w:p>
    <w:p w14:paraId="502F8DBF" w14:textId="77777777" w:rsidR="00F43E7E" w:rsidRPr="00010487" w:rsidRDefault="00F43E7E" w:rsidP="001916C1">
      <w:pPr>
        <w:pStyle w:val="Questionabc"/>
        <w:rPr>
          <w:rStyle w:val="Strong"/>
          <w:b w:val="0"/>
          <w:bCs w:val="0"/>
        </w:rPr>
      </w:pPr>
      <w:r>
        <w:rPr>
          <w:rStyle w:val="Strong"/>
          <w:b w:val="0"/>
        </w:rPr>
        <w:t>The court should have discretion in an individual case.</w:t>
      </w:r>
    </w:p>
    <w:p w14:paraId="4B5DB12D" w14:textId="77777777" w:rsidR="00F43E7E" w:rsidRPr="00540298" w:rsidRDefault="00F43E7E" w:rsidP="00F43E7E">
      <w:pPr>
        <w:pStyle w:val="QuestionBox"/>
        <w:rPr>
          <w:lang w:val="en-US"/>
        </w:rPr>
      </w:pPr>
    </w:p>
    <w:bookmarkStart w:id="30" w:name="_Toc83895425"/>
    <w:p w14:paraId="6462EE8D" w14:textId="61D95890" w:rsidR="00F43E7E" w:rsidRDefault="001916C1" w:rsidP="001916C1">
      <w:pPr>
        <w:pStyle w:val="Heading2"/>
      </w:pPr>
      <w:r>
        <w:rPr>
          <w:noProof/>
        </w:rPr>
        <mc:AlternateContent>
          <mc:Choice Requires="wpg">
            <w:drawing>
              <wp:anchor distT="0" distB="0" distL="114300" distR="114300" simplePos="0" relativeHeight="251732067" behindDoc="1" locked="0" layoutInCell="1" allowOverlap="1" wp14:anchorId="2D05DEFF" wp14:editId="4B992AF5">
                <wp:simplePos x="0" y="0"/>
                <wp:positionH relativeFrom="column">
                  <wp:posOffset>-635</wp:posOffset>
                </wp:positionH>
                <wp:positionV relativeFrom="paragraph">
                  <wp:posOffset>441960</wp:posOffset>
                </wp:positionV>
                <wp:extent cx="5760085" cy="5391150"/>
                <wp:effectExtent l="0" t="0" r="0" b="0"/>
                <wp:wrapNone/>
                <wp:docPr id="7645182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5391150"/>
                          <a:chOff x="1837" y="-10105"/>
                          <a:chExt cx="9302" cy="35690"/>
                        </a:xfrm>
                      </wpg:grpSpPr>
                      <wps:wsp>
                        <wps:cNvPr id="764518272" name="Freeform 54"/>
                        <wps:cNvSpPr>
                          <a:spLocks/>
                        </wps:cNvSpPr>
                        <wps:spPr bwMode="auto">
                          <a:xfrm>
                            <a:off x="1837" y="-10105"/>
                            <a:ext cx="9302" cy="3569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A6504A0" id="Group 53" o:spid="_x0000_s1026" style="position:absolute;margin-left:-.05pt;margin-top:34.8pt;width:453.55pt;height:424.5pt;z-index:-251584413;mso-height-relative:margin" coordorigin="1837,-10105" coordsize="9302,3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">
                <v:shape id="Freeform 54" o:spid="_x0000_s1027" style="position:absolute;left:1837;top:-10105;width:9302;height:3569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" path="m,l9354,r,7809l,7809,,e" fillcolor="#edf2ea" stroked="f">
                  <v:path arrowok="t" o:connecttype="custom" o:connectlocs="0,4570;9302,4570;9302,40260;0,40260;0,4570" o:connectangles="0,0,0,0,0"/>
                </v:shape>
              </v:group>
            </w:pict>
          </mc:Fallback>
        </mc:AlternateContent>
      </w:r>
      <w:r>
        <w:t xml:space="preserve">CHAPTER 5: </w:t>
      </w:r>
      <w:r w:rsidRPr="00540298">
        <w:t>JUDGMENT, DAMAGES AND APPEALS</w:t>
      </w:r>
      <w:bookmarkEnd w:id="30"/>
    </w:p>
    <w:p w14:paraId="7C2BF649" w14:textId="7284537A" w:rsidR="001916C1" w:rsidRDefault="001916C1" w:rsidP="00F43E7E">
      <w:pPr>
        <w:pStyle w:val="QuestionBox"/>
      </w:pPr>
      <w:r>
        <w:rPr>
          <w:noProof/>
        </w:rPr>
        <mc:AlternateContent>
          <mc:Choice Requires="wpg">
            <w:drawing>
              <wp:anchor distT="0" distB="0" distL="114300" distR="114300" simplePos="0" relativeHeight="251736163" behindDoc="1" locked="0" layoutInCell="1" allowOverlap="1" wp14:anchorId="4FDAE00D" wp14:editId="34B9B466">
                <wp:simplePos x="0" y="0"/>
                <wp:positionH relativeFrom="column">
                  <wp:posOffset>0</wp:posOffset>
                </wp:positionH>
                <wp:positionV relativeFrom="paragraph">
                  <wp:posOffset>151765</wp:posOffset>
                </wp:positionV>
                <wp:extent cx="1443794" cy="251974"/>
                <wp:effectExtent l="0" t="0" r="42545" b="0"/>
                <wp:wrapNone/>
                <wp:docPr id="764518275" name="Group 764518275"/>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27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7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C2F01E" w14:textId="1E0D4AE3" w:rsidR="001916C1" w:rsidRPr="00E700FF" w:rsidRDefault="001916C1" w:rsidP="001916C1">
                              <w:pPr>
                                <w:pStyle w:val="BoxTitle"/>
                                <w:spacing w:before="0" w:beforeAutospacing="0"/>
                              </w:pPr>
                              <w:r w:rsidRPr="001C1B37">
                                <w:t>Q</w:t>
                              </w:r>
                              <w:r>
                                <w:t>29</w:t>
                              </w:r>
                            </w:p>
                          </w:txbxContent>
                        </wps:txbx>
                        <wps:bodyPr rot="0" vert="horz" wrap="square" lIns="54000" tIns="82800" rIns="91440" bIns="45720" anchor="ctr" anchorCtr="0" upright="1">
                          <a:noAutofit/>
                        </wps:bodyPr>
                      </wps:wsp>
                    </wpg:wgp>
                  </a:graphicData>
                </a:graphic>
              </wp:anchor>
            </w:drawing>
          </mc:Choice>
          <mc:Fallback>
            <w:pict>
              <v:group w14:anchorId="4FDAE00D" id="Group 764518275" o:spid="_x0000_s1115" style="position:absolute;left:0;text-align:left;margin-left:0;margin-top:11.95pt;width:113.7pt;height:19.85pt;z-index:-25158031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">
                <v:shape id="Freeform 58" o:spid="_x0000_s111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" path="m,l1815,e" filled="f" strokecolor="#72ab6a" strokeweight=".5pt">
                  <v:path arrowok="t" o:connecttype="custom" o:connectlocs="0,0;1073495,0" o:connectangles="0,0"/>
                </v:shape>
                <v:shape id="Freeform 66" o:spid="_x0000_s111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AC2F01E" w14:textId="1E0D4AE3" w:rsidR="001916C1" w:rsidRPr="00E700FF" w:rsidRDefault="001916C1" w:rsidP="001916C1">
                        <w:pPr>
                          <w:pStyle w:val="BoxTitle"/>
                          <w:spacing w:before="0" w:beforeAutospacing="0"/>
                        </w:pPr>
                        <w:r w:rsidRPr="001C1B37">
                          <w:t>Q</w:t>
                        </w:r>
                        <w:r>
                          <w:t>29</w:t>
                        </w:r>
                      </w:p>
                    </w:txbxContent>
                  </v:textbox>
                </v:shape>
              </v:group>
            </w:pict>
          </mc:Fallback>
        </mc:AlternateContent>
      </w:r>
    </w:p>
    <w:p w14:paraId="426683F2" w14:textId="0B99FAC0" w:rsidR="00F43E7E" w:rsidRDefault="00BD5C95" w:rsidP="00F43E7E">
      <w:pPr>
        <w:pStyle w:val="QuestionBox"/>
      </w:pPr>
      <w:r>
        <w:rPr>
          <w:rFonts w:ascii="ZWAdobeF" w:hAnsi="ZWAdobeF" w:cs="ZWAdobeF"/>
          <w:color w:val="auto"/>
          <w:sz w:val="2"/>
          <w:szCs w:val="2"/>
        </w:rPr>
        <w:t>1348B</w:t>
      </w:r>
      <w:r w:rsidR="0049638A">
        <w:rPr>
          <w:rFonts w:ascii="ZWAdobeF" w:hAnsi="ZWAdobeF" w:cs="ZWAdobeF"/>
          <w:color w:val="auto"/>
          <w:sz w:val="2"/>
          <w:szCs w:val="2"/>
        </w:rPr>
        <w:t>1348B</w:t>
      </w:r>
      <w:r w:rsidR="00D629FA">
        <w:rPr>
          <w:rFonts w:ascii="ZWAdobeF" w:hAnsi="ZWAdobeF" w:cs="ZWAdobeF"/>
          <w:color w:val="auto"/>
          <w:sz w:val="2"/>
          <w:szCs w:val="2"/>
        </w:rPr>
        <w:t>1348B</w:t>
      </w:r>
      <w:r w:rsidR="00F43E7E">
        <w:t xml:space="preserve">Do you agree with our draft provision on the binding effect of a class actions judgment? If not, how should it be amended?  </w:t>
      </w:r>
    </w:p>
    <w:p w14:paraId="09251B90" w14:textId="371EBB11" w:rsidR="001916C1" w:rsidRDefault="001916C1" w:rsidP="00F43E7E">
      <w:pPr>
        <w:pStyle w:val="QuestionBox"/>
      </w:pPr>
      <w:r>
        <w:rPr>
          <w:noProof/>
        </w:rPr>
        <mc:AlternateContent>
          <mc:Choice Requires="wpg">
            <w:drawing>
              <wp:anchor distT="0" distB="0" distL="114300" distR="114300" simplePos="0" relativeHeight="251738211" behindDoc="1" locked="0" layoutInCell="1" allowOverlap="1" wp14:anchorId="30FB480E" wp14:editId="342FB4FB">
                <wp:simplePos x="0" y="0"/>
                <wp:positionH relativeFrom="column">
                  <wp:posOffset>-635</wp:posOffset>
                </wp:positionH>
                <wp:positionV relativeFrom="paragraph">
                  <wp:posOffset>156210</wp:posOffset>
                </wp:positionV>
                <wp:extent cx="1443794" cy="251974"/>
                <wp:effectExtent l="0" t="0" r="42545" b="0"/>
                <wp:wrapNone/>
                <wp:docPr id="764518334" name="Group 764518334"/>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2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F0ED8" w14:textId="2ABEFBE1" w:rsidR="001916C1" w:rsidRPr="00E700FF" w:rsidRDefault="001916C1" w:rsidP="001916C1">
                              <w:pPr>
                                <w:pStyle w:val="BoxTitle"/>
                                <w:spacing w:before="0" w:beforeAutospacing="0"/>
                              </w:pPr>
                              <w:r w:rsidRPr="001C1B37">
                                <w:t>Q</w:t>
                              </w:r>
                              <w:r>
                                <w:t>30</w:t>
                              </w:r>
                            </w:p>
                          </w:txbxContent>
                        </wps:txbx>
                        <wps:bodyPr rot="0" vert="horz" wrap="square" lIns="54000" tIns="82800" rIns="91440" bIns="45720" anchor="ctr" anchorCtr="0" upright="1">
                          <a:noAutofit/>
                        </wps:bodyPr>
                      </wps:wsp>
                    </wpg:wgp>
                  </a:graphicData>
                </a:graphic>
              </wp:anchor>
            </w:drawing>
          </mc:Choice>
          <mc:Fallback>
            <w:pict>
              <v:group w14:anchorId="30FB480E" id="Group 764518334" o:spid="_x0000_s1118" style="position:absolute;left:0;text-align:left;margin-left:-.05pt;margin-top:12.3pt;width:113.7pt;height:19.85pt;z-index:-25157826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">
                <v:shape id="Freeform 58" o:spid="_x0000_s111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" path="m,l1815,e" filled="f" strokecolor="#72ab6a" strokeweight=".5pt">
                  <v:path arrowok="t" o:connecttype="custom" o:connectlocs="0,0;1073495,0" o:connectangles="0,0"/>
                </v:shape>
                <v:shape id="Freeform 66" o:spid="_x0000_s1120"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6F9F0ED8" w14:textId="2ABEFBE1" w:rsidR="001916C1" w:rsidRPr="00E700FF" w:rsidRDefault="001916C1" w:rsidP="001916C1">
                        <w:pPr>
                          <w:pStyle w:val="BoxTitle"/>
                          <w:spacing w:before="0" w:beforeAutospacing="0"/>
                        </w:pPr>
                        <w:r w:rsidRPr="001C1B37">
                          <w:t>Q</w:t>
                        </w:r>
                        <w:r>
                          <w:t>30</w:t>
                        </w:r>
                      </w:p>
                    </w:txbxContent>
                  </v:textbox>
                </v:shape>
              </v:group>
            </w:pict>
          </mc:Fallback>
        </mc:AlternateContent>
      </w:r>
    </w:p>
    <w:p w14:paraId="71E0A3E4" w14:textId="57B310D7" w:rsidR="00F43E7E" w:rsidRDefault="00BD5C95" w:rsidP="00F43E7E">
      <w:pPr>
        <w:pStyle w:val="QuestionBox"/>
      </w:pPr>
      <w:r>
        <w:rPr>
          <w:rFonts w:ascii="ZWAdobeF" w:hAnsi="ZWAdobeF" w:cs="ZWAdobeF"/>
          <w:color w:val="auto"/>
          <w:sz w:val="2"/>
          <w:szCs w:val="2"/>
        </w:rPr>
        <w:t>1349B</w:t>
      </w:r>
      <w:r w:rsidR="0049638A">
        <w:rPr>
          <w:rFonts w:ascii="ZWAdobeF" w:hAnsi="ZWAdobeF" w:cs="ZWAdobeF"/>
          <w:color w:val="auto"/>
          <w:sz w:val="2"/>
          <w:szCs w:val="2"/>
        </w:rPr>
        <w:t>1349B</w:t>
      </w:r>
      <w:r w:rsidR="00D629FA">
        <w:rPr>
          <w:rFonts w:ascii="ZWAdobeF" w:hAnsi="ZWAdobeF" w:cs="ZWAdobeF"/>
          <w:color w:val="auto"/>
          <w:sz w:val="2"/>
          <w:szCs w:val="2"/>
        </w:rPr>
        <w:t>1349B</w:t>
      </w:r>
      <w:r w:rsidR="00F43E7E">
        <w:t xml:space="preserve">Do you agree that aggregate damages should be allowed in class actions? </w:t>
      </w:r>
    </w:p>
    <w:p w14:paraId="744BEA8B" w14:textId="211F36A0" w:rsidR="001916C1" w:rsidRDefault="001916C1" w:rsidP="00F43E7E">
      <w:pPr>
        <w:pStyle w:val="QuestionBox"/>
      </w:pPr>
      <w:r>
        <w:rPr>
          <w:noProof/>
        </w:rPr>
        <mc:AlternateContent>
          <mc:Choice Requires="wpg">
            <w:drawing>
              <wp:anchor distT="0" distB="0" distL="114300" distR="114300" simplePos="0" relativeHeight="251740259" behindDoc="1" locked="0" layoutInCell="1" allowOverlap="1" wp14:anchorId="457F6946" wp14:editId="5738F3E5">
                <wp:simplePos x="0" y="0"/>
                <wp:positionH relativeFrom="column">
                  <wp:posOffset>0</wp:posOffset>
                </wp:positionH>
                <wp:positionV relativeFrom="paragraph">
                  <wp:posOffset>151765</wp:posOffset>
                </wp:positionV>
                <wp:extent cx="1443794" cy="251974"/>
                <wp:effectExtent l="0" t="0" r="42545" b="0"/>
                <wp:wrapNone/>
                <wp:docPr id="325" name="Group 325"/>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3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71C8C4" w14:textId="17AC35CC" w:rsidR="001916C1" w:rsidRPr="00E700FF" w:rsidRDefault="001916C1" w:rsidP="001916C1">
                              <w:pPr>
                                <w:pStyle w:val="BoxTitle"/>
                                <w:spacing w:before="0" w:beforeAutospacing="0"/>
                              </w:pPr>
                              <w:r w:rsidRPr="001C1B37">
                                <w:t>Q</w:t>
                              </w:r>
                              <w:r>
                                <w:t>31</w:t>
                              </w:r>
                            </w:p>
                          </w:txbxContent>
                        </wps:txbx>
                        <wps:bodyPr rot="0" vert="horz" wrap="square" lIns="54000" tIns="82800" rIns="91440" bIns="45720" anchor="ctr" anchorCtr="0" upright="1">
                          <a:noAutofit/>
                        </wps:bodyPr>
                      </wps:wsp>
                    </wpg:wgp>
                  </a:graphicData>
                </a:graphic>
              </wp:anchor>
            </w:drawing>
          </mc:Choice>
          <mc:Fallback>
            <w:pict>
              <v:group w14:anchorId="457F6946" id="Group 325" o:spid="_x0000_s1121" style="position:absolute;left:0;text-align:left;margin-left:0;margin-top:11.95pt;width:113.7pt;height:19.85pt;z-index:-25157622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">
                <v:shape id="Freeform 58" o:spid="_x0000_s112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" path="m,l1815,e" filled="f" strokecolor="#72ab6a" strokeweight=".5pt">
                  <v:path arrowok="t" o:connecttype="custom" o:connectlocs="0,0;1073495,0" o:connectangles="0,0"/>
                </v:shape>
                <v:shape id="Freeform 66" o:spid="_x0000_s112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F71C8C4" w14:textId="17AC35CC" w:rsidR="001916C1" w:rsidRPr="00E700FF" w:rsidRDefault="001916C1" w:rsidP="001916C1">
                        <w:pPr>
                          <w:pStyle w:val="BoxTitle"/>
                          <w:spacing w:before="0" w:beforeAutospacing="0"/>
                        </w:pPr>
                        <w:r w:rsidRPr="001C1B37">
                          <w:t>Q</w:t>
                        </w:r>
                        <w:r>
                          <w:t>31</w:t>
                        </w:r>
                      </w:p>
                    </w:txbxContent>
                  </v:textbox>
                </v:shape>
              </v:group>
            </w:pict>
          </mc:Fallback>
        </mc:AlternateContent>
      </w:r>
    </w:p>
    <w:p w14:paraId="51FC5EE2" w14:textId="4FA3BDBE" w:rsidR="00F43E7E" w:rsidRDefault="00BD5C95" w:rsidP="00F43E7E">
      <w:pPr>
        <w:pStyle w:val="QuestionBox"/>
      </w:pPr>
      <w:r>
        <w:rPr>
          <w:rFonts w:ascii="ZWAdobeF" w:hAnsi="ZWAdobeF" w:cs="ZWAdobeF"/>
          <w:color w:val="auto"/>
          <w:sz w:val="2"/>
          <w:szCs w:val="2"/>
        </w:rPr>
        <w:t>1350B</w:t>
      </w:r>
      <w:r w:rsidR="0049638A">
        <w:rPr>
          <w:rFonts w:ascii="ZWAdobeF" w:hAnsi="ZWAdobeF" w:cs="ZWAdobeF"/>
          <w:color w:val="auto"/>
          <w:sz w:val="2"/>
          <w:szCs w:val="2"/>
        </w:rPr>
        <w:t>1350B</w:t>
      </w:r>
      <w:r w:rsidR="00D629FA">
        <w:rPr>
          <w:rFonts w:ascii="ZWAdobeF" w:hAnsi="ZWAdobeF" w:cs="ZWAdobeF"/>
          <w:color w:val="auto"/>
          <w:sz w:val="2"/>
          <w:szCs w:val="2"/>
        </w:rPr>
        <w:t>1350B</w:t>
      </w:r>
      <w:r w:rsidR="00F43E7E" w:rsidRPr="005B1792">
        <w:t xml:space="preserve">Should the court be able to order </w:t>
      </w:r>
      <w:r w:rsidR="00F43E7E">
        <w:t xml:space="preserve">cy-près </w:t>
      </w:r>
      <w:r w:rsidR="00F43E7E" w:rsidRPr="005B1792">
        <w:t>damage</w:t>
      </w:r>
      <w:r w:rsidR="00F43E7E">
        <w:t>s and if so, under what circumstances?</w:t>
      </w:r>
    </w:p>
    <w:p w14:paraId="2B2DB1A1" w14:textId="62380F83" w:rsidR="001916C1" w:rsidRDefault="001916C1" w:rsidP="00F43E7E">
      <w:pPr>
        <w:pStyle w:val="QuestionBox"/>
      </w:pPr>
      <w:r>
        <w:rPr>
          <w:noProof/>
        </w:rPr>
        <mc:AlternateContent>
          <mc:Choice Requires="wpg">
            <w:drawing>
              <wp:anchor distT="0" distB="0" distL="114300" distR="114300" simplePos="0" relativeHeight="251742307" behindDoc="1" locked="0" layoutInCell="1" allowOverlap="1" wp14:anchorId="1BB7F5B3" wp14:editId="0C0B35FB">
                <wp:simplePos x="0" y="0"/>
                <wp:positionH relativeFrom="column">
                  <wp:posOffset>0</wp:posOffset>
                </wp:positionH>
                <wp:positionV relativeFrom="paragraph">
                  <wp:posOffset>139065</wp:posOffset>
                </wp:positionV>
                <wp:extent cx="1443794" cy="251974"/>
                <wp:effectExtent l="0" t="0" r="42545" b="0"/>
                <wp:wrapNone/>
                <wp:docPr id="338" name="Group 338"/>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4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04436F" w14:textId="2539D30B" w:rsidR="001916C1" w:rsidRPr="00E700FF" w:rsidRDefault="001916C1" w:rsidP="001916C1">
                              <w:pPr>
                                <w:pStyle w:val="BoxTitle"/>
                                <w:spacing w:before="0" w:beforeAutospacing="0"/>
                              </w:pPr>
                              <w:r w:rsidRPr="001C1B37">
                                <w:t>Q</w:t>
                              </w:r>
                              <w:r>
                                <w:t>3</w:t>
                              </w:r>
                              <w:r w:rsidR="00726379">
                                <w:t>2</w:t>
                              </w:r>
                            </w:p>
                          </w:txbxContent>
                        </wps:txbx>
                        <wps:bodyPr rot="0" vert="horz" wrap="square" lIns="54000" tIns="82800" rIns="91440" bIns="45720" anchor="ctr" anchorCtr="0" upright="1">
                          <a:noAutofit/>
                        </wps:bodyPr>
                      </wps:wsp>
                    </wpg:wgp>
                  </a:graphicData>
                </a:graphic>
              </wp:anchor>
            </w:drawing>
          </mc:Choice>
          <mc:Fallback>
            <w:pict>
              <v:group w14:anchorId="1BB7F5B3" id="Group 338" o:spid="_x0000_s1124" style="position:absolute;left:0;text-align:left;margin-left:0;margin-top:10.95pt;width:113.7pt;height:19.85pt;z-index:-25157417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">
                <v:shape id="Freeform 58" o:spid="_x0000_s112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" path="m,l1815,e" filled="f" strokecolor="#72ab6a" strokeweight=".5pt">
                  <v:path arrowok="t" o:connecttype="custom" o:connectlocs="0,0;1073495,0" o:connectangles="0,0"/>
                </v:shape>
                <v:shape id="Freeform 66" o:spid="_x0000_s112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304436F" w14:textId="2539D30B" w:rsidR="001916C1" w:rsidRPr="00E700FF" w:rsidRDefault="001916C1" w:rsidP="001916C1">
                        <w:pPr>
                          <w:pStyle w:val="BoxTitle"/>
                          <w:spacing w:before="0" w:beforeAutospacing="0"/>
                        </w:pPr>
                        <w:r w:rsidRPr="001C1B37">
                          <w:t>Q</w:t>
                        </w:r>
                        <w:r>
                          <w:t>3</w:t>
                        </w:r>
                        <w:r w:rsidR="00726379">
                          <w:t>2</w:t>
                        </w:r>
                      </w:p>
                    </w:txbxContent>
                  </v:textbox>
                </v:shape>
              </v:group>
            </w:pict>
          </mc:Fallback>
        </mc:AlternateContent>
      </w:r>
    </w:p>
    <w:p w14:paraId="59D0E415" w14:textId="7294C057" w:rsidR="00F43E7E" w:rsidRDefault="00BD5C95" w:rsidP="00F43E7E">
      <w:pPr>
        <w:pStyle w:val="QuestionBox"/>
      </w:pPr>
      <w:r>
        <w:rPr>
          <w:rFonts w:ascii="ZWAdobeF" w:hAnsi="ZWAdobeF" w:cs="ZWAdobeF"/>
          <w:color w:val="auto"/>
          <w:sz w:val="2"/>
          <w:szCs w:val="2"/>
        </w:rPr>
        <w:t>1351B</w:t>
      </w:r>
      <w:r w:rsidR="0049638A">
        <w:rPr>
          <w:rFonts w:ascii="ZWAdobeF" w:hAnsi="ZWAdobeF" w:cs="ZWAdobeF"/>
          <w:color w:val="auto"/>
          <w:sz w:val="2"/>
          <w:szCs w:val="2"/>
        </w:rPr>
        <w:t>1351B</w:t>
      </w:r>
      <w:r w:rsidR="00D629FA">
        <w:rPr>
          <w:rFonts w:ascii="ZWAdobeF" w:hAnsi="ZWAdobeF" w:cs="ZWAdobeF"/>
          <w:color w:val="auto"/>
          <w:sz w:val="2"/>
          <w:szCs w:val="2"/>
        </w:rPr>
        <w:t>1351B</w:t>
      </w:r>
      <w:r w:rsidR="00F43E7E">
        <w:t>Do you agree with our draft provisions on monetary relief? If not, how should they be amended?</w:t>
      </w:r>
    </w:p>
    <w:p w14:paraId="27DF8CC2" w14:textId="3B2DEBD2" w:rsidR="001916C1" w:rsidRDefault="00A66567" w:rsidP="00F43E7E">
      <w:pPr>
        <w:pStyle w:val="QuestionBox"/>
      </w:pPr>
      <w:r>
        <w:rPr>
          <w:noProof/>
        </w:rPr>
        <mc:AlternateContent>
          <mc:Choice Requires="wpg">
            <w:drawing>
              <wp:anchor distT="0" distB="0" distL="114300" distR="114300" simplePos="0" relativeHeight="251744355" behindDoc="1" locked="0" layoutInCell="1" allowOverlap="1" wp14:anchorId="6BBCA690" wp14:editId="6C283DB4">
                <wp:simplePos x="0" y="0"/>
                <wp:positionH relativeFrom="column">
                  <wp:posOffset>0</wp:posOffset>
                </wp:positionH>
                <wp:positionV relativeFrom="paragraph">
                  <wp:posOffset>151765</wp:posOffset>
                </wp:positionV>
                <wp:extent cx="1443794" cy="251974"/>
                <wp:effectExtent l="0" t="0" r="42545" b="0"/>
                <wp:wrapNone/>
                <wp:docPr id="343" name="Group 343"/>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4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CAB4D9" w14:textId="6AF7D9C3" w:rsidR="00A66567" w:rsidRPr="00E700FF" w:rsidRDefault="00A66567" w:rsidP="00A66567">
                              <w:pPr>
                                <w:pStyle w:val="BoxTitle"/>
                                <w:spacing w:before="0" w:beforeAutospacing="0"/>
                              </w:pPr>
                              <w:r w:rsidRPr="001C1B37">
                                <w:t>Q</w:t>
                              </w:r>
                              <w:r>
                                <w:t>3</w:t>
                              </w:r>
                              <w:r w:rsidR="00726379">
                                <w:t>3</w:t>
                              </w:r>
                            </w:p>
                          </w:txbxContent>
                        </wps:txbx>
                        <wps:bodyPr rot="0" vert="horz" wrap="square" lIns="54000" tIns="82800" rIns="91440" bIns="45720" anchor="ctr" anchorCtr="0" upright="1">
                          <a:noAutofit/>
                        </wps:bodyPr>
                      </wps:wsp>
                    </wpg:wgp>
                  </a:graphicData>
                </a:graphic>
              </wp:anchor>
            </w:drawing>
          </mc:Choice>
          <mc:Fallback>
            <w:pict>
              <v:group w14:anchorId="6BBCA690" id="Group 343" o:spid="_x0000_s1127" style="position:absolute;left:0;text-align:left;margin-left:0;margin-top:11.95pt;width:113.7pt;height:19.85pt;z-index:-25157212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">
                <v:shape id="Freeform 58" o:spid="_x0000_s112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" path="m,l1815,e" filled="f" strokecolor="#72ab6a" strokeweight=".5pt">
                  <v:path arrowok="t" o:connecttype="custom" o:connectlocs="0,0;1073495,0" o:connectangles="0,0"/>
                </v:shape>
                <v:shape id="Freeform 66" o:spid="_x0000_s112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2CAB4D9" w14:textId="6AF7D9C3" w:rsidR="00A66567" w:rsidRPr="00E700FF" w:rsidRDefault="00A66567" w:rsidP="00A66567">
                        <w:pPr>
                          <w:pStyle w:val="BoxTitle"/>
                          <w:spacing w:before="0" w:beforeAutospacing="0"/>
                        </w:pPr>
                        <w:r w:rsidRPr="001C1B37">
                          <w:t>Q</w:t>
                        </w:r>
                        <w:r>
                          <w:t>3</w:t>
                        </w:r>
                        <w:r w:rsidR="00726379">
                          <w:t>3</w:t>
                        </w:r>
                      </w:p>
                    </w:txbxContent>
                  </v:textbox>
                </v:shape>
              </v:group>
            </w:pict>
          </mc:Fallback>
        </mc:AlternateContent>
      </w:r>
    </w:p>
    <w:p w14:paraId="3DCAED9E" w14:textId="5CE905EA" w:rsidR="00F43E7E" w:rsidRDefault="00BD5C95" w:rsidP="00F43E7E">
      <w:pPr>
        <w:pStyle w:val="QuestionBox"/>
      </w:pPr>
      <w:r>
        <w:rPr>
          <w:rFonts w:ascii="ZWAdobeF" w:hAnsi="ZWAdobeF" w:cs="ZWAdobeF"/>
          <w:color w:val="auto"/>
          <w:sz w:val="2"/>
          <w:szCs w:val="2"/>
        </w:rPr>
        <w:t>1352B</w:t>
      </w:r>
      <w:r w:rsidR="0049638A">
        <w:rPr>
          <w:rFonts w:ascii="ZWAdobeF" w:hAnsi="ZWAdobeF" w:cs="ZWAdobeF"/>
          <w:color w:val="auto"/>
          <w:sz w:val="2"/>
          <w:szCs w:val="2"/>
        </w:rPr>
        <w:t>1352B</w:t>
      </w:r>
      <w:r w:rsidR="00D629FA">
        <w:rPr>
          <w:rFonts w:ascii="ZWAdobeF" w:hAnsi="ZWAdobeF" w:cs="ZWAdobeF"/>
          <w:color w:val="auto"/>
          <w:sz w:val="2"/>
          <w:szCs w:val="2"/>
        </w:rPr>
        <w:t>1352B</w:t>
      </w:r>
      <w:r w:rsidR="00F43E7E">
        <w:t>Do you agree that parties to a class action proceeding should be able to appeal:</w:t>
      </w:r>
    </w:p>
    <w:p w14:paraId="2D0AA722" w14:textId="3625A2F3" w:rsidR="00F43E7E" w:rsidRDefault="00BD5C95" w:rsidP="00B73434">
      <w:pPr>
        <w:pStyle w:val="Questionabc"/>
        <w:numPr>
          <w:ilvl w:val="0"/>
          <w:numId w:val="102"/>
        </w:numPr>
        <w:ind w:left="1418" w:hanging="425"/>
      </w:pPr>
      <w:r>
        <w:rPr>
          <w:rFonts w:ascii="ZWAdobeF" w:hAnsi="ZWAdobeF" w:cs="ZWAdobeF"/>
          <w:color w:val="auto"/>
          <w:sz w:val="2"/>
          <w:szCs w:val="2"/>
        </w:rPr>
        <w:t>1280B</w:t>
      </w:r>
      <w:r w:rsidR="0049638A">
        <w:rPr>
          <w:rFonts w:ascii="ZWAdobeF" w:hAnsi="ZWAdobeF" w:cs="ZWAdobeF"/>
          <w:color w:val="auto"/>
          <w:sz w:val="2"/>
          <w:szCs w:val="2"/>
        </w:rPr>
        <w:t>1280B</w:t>
      </w:r>
      <w:r w:rsidR="00D629FA">
        <w:rPr>
          <w:rFonts w:ascii="ZWAdobeF" w:hAnsi="ZWAdobeF" w:cs="ZWAdobeF"/>
          <w:color w:val="auto"/>
          <w:sz w:val="2"/>
          <w:szCs w:val="2"/>
        </w:rPr>
        <w:t>1280B</w:t>
      </w:r>
      <w:r w:rsidR="00F43E7E">
        <w:t>A decision on certification as of right?</w:t>
      </w:r>
    </w:p>
    <w:p w14:paraId="0CBA89F0" w14:textId="44E23C07" w:rsidR="00F43E7E" w:rsidRDefault="00BD5C95" w:rsidP="00A66567">
      <w:pPr>
        <w:pStyle w:val="Questionabc"/>
      </w:pPr>
      <w:r>
        <w:rPr>
          <w:rFonts w:ascii="ZWAdobeF" w:hAnsi="ZWAdobeF" w:cs="ZWAdobeF"/>
          <w:color w:val="auto"/>
          <w:sz w:val="2"/>
          <w:szCs w:val="2"/>
        </w:rPr>
        <w:t>1281B</w:t>
      </w:r>
      <w:r w:rsidR="0049638A">
        <w:rPr>
          <w:rFonts w:ascii="ZWAdobeF" w:hAnsi="ZWAdobeF" w:cs="ZWAdobeF"/>
          <w:color w:val="auto"/>
          <w:sz w:val="2"/>
          <w:szCs w:val="2"/>
        </w:rPr>
        <w:t>1281B</w:t>
      </w:r>
      <w:r w:rsidR="00D629FA">
        <w:rPr>
          <w:rFonts w:ascii="ZWAdobeF" w:hAnsi="ZWAdobeF" w:cs="ZWAdobeF"/>
          <w:color w:val="auto"/>
          <w:sz w:val="2"/>
          <w:szCs w:val="2"/>
        </w:rPr>
        <w:t>1281B</w:t>
      </w:r>
      <w:r w:rsidR="00F43E7E">
        <w:t>A decision on settlement approval with leave of the High Court?</w:t>
      </w:r>
    </w:p>
    <w:p w14:paraId="1D5DEDAC" w14:textId="08BEF0E4" w:rsidR="00A41DAB" w:rsidRDefault="00A41DAB" w:rsidP="00F43E7E">
      <w:pPr>
        <w:pStyle w:val="QuestionBox"/>
      </w:pPr>
      <w:r>
        <w:rPr>
          <w:noProof/>
        </w:rPr>
        <mc:AlternateContent>
          <mc:Choice Requires="wpg">
            <w:drawing>
              <wp:anchor distT="0" distB="0" distL="114300" distR="114300" simplePos="0" relativeHeight="251746403" behindDoc="1" locked="0" layoutInCell="1" allowOverlap="1" wp14:anchorId="202C1DE4" wp14:editId="02F5FA88">
                <wp:simplePos x="0" y="0"/>
                <wp:positionH relativeFrom="column">
                  <wp:posOffset>0</wp:posOffset>
                </wp:positionH>
                <wp:positionV relativeFrom="paragraph">
                  <wp:posOffset>164465</wp:posOffset>
                </wp:positionV>
                <wp:extent cx="1443794" cy="251974"/>
                <wp:effectExtent l="0" t="0" r="42545" b="0"/>
                <wp:wrapNone/>
                <wp:docPr id="349" name="Group 349"/>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5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73A013" w14:textId="19CF6E98" w:rsidR="00A41DAB" w:rsidRPr="00E700FF" w:rsidRDefault="00A41DAB" w:rsidP="00A41DAB">
                              <w:pPr>
                                <w:pStyle w:val="BoxTitle"/>
                                <w:spacing w:before="0" w:beforeAutospacing="0"/>
                              </w:pPr>
                              <w:r w:rsidRPr="001C1B37">
                                <w:t>Q</w:t>
                              </w:r>
                              <w:r>
                                <w:t>3</w:t>
                              </w:r>
                              <w:r w:rsidR="00726379">
                                <w:t>4</w:t>
                              </w:r>
                            </w:p>
                          </w:txbxContent>
                        </wps:txbx>
                        <wps:bodyPr rot="0" vert="horz" wrap="square" lIns="54000" tIns="82800" rIns="91440" bIns="45720" anchor="ctr" anchorCtr="0" upright="1">
                          <a:noAutofit/>
                        </wps:bodyPr>
                      </wps:wsp>
                    </wpg:wgp>
                  </a:graphicData>
                </a:graphic>
              </wp:anchor>
            </w:drawing>
          </mc:Choice>
          <mc:Fallback>
            <w:pict>
              <v:group w14:anchorId="202C1DE4" id="Group 349" o:spid="_x0000_s1130" style="position:absolute;left:0;text-align:left;margin-left:0;margin-top:12.95pt;width:113.7pt;height:19.85pt;z-index:-25157007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">
                <v:shape id="Freeform 58" o:spid="_x0000_s113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" path="m,l1815,e" filled="f" strokecolor="#72ab6a" strokeweight=".5pt">
                  <v:path arrowok="t" o:connecttype="custom" o:connectlocs="0,0;1073495,0" o:connectangles="0,0"/>
                </v:shape>
                <v:shape id="Freeform 66" o:spid="_x0000_s113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773A013" w14:textId="19CF6E98" w:rsidR="00A41DAB" w:rsidRPr="00E700FF" w:rsidRDefault="00A41DAB" w:rsidP="00A41DAB">
                        <w:pPr>
                          <w:pStyle w:val="BoxTitle"/>
                          <w:spacing w:before="0" w:beforeAutospacing="0"/>
                        </w:pPr>
                        <w:r w:rsidRPr="001C1B37">
                          <w:t>Q</w:t>
                        </w:r>
                        <w:r>
                          <w:t>3</w:t>
                        </w:r>
                        <w:r w:rsidR="00726379">
                          <w:t>4</w:t>
                        </w:r>
                      </w:p>
                    </w:txbxContent>
                  </v:textbox>
                </v:shape>
              </v:group>
            </w:pict>
          </mc:Fallback>
        </mc:AlternateContent>
      </w:r>
    </w:p>
    <w:p w14:paraId="6B4A73B5" w14:textId="48461D63" w:rsidR="00F43E7E" w:rsidRDefault="00BD5C95" w:rsidP="00F43E7E">
      <w:pPr>
        <w:pStyle w:val="QuestionBox"/>
      </w:pPr>
      <w:r>
        <w:rPr>
          <w:rFonts w:ascii="ZWAdobeF" w:hAnsi="ZWAdobeF" w:cs="ZWAdobeF"/>
          <w:color w:val="auto"/>
          <w:sz w:val="2"/>
          <w:szCs w:val="2"/>
        </w:rPr>
        <w:t>1353B</w:t>
      </w:r>
      <w:r w:rsidR="0049638A">
        <w:rPr>
          <w:rFonts w:ascii="ZWAdobeF" w:hAnsi="ZWAdobeF" w:cs="ZWAdobeF"/>
          <w:color w:val="auto"/>
          <w:sz w:val="2"/>
          <w:szCs w:val="2"/>
        </w:rPr>
        <w:t>1353B</w:t>
      </w:r>
      <w:r w:rsidR="00D629FA">
        <w:rPr>
          <w:rFonts w:ascii="ZWAdobeF" w:hAnsi="ZWAdobeF" w:cs="ZWAdobeF"/>
          <w:color w:val="auto"/>
          <w:sz w:val="2"/>
          <w:szCs w:val="2"/>
        </w:rPr>
        <w:t>1353B</w:t>
      </w:r>
      <w:r w:rsidR="00F43E7E">
        <w:t>Do you agree that class members should be able to appeal a substantive judgment on the common issues with leave of the High Court?</w:t>
      </w:r>
    </w:p>
    <w:p w14:paraId="2A10578D" w14:textId="736CE2B4" w:rsidR="00A41DAB" w:rsidRDefault="00A41DAB" w:rsidP="00F43E7E">
      <w:pPr>
        <w:pStyle w:val="QuestionBox"/>
      </w:pPr>
      <w:r>
        <w:rPr>
          <w:noProof/>
        </w:rPr>
        <mc:AlternateContent>
          <mc:Choice Requires="wpg">
            <w:drawing>
              <wp:anchor distT="0" distB="0" distL="114300" distR="114300" simplePos="0" relativeHeight="251748451" behindDoc="1" locked="0" layoutInCell="1" allowOverlap="1" wp14:anchorId="33420FFF" wp14:editId="3824181C">
                <wp:simplePos x="0" y="0"/>
                <wp:positionH relativeFrom="column">
                  <wp:posOffset>0</wp:posOffset>
                </wp:positionH>
                <wp:positionV relativeFrom="paragraph">
                  <wp:posOffset>153670</wp:posOffset>
                </wp:positionV>
                <wp:extent cx="1443794" cy="251974"/>
                <wp:effectExtent l="0" t="0" r="42545" b="0"/>
                <wp:wrapNone/>
                <wp:docPr id="356" name="Group 356"/>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5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FB80A2" w14:textId="37D7F034" w:rsidR="00A41DAB" w:rsidRPr="00E700FF" w:rsidRDefault="00A41DAB" w:rsidP="00A41DAB">
                              <w:pPr>
                                <w:pStyle w:val="BoxTitle"/>
                                <w:spacing w:before="0" w:beforeAutospacing="0"/>
                              </w:pPr>
                              <w:r w:rsidRPr="001C1B37">
                                <w:t>Q</w:t>
                              </w:r>
                              <w:r>
                                <w:t>3</w:t>
                              </w:r>
                              <w:r w:rsidR="00726379">
                                <w:t>5</w:t>
                              </w:r>
                            </w:p>
                          </w:txbxContent>
                        </wps:txbx>
                        <wps:bodyPr rot="0" vert="horz" wrap="square" lIns="54000" tIns="82800" rIns="91440" bIns="45720" anchor="ctr" anchorCtr="0" upright="1">
                          <a:noAutofit/>
                        </wps:bodyPr>
                      </wps:wsp>
                    </wpg:wgp>
                  </a:graphicData>
                </a:graphic>
              </wp:anchor>
            </w:drawing>
          </mc:Choice>
          <mc:Fallback>
            <w:pict>
              <v:group w14:anchorId="33420FFF" id="Group 356" o:spid="_x0000_s1133" style="position:absolute;left:0;text-align:left;margin-left:0;margin-top:12.1pt;width:113.7pt;height:19.85pt;z-index:-25156802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">
                <v:shape id="Freeform 58" o:spid="_x0000_s113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" path="m,l1815,e" filled="f" strokecolor="#72ab6a" strokeweight=".5pt">
                  <v:path arrowok="t" o:connecttype="custom" o:connectlocs="0,0;1073495,0" o:connectangles="0,0"/>
                </v:shape>
                <v:shape id="Freeform 66" o:spid="_x0000_s113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FFB80A2" w14:textId="37D7F034" w:rsidR="00A41DAB" w:rsidRPr="00E700FF" w:rsidRDefault="00A41DAB" w:rsidP="00A41DAB">
                        <w:pPr>
                          <w:pStyle w:val="BoxTitle"/>
                          <w:spacing w:before="0" w:beforeAutospacing="0"/>
                        </w:pPr>
                        <w:r w:rsidRPr="001C1B37">
                          <w:t>Q</w:t>
                        </w:r>
                        <w:r>
                          <w:t>3</w:t>
                        </w:r>
                        <w:r w:rsidR="00726379">
                          <w:t>5</w:t>
                        </w:r>
                      </w:p>
                    </w:txbxContent>
                  </v:textbox>
                </v:shape>
              </v:group>
            </w:pict>
          </mc:Fallback>
        </mc:AlternateContent>
      </w:r>
    </w:p>
    <w:p w14:paraId="2245D773" w14:textId="5A108EE0" w:rsidR="00F43E7E" w:rsidRDefault="00BD5C95" w:rsidP="00F43E7E">
      <w:pPr>
        <w:pStyle w:val="QuestionBox"/>
      </w:pPr>
      <w:r>
        <w:rPr>
          <w:rFonts w:ascii="ZWAdobeF" w:hAnsi="ZWAdobeF" w:cs="ZWAdobeF"/>
          <w:color w:val="auto"/>
          <w:sz w:val="2"/>
          <w:szCs w:val="2"/>
        </w:rPr>
        <w:t>1354B</w:t>
      </w:r>
      <w:r w:rsidR="0049638A">
        <w:rPr>
          <w:rFonts w:ascii="ZWAdobeF" w:hAnsi="ZWAdobeF" w:cs="ZWAdobeF"/>
          <w:color w:val="auto"/>
          <w:sz w:val="2"/>
          <w:szCs w:val="2"/>
        </w:rPr>
        <w:t>1354B</w:t>
      </w:r>
      <w:r w:rsidR="00D629FA">
        <w:rPr>
          <w:rFonts w:ascii="ZWAdobeF" w:hAnsi="ZWAdobeF" w:cs="ZWAdobeF"/>
          <w:color w:val="auto"/>
          <w:sz w:val="2"/>
          <w:szCs w:val="2"/>
        </w:rPr>
        <w:t>1354B</w:t>
      </w:r>
      <w:r w:rsidR="00F43E7E">
        <w:t>Do you think there are any other decisions in a class action that class members should be able to appeal, with or without leave?</w:t>
      </w:r>
    </w:p>
    <w:p w14:paraId="6C671172" w14:textId="77777777" w:rsidR="00F43E7E" w:rsidRPr="00540298" w:rsidRDefault="00F43E7E" w:rsidP="00F43E7E">
      <w:pPr>
        <w:pStyle w:val="QuestionBox"/>
        <w:rPr>
          <w:lang w:val="en-US"/>
        </w:rPr>
      </w:pPr>
    </w:p>
    <w:p w14:paraId="1B7F4967" w14:textId="77777777" w:rsidR="00A41DAB" w:rsidRDefault="00A41DAB">
      <w:pPr>
        <w:widowControl w:val="0"/>
        <w:spacing w:after="200" w:line="276" w:lineRule="auto"/>
        <w:rPr>
          <w:rFonts w:eastAsia="Metropolis Light"/>
          <w:b/>
          <w:bCs/>
          <w:color w:val="000000" w:themeColor="text1"/>
        </w:rPr>
      </w:pPr>
      <w:r>
        <w:rPr>
          <w:b/>
          <w:bCs/>
        </w:rPr>
        <w:br w:type="page"/>
      </w:r>
    </w:p>
    <w:bookmarkStart w:id="31" w:name="_Toc83895426"/>
    <w:p w14:paraId="491524DF" w14:textId="525CCD2D" w:rsidR="00F43E7E" w:rsidRPr="00540298" w:rsidRDefault="00C36DE1" w:rsidP="00A41DAB">
      <w:pPr>
        <w:pStyle w:val="Heading2"/>
      </w:pPr>
      <w:r>
        <w:rPr>
          <w:noProof/>
        </w:rPr>
        <w:lastRenderedPageBreak/>
        <mc:AlternateContent>
          <mc:Choice Requires="wpg">
            <w:drawing>
              <wp:anchor distT="0" distB="0" distL="114300" distR="114300" simplePos="0" relativeHeight="251734115" behindDoc="1" locked="0" layoutInCell="1" allowOverlap="1" wp14:anchorId="2E61D27C" wp14:editId="53E1A725">
                <wp:simplePos x="0" y="0"/>
                <wp:positionH relativeFrom="column">
                  <wp:posOffset>-635</wp:posOffset>
                </wp:positionH>
                <wp:positionV relativeFrom="paragraph">
                  <wp:posOffset>264160</wp:posOffset>
                </wp:positionV>
                <wp:extent cx="5760085" cy="9099462"/>
                <wp:effectExtent l="0" t="0" r="0" b="6985"/>
                <wp:wrapNone/>
                <wp:docPr id="76451827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9099462"/>
                          <a:chOff x="1837" y="-10105"/>
                          <a:chExt cx="9302" cy="35881"/>
                        </a:xfrm>
                      </wpg:grpSpPr>
                      <wps:wsp>
                        <wps:cNvPr id="764518274" name="Freeform 54"/>
                        <wps:cNvSpPr>
                          <a:spLocks/>
                        </wps:cNvSpPr>
                        <wps:spPr bwMode="auto">
                          <a:xfrm>
                            <a:off x="1837" y="-10105"/>
                            <a:ext cx="9302" cy="3588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0F4F790" id="Group 53" o:spid="_x0000_s1026" style="position:absolute;margin-left:-.05pt;margin-top:20.8pt;width:453.55pt;height:716.5pt;z-index:-251582365;mso-height-relative:margin" coordorigin="1837,-10105" coordsize="9302,3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">
                <v:shape id="Freeform 54" o:spid="_x0000_s1027" style="position:absolute;left:1837;top:-10105;width:9302;height:3588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" path="m,l9354,r,7809l,7809,,e" fillcolor="#edf2ea" stroked="f">
                  <v:path arrowok="t" o:connecttype="custom" o:connectlocs="0,4595;9302,4595;9302,40476;0,40476;0,4595" o:connectangles="0,0,0,0,0"/>
                </v:shape>
              </v:group>
            </w:pict>
          </mc:Fallback>
        </mc:AlternateContent>
      </w:r>
      <w:r w:rsidR="00A41DAB">
        <w:t xml:space="preserve">CHAPTER 6: </w:t>
      </w:r>
      <w:r w:rsidR="00A41DAB" w:rsidRPr="00540298">
        <w:t>SETTLEMENT</w:t>
      </w:r>
      <w:bookmarkEnd w:id="31"/>
    </w:p>
    <w:p w14:paraId="6FE192A8" w14:textId="245A08C7" w:rsidR="00C36DE1" w:rsidRDefault="00726379" w:rsidP="00F43E7E">
      <w:pPr>
        <w:pStyle w:val="QuestionBox"/>
      </w:pPr>
      <w:r>
        <w:rPr>
          <w:noProof/>
        </w:rPr>
        <mc:AlternateContent>
          <mc:Choice Requires="wpg">
            <w:drawing>
              <wp:anchor distT="0" distB="0" distL="114300" distR="114300" simplePos="0" relativeHeight="251750499" behindDoc="1" locked="0" layoutInCell="1" allowOverlap="1" wp14:anchorId="3C02C6DE" wp14:editId="732501AF">
                <wp:simplePos x="0" y="0"/>
                <wp:positionH relativeFrom="column">
                  <wp:posOffset>0</wp:posOffset>
                </wp:positionH>
                <wp:positionV relativeFrom="paragraph">
                  <wp:posOffset>151765</wp:posOffset>
                </wp:positionV>
                <wp:extent cx="1443794" cy="251974"/>
                <wp:effectExtent l="0" t="0" r="42545" b="0"/>
                <wp:wrapNone/>
                <wp:docPr id="359" name="Group 359"/>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6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26D327" w14:textId="22A40A21" w:rsidR="00726379" w:rsidRPr="00E700FF" w:rsidRDefault="00726379" w:rsidP="00726379">
                              <w:pPr>
                                <w:pStyle w:val="BoxTitle"/>
                                <w:spacing w:before="0" w:beforeAutospacing="0"/>
                              </w:pPr>
                              <w:r w:rsidRPr="001C1B37">
                                <w:t>Q</w:t>
                              </w:r>
                              <w:r>
                                <w:t>36</w:t>
                              </w:r>
                            </w:p>
                          </w:txbxContent>
                        </wps:txbx>
                        <wps:bodyPr rot="0" vert="horz" wrap="square" lIns="54000" tIns="82800" rIns="91440" bIns="45720" anchor="ctr" anchorCtr="0" upright="1">
                          <a:noAutofit/>
                        </wps:bodyPr>
                      </wps:wsp>
                    </wpg:wgp>
                  </a:graphicData>
                </a:graphic>
              </wp:anchor>
            </w:drawing>
          </mc:Choice>
          <mc:Fallback>
            <w:pict>
              <v:group w14:anchorId="3C02C6DE" id="Group 359" o:spid="_x0000_s1136" style="position:absolute;left:0;text-align:left;margin-left:0;margin-top:11.95pt;width:113.7pt;height:19.85pt;z-index:-25156598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">
                <v:shape id="Freeform 58" o:spid="_x0000_s113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" path="m,l1815,e" filled="f" strokecolor="#72ab6a" strokeweight=".5pt">
                  <v:path arrowok="t" o:connecttype="custom" o:connectlocs="0,0;1073495,0" o:connectangles="0,0"/>
                </v:shape>
                <v:shape id="Freeform 66" o:spid="_x0000_s113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226D327" w14:textId="22A40A21" w:rsidR="00726379" w:rsidRPr="00E700FF" w:rsidRDefault="00726379" w:rsidP="00726379">
                        <w:pPr>
                          <w:pStyle w:val="BoxTitle"/>
                          <w:spacing w:before="0" w:beforeAutospacing="0"/>
                        </w:pPr>
                        <w:r w:rsidRPr="001C1B37">
                          <w:t>Q</w:t>
                        </w:r>
                        <w:r>
                          <w:t>36</w:t>
                        </w:r>
                      </w:p>
                    </w:txbxContent>
                  </v:textbox>
                </v:shape>
              </v:group>
            </w:pict>
          </mc:Fallback>
        </mc:AlternateContent>
      </w:r>
    </w:p>
    <w:p w14:paraId="4B344C90" w14:textId="28337B5E" w:rsidR="00F43E7E" w:rsidRDefault="00BD5C95" w:rsidP="00F43E7E">
      <w:pPr>
        <w:pStyle w:val="QuestionBox"/>
      </w:pPr>
      <w:r>
        <w:rPr>
          <w:rFonts w:ascii="ZWAdobeF" w:hAnsi="ZWAdobeF" w:cs="ZWAdobeF"/>
          <w:color w:val="auto"/>
          <w:sz w:val="2"/>
          <w:szCs w:val="2"/>
        </w:rPr>
        <w:t>1355B</w:t>
      </w:r>
      <w:r w:rsidR="0049638A">
        <w:rPr>
          <w:rFonts w:ascii="ZWAdobeF" w:hAnsi="ZWAdobeF" w:cs="ZWAdobeF"/>
          <w:color w:val="auto"/>
          <w:sz w:val="2"/>
          <w:szCs w:val="2"/>
        </w:rPr>
        <w:t>1355B</w:t>
      </w:r>
      <w:r w:rsidR="00D629FA">
        <w:rPr>
          <w:rFonts w:ascii="ZWAdobeF" w:hAnsi="ZWAdobeF" w:cs="ZWAdobeF"/>
          <w:color w:val="auto"/>
          <w:sz w:val="2"/>
          <w:szCs w:val="2"/>
        </w:rPr>
        <w:t>1355B</w:t>
      </w:r>
      <w:r w:rsidR="00F43E7E">
        <w:t>Should the court be required to approve class action settlements in both opt-in and opt-out proceedings?</w:t>
      </w:r>
    </w:p>
    <w:p w14:paraId="015DADC6" w14:textId="4CB12248" w:rsidR="00A71B02" w:rsidRDefault="00A71B02" w:rsidP="00F43E7E">
      <w:pPr>
        <w:pStyle w:val="QuestionBox"/>
      </w:pPr>
      <w:r>
        <w:rPr>
          <w:noProof/>
        </w:rPr>
        <mc:AlternateContent>
          <mc:Choice Requires="wpg">
            <w:drawing>
              <wp:anchor distT="0" distB="0" distL="114300" distR="114300" simplePos="0" relativeHeight="251752547" behindDoc="1" locked="0" layoutInCell="1" allowOverlap="1" wp14:anchorId="3676F032" wp14:editId="3C878624">
                <wp:simplePos x="0" y="0"/>
                <wp:positionH relativeFrom="column">
                  <wp:posOffset>0</wp:posOffset>
                </wp:positionH>
                <wp:positionV relativeFrom="paragraph">
                  <wp:posOffset>145415</wp:posOffset>
                </wp:positionV>
                <wp:extent cx="1443794" cy="251974"/>
                <wp:effectExtent l="0" t="0" r="42545" b="0"/>
                <wp:wrapNone/>
                <wp:docPr id="362" name="Group 362"/>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6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E028AD" w14:textId="52637DCD" w:rsidR="00A71B02" w:rsidRPr="00E700FF" w:rsidRDefault="00A71B02" w:rsidP="00A71B02">
                              <w:pPr>
                                <w:pStyle w:val="BoxTitle"/>
                                <w:spacing w:before="0" w:beforeAutospacing="0"/>
                              </w:pPr>
                              <w:r w:rsidRPr="001C1B37">
                                <w:t>Q</w:t>
                              </w:r>
                              <w:r>
                                <w:t>37</w:t>
                              </w:r>
                            </w:p>
                          </w:txbxContent>
                        </wps:txbx>
                        <wps:bodyPr rot="0" vert="horz" wrap="square" lIns="54000" tIns="82800" rIns="91440" bIns="45720" anchor="ctr" anchorCtr="0" upright="1">
                          <a:noAutofit/>
                        </wps:bodyPr>
                      </wps:wsp>
                    </wpg:wgp>
                  </a:graphicData>
                </a:graphic>
              </wp:anchor>
            </w:drawing>
          </mc:Choice>
          <mc:Fallback>
            <w:pict>
              <v:group w14:anchorId="3676F032" id="Group 362" o:spid="_x0000_s1139" style="position:absolute;left:0;text-align:left;margin-left:0;margin-top:11.45pt;width:113.7pt;height:19.85pt;z-index:-25156393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">
                <v:shape id="Freeform 58" o:spid="_x0000_s1140"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" path="m,l1815,e" filled="f" strokecolor="#72ab6a" strokeweight=".5pt">
                  <v:path arrowok="t" o:connecttype="custom" o:connectlocs="0,0;1073495,0" o:connectangles="0,0"/>
                </v:shape>
                <v:shape id="Freeform 66" o:spid="_x0000_s114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1E028AD" w14:textId="52637DCD" w:rsidR="00A71B02" w:rsidRPr="00E700FF" w:rsidRDefault="00A71B02" w:rsidP="00A71B02">
                        <w:pPr>
                          <w:pStyle w:val="BoxTitle"/>
                          <w:spacing w:before="0" w:beforeAutospacing="0"/>
                        </w:pPr>
                        <w:r w:rsidRPr="001C1B37">
                          <w:t>Q</w:t>
                        </w:r>
                        <w:r>
                          <w:t>37</w:t>
                        </w:r>
                      </w:p>
                    </w:txbxContent>
                  </v:textbox>
                </v:shape>
              </v:group>
            </w:pict>
          </mc:Fallback>
        </mc:AlternateContent>
      </w:r>
    </w:p>
    <w:p w14:paraId="306A0A14" w14:textId="1CB35E40" w:rsidR="00F43E7E" w:rsidRPr="00AD3F77" w:rsidRDefault="00BD5C95" w:rsidP="00F43E7E">
      <w:pPr>
        <w:pStyle w:val="QuestionBox"/>
      </w:pPr>
      <w:r>
        <w:rPr>
          <w:rFonts w:ascii="ZWAdobeF" w:hAnsi="ZWAdobeF" w:cs="ZWAdobeF"/>
          <w:color w:val="auto"/>
          <w:sz w:val="2"/>
          <w:szCs w:val="2"/>
        </w:rPr>
        <w:t>1356B</w:t>
      </w:r>
      <w:r w:rsidR="0049638A">
        <w:rPr>
          <w:rFonts w:ascii="ZWAdobeF" w:hAnsi="ZWAdobeF" w:cs="ZWAdobeF"/>
          <w:color w:val="auto"/>
          <w:sz w:val="2"/>
          <w:szCs w:val="2"/>
        </w:rPr>
        <w:t>1356B</w:t>
      </w:r>
      <w:r w:rsidR="00D629FA">
        <w:rPr>
          <w:rFonts w:ascii="ZWAdobeF" w:hAnsi="ZWAdobeF" w:cs="ZWAdobeF"/>
          <w:color w:val="auto"/>
          <w:sz w:val="2"/>
          <w:szCs w:val="2"/>
        </w:rPr>
        <w:t>1356B</w:t>
      </w:r>
      <w:r w:rsidR="00F43E7E">
        <w:t xml:space="preserve">Should the court be required to approve the discontinuance of a class action? </w:t>
      </w:r>
    </w:p>
    <w:p w14:paraId="59328FE5" w14:textId="59E5AF7E" w:rsidR="00A71B02" w:rsidRDefault="00A71B02" w:rsidP="00F43E7E">
      <w:pPr>
        <w:pStyle w:val="QuestionBox"/>
        <w:rPr>
          <w:rStyle w:val="Strong"/>
          <w:b w:val="0"/>
        </w:rPr>
      </w:pPr>
      <w:r>
        <w:rPr>
          <w:noProof/>
        </w:rPr>
        <mc:AlternateContent>
          <mc:Choice Requires="wpg">
            <w:drawing>
              <wp:anchor distT="0" distB="0" distL="114300" distR="114300" simplePos="0" relativeHeight="251754595" behindDoc="1" locked="0" layoutInCell="1" allowOverlap="1" wp14:anchorId="5B8A550E" wp14:editId="446A051D">
                <wp:simplePos x="0" y="0"/>
                <wp:positionH relativeFrom="column">
                  <wp:posOffset>0</wp:posOffset>
                </wp:positionH>
                <wp:positionV relativeFrom="paragraph">
                  <wp:posOffset>164465</wp:posOffset>
                </wp:positionV>
                <wp:extent cx="1443794" cy="251974"/>
                <wp:effectExtent l="0" t="0" r="42545" b="0"/>
                <wp:wrapNone/>
                <wp:docPr id="365" name="Group 365"/>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6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C730FE" w14:textId="3659242D" w:rsidR="00A71B02" w:rsidRPr="00E700FF" w:rsidRDefault="00A71B02" w:rsidP="00A71B02">
                              <w:pPr>
                                <w:pStyle w:val="BoxTitle"/>
                                <w:spacing w:before="0" w:beforeAutospacing="0"/>
                              </w:pPr>
                              <w:r w:rsidRPr="001C1B37">
                                <w:t>Q</w:t>
                              </w:r>
                              <w:r>
                                <w:t>38</w:t>
                              </w:r>
                            </w:p>
                          </w:txbxContent>
                        </wps:txbx>
                        <wps:bodyPr rot="0" vert="horz" wrap="square" lIns="54000" tIns="82800" rIns="91440" bIns="45720" anchor="ctr" anchorCtr="0" upright="1">
                          <a:noAutofit/>
                        </wps:bodyPr>
                      </wps:wsp>
                    </wpg:wgp>
                  </a:graphicData>
                </a:graphic>
              </wp:anchor>
            </w:drawing>
          </mc:Choice>
          <mc:Fallback>
            <w:pict>
              <v:group w14:anchorId="5B8A550E" id="Group 365" o:spid="_x0000_s1142" style="position:absolute;left:0;text-align:left;margin-left:0;margin-top:12.95pt;width:113.7pt;height:19.85pt;z-index:-25156188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">
                <v:shape id="Freeform 58" o:spid="_x0000_s1143"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" path="m,l1815,e" filled="f" strokecolor="#72ab6a" strokeweight=".5pt">
                  <v:path arrowok="t" o:connecttype="custom" o:connectlocs="0,0;1073495,0" o:connectangles="0,0"/>
                </v:shape>
                <v:shape id="Freeform 66" o:spid="_x0000_s114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3C730FE" w14:textId="3659242D" w:rsidR="00A71B02" w:rsidRPr="00E700FF" w:rsidRDefault="00A71B02" w:rsidP="00A71B02">
                        <w:pPr>
                          <w:pStyle w:val="BoxTitle"/>
                          <w:spacing w:before="0" w:beforeAutospacing="0"/>
                        </w:pPr>
                        <w:r w:rsidRPr="001C1B37">
                          <w:t>Q</w:t>
                        </w:r>
                        <w:r>
                          <w:t>38</w:t>
                        </w:r>
                      </w:p>
                    </w:txbxContent>
                  </v:textbox>
                </v:shape>
              </v:group>
            </w:pict>
          </mc:Fallback>
        </mc:AlternateContent>
      </w:r>
    </w:p>
    <w:p w14:paraId="6F116BF7" w14:textId="4DDE0354" w:rsidR="00F43E7E" w:rsidRPr="00540298" w:rsidRDefault="00F43E7E" w:rsidP="00F43E7E">
      <w:pPr>
        <w:pStyle w:val="QuestionBox"/>
        <w:rPr>
          <w:rStyle w:val="Strong"/>
          <w:b w:val="0"/>
          <w:bCs w:val="0"/>
        </w:rPr>
      </w:pPr>
      <w:r w:rsidRPr="00E82C4F">
        <w:rPr>
          <w:rStyle w:val="Strong"/>
          <w:b w:val="0"/>
        </w:rPr>
        <w:t>Do you agree with our list of the information that should be provided in support of an application to approve a class action settlement</w:t>
      </w:r>
      <w:r w:rsidRPr="00540298">
        <w:rPr>
          <w:rStyle w:val="Strong"/>
          <w:b w:val="0"/>
        </w:rPr>
        <w:t xml:space="preserve">? </w:t>
      </w:r>
    </w:p>
    <w:p w14:paraId="7A5E7881" w14:textId="4A294DBB" w:rsidR="00766C5D" w:rsidRDefault="00766C5D" w:rsidP="00F43E7E">
      <w:pPr>
        <w:pStyle w:val="QuestionBox"/>
      </w:pPr>
      <w:r>
        <w:rPr>
          <w:noProof/>
        </w:rPr>
        <mc:AlternateContent>
          <mc:Choice Requires="wpg">
            <w:drawing>
              <wp:anchor distT="0" distB="0" distL="114300" distR="114300" simplePos="0" relativeHeight="251756643" behindDoc="1" locked="0" layoutInCell="1" allowOverlap="1" wp14:anchorId="2D97C957" wp14:editId="3405F8E5">
                <wp:simplePos x="0" y="0"/>
                <wp:positionH relativeFrom="column">
                  <wp:posOffset>0</wp:posOffset>
                </wp:positionH>
                <wp:positionV relativeFrom="paragraph">
                  <wp:posOffset>139065</wp:posOffset>
                </wp:positionV>
                <wp:extent cx="1443794" cy="251974"/>
                <wp:effectExtent l="0" t="0" r="42545" b="0"/>
                <wp:wrapNone/>
                <wp:docPr id="368" name="Group 368"/>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69"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1DCF5" w14:textId="245C05E9" w:rsidR="00766C5D" w:rsidRPr="00E700FF" w:rsidRDefault="00766C5D" w:rsidP="00766C5D">
                              <w:pPr>
                                <w:pStyle w:val="BoxTitle"/>
                                <w:spacing w:before="0" w:beforeAutospacing="0"/>
                              </w:pPr>
                              <w:r w:rsidRPr="001C1B37">
                                <w:t>Q</w:t>
                              </w:r>
                              <w:r>
                                <w:t>39</w:t>
                              </w:r>
                            </w:p>
                          </w:txbxContent>
                        </wps:txbx>
                        <wps:bodyPr rot="0" vert="horz" wrap="square" lIns="54000" tIns="82800" rIns="91440" bIns="45720" anchor="ctr" anchorCtr="0" upright="1">
                          <a:noAutofit/>
                        </wps:bodyPr>
                      </wps:wsp>
                    </wpg:wgp>
                  </a:graphicData>
                </a:graphic>
              </wp:anchor>
            </w:drawing>
          </mc:Choice>
          <mc:Fallback>
            <w:pict>
              <v:group w14:anchorId="2D97C957" id="Group 368" o:spid="_x0000_s1145" style="position:absolute;left:0;text-align:left;margin-left:0;margin-top:10.95pt;width:113.7pt;height:19.85pt;z-index:-25155983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">
                <v:shape id="Freeform 58" o:spid="_x0000_s114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" path="m,l1815,e" filled="f" strokecolor="#72ab6a" strokeweight=".5pt">
                  <v:path arrowok="t" o:connecttype="custom" o:connectlocs="0,0;1073495,0" o:connectangles="0,0"/>
                </v:shape>
                <v:shape id="Freeform 66" o:spid="_x0000_s114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541DCF5" w14:textId="245C05E9" w:rsidR="00766C5D" w:rsidRPr="00E700FF" w:rsidRDefault="00766C5D" w:rsidP="00766C5D">
                        <w:pPr>
                          <w:pStyle w:val="BoxTitle"/>
                          <w:spacing w:before="0" w:beforeAutospacing="0"/>
                        </w:pPr>
                        <w:r w:rsidRPr="001C1B37">
                          <w:t>Q</w:t>
                        </w:r>
                        <w:r>
                          <w:t>39</w:t>
                        </w:r>
                      </w:p>
                    </w:txbxContent>
                  </v:textbox>
                </v:shape>
              </v:group>
            </w:pict>
          </mc:Fallback>
        </mc:AlternateContent>
      </w:r>
    </w:p>
    <w:p w14:paraId="0A67E69C" w14:textId="6631B9D7" w:rsidR="00F43E7E" w:rsidRDefault="00BD5C95" w:rsidP="00F43E7E">
      <w:pPr>
        <w:pStyle w:val="QuestionBox"/>
      </w:pPr>
      <w:r>
        <w:rPr>
          <w:rFonts w:ascii="ZWAdobeF" w:hAnsi="ZWAdobeF" w:cs="ZWAdobeF"/>
          <w:color w:val="auto"/>
          <w:sz w:val="2"/>
          <w:szCs w:val="2"/>
        </w:rPr>
        <w:t>1357B</w:t>
      </w:r>
      <w:r w:rsidR="0049638A">
        <w:rPr>
          <w:rFonts w:ascii="ZWAdobeF" w:hAnsi="ZWAdobeF" w:cs="ZWAdobeF"/>
          <w:color w:val="auto"/>
          <w:sz w:val="2"/>
          <w:szCs w:val="2"/>
        </w:rPr>
        <w:t>1357B</w:t>
      </w:r>
      <w:r w:rsidR="00D629FA">
        <w:rPr>
          <w:rFonts w:ascii="ZWAdobeF" w:hAnsi="ZWAdobeF" w:cs="ZWAdobeF"/>
          <w:color w:val="auto"/>
          <w:sz w:val="2"/>
          <w:szCs w:val="2"/>
        </w:rPr>
        <w:t>1357B</w:t>
      </w:r>
      <w:r w:rsidR="00F43E7E">
        <w:t>Should there be a requirement to give notice to class members of:</w:t>
      </w:r>
    </w:p>
    <w:p w14:paraId="4F069629" w14:textId="5079A813" w:rsidR="00F43E7E" w:rsidRDefault="00BD5C95" w:rsidP="00B73434">
      <w:pPr>
        <w:pStyle w:val="Questionabc"/>
        <w:numPr>
          <w:ilvl w:val="0"/>
          <w:numId w:val="103"/>
        </w:numPr>
        <w:ind w:left="1418" w:hanging="425"/>
      </w:pPr>
      <w:r>
        <w:rPr>
          <w:rFonts w:ascii="ZWAdobeF" w:hAnsi="ZWAdobeF" w:cs="ZWAdobeF"/>
          <w:color w:val="auto"/>
          <w:sz w:val="2"/>
          <w:szCs w:val="2"/>
        </w:rPr>
        <w:t>1282B</w:t>
      </w:r>
      <w:r w:rsidR="0049638A">
        <w:rPr>
          <w:rFonts w:ascii="ZWAdobeF" w:hAnsi="ZWAdobeF" w:cs="ZWAdobeF"/>
          <w:color w:val="auto"/>
          <w:sz w:val="2"/>
          <w:szCs w:val="2"/>
        </w:rPr>
        <w:t>1282B</w:t>
      </w:r>
      <w:r w:rsidR="00D629FA">
        <w:rPr>
          <w:rFonts w:ascii="ZWAdobeF" w:hAnsi="ZWAdobeF" w:cs="ZWAdobeF"/>
          <w:color w:val="auto"/>
          <w:sz w:val="2"/>
          <w:szCs w:val="2"/>
        </w:rPr>
        <w:t>1282B</w:t>
      </w:r>
      <w:r w:rsidR="00F43E7E">
        <w:t xml:space="preserve">A proposed class action settlement? </w:t>
      </w:r>
    </w:p>
    <w:p w14:paraId="4ABB722B" w14:textId="75A18509" w:rsidR="00F43E7E" w:rsidRDefault="00BD5C95" w:rsidP="00766C5D">
      <w:pPr>
        <w:pStyle w:val="Questionabc"/>
      </w:pPr>
      <w:r>
        <w:rPr>
          <w:rFonts w:ascii="ZWAdobeF" w:hAnsi="ZWAdobeF" w:cs="ZWAdobeF"/>
          <w:color w:val="auto"/>
          <w:sz w:val="2"/>
          <w:szCs w:val="2"/>
        </w:rPr>
        <w:t>1283B</w:t>
      </w:r>
      <w:r w:rsidR="0049638A">
        <w:rPr>
          <w:rFonts w:ascii="ZWAdobeF" w:hAnsi="ZWAdobeF" w:cs="ZWAdobeF"/>
          <w:color w:val="auto"/>
          <w:sz w:val="2"/>
          <w:szCs w:val="2"/>
        </w:rPr>
        <w:t>1283B</w:t>
      </w:r>
      <w:r w:rsidR="00D629FA">
        <w:rPr>
          <w:rFonts w:ascii="ZWAdobeF" w:hAnsi="ZWAdobeF" w:cs="ZWAdobeF"/>
          <w:color w:val="auto"/>
          <w:sz w:val="2"/>
          <w:szCs w:val="2"/>
        </w:rPr>
        <w:t>1283B</w:t>
      </w:r>
      <w:r w:rsidR="00F43E7E">
        <w:t xml:space="preserve">An approved class action settlement?   </w:t>
      </w:r>
    </w:p>
    <w:p w14:paraId="471457E9" w14:textId="1069FFCE" w:rsidR="00766C5D" w:rsidRDefault="00766C5D" w:rsidP="00F43E7E">
      <w:pPr>
        <w:pStyle w:val="QuestionBox"/>
      </w:pPr>
      <w:r>
        <w:rPr>
          <w:noProof/>
        </w:rPr>
        <mc:AlternateContent>
          <mc:Choice Requires="wpg">
            <w:drawing>
              <wp:anchor distT="0" distB="0" distL="114300" distR="114300" simplePos="0" relativeHeight="251758691" behindDoc="1" locked="0" layoutInCell="1" allowOverlap="1" wp14:anchorId="4D87347D" wp14:editId="6CDD8D8B">
                <wp:simplePos x="0" y="0"/>
                <wp:positionH relativeFrom="column">
                  <wp:posOffset>-635</wp:posOffset>
                </wp:positionH>
                <wp:positionV relativeFrom="paragraph">
                  <wp:posOffset>143510</wp:posOffset>
                </wp:positionV>
                <wp:extent cx="1443794" cy="251974"/>
                <wp:effectExtent l="0" t="0" r="42545" b="0"/>
                <wp:wrapNone/>
                <wp:docPr id="371" name="Group 371"/>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7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66"/>
                        <wps:cNvSpPr>
                          <a:spLocks/>
                        </wps:cNvSpPr>
                        <wps:spPr bwMode="auto">
                          <a:xfrm>
                            <a:off x="-15880" y="0"/>
                            <a:ext cx="410566"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7D6F97" w14:textId="5778F375" w:rsidR="00766C5D" w:rsidRPr="00E700FF" w:rsidRDefault="00766C5D" w:rsidP="00766C5D">
                              <w:pPr>
                                <w:pStyle w:val="BoxTitle"/>
                                <w:spacing w:before="0" w:beforeAutospacing="0"/>
                              </w:pPr>
                              <w:r w:rsidRPr="001C1B37">
                                <w:t>Q</w:t>
                              </w:r>
                              <w:r>
                                <w:t>40</w:t>
                              </w:r>
                            </w:p>
                          </w:txbxContent>
                        </wps:txbx>
                        <wps:bodyPr rot="0" vert="horz" wrap="square" lIns="54000" tIns="82800" rIns="91440" bIns="45720" anchor="ctr" anchorCtr="0" upright="1">
                          <a:noAutofit/>
                        </wps:bodyPr>
                      </wps:wsp>
                    </wpg:wgp>
                  </a:graphicData>
                </a:graphic>
              </wp:anchor>
            </w:drawing>
          </mc:Choice>
          <mc:Fallback>
            <w:pict>
              <v:group w14:anchorId="4D87347D" id="Group 371" o:spid="_x0000_s1148" style="position:absolute;left:0;text-align:left;margin-left:-.05pt;margin-top:11.3pt;width:113.7pt;height:19.85pt;z-index:-25155778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">
                <v:shape id="Freeform 58" o:spid="_x0000_s114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" path="m,l1815,e" filled="f" strokecolor="#72ab6a" strokeweight=".5pt">
                  <v:path arrowok="t" o:connecttype="custom" o:connectlocs="0,0;1073495,0" o:connectangles="0,0"/>
                </v:shape>
                <v:shape id="Freeform 66" o:spid="_x0000_s1150" style="position:absolute;left:-158;width:410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" adj="-11796480,,5400" path="m,470r642,l642,,,,,470e" fillcolor="#72ab6a" stroked="f">
                  <v:stroke joinstyle="round"/>
                  <v:formulas/>
                  <v:path arrowok="t" o:connecttype="custom" o:connectlocs="0,2317953;409927,2317953;409927,2065885;0,2065885;0,2317953" o:connectangles="0,0,0,0,0" textboxrect="0,0,643,470"/>
                  <v:textbox inset="1.5mm,2.3mm">
                    <w:txbxContent>
                      <w:p w14:paraId="727D6F97" w14:textId="5778F375" w:rsidR="00766C5D" w:rsidRPr="00E700FF" w:rsidRDefault="00766C5D" w:rsidP="00766C5D">
                        <w:pPr>
                          <w:pStyle w:val="BoxTitle"/>
                          <w:spacing w:before="0" w:beforeAutospacing="0"/>
                        </w:pPr>
                        <w:r w:rsidRPr="001C1B37">
                          <w:t>Q</w:t>
                        </w:r>
                        <w:r>
                          <w:t>40</w:t>
                        </w:r>
                      </w:p>
                    </w:txbxContent>
                  </v:textbox>
                </v:shape>
              </v:group>
            </w:pict>
          </mc:Fallback>
        </mc:AlternateContent>
      </w:r>
    </w:p>
    <w:p w14:paraId="1417BC35" w14:textId="795965C1" w:rsidR="00F43E7E" w:rsidRDefault="00BD5C95" w:rsidP="00F43E7E">
      <w:pPr>
        <w:pStyle w:val="QuestionBox"/>
      </w:pPr>
      <w:r>
        <w:rPr>
          <w:rFonts w:ascii="ZWAdobeF" w:hAnsi="ZWAdobeF" w:cs="ZWAdobeF"/>
          <w:color w:val="auto"/>
          <w:sz w:val="2"/>
          <w:szCs w:val="2"/>
        </w:rPr>
        <w:t>1358B</w:t>
      </w:r>
      <w:r w:rsidR="0049638A">
        <w:rPr>
          <w:rFonts w:ascii="ZWAdobeF" w:hAnsi="ZWAdobeF" w:cs="ZWAdobeF"/>
          <w:color w:val="auto"/>
          <w:sz w:val="2"/>
          <w:szCs w:val="2"/>
        </w:rPr>
        <w:t>1358B</w:t>
      </w:r>
      <w:r w:rsidR="00D629FA">
        <w:rPr>
          <w:rFonts w:ascii="ZWAdobeF" w:hAnsi="ZWAdobeF" w:cs="ZWAdobeF"/>
          <w:color w:val="auto"/>
          <w:sz w:val="2"/>
          <w:szCs w:val="2"/>
        </w:rPr>
        <w:t>1358B</w:t>
      </w:r>
      <w:r w:rsidR="00F43E7E">
        <w:t xml:space="preserve">Do you agree with the information we propose should be contained in the notice of proposed settlement and the notice of approved settlement? </w:t>
      </w:r>
    </w:p>
    <w:p w14:paraId="369DC450" w14:textId="3A201F14" w:rsidR="00766C5D" w:rsidRDefault="00766C5D" w:rsidP="00F43E7E">
      <w:pPr>
        <w:pStyle w:val="QuestionBox"/>
      </w:pPr>
      <w:r>
        <w:rPr>
          <w:noProof/>
        </w:rPr>
        <mc:AlternateContent>
          <mc:Choice Requires="wpg">
            <w:drawing>
              <wp:anchor distT="0" distB="0" distL="114300" distR="114300" simplePos="0" relativeHeight="251760739" behindDoc="1" locked="0" layoutInCell="1" allowOverlap="1" wp14:anchorId="7D550CF7" wp14:editId="153466BE">
                <wp:simplePos x="0" y="0"/>
                <wp:positionH relativeFrom="column">
                  <wp:posOffset>0</wp:posOffset>
                </wp:positionH>
                <wp:positionV relativeFrom="paragraph">
                  <wp:posOffset>145415</wp:posOffset>
                </wp:positionV>
                <wp:extent cx="1443794" cy="251974"/>
                <wp:effectExtent l="0" t="0" r="42545" b="0"/>
                <wp:wrapNone/>
                <wp:docPr id="374" name="Group 374"/>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75"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8111DE" w14:textId="698210BA" w:rsidR="00766C5D" w:rsidRPr="00E700FF" w:rsidRDefault="00766C5D" w:rsidP="00766C5D">
                              <w:pPr>
                                <w:pStyle w:val="BoxTitle"/>
                                <w:spacing w:before="0" w:beforeAutospacing="0"/>
                              </w:pPr>
                              <w:r w:rsidRPr="001C1B37">
                                <w:t>Q</w:t>
                              </w:r>
                              <w:r>
                                <w:t>41</w:t>
                              </w:r>
                            </w:p>
                          </w:txbxContent>
                        </wps:txbx>
                        <wps:bodyPr rot="0" vert="horz" wrap="square" lIns="54000" tIns="82800" rIns="91440" bIns="45720" anchor="ctr" anchorCtr="0" upright="1">
                          <a:noAutofit/>
                        </wps:bodyPr>
                      </wps:wsp>
                    </wpg:wgp>
                  </a:graphicData>
                </a:graphic>
              </wp:anchor>
            </w:drawing>
          </mc:Choice>
          <mc:Fallback>
            <w:pict>
              <v:group w14:anchorId="7D550CF7" id="Group 374" o:spid="_x0000_s1151" style="position:absolute;left:0;text-align:left;margin-left:0;margin-top:11.45pt;width:113.7pt;height:19.85pt;z-index:-25155574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">
                <v:shape id="Freeform 58" o:spid="_x0000_s115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" path="m,l1815,e" filled="f" strokecolor="#72ab6a" strokeweight=".5pt">
                  <v:path arrowok="t" o:connecttype="custom" o:connectlocs="0,0;1073495,0" o:connectangles="0,0"/>
                </v:shape>
                <v:shape id="Freeform 66" o:spid="_x0000_s115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D8111DE" w14:textId="698210BA" w:rsidR="00766C5D" w:rsidRPr="00E700FF" w:rsidRDefault="00766C5D" w:rsidP="00766C5D">
                        <w:pPr>
                          <w:pStyle w:val="BoxTitle"/>
                          <w:spacing w:before="0" w:beforeAutospacing="0"/>
                        </w:pPr>
                        <w:r w:rsidRPr="001C1B37">
                          <w:t>Q</w:t>
                        </w:r>
                        <w:r>
                          <w:t>41</w:t>
                        </w:r>
                      </w:p>
                    </w:txbxContent>
                  </v:textbox>
                </v:shape>
              </v:group>
            </w:pict>
          </mc:Fallback>
        </mc:AlternateContent>
      </w:r>
    </w:p>
    <w:p w14:paraId="6D9BF5E6" w14:textId="765D6E32" w:rsidR="00F43E7E" w:rsidRDefault="00BD5C95" w:rsidP="00F43E7E">
      <w:pPr>
        <w:pStyle w:val="QuestionBox"/>
      </w:pPr>
      <w:r>
        <w:rPr>
          <w:rFonts w:ascii="ZWAdobeF" w:hAnsi="ZWAdobeF" w:cs="ZWAdobeF"/>
          <w:color w:val="auto"/>
          <w:sz w:val="2"/>
          <w:szCs w:val="2"/>
        </w:rPr>
        <w:t>1359B</w:t>
      </w:r>
      <w:r w:rsidR="0049638A">
        <w:rPr>
          <w:rFonts w:ascii="ZWAdobeF" w:hAnsi="ZWAdobeF" w:cs="ZWAdobeF"/>
          <w:color w:val="auto"/>
          <w:sz w:val="2"/>
          <w:szCs w:val="2"/>
        </w:rPr>
        <w:t>1359B</w:t>
      </w:r>
      <w:r w:rsidR="00D629FA">
        <w:rPr>
          <w:rFonts w:ascii="ZWAdobeF" w:hAnsi="ZWAdobeF" w:cs="ZWAdobeF"/>
          <w:color w:val="auto"/>
          <w:sz w:val="2"/>
          <w:szCs w:val="2"/>
        </w:rPr>
        <w:t>1359B</w:t>
      </w:r>
      <w:r w:rsidR="00F43E7E">
        <w:t xml:space="preserve">Should class members be given an opportunity to object to a proposed settlement? </w:t>
      </w:r>
    </w:p>
    <w:p w14:paraId="51E7974C" w14:textId="587F195E" w:rsidR="00766C5D" w:rsidRDefault="00766C5D" w:rsidP="00F43E7E">
      <w:pPr>
        <w:pStyle w:val="QuestionBox"/>
      </w:pPr>
      <w:r>
        <w:rPr>
          <w:noProof/>
        </w:rPr>
        <mc:AlternateContent>
          <mc:Choice Requires="wpg">
            <w:drawing>
              <wp:anchor distT="0" distB="0" distL="114300" distR="114300" simplePos="0" relativeHeight="251762787" behindDoc="1" locked="0" layoutInCell="1" allowOverlap="1" wp14:anchorId="1EFD1BC5" wp14:editId="2E8729E5">
                <wp:simplePos x="0" y="0"/>
                <wp:positionH relativeFrom="column">
                  <wp:posOffset>-635</wp:posOffset>
                </wp:positionH>
                <wp:positionV relativeFrom="paragraph">
                  <wp:posOffset>156210</wp:posOffset>
                </wp:positionV>
                <wp:extent cx="1443794" cy="251974"/>
                <wp:effectExtent l="0" t="0" r="42545" b="0"/>
                <wp:wrapNone/>
                <wp:docPr id="377" name="Group 377"/>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38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66"/>
                        <wps:cNvSpPr>
                          <a:spLocks/>
                        </wps:cNvSpPr>
                        <wps:spPr bwMode="auto">
                          <a:xfrm>
                            <a:off x="-15880" y="0"/>
                            <a:ext cx="406965"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A417A0" w14:textId="2C766977" w:rsidR="00766C5D" w:rsidRPr="00E700FF" w:rsidRDefault="00766C5D" w:rsidP="00766C5D">
                              <w:pPr>
                                <w:pStyle w:val="BoxTitle"/>
                                <w:spacing w:before="0" w:beforeAutospacing="0"/>
                              </w:pPr>
                              <w:r w:rsidRPr="001C1B37">
                                <w:t>Q</w:t>
                              </w:r>
                              <w:r>
                                <w:t>42</w:t>
                              </w:r>
                            </w:p>
                          </w:txbxContent>
                        </wps:txbx>
                        <wps:bodyPr rot="0" vert="horz" wrap="square" lIns="54000" tIns="82800" rIns="91440" bIns="45720" anchor="ctr" anchorCtr="0" upright="1">
                          <a:noAutofit/>
                        </wps:bodyPr>
                      </wps:wsp>
                    </wpg:wgp>
                  </a:graphicData>
                </a:graphic>
              </wp:anchor>
            </w:drawing>
          </mc:Choice>
          <mc:Fallback>
            <w:pict>
              <v:group w14:anchorId="1EFD1BC5" id="Group 377" o:spid="_x0000_s1154" style="position:absolute;left:0;text-align:left;margin-left:-.05pt;margin-top:12.3pt;width:113.7pt;height:19.85pt;z-index:-25155369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">
                <v:shape id="Freeform 58" o:spid="_x0000_s115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" path="m,l1815,e" filled="f" strokecolor="#72ab6a" strokeweight=".5pt">
                  <v:path arrowok="t" o:connecttype="custom" o:connectlocs="0,0;1073495,0" o:connectangles="0,0"/>
                </v:shape>
                <v:shape id="Freeform 66" o:spid="_x0000_s1156" style="position:absolute;left:-158;width:4068;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" adj="-11796480,,5400" path="m,470r642,l642,,,,,470e" fillcolor="#72ab6a" stroked="f">
                  <v:stroke joinstyle="round"/>
                  <v:formulas/>
                  <v:path arrowok="t" o:connecttype="custom" o:connectlocs="0,2317953;406332,2317953;406332,2065885;0,2065885;0,2317953" o:connectangles="0,0,0,0,0" textboxrect="0,0,643,470"/>
                  <v:textbox inset="1.5mm,2.3mm">
                    <w:txbxContent>
                      <w:p w14:paraId="3CA417A0" w14:textId="2C766977" w:rsidR="00766C5D" w:rsidRPr="00E700FF" w:rsidRDefault="00766C5D" w:rsidP="00766C5D">
                        <w:pPr>
                          <w:pStyle w:val="BoxTitle"/>
                          <w:spacing w:before="0" w:beforeAutospacing="0"/>
                        </w:pPr>
                        <w:r w:rsidRPr="001C1B37">
                          <w:t>Q</w:t>
                        </w:r>
                        <w:r>
                          <w:t>42</w:t>
                        </w:r>
                      </w:p>
                    </w:txbxContent>
                  </v:textbox>
                </v:shape>
              </v:group>
            </w:pict>
          </mc:Fallback>
        </mc:AlternateContent>
      </w:r>
    </w:p>
    <w:p w14:paraId="13355EAF" w14:textId="5CF677C3" w:rsidR="00F43E7E" w:rsidRDefault="00BD5C95" w:rsidP="00F43E7E">
      <w:pPr>
        <w:pStyle w:val="QuestionBox"/>
      </w:pPr>
      <w:r>
        <w:rPr>
          <w:rFonts w:ascii="ZWAdobeF" w:hAnsi="ZWAdobeF" w:cs="ZWAdobeF"/>
          <w:color w:val="auto"/>
          <w:sz w:val="2"/>
          <w:szCs w:val="2"/>
        </w:rPr>
        <w:t>1360B</w:t>
      </w:r>
      <w:r w:rsidR="0049638A">
        <w:rPr>
          <w:rFonts w:ascii="ZWAdobeF" w:hAnsi="ZWAdobeF" w:cs="ZWAdobeF"/>
          <w:color w:val="auto"/>
          <w:sz w:val="2"/>
          <w:szCs w:val="2"/>
        </w:rPr>
        <w:t>1360B</w:t>
      </w:r>
      <w:r w:rsidR="00D629FA">
        <w:rPr>
          <w:rFonts w:ascii="ZWAdobeF" w:hAnsi="ZWAdobeF" w:cs="ZWAdobeF"/>
          <w:color w:val="auto"/>
          <w:sz w:val="2"/>
          <w:szCs w:val="2"/>
        </w:rPr>
        <w:t>1360B</w:t>
      </w:r>
      <w:r w:rsidR="00F43E7E">
        <w:t>Do you agree there should there be an express power to appoint a counsel to assist the court or a court expert with respect to settlement approval? Should the court be able to order one or more parties to meet some or all of the cost of this?</w:t>
      </w:r>
    </w:p>
    <w:p w14:paraId="06BF58E3" w14:textId="301A412E" w:rsidR="00766C5D" w:rsidRDefault="00766C5D" w:rsidP="00F43E7E">
      <w:pPr>
        <w:pStyle w:val="QuestionBox"/>
      </w:pPr>
      <w:r>
        <w:rPr>
          <w:noProof/>
        </w:rPr>
        <mc:AlternateContent>
          <mc:Choice Requires="wpg">
            <w:drawing>
              <wp:anchor distT="0" distB="0" distL="114300" distR="114300" simplePos="0" relativeHeight="251764835" behindDoc="1" locked="0" layoutInCell="1" allowOverlap="1" wp14:anchorId="7A435EC5" wp14:editId="133E34E7">
                <wp:simplePos x="0" y="0"/>
                <wp:positionH relativeFrom="column">
                  <wp:posOffset>0</wp:posOffset>
                </wp:positionH>
                <wp:positionV relativeFrom="paragraph">
                  <wp:posOffset>151765</wp:posOffset>
                </wp:positionV>
                <wp:extent cx="1443794" cy="251974"/>
                <wp:effectExtent l="0" t="0" r="42545" b="0"/>
                <wp:wrapNone/>
                <wp:docPr id="764518336" name="Group 764518336"/>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3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3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C1A872" w14:textId="33CBB371" w:rsidR="00766C5D" w:rsidRPr="00E700FF" w:rsidRDefault="00766C5D" w:rsidP="00766C5D">
                              <w:pPr>
                                <w:pStyle w:val="BoxTitle"/>
                                <w:spacing w:before="0" w:beforeAutospacing="0"/>
                              </w:pPr>
                              <w:r w:rsidRPr="001C1B37">
                                <w:t>Q</w:t>
                              </w:r>
                              <w:r>
                                <w:t>43</w:t>
                              </w:r>
                            </w:p>
                          </w:txbxContent>
                        </wps:txbx>
                        <wps:bodyPr rot="0" vert="horz" wrap="square" lIns="54000" tIns="82800" rIns="91440" bIns="45720" anchor="ctr" anchorCtr="0" upright="1">
                          <a:noAutofit/>
                        </wps:bodyPr>
                      </wps:wsp>
                    </wpg:wgp>
                  </a:graphicData>
                </a:graphic>
              </wp:anchor>
            </w:drawing>
          </mc:Choice>
          <mc:Fallback>
            <w:pict>
              <v:group w14:anchorId="7A435EC5" id="Group 764518336" o:spid="_x0000_s1157" style="position:absolute;left:0;text-align:left;margin-left:0;margin-top:11.95pt;width:113.7pt;height:19.85pt;z-index:-25155164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">
                <v:shape id="Freeform 58" o:spid="_x0000_s115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" path="m,l1815,e" filled="f" strokecolor="#72ab6a" strokeweight=".5pt">
                  <v:path arrowok="t" o:connecttype="custom" o:connectlocs="0,0;1073495,0" o:connectangles="0,0"/>
                </v:shape>
                <v:shape id="Freeform 66" o:spid="_x0000_s115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5C1A872" w14:textId="33CBB371" w:rsidR="00766C5D" w:rsidRPr="00E700FF" w:rsidRDefault="00766C5D" w:rsidP="00766C5D">
                        <w:pPr>
                          <w:pStyle w:val="BoxTitle"/>
                          <w:spacing w:before="0" w:beforeAutospacing="0"/>
                        </w:pPr>
                        <w:r w:rsidRPr="001C1B37">
                          <w:t>Q</w:t>
                        </w:r>
                        <w:r>
                          <w:t>43</w:t>
                        </w:r>
                      </w:p>
                    </w:txbxContent>
                  </v:textbox>
                </v:shape>
              </v:group>
            </w:pict>
          </mc:Fallback>
        </mc:AlternateContent>
      </w:r>
    </w:p>
    <w:p w14:paraId="017E293C" w14:textId="284AE9C2" w:rsidR="00F43E7E" w:rsidRPr="00826211" w:rsidRDefault="00BD5C95" w:rsidP="00F43E7E">
      <w:pPr>
        <w:pStyle w:val="QuestionBox"/>
      </w:pPr>
      <w:r>
        <w:rPr>
          <w:rFonts w:ascii="ZWAdobeF" w:hAnsi="ZWAdobeF" w:cs="ZWAdobeF"/>
          <w:color w:val="auto"/>
          <w:sz w:val="2"/>
          <w:szCs w:val="2"/>
        </w:rPr>
        <w:t>1361B</w:t>
      </w:r>
      <w:r w:rsidR="0049638A">
        <w:rPr>
          <w:rFonts w:ascii="ZWAdobeF" w:hAnsi="ZWAdobeF" w:cs="ZWAdobeF"/>
          <w:color w:val="auto"/>
          <w:sz w:val="2"/>
          <w:szCs w:val="2"/>
        </w:rPr>
        <w:t>1361B</w:t>
      </w:r>
      <w:r w:rsidR="00D629FA">
        <w:rPr>
          <w:rFonts w:ascii="ZWAdobeF" w:hAnsi="ZWAdobeF" w:cs="ZWAdobeF"/>
          <w:color w:val="auto"/>
          <w:sz w:val="2"/>
          <w:szCs w:val="2"/>
        </w:rPr>
        <w:t>1361B</w:t>
      </w:r>
      <w:r w:rsidR="00F43E7E">
        <w:t>When the court considers whether to approve a settlement, should it consider whether the proposed settlement is fair, reasonable and in the interests of the class as a whole? If not, what test should it apply?</w:t>
      </w:r>
    </w:p>
    <w:p w14:paraId="787FD543" w14:textId="530B550C" w:rsidR="00766C5D" w:rsidRDefault="00A74AF2" w:rsidP="00F43E7E">
      <w:pPr>
        <w:pStyle w:val="QuestionBox"/>
        <w:rPr>
          <w:rStyle w:val="Strong"/>
          <w:b w:val="0"/>
          <w:color w:val="000000" w:themeColor="text1"/>
        </w:rPr>
      </w:pPr>
      <w:r>
        <w:rPr>
          <w:noProof/>
        </w:rPr>
        <mc:AlternateContent>
          <mc:Choice Requires="wpg">
            <w:drawing>
              <wp:anchor distT="0" distB="0" distL="114300" distR="114300" simplePos="0" relativeHeight="251766883" behindDoc="1" locked="0" layoutInCell="1" allowOverlap="1" wp14:anchorId="74CA8C5E" wp14:editId="2BE745E5">
                <wp:simplePos x="0" y="0"/>
                <wp:positionH relativeFrom="column">
                  <wp:posOffset>-635</wp:posOffset>
                </wp:positionH>
                <wp:positionV relativeFrom="paragraph">
                  <wp:posOffset>149860</wp:posOffset>
                </wp:positionV>
                <wp:extent cx="1443794" cy="251974"/>
                <wp:effectExtent l="0" t="0" r="42545" b="0"/>
                <wp:wrapNone/>
                <wp:docPr id="764518340" name="Group 764518340"/>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4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42" name="Freeform 66"/>
                        <wps:cNvSpPr>
                          <a:spLocks/>
                        </wps:cNvSpPr>
                        <wps:spPr bwMode="auto">
                          <a:xfrm>
                            <a:off x="-15880" y="0"/>
                            <a:ext cx="410566"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D70351" w14:textId="1532DE76" w:rsidR="00A74AF2" w:rsidRPr="00E700FF" w:rsidRDefault="00A74AF2" w:rsidP="00A74AF2">
                              <w:pPr>
                                <w:pStyle w:val="BoxTitle"/>
                                <w:spacing w:before="0" w:beforeAutospacing="0"/>
                              </w:pPr>
                              <w:r w:rsidRPr="001C1B37">
                                <w:t>Q</w:t>
                              </w:r>
                              <w:r>
                                <w:t>44</w:t>
                              </w:r>
                            </w:p>
                          </w:txbxContent>
                        </wps:txbx>
                        <wps:bodyPr rot="0" vert="horz" wrap="square" lIns="54000" tIns="82800" rIns="91440" bIns="45720" anchor="ctr" anchorCtr="0" upright="1">
                          <a:noAutofit/>
                        </wps:bodyPr>
                      </wps:wsp>
                    </wpg:wgp>
                  </a:graphicData>
                </a:graphic>
              </wp:anchor>
            </w:drawing>
          </mc:Choice>
          <mc:Fallback>
            <w:pict>
              <v:group w14:anchorId="74CA8C5E" id="Group 764518340" o:spid="_x0000_s1160" style="position:absolute;left:0;text-align:left;margin-left:-.05pt;margin-top:11.8pt;width:113.7pt;height:19.85pt;z-index:-25154959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">
                <v:shape id="Freeform 58" o:spid="_x0000_s116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" path="m,l1815,e" filled="f" strokecolor="#72ab6a" strokeweight=".5pt">
                  <v:path arrowok="t" o:connecttype="custom" o:connectlocs="0,0;1073495,0" o:connectangles="0,0"/>
                </v:shape>
                <v:shape id="Freeform 66" o:spid="_x0000_s1162" style="position:absolute;left:-158;width:410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" adj="-11796480,,5400" path="m,470r642,l642,,,,,470e" fillcolor="#72ab6a" stroked="f">
                  <v:stroke joinstyle="round"/>
                  <v:formulas/>
                  <v:path arrowok="t" o:connecttype="custom" o:connectlocs="0,2317953;409927,2317953;409927,2065885;0,2065885;0,2317953" o:connectangles="0,0,0,0,0" textboxrect="0,0,643,470"/>
                  <v:textbox inset="1.5mm,2.3mm">
                    <w:txbxContent>
                      <w:p w14:paraId="6BD70351" w14:textId="1532DE76" w:rsidR="00A74AF2" w:rsidRPr="00E700FF" w:rsidRDefault="00A74AF2" w:rsidP="00A74AF2">
                        <w:pPr>
                          <w:pStyle w:val="BoxTitle"/>
                          <w:spacing w:before="0" w:beforeAutospacing="0"/>
                        </w:pPr>
                        <w:r w:rsidRPr="001C1B37">
                          <w:t>Q</w:t>
                        </w:r>
                        <w:r>
                          <w:t>44</w:t>
                        </w:r>
                      </w:p>
                    </w:txbxContent>
                  </v:textbox>
                </v:shape>
              </v:group>
            </w:pict>
          </mc:Fallback>
        </mc:AlternateContent>
      </w:r>
    </w:p>
    <w:p w14:paraId="6000851D" w14:textId="28AFBA03" w:rsidR="00F43E7E" w:rsidRPr="00540298" w:rsidRDefault="00F43E7E" w:rsidP="00F43E7E">
      <w:pPr>
        <w:pStyle w:val="QuestionBox"/>
        <w:rPr>
          <w:rStyle w:val="Strong"/>
          <w:b w:val="0"/>
          <w:bCs w:val="0"/>
        </w:rPr>
      </w:pPr>
      <w:r w:rsidRPr="00F95162">
        <w:rPr>
          <w:rStyle w:val="Strong"/>
          <w:b w:val="0"/>
          <w:color w:val="000000" w:themeColor="text1"/>
        </w:rPr>
        <w:t>Should there be specific factors a court must consider when deciding whether a settlement is fair, reasonable and in the interests of the class as a whole? For example, should the court consider</w:t>
      </w:r>
      <w:r w:rsidRPr="00540298">
        <w:rPr>
          <w:rStyle w:val="Strong"/>
          <w:b w:val="0"/>
          <w:color w:val="000000" w:themeColor="text1"/>
        </w:rPr>
        <w:t>:</w:t>
      </w:r>
    </w:p>
    <w:p w14:paraId="0EFF8AB9" w14:textId="77777777" w:rsidR="00F43E7E" w:rsidRPr="00571F8B" w:rsidRDefault="00F43E7E" w:rsidP="00B73434">
      <w:pPr>
        <w:pStyle w:val="Questionabc"/>
        <w:numPr>
          <w:ilvl w:val="0"/>
          <w:numId w:val="104"/>
        </w:numPr>
        <w:ind w:left="1418" w:hanging="425"/>
        <w:rPr>
          <w:rStyle w:val="Strong"/>
          <w:b w:val="0"/>
          <w:bCs w:val="0"/>
        </w:rPr>
      </w:pPr>
      <w:r w:rsidRPr="00571F8B">
        <w:rPr>
          <w:rStyle w:val="Strong"/>
          <w:b w:val="0"/>
          <w:color w:val="000000" w:themeColor="text1"/>
        </w:rPr>
        <w:t xml:space="preserve">The terms and conditions of the settlement. </w:t>
      </w:r>
    </w:p>
    <w:p w14:paraId="7C798A55" w14:textId="77777777" w:rsidR="00F43E7E" w:rsidRPr="00540298" w:rsidRDefault="00F43E7E" w:rsidP="00571F8B">
      <w:pPr>
        <w:pStyle w:val="Questionabc"/>
        <w:rPr>
          <w:rStyle w:val="Strong"/>
          <w:b w:val="0"/>
          <w:bCs w:val="0"/>
        </w:rPr>
      </w:pPr>
      <w:r w:rsidRPr="00F95162">
        <w:rPr>
          <w:rStyle w:val="Strong"/>
          <w:b w:val="0"/>
        </w:rPr>
        <w:t>Any legal fees and litigation funding commissions that will be deducted from class member relief</w:t>
      </w:r>
      <w:r w:rsidRPr="00540298">
        <w:rPr>
          <w:rStyle w:val="Strong"/>
          <w:b w:val="0"/>
        </w:rPr>
        <w:t xml:space="preserve">. </w:t>
      </w:r>
    </w:p>
    <w:p w14:paraId="5DBCE8BF" w14:textId="77777777" w:rsidR="00F43E7E" w:rsidRPr="00540298" w:rsidRDefault="00F43E7E" w:rsidP="00571F8B">
      <w:pPr>
        <w:pStyle w:val="Questionabc"/>
        <w:rPr>
          <w:rStyle w:val="Strong"/>
          <w:b w:val="0"/>
          <w:bCs w:val="0"/>
        </w:rPr>
      </w:pPr>
      <w:r w:rsidRPr="00F95162">
        <w:rPr>
          <w:rStyle w:val="Strong"/>
          <w:b w:val="0"/>
          <w:color w:val="000000" w:themeColor="text1"/>
        </w:rPr>
        <w:t>Any information readily available to the court on the potential risks, costs and benefits of continuing with the litigation</w:t>
      </w:r>
      <w:r w:rsidRPr="00540298">
        <w:rPr>
          <w:rStyle w:val="Strong"/>
          <w:b w:val="0"/>
          <w:color w:val="000000" w:themeColor="text1"/>
        </w:rPr>
        <w:t>.</w:t>
      </w:r>
    </w:p>
    <w:p w14:paraId="3339C99E" w14:textId="77777777" w:rsidR="00F43E7E" w:rsidRPr="00540298" w:rsidRDefault="00F43E7E" w:rsidP="00571F8B">
      <w:pPr>
        <w:pStyle w:val="Questionabc"/>
        <w:rPr>
          <w:rStyle w:val="Strong"/>
          <w:b w:val="0"/>
          <w:bCs w:val="0"/>
        </w:rPr>
      </w:pPr>
      <w:r w:rsidRPr="00F95162">
        <w:rPr>
          <w:rStyle w:val="Strong"/>
          <w:b w:val="0"/>
          <w:color w:val="000000" w:themeColor="text1"/>
        </w:rPr>
        <w:t>Any views of class members</w:t>
      </w:r>
      <w:r w:rsidRPr="00540298">
        <w:rPr>
          <w:rStyle w:val="Strong"/>
          <w:b w:val="0"/>
          <w:color w:val="000000" w:themeColor="text1"/>
        </w:rPr>
        <w:t>.</w:t>
      </w:r>
    </w:p>
    <w:p w14:paraId="55115E7E" w14:textId="77777777" w:rsidR="009E17B3" w:rsidRDefault="00F43E7E" w:rsidP="009E17B3">
      <w:pPr>
        <w:pStyle w:val="Questionabc"/>
        <w:rPr>
          <w:rStyle w:val="Strong"/>
          <w:b w:val="0"/>
          <w:bCs w:val="0"/>
        </w:rPr>
      </w:pPr>
      <w:r w:rsidRPr="00540298">
        <w:rPr>
          <w:rStyle w:val="Strong"/>
          <w:b w:val="0"/>
          <w:color w:val="000000" w:themeColor="text1"/>
        </w:rPr>
        <w:t xml:space="preserve">The process by which settlement was reached. </w:t>
      </w:r>
      <w:r>
        <w:rPr>
          <w:rStyle w:val="Strong"/>
          <w:b w:val="0"/>
          <w:color w:val="000000" w:themeColor="text1"/>
        </w:rPr>
        <w:t xml:space="preserve"> </w:t>
      </w:r>
    </w:p>
    <w:p w14:paraId="3CE9692B" w14:textId="1330E016" w:rsidR="00F43E7E" w:rsidRPr="009E17B3" w:rsidRDefault="00F43E7E" w:rsidP="009E17B3">
      <w:pPr>
        <w:pStyle w:val="Questionabc"/>
      </w:pPr>
      <w:r w:rsidRPr="009E17B3">
        <w:rPr>
          <w:rStyle w:val="Strong"/>
          <w:b w:val="0"/>
          <w:color w:val="000000" w:themeColor="text1"/>
        </w:rPr>
        <w:t xml:space="preserve">Any other factors it considers relevant. </w:t>
      </w:r>
    </w:p>
    <w:p w14:paraId="0D2ED3A5" w14:textId="650F1B98" w:rsidR="006325A7" w:rsidRDefault="00696F10" w:rsidP="00F43E7E">
      <w:pPr>
        <w:pStyle w:val="QuestionBox"/>
      </w:pPr>
      <w:r>
        <w:rPr>
          <w:noProof/>
        </w:rPr>
        <w:lastRenderedPageBreak/>
        <mc:AlternateContent>
          <mc:Choice Requires="wpg">
            <w:drawing>
              <wp:anchor distT="0" distB="0" distL="114300" distR="114300" simplePos="0" relativeHeight="251768931" behindDoc="1" locked="0" layoutInCell="1" allowOverlap="1" wp14:anchorId="642DA7D7" wp14:editId="385B0D85">
                <wp:simplePos x="0" y="0"/>
                <wp:positionH relativeFrom="column">
                  <wp:posOffset>-635</wp:posOffset>
                </wp:positionH>
                <wp:positionV relativeFrom="paragraph">
                  <wp:posOffset>-21590</wp:posOffset>
                </wp:positionV>
                <wp:extent cx="5760085" cy="6927850"/>
                <wp:effectExtent l="0" t="0" r="0" b="6350"/>
                <wp:wrapNone/>
                <wp:docPr id="76451834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6927850"/>
                          <a:chOff x="1837" y="-10105"/>
                          <a:chExt cx="9302" cy="27318"/>
                        </a:xfrm>
                      </wpg:grpSpPr>
                      <wps:wsp>
                        <wps:cNvPr id="764518346" name="Freeform 54"/>
                        <wps:cNvSpPr>
                          <a:spLocks/>
                        </wps:cNvSpPr>
                        <wps:spPr bwMode="auto">
                          <a:xfrm>
                            <a:off x="1837" y="-10105"/>
                            <a:ext cx="9302" cy="2731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94E6FB8" id="Group 53" o:spid="_x0000_s1026" style="position:absolute;margin-left:-.05pt;margin-top:-1.7pt;width:453.55pt;height:545.5pt;z-index:-251547549;mso-height-relative:margin" coordorigin="1837,-10105" coordsize="9302,2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">
                <v:shape id="Freeform 54" o:spid="_x0000_s1027" style="position:absolute;left:1837;top:-10105;width:9302;height:2731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" path="m,l9354,r,7809l,7809,,e" fillcolor="#edf2ea" stroked="f">
                  <v:path arrowok="t" o:connecttype="custom" o:connectlocs="0,3498;9302,3498;9302,30816;0,30816;0,3498" o:connectangles="0,0,0,0,0"/>
                </v:shape>
              </v:group>
            </w:pict>
          </mc:Fallback>
        </mc:AlternateContent>
      </w:r>
      <w:r w:rsidR="00F95C18">
        <w:rPr>
          <w:noProof/>
        </w:rPr>
        <mc:AlternateContent>
          <mc:Choice Requires="wpg">
            <w:drawing>
              <wp:anchor distT="0" distB="0" distL="114300" distR="114300" simplePos="0" relativeHeight="251770979" behindDoc="1" locked="0" layoutInCell="1" allowOverlap="1" wp14:anchorId="2EA31DAD" wp14:editId="0FA27D2C">
                <wp:simplePos x="0" y="0"/>
                <wp:positionH relativeFrom="column">
                  <wp:posOffset>-635</wp:posOffset>
                </wp:positionH>
                <wp:positionV relativeFrom="paragraph">
                  <wp:posOffset>143510</wp:posOffset>
                </wp:positionV>
                <wp:extent cx="1443794" cy="251974"/>
                <wp:effectExtent l="0" t="0" r="42545" b="0"/>
                <wp:wrapNone/>
                <wp:docPr id="764518347" name="Group 764518347"/>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4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49"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F0E73A" w14:textId="4AB1B069" w:rsidR="00F95C18" w:rsidRPr="00E700FF" w:rsidRDefault="00F95C18" w:rsidP="00F95C18">
                              <w:pPr>
                                <w:pStyle w:val="BoxTitle"/>
                                <w:spacing w:before="0" w:beforeAutospacing="0"/>
                              </w:pPr>
                              <w:r w:rsidRPr="001C1B37">
                                <w:t>Q</w:t>
                              </w:r>
                              <w:r>
                                <w:t>45</w:t>
                              </w:r>
                            </w:p>
                          </w:txbxContent>
                        </wps:txbx>
                        <wps:bodyPr rot="0" vert="horz" wrap="square" lIns="54000" tIns="82800" rIns="91440" bIns="45720" anchor="ctr" anchorCtr="0" upright="1">
                          <a:noAutofit/>
                        </wps:bodyPr>
                      </wps:wsp>
                    </wpg:wgp>
                  </a:graphicData>
                </a:graphic>
              </wp:anchor>
            </w:drawing>
          </mc:Choice>
          <mc:Fallback>
            <w:pict>
              <v:group w14:anchorId="2EA31DAD" id="Group 764518347" o:spid="_x0000_s1163" style="position:absolute;left:0;text-align:left;margin-left:-.05pt;margin-top:11.3pt;width:113.7pt;height:19.85pt;z-index:-25154550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">
                <v:shape id="Freeform 58" o:spid="_x0000_s116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" path="m,l1815,e" filled="f" strokecolor="#72ab6a" strokeweight=".5pt">
                  <v:path arrowok="t" o:connecttype="custom" o:connectlocs="0,0;1073495,0" o:connectangles="0,0"/>
                </v:shape>
                <v:shape id="Freeform 66" o:spid="_x0000_s1165"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3DF0E73A" w14:textId="4AB1B069" w:rsidR="00F95C18" w:rsidRPr="00E700FF" w:rsidRDefault="00F95C18" w:rsidP="00F95C18">
                        <w:pPr>
                          <w:pStyle w:val="BoxTitle"/>
                          <w:spacing w:before="0" w:beforeAutospacing="0"/>
                        </w:pPr>
                        <w:r w:rsidRPr="001C1B37">
                          <w:t>Q</w:t>
                        </w:r>
                        <w:r>
                          <w:t>45</w:t>
                        </w:r>
                      </w:p>
                    </w:txbxContent>
                  </v:textbox>
                </v:shape>
              </v:group>
            </w:pict>
          </mc:Fallback>
        </mc:AlternateContent>
      </w:r>
    </w:p>
    <w:p w14:paraId="61746871" w14:textId="10ABC255" w:rsidR="00F43E7E" w:rsidRPr="00FA2CA0" w:rsidRDefault="00BD5C95" w:rsidP="00F43E7E">
      <w:pPr>
        <w:pStyle w:val="QuestionBox"/>
      </w:pPr>
      <w:r>
        <w:rPr>
          <w:rFonts w:ascii="ZWAdobeF" w:hAnsi="ZWAdobeF" w:cs="ZWAdobeF"/>
          <w:color w:val="auto"/>
          <w:sz w:val="2"/>
          <w:szCs w:val="2"/>
        </w:rPr>
        <w:t>1362B</w:t>
      </w:r>
      <w:r w:rsidR="0049638A">
        <w:rPr>
          <w:rFonts w:ascii="ZWAdobeF" w:hAnsi="ZWAdobeF" w:cs="ZWAdobeF"/>
          <w:color w:val="auto"/>
          <w:sz w:val="2"/>
          <w:szCs w:val="2"/>
        </w:rPr>
        <w:t>1362B</w:t>
      </w:r>
      <w:r w:rsidR="00D629FA">
        <w:rPr>
          <w:rFonts w:ascii="ZWAdobeF" w:hAnsi="ZWAdobeF" w:cs="ZWAdobeF"/>
          <w:color w:val="auto"/>
          <w:sz w:val="2"/>
          <w:szCs w:val="2"/>
        </w:rPr>
        <w:t>1362B</w:t>
      </w:r>
      <w:r w:rsidR="00F43E7E">
        <w:t>Should the court have an express power to amend litigation funding commissions at settlement</w:t>
      </w:r>
      <w:r w:rsidR="00F43E7E" w:rsidRPr="00540298">
        <w:t xml:space="preserve">? </w:t>
      </w:r>
    </w:p>
    <w:p w14:paraId="63CE2DAA" w14:textId="4499F4A0" w:rsidR="00F95C18" w:rsidRDefault="00F95C18" w:rsidP="00F43E7E">
      <w:pPr>
        <w:pStyle w:val="QuestionBox"/>
      </w:pPr>
      <w:r>
        <w:rPr>
          <w:noProof/>
        </w:rPr>
        <mc:AlternateContent>
          <mc:Choice Requires="wpg">
            <w:drawing>
              <wp:anchor distT="0" distB="0" distL="114300" distR="114300" simplePos="0" relativeHeight="251773027" behindDoc="1" locked="0" layoutInCell="1" allowOverlap="1" wp14:anchorId="614A7172" wp14:editId="639F842B">
                <wp:simplePos x="0" y="0"/>
                <wp:positionH relativeFrom="column">
                  <wp:posOffset>0</wp:posOffset>
                </wp:positionH>
                <wp:positionV relativeFrom="paragraph">
                  <wp:posOffset>158115</wp:posOffset>
                </wp:positionV>
                <wp:extent cx="1443794" cy="251974"/>
                <wp:effectExtent l="0" t="0" r="42545" b="0"/>
                <wp:wrapNone/>
                <wp:docPr id="764518350" name="Group 764518350"/>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5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52"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BAAC38" w14:textId="4956C81F" w:rsidR="00F95C18" w:rsidRPr="00E700FF" w:rsidRDefault="00F95C18" w:rsidP="00F95C18">
                              <w:pPr>
                                <w:pStyle w:val="BoxTitle"/>
                                <w:spacing w:before="0" w:beforeAutospacing="0"/>
                              </w:pPr>
                              <w:r w:rsidRPr="001C1B37">
                                <w:t>Q</w:t>
                              </w:r>
                              <w:r>
                                <w:t>46</w:t>
                              </w:r>
                            </w:p>
                          </w:txbxContent>
                        </wps:txbx>
                        <wps:bodyPr rot="0" vert="horz" wrap="square" lIns="54000" tIns="82800" rIns="91440" bIns="45720" anchor="ctr" anchorCtr="0" upright="1">
                          <a:noAutofit/>
                        </wps:bodyPr>
                      </wps:wsp>
                    </wpg:wgp>
                  </a:graphicData>
                </a:graphic>
              </wp:anchor>
            </w:drawing>
          </mc:Choice>
          <mc:Fallback>
            <w:pict>
              <v:group w14:anchorId="614A7172" id="Group 764518350" o:spid="_x0000_s1166" style="position:absolute;left:0;text-align:left;margin-left:0;margin-top:12.45pt;width:113.7pt;height:19.85pt;z-index:-25154345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">
                <v:shape id="Freeform 58" o:spid="_x0000_s116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" path="m,l1815,e" filled="f" strokecolor="#72ab6a" strokeweight=".5pt">
                  <v:path arrowok="t" o:connecttype="custom" o:connectlocs="0,0;1073495,0" o:connectangles="0,0"/>
                </v:shape>
                <v:shape id="Freeform 66" o:spid="_x0000_s1168"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77BAAC38" w14:textId="4956C81F" w:rsidR="00F95C18" w:rsidRPr="00E700FF" w:rsidRDefault="00F95C18" w:rsidP="00F95C18">
                        <w:pPr>
                          <w:pStyle w:val="BoxTitle"/>
                          <w:spacing w:before="0" w:beforeAutospacing="0"/>
                        </w:pPr>
                        <w:r w:rsidRPr="001C1B37">
                          <w:t>Q</w:t>
                        </w:r>
                        <w:r>
                          <w:t>46</w:t>
                        </w:r>
                      </w:p>
                    </w:txbxContent>
                  </v:textbox>
                </v:shape>
              </v:group>
            </w:pict>
          </mc:Fallback>
        </mc:AlternateContent>
      </w:r>
    </w:p>
    <w:p w14:paraId="49D79E60" w14:textId="7C3176E9" w:rsidR="00F43E7E" w:rsidRDefault="00BD5C95" w:rsidP="00F43E7E">
      <w:pPr>
        <w:pStyle w:val="QuestionBox"/>
      </w:pPr>
      <w:r>
        <w:rPr>
          <w:rFonts w:ascii="ZWAdobeF" w:hAnsi="ZWAdobeF" w:cs="ZWAdobeF"/>
          <w:color w:val="auto"/>
          <w:sz w:val="2"/>
          <w:szCs w:val="2"/>
        </w:rPr>
        <w:t>1363B</w:t>
      </w:r>
      <w:r w:rsidR="0049638A">
        <w:rPr>
          <w:rFonts w:ascii="ZWAdobeF" w:hAnsi="ZWAdobeF" w:cs="ZWAdobeF"/>
          <w:color w:val="auto"/>
          <w:sz w:val="2"/>
          <w:szCs w:val="2"/>
        </w:rPr>
        <w:t>1363B</w:t>
      </w:r>
      <w:r w:rsidR="00D629FA">
        <w:rPr>
          <w:rFonts w:ascii="ZWAdobeF" w:hAnsi="ZWAdobeF" w:cs="ZWAdobeF"/>
          <w:color w:val="auto"/>
          <w:sz w:val="2"/>
          <w:szCs w:val="2"/>
        </w:rPr>
        <w:t>1363B</w:t>
      </w:r>
      <w:r w:rsidR="00F43E7E">
        <w:t xml:space="preserve">Should the court have the power to convert an opt-out class action into an opt-in class action for the purposes of facilitating settlement? </w:t>
      </w:r>
    </w:p>
    <w:p w14:paraId="6952D3A1" w14:textId="1A95EA41" w:rsidR="00F95C18" w:rsidRDefault="00F95C18" w:rsidP="00F43E7E">
      <w:pPr>
        <w:pStyle w:val="QuestionBox"/>
      </w:pPr>
      <w:r>
        <w:rPr>
          <w:noProof/>
        </w:rPr>
        <mc:AlternateContent>
          <mc:Choice Requires="wpg">
            <w:drawing>
              <wp:anchor distT="0" distB="0" distL="114300" distR="114300" simplePos="0" relativeHeight="251775075" behindDoc="1" locked="0" layoutInCell="1" allowOverlap="1" wp14:anchorId="0448859A" wp14:editId="11CFA7A3">
                <wp:simplePos x="0" y="0"/>
                <wp:positionH relativeFrom="column">
                  <wp:posOffset>0</wp:posOffset>
                </wp:positionH>
                <wp:positionV relativeFrom="paragraph">
                  <wp:posOffset>158115</wp:posOffset>
                </wp:positionV>
                <wp:extent cx="1443794" cy="251974"/>
                <wp:effectExtent l="0" t="0" r="42545" b="0"/>
                <wp:wrapNone/>
                <wp:docPr id="764518353" name="Group 764518353"/>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54"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55"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8DC60B" w14:textId="5E50002E" w:rsidR="00F95C18" w:rsidRPr="00E700FF" w:rsidRDefault="00F95C18" w:rsidP="00F95C18">
                              <w:pPr>
                                <w:pStyle w:val="BoxTitle"/>
                                <w:spacing w:before="0" w:beforeAutospacing="0"/>
                              </w:pPr>
                              <w:r w:rsidRPr="001C1B37">
                                <w:t>Q</w:t>
                              </w:r>
                              <w:r>
                                <w:t>47</w:t>
                              </w:r>
                            </w:p>
                          </w:txbxContent>
                        </wps:txbx>
                        <wps:bodyPr rot="0" vert="horz" wrap="square" lIns="54000" tIns="82800" rIns="91440" bIns="45720" anchor="ctr" anchorCtr="0" upright="1">
                          <a:noAutofit/>
                        </wps:bodyPr>
                      </wps:wsp>
                    </wpg:wgp>
                  </a:graphicData>
                </a:graphic>
              </wp:anchor>
            </w:drawing>
          </mc:Choice>
          <mc:Fallback>
            <w:pict>
              <v:group w14:anchorId="0448859A" id="Group 764518353" o:spid="_x0000_s1169" style="position:absolute;left:0;text-align:left;margin-left:0;margin-top:12.45pt;width:113.7pt;height:19.85pt;z-index:-25154140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">
                <v:shape id="Freeform 58" o:spid="_x0000_s1170"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" path="m,l1815,e" filled="f" strokecolor="#72ab6a" strokeweight=".5pt">
                  <v:path arrowok="t" o:connecttype="custom" o:connectlocs="0,0;1073495,0" o:connectangles="0,0"/>
                </v:shape>
                <v:shape id="Freeform 66" o:spid="_x0000_s1171"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298DC60B" w14:textId="5E50002E" w:rsidR="00F95C18" w:rsidRPr="00E700FF" w:rsidRDefault="00F95C18" w:rsidP="00F95C18">
                        <w:pPr>
                          <w:pStyle w:val="BoxTitle"/>
                          <w:spacing w:before="0" w:beforeAutospacing="0"/>
                        </w:pPr>
                        <w:r w:rsidRPr="001C1B37">
                          <w:t>Q</w:t>
                        </w:r>
                        <w:r>
                          <w:t>47</w:t>
                        </w:r>
                      </w:p>
                    </w:txbxContent>
                  </v:textbox>
                </v:shape>
              </v:group>
            </w:pict>
          </mc:Fallback>
        </mc:AlternateContent>
      </w:r>
    </w:p>
    <w:p w14:paraId="6FE3B538" w14:textId="4FF16EB8" w:rsidR="00F43E7E" w:rsidRDefault="00BD5C95" w:rsidP="00F43E7E">
      <w:pPr>
        <w:pStyle w:val="QuestionBox"/>
      </w:pPr>
      <w:r>
        <w:rPr>
          <w:rFonts w:ascii="ZWAdobeF" w:hAnsi="ZWAdobeF" w:cs="ZWAdobeF"/>
          <w:color w:val="auto"/>
          <w:sz w:val="2"/>
          <w:szCs w:val="2"/>
        </w:rPr>
        <w:t>1364B</w:t>
      </w:r>
      <w:r w:rsidR="0049638A">
        <w:rPr>
          <w:rFonts w:ascii="ZWAdobeF" w:hAnsi="ZWAdobeF" w:cs="ZWAdobeF"/>
          <w:color w:val="auto"/>
          <w:sz w:val="2"/>
          <w:szCs w:val="2"/>
        </w:rPr>
        <w:t>1364B</w:t>
      </w:r>
      <w:r w:rsidR="00D629FA">
        <w:rPr>
          <w:rFonts w:ascii="ZWAdobeF" w:hAnsi="ZWAdobeF" w:cs="ZWAdobeF"/>
          <w:color w:val="auto"/>
          <w:sz w:val="2"/>
          <w:szCs w:val="2"/>
        </w:rPr>
        <w:t>1364B</w:t>
      </w:r>
      <w:r w:rsidR="00F43E7E" w:rsidRPr="00514088">
        <w:t>Do you agree that</w:t>
      </w:r>
      <w:r w:rsidR="00F43E7E">
        <w:t xml:space="preserve"> class members </w:t>
      </w:r>
      <w:r w:rsidR="00F43E7E" w:rsidRPr="00514088">
        <w:t>should be able</w:t>
      </w:r>
      <w:r w:rsidR="00F43E7E">
        <w:t xml:space="preserve"> to opt out of a class action settlement</w:t>
      </w:r>
      <w:r w:rsidR="00F43E7E" w:rsidRPr="00514088">
        <w:t xml:space="preserve"> once it is approved</w:t>
      </w:r>
      <w:r w:rsidR="00F43E7E">
        <w:t>?</w:t>
      </w:r>
    </w:p>
    <w:p w14:paraId="59D9FC21" w14:textId="76332235" w:rsidR="001D702B" w:rsidRDefault="001D702B" w:rsidP="00F43E7E">
      <w:pPr>
        <w:pStyle w:val="QuestionBox"/>
      </w:pPr>
      <w:r>
        <w:rPr>
          <w:noProof/>
        </w:rPr>
        <mc:AlternateContent>
          <mc:Choice Requires="wpg">
            <w:drawing>
              <wp:anchor distT="0" distB="0" distL="114300" distR="114300" simplePos="0" relativeHeight="251777123" behindDoc="1" locked="0" layoutInCell="1" allowOverlap="1" wp14:anchorId="22B4380D" wp14:editId="2191548D">
                <wp:simplePos x="0" y="0"/>
                <wp:positionH relativeFrom="column">
                  <wp:posOffset>0</wp:posOffset>
                </wp:positionH>
                <wp:positionV relativeFrom="paragraph">
                  <wp:posOffset>145415</wp:posOffset>
                </wp:positionV>
                <wp:extent cx="1443794" cy="251974"/>
                <wp:effectExtent l="0" t="0" r="42545" b="0"/>
                <wp:wrapNone/>
                <wp:docPr id="764518356" name="Group 764518356"/>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5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58"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AA659E" w14:textId="4E283B47" w:rsidR="001D702B" w:rsidRPr="00E700FF" w:rsidRDefault="001D702B" w:rsidP="001D702B">
                              <w:pPr>
                                <w:pStyle w:val="BoxTitle"/>
                                <w:spacing w:before="0" w:beforeAutospacing="0"/>
                              </w:pPr>
                              <w:r w:rsidRPr="001C1B37">
                                <w:t>Q</w:t>
                              </w:r>
                              <w:r>
                                <w:t>48</w:t>
                              </w:r>
                            </w:p>
                          </w:txbxContent>
                        </wps:txbx>
                        <wps:bodyPr rot="0" vert="horz" wrap="square" lIns="54000" tIns="82800" rIns="91440" bIns="45720" anchor="ctr" anchorCtr="0" upright="1">
                          <a:noAutofit/>
                        </wps:bodyPr>
                      </wps:wsp>
                    </wpg:wgp>
                  </a:graphicData>
                </a:graphic>
              </wp:anchor>
            </w:drawing>
          </mc:Choice>
          <mc:Fallback>
            <w:pict>
              <v:group w14:anchorId="22B4380D" id="Group 764518356" o:spid="_x0000_s1172" style="position:absolute;left:0;text-align:left;margin-left:0;margin-top:11.45pt;width:113.7pt;height:19.85pt;z-index:-25153935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">
                <v:shape id="Freeform 58" o:spid="_x0000_s1173"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" path="m,l1815,e" filled="f" strokecolor="#72ab6a" strokeweight=".5pt">
                  <v:path arrowok="t" o:connecttype="custom" o:connectlocs="0,0;1073495,0" o:connectangles="0,0"/>
                </v:shape>
                <v:shape id="Freeform 66" o:spid="_x0000_s1174"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1AAA659E" w14:textId="4E283B47" w:rsidR="001D702B" w:rsidRPr="00E700FF" w:rsidRDefault="001D702B" w:rsidP="001D702B">
                        <w:pPr>
                          <w:pStyle w:val="BoxTitle"/>
                          <w:spacing w:before="0" w:beforeAutospacing="0"/>
                        </w:pPr>
                        <w:r w:rsidRPr="001C1B37">
                          <w:t>Q</w:t>
                        </w:r>
                        <w:r>
                          <w:t>48</w:t>
                        </w:r>
                      </w:p>
                    </w:txbxContent>
                  </v:textbox>
                </v:shape>
              </v:group>
            </w:pict>
          </mc:Fallback>
        </mc:AlternateContent>
      </w:r>
    </w:p>
    <w:p w14:paraId="0DAC1836" w14:textId="4F216A22" w:rsidR="00F43E7E" w:rsidRDefault="00BD5C95" w:rsidP="00F43E7E">
      <w:pPr>
        <w:pStyle w:val="QuestionBox"/>
      </w:pPr>
      <w:r>
        <w:rPr>
          <w:rFonts w:ascii="ZWAdobeF" w:hAnsi="ZWAdobeF" w:cs="ZWAdobeF"/>
          <w:color w:val="auto"/>
          <w:sz w:val="2"/>
          <w:szCs w:val="2"/>
        </w:rPr>
        <w:t>1365B</w:t>
      </w:r>
      <w:r w:rsidR="0049638A">
        <w:rPr>
          <w:rFonts w:ascii="ZWAdobeF" w:hAnsi="ZWAdobeF" w:cs="ZWAdobeF"/>
          <w:color w:val="auto"/>
          <w:sz w:val="2"/>
          <w:szCs w:val="2"/>
        </w:rPr>
        <w:t>1365B</w:t>
      </w:r>
      <w:r w:rsidR="00D629FA">
        <w:rPr>
          <w:rFonts w:ascii="ZWAdobeF" w:hAnsi="ZWAdobeF" w:cs="ZWAdobeF"/>
          <w:color w:val="auto"/>
          <w:sz w:val="2"/>
          <w:szCs w:val="2"/>
        </w:rPr>
        <w:t>1365B</w:t>
      </w:r>
      <w:r w:rsidR="00F43E7E">
        <w:t>Should other potential class members have an opportunity to opt in at settlement?</w:t>
      </w:r>
    </w:p>
    <w:p w14:paraId="04444155" w14:textId="45F3CD51" w:rsidR="001D702B" w:rsidRDefault="001D702B" w:rsidP="00F43E7E">
      <w:pPr>
        <w:pStyle w:val="QuestionBox"/>
      </w:pPr>
      <w:r>
        <w:rPr>
          <w:noProof/>
        </w:rPr>
        <mc:AlternateContent>
          <mc:Choice Requires="wpg">
            <w:drawing>
              <wp:anchor distT="0" distB="0" distL="114300" distR="114300" simplePos="0" relativeHeight="251779171" behindDoc="1" locked="0" layoutInCell="1" allowOverlap="1" wp14:anchorId="35186F86" wp14:editId="1F893320">
                <wp:simplePos x="0" y="0"/>
                <wp:positionH relativeFrom="column">
                  <wp:posOffset>0</wp:posOffset>
                </wp:positionH>
                <wp:positionV relativeFrom="paragraph">
                  <wp:posOffset>158115</wp:posOffset>
                </wp:positionV>
                <wp:extent cx="1443794" cy="251974"/>
                <wp:effectExtent l="0" t="0" r="42545" b="0"/>
                <wp:wrapNone/>
                <wp:docPr id="764518359" name="Group 764518359"/>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6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61"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8AFEF8" w14:textId="27631A0E" w:rsidR="001D702B" w:rsidRPr="00E700FF" w:rsidRDefault="001D702B" w:rsidP="001D702B">
                              <w:pPr>
                                <w:pStyle w:val="BoxTitle"/>
                                <w:spacing w:before="0" w:beforeAutospacing="0"/>
                              </w:pPr>
                              <w:r w:rsidRPr="001C1B37">
                                <w:t>Q</w:t>
                              </w:r>
                              <w:r>
                                <w:t>49</w:t>
                              </w:r>
                            </w:p>
                          </w:txbxContent>
                        </wps:txbx>
                        <wps:bodyPr rot="0" vert="horz" wrap="square" lIns="54000" tIns="82800" rIns="91440" bIns="45720" anchor="ctr" anchorCtr="0" upright="1">
                          <a:noAutofit/>
                        </wps:bodyPr>
                      </wps:wsp>
                    </wpg:wgp>
                  </a:graphicData>
                </a:graphic>
              </wp:anchor>
            </w:drawing>
          </mc:Choice>
          <mc:Fallback>
            <w:pict>
              <v:group w14:anchorId="35186F86" id="Group 764518359" o:spid="_x0000_s1175" style="position:absolute;left:0;text-align:left;margin-left:0;margin-top:12.45pt;width:113.7pt;height:19.85pt;z-index:-25153730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">
                <v:shape id="Freeform 58" o:spid="_x0000_s117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" path="m,l1815,e" filled="f" strokecolor="#72ab6a" strokeweight=".5pt">
                  <v:path arrowok="t" o:connecttype="custom" o:connectlocs="0,0;1073495,0" o:connectangles="0,0"/>
                </v:shape>
                <v:shape id="Freeform 66" o:spid="_x0000_s1177"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498AFEF8" w14:textId="27631A0E" w:rsidR="001D702B" w:rsidRPr="00E700FF" w:rsidRDefault="001D702B" w:rsidP="001D702B">
                        <w:pPr>
                          <w:pStyle w:val="BoxTitle"/>
                          <w:spacing w:before="0" w:beforeAutospacing="0"/>
                        </w:pPr>
                        <w:r w:rsidRPr="001C1B37">
                          <w:t>Q</w:t>
                        </w:r>
                        <w:r>
                          <w:t>49</w:t>
                        </w:r>
                      </w:p>
                    </w:txbxContent>
                  </v:textbox>
                </v:shape>
              </v:group>
            </w:pict>
          </mc:Fallback>
        </mc:AlternateContent>
      </w:r>
    </w:p>
    <w:p w14:paraId="1E2994A1" w14:textId="2D0FB863" w:rsidR="00F43E7E" w:rsidRDefault="00BD5C95" w:rsidP="00F43E7E">
      <w:pPr>
        <w:pStyle w:val="QuestionBox"/>
      </w:pPr>
      <w:r>
        <w:rPr>
          <w:rFonts w:ascii="ZWAdobeF" w:hAnsi="ZWAdobeF" w:cs="ZWAdobeF"/>
          <w:color w:val="auto"/>
          <w:sz w:val="2"/>
          <w:szCs w:val="2"/>
        </w:rPr>
        <w:t>1366B</w:t>
      </w:r>
      <w:r w:rsidR="0049638A">
        <w:rPr>
          <w:rFonts w:ascii="ZWAdobeF" w:hAnsi="ZWAdobeF" w:cs="ZWAdobeF"/>
          <w:color w:val="auto"/>
          <w:sz w:val="2"/>
          <w:szCs w:val="2"/>
        </w:rPr>
        <w:t>1366B</w:t>
      </w:r>
      <w:r w:rsidR="00D629FA">
        <w:rPr>
          <w:rFonts w:ascii="ZWAdobeF" w:hAnsi="ZWAdobeF" w:cs="ZWAdobeF"/>
          <w:color w:val="auto"/>
          <w:sz w:val="2"/>
          <w:szCs w:val="2"/>
        </w:rPr>
        <w:t>1366B</w:t>
      </w:r>
      <w:r w:rsidR="00F43E7E">
        <w:t>When a settlement is reached prior to certification, do you agree that the court should consider whether to certify it for the purposes of settlement?</w:t>
      </w:r>
    </w:p>
    <w:p w14:paraId="200DDD81" w14:textId="55EC8B96" w:rsidR="001D702B" w:rsidRDefault="001D702B" w:rsidP="00F43E7E">
      <w:pPr>
        <w:pStyle w:val="QuestionBox"/>
      </w:pPr>
      <w:r>
        <w:rPr>
          <w:noProof/>
        </w:rPr>
        <mc:AlternateContent>
          <mc:Choice Requires="wpg">
            <w:drawing>
              <wp:anchor distT="0" distB="0" distL="114300" distR="114300" simplePos="0" relativeHeight="251781219" behindDoc="1" locked="0" layoutInCell="1" allowOverlap="1" wp14:anchorId="6EB3E5D6" wp14:editId="44C44340">
                <wp:simplePos x="0" y="0"/>
                <wp:positionH relativeFrom="column">
                  <wp:posOffset>0</wp:posOffset>
                </wp:positionH>
                <wp:positionV relativeFrom="paragraph">
                  <wp:posOffset>139065</wp:posOffset>
                </wp:positionV>
                <wp:extent cx="1443794" cy="251974"/>
                <wp:effectExtent l="0" t="0" r="42545" b="0"/>
                <wp:wrapNone/>
                <wp:docPr id="764518362" name="Group 764518362"/>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6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64"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F74FB1" w14:textId="267058D5" w:rsidR="001D702B" w:rsidRPr="00E700FF" w:rsidRDefault="001D702B" w:rsidP="001D702B">
                              <w:pPr>
                                <w:pStyle w:val="BoxTitle"/>
                                <w:spacing w:before="0" w:beforeAutospacing="0"/>
                              </w:pPr>
                              <w:r w:rsidRPr="001C1B37">
                                <w:t>Q</w:t>
                              </w:r>
                              <w:r>
                                <w:t>50</w:t>
                              </w:r>
                            </w:p>
                          </w:txbxContent>
                        </wps:txbx>
                        <wps:bodyPr rot="0" vert="horz" wrap="square" lIns="54000" tIns="82800" rIns="91440" bIns="45720" anchor="ctr" anchorCtr="0" upright="1">
                          <a:noAutofit/>
                        </wps:bodyPr>
                      </wps:wsp>
                    </wpg:wgp>
                  </a:graphicData>
                </a:graphic>
              </wp:anchor>
            </w:drawing>
          </mc:Choice>
          <mc:Fallback>
            <w:pict>
              <v:group w14:anchorId="6EB3E5D6" id="Group 764518362" o:spid="_x0000_s1178" style="position:absolute;left:0;text-align:left;margin-left:0;margin-top:10.95pt;width:113.7pt;height:19.85pt;z-index:-25153526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">
                <v:shape id="Freeform 58" o:spid="_x0000_s117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" path="m,l1815,e" filled="f" strokecolor="#72ab6a" strokeweight=".5pt">
                  <v:path arrowok="t" o:connecttype="custom" o:connectlocs="0,0;1073495,0" o:connectangles="0,0"/>
                </v:shape>
                <v:shape id="Freeform 66" o:spid="_x0000_s1180"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4EF74FB1" w14:textId="267058D5" w:rsidR="001D702B" w:rsidRPr="00E700FF" w:rsidRDefault="001D702B" w:rsidP="001D702B">
                        <w:pPr>
                          <w:pStyle w:val="BoxTitle"/>
                          <w:spacing w:before="0" w:beforeAutospacing="0"/>
                        </w:pPr>
                        <w:r w:rsidRPr="001C1B37">
                          <w:t>Q</w:t>
                        </w:r>
                        <w:r>
                          <w:t>50</w:t>
                        </w:r>
                      </w:p>
                    </w:txbxContent>
                  </v:textbox>
                </v:shape>
              </v:group>
            </w:pict>
          </mc:Fallback>
        </mc:AlternateContent>
      </w:r>
    </w:p>
    <w:p w14:paraId="3C37A321" w14:textId="47E4BC11" w:rsidR="00F43E7E" w:rsidRDefault="00BD5C95" w:rsidP="00F43E7E">
      <w:pPr>
        <w:pStyle w:val="QuestionBox"/>
      </w:pPr>
      <w:r>
        <w:rPr>
          <w:rFonts w:ascii="ZWAdobeF" w:hAnsi="ZWAdobeF" w:cs="ZWAdobeF"/>
          <w:color w:val="auto"/>
          <w:sz w:val="2"/>
          <w:szCs w:val="2"/>
        </w:rPr>
        <w:t>1367B</w:t>
      </w:r>
      <w:r w:rsidR="0049638A">
        <w:rPr>
          <w:rFonts w:ascii="ZWAdobeF" w:hAnsi="ZWAdobeF" w:cs="ZWAdobeF"/>
          <w:color w:val="auto"/>
          <w:sz w:val="2"/>
          <w:szCs w:val="2"/>
        </w:rPr>
        <w:t>1367B</w:t>
      </w:r>
      <w:r w:rsidR="00D629FA">
        <w:rPr>
          <w:rFonts w:ascii="ZWAdobeF" w:hAnsi="ZWAdobeF" w:cs="ZWAdobeF"/>
          <w:color w:val="auto"/>
          <w:sz w:val="2"/>
          <w:szCs w:val="2"/>
        </w:rPr>
        <w:t>1367B</w:t>
      </w:r>
      <w:r w:rsidR="00F43E7E">
        <w:t xml:space="preserve">Should the court supervise the administration and implementation of a class action settlement? </w:t>
      </w:r>
    </w:p>
    <w:p w14:paraId="649917F9" w14:textId="3D99F333" w:rsidR="001D702B" w:rsidRDefault="001D702B" w:rsidP="00F43E7E">
      <w:pPr>
        <w:pStyle w:val="QuestionBox"/>
      </w:pPr>
      <w:r>
        <w:rPr>
          <w:noProof/>
        </w:rPr>
        <mc:AlternateContent>
          <mc:Choice Requires="wpg">
            <w:drawing>
              <wp:anchor distT="0" distB="0" distL="114300" distR="114300" simplePos="0" relativeHeight="251783267" behindDoc="1" locked="0" layoutInCell="1" allowOverlap="1" wp14:anchorId="5613D0E8" wp14:editId="2978D522">
                <wp:simplePos x="0" y="0"/>
                <wp:positionH relativeFrom="column">
                  <wp:posOffset>0</wp:posOffset>
                </wp:positionH>
                <wp:positionV relativeFrom="paragraph">
                  <wp:posOffset>164465</wp:posOffset>
                </wp:positionV>
                <wp:extent cx="1443794" cy="251974"/>
                <wp:effectExtent l="0" t="0" r="42545" b="0"/>
                <wp:wrapNone/>
                <wp:docPr id="764518365" name="Group 764518365"/>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6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67"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39A0F1" w14:textId="46F95AC3" w:rsidR="001D702B" w:rsidRPr="00E700FF" w:rsidRDefault="001D702B" w:rsidP="001D702B">
                              <w:pPr>
                                <w:pStyle w:val="BoxTitle"/>
                                <w:spacing w:before="0" w:beforeAutospacing="0"/>
                              </w:pPr>
                              <w:r w:rsidRPr="001C1B37">
                                <w:t>Q</w:t>
                              </w:r>
                              <w:r>
                                <w:t>51</w:t>
                              </w:r>
                            </w:p>
                          </w:txbxContent>
                        </wps:txbx>
                        <wps:bodyPr rot="0" vert="horz" wrap="square" lIns="54000" tIns="82800" rIns="91440" bIns="45720" anchor="ctr" anchorCtr="0" upright="1">
                          <a:noAutofit/>
                        </wps:bodyPr>
                      </wps:wsp>
                    </wpg:wgp>
                  </a:graphicData>
                </a:graphic>
              </wp:anchor>
            </w:drawing>
          </mc:Choice>
          <mc:Fallback>
            <w:pict>
              <v:group w14:anchorId="5613D0E8" id="Group 764518365" o:spid="_x0000_s1181" style="position:absolute;left:0;text-align:left;margin-left:0;margin-top:12.95pt;width:113.7pt;height:19.85pt;z-index:-25153321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">
                <v:shape id="Freeform 58" o:spid="_x0000_s118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" path="m,l1815,e" filled="f" strokecolor="#72ab6a" strokeweight=".5pt">
                  <v:path arrowok="t" o:connecttype="custom" o:connectlocs="0,0;1073495,0" o:connectangles="0,0"/>
                </v:shape>
                <v:shape id="Freeform 66" o:spid="_x0000_s1183"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6039A0F1" w14:textId="46F95AC3" w:rsidR="001D702B" w:rsidRPr="00E700FF" w:rsidRDefault="001D702B" w:rsidP="001D702B">
                        <w:pPr>
                          <w:pStyle w:val="BoxTitle"/>
                          <w:spacing w:before="0" w:beforeAutospacing="0"/>
                        </w:pPr>
                        <w:r w:rsidRPr="001C1B37">
                          <w:t>Q</w:t>
                        </w:r>
                        <w:r>
                          <w:t>51</w:t>
                        </w:r>
                      </w:p>
                    </w:txbxContent>
                  </v:textbox>
                </v:shape>
              </v:group>
            </w:pict>
          </mc:Fallback>
        </mc:AlternateContent>
      </w:r>
    </w:p>
    <w:p w14:paraId="3D79FD22" w14:textId="11AA289D" w:rsidR="00F43E7E" w:rsidRDefault="00BD5C95" w:rsidP="00F43E7E">
      <w:pPr>
        <w:pStyle w:val="QuestionBox"/>
      </w:pPr>
      <w:r>
        <w:rPr>
          <w:rFonts w:ascii="ZWAdobeF" w:hAnsi="ZWAdobeF" w:cs="ZWAdobeF"/>
          <w:color w:val="auto"/>
          <w:sz w:val="2"/>
          <w:szCs w:val="2"/>
        </w:rPr>
        <w:t>1368B</w:t>
      </w:r>
      <w:r w:rsidR="0049638A">
        <w:rPr>
          <w:rFonts w:ascii="ZWAdobeF" w:hAnsi="ZWAdobeF" w:cs="ZWAdobeF"/>
          <w:color w:val="auto"/>
          <w:sz w:val="2"/>
          <w:szCs w:val="2"/>
        </w:rPr>
        <w:t>1368B</w:t>
      </w:r>
      <w:r w:rsidR="00D629FA">
        <w:rPr>
          <w:rFonts w:ascii="ZWAdobeF" w:hAnsi="ZWAdobeF" w:cs="ZWAdobeF"/>
          <w:color w:val="auto"/>
          <w:sz w:val="2"/>
          <w:szCs w:val="2"/>
        </w:rPr>
        <w:t>1368B</w:t>
      </w:r>
      <w:r w:rsidR="00F43E7E">
        <w:t xml:space="preserve">Should the court have a power to appoint a settlement administrator? Who would be appropriate to fulfil this role? </w:t>
      </w:r>
    </w:p>
    <w:p w14:paraId="2FFEB141" w14:textId="3DF38586" w:rsidR="001D702B" w:rsidRDefault="001D702B" w:rsidP="00F43E7E">
      <w:pPr>
        <w:pStyle w:val="QuestionBox"/>
      </w:pPr>
      <w:r>
        <w:rPr>
          <w:noProof/>
        </w:rPr>
        <mc:AlternateContent>
          <mc:Choice Requires="wpg">
            <w:drawing>
              <wp:anchor distT="0" distB="0" distL="114300" distR="114300" simplePos="0" relativeHeight="251785315" behindDoc="1" locked="0" layoutInCell="1" allowOverlap="1" wp14:anchorId="42563D92" wp14:editId="4FDD35AF">
                <wp:simplePos x="0" y="0"/>
                <wp:positionH relativeFrom="column">
                  <wp:posOffset>0</wp:posOffset>
                </wp:positionH>
                <wp:positionV relativeFrom="paragraph">
                  <wp:posOffset>164465</wp:posOffset>
                </wp:positionV>
                <wp:extent cx="1443794" cy="251974"/>
                <wp:effectExtent l="0" t="0" r="42545" b="0"/>
                <wp:wrapNone/>
                <wp:docPr id="764518368" name="Group 764518368"/>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69"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70"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E2D70A" w14:textId="539467D4" w:rsidR="001D702B" w:rsidRPr="00E700FF" w:rsidRDefault="001D702B" w:rsidP="001D702B">
                              <w:pPr>
                                <w:pStyle w:val="BoxTitle"/>
                                <w:spacing w:before="0" w:beforeAutospacing="0"/>
                              </w:pPr>
                              <w:r w:rsidRPr="001C1B37">
                                <w:t>Q</w:t>
                              </w:r>
                              <w:r>
                                <w:t>52</w:t>
                              </w:r>
                            </w:p>
                          </w:txbxContent>
                        </wps:txbx>
                        <wps:bodyPr rot="0" vert="horz" wrap="square" lIns="54000" tIns="82800" rIns="91440" bIns="45720" anchor="ctr" anchorCtr="0" upright="1">
                          <a:noAutofit/>
                        </wps:bodyPr>
                      </wps:wsp>
                    </wpg:wgp>
                  </a:graphicData>
                </a:graphic>
              </wp:anchor>
            </w:drawing>
          </mc:Choice>
          <mc:Fallback>
            <w:pict>
              <v:group w14:anchorId="42563D92" id="Group 764518368" o:spid="_x0000_s1184" style="position:absolute;left:0;text-align:left;margin-left:0;margin-top:12.95pt;width:113.7pt;height:19.85pt;z-index:-25153116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">
                <v:shape id="Freeform 58" o:spid="_x0000_s118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" path="m,l1815,e" filled="f" strokecolor="#72ab6a" strokeweight=".5pt">
                  <v:path arrowok="t" o:connecttype="custom" o:connectlocs="0,0;1073495,0" o:connectangles="0,0"/>
                </v:shape>
                <v:shape id="Freeform 66" o:spid="_x0000_s1186"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58E2D70A" w14:textId="539467D4" w:rsidR="001D702B" w:rsidRPr="00E700FF" w:rsidRDefault="001D702B" w:rsidP="001D702B">
                        <w:pPr>
                          <w:pStyle w:val="BoxTitle"/>
                          <w:spacing w:before="0" w:beforeAutospacing="0"/>
                        </w:pPr>
                        <w:r w:rsidRPr="001C1B37">
                          <w:t>Q</w:t>
                        </w:r>
                        <w:r>
                          <w:t>52</w:t>
                        </w:r>
                      </w:p>
                    </w:txbxContent>
                  </v:textbox>
                </v:shape>
              </v:group>
            </w:pict>
          </mc:Fallback>
        </mc:AlternateContent>
      </w:r>
    </w:p>
    <w:p w14:paraId="0BF0DA85" w14:textId="714C2812" w:rsidR="00F43E7E" w:rsidRDefault="00BD5C95" w:rsidP="00F43E7E">
      <w:pPr>
        <w:pStyle w:val="QuestionBox"/>
      </w:pPr>
      <w:r>
        <w:rPr>
          <w:rFonts w:ascii="ZWAdobeF" w:hAnsi="ZWAdobeF" w:cs="ZWAdobeF"/>
          <w:color w:val="auto"/>
          <w:sz w:val="2"/>
          <w:szCs w:val="2"/>
        </w:rPr>
        <w:t>1369B</w:t>
      </w:r>
      <w:r w:rsidR="0049638A">
        <w:rPr>
          <w:rFonts w:ascii="ZWAdobeF" w:hAnsi="ZWAdobeF" w:cs="ZWAdobeF"/>
          <w:color w:val="auto"/>
          <w:sz w:val="2"/>
          <w:szCs w:val="2"/>
        </w:rPr>
        <w:t>1369B</w:t>
      </w:r>
      <w:r w:rsidR="00D629FA">
        <w:rPr>
          <w:rFonts w:ascii="ZWAdobeF" w:hAnsi="ZWAdobeF" w:cs="ZWAdobeF"/>
          <w:color w:val="auto"/>
          <w:sz w:val="2"/>
          <w:szCs w:val="2"/>
        </w:rPr>
        <w:t>1369B</w:t>
      </w:r>
      <w:r w:rsidR="00F43E7E">
        <w:t>Should there be an obligation to provide a settlement outcome report to the court? Should this be made publicly available?</w:t>
      </w:r>
    </w:p>
    <w:p w14:paraId="1138217F" w14:textId="4012CE40" w:rsidR="00696F10" w:rsidRDefault="00696F10" w:rsidP="00F43E7E">
      <w:pPr>
        <w:pStyle w:val="QuestionBox"/>
      </w:pPr>
      <w:r>
        <w:rPr>
          <w:noProof/>
        </w:rPr>
        <mc:AlternateContent>
          <mc:Choice Requires="wpg">
            <w:drawing>
              <wp:anchor distT="0" distB="0" distL="114300" distR="114300" simplePos="0" relativeHeight="251787363" behindDoc="1" locked="0" layoutInCell="1" allowOverlap="1" wp14:anchorId="2C7F4511" wp14:editId="32DEAD8D">
                <wp:simplePos x="0" y="0"/>
                <wp:positionH relativeFrom="column">
                  <wp:posOffset>0</wp:posOffset>
                </wp:positionH>
                <wp:positionV relativeFrom="paragraph">
                  <wp:posOffset>170815</wp:posOffset>
                </wp:positionV>
                <wp:extent cx="1443794" cy="251974"/>
                <wp:effectExtent l="0" t="0" r="42545" b="0"/>
                <wp:wrapNone/>
                <wp:docPr id="764518374" name="Group 764518374"/>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75"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76"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69BA0A" w14:textId="67F6A0FD" w:rsidR="00696F10" w:rsidRPr="00E700FF" w:rsidRDefault="00696F10" w:rsidP="00696F10">
                              <w:pPr>
                                <w:pStyle w:val="BoxTitle"/>
                                <w:spacing w:before="0" w:beforeAutospacing="0"/>
                              </w:pPr>
                              <w:r w:rsidRPr="001C1B37">
                                <w:t>Q</w:t>
                              </w:r>
                              <w:r>
                                <w:t>53</w:t>
                              </w:r>
                            </w:p>
                          </w:txbxContent>
                        </wps:txbx>
                        <wps:bodyPr rot="0" vert="horz" wrap="square" lIns="54000" tIns="82800" rIns="91440" bIns="45720" anchor="ctr" anchorCtr="0" upright="1">
                          <a:noAutofit/>
                        </wps:bodyPr>
                      </wps:wsp>
                    </wpg:wgp>
                  </a:graphicData>
                </a:graphic>
              </wp:anchor>
            </w:drawing>
          </mc:Choice>
          <mc:Fallback>
            <w:pict>
              <v:group w14:anchorId="2C7F4511" id="Group 764518374" o:spid="_x0000_s1187" style="position:absolute;left:0;text-align:left;margin-left:0;margin-top:13.45pt;width:113.7pt;height:19.85pt;z-index:-25152911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">
                <v:shape id="Freeform 58" o:spid="_x0000_s118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" path="m,l1815,e" filled="f" strokecolor="#72ab6a" strokeweight=".5pt">
                  <v:path arrowok="t" o:connecttype="custom" o:connectlocs="0,0;1073495,0" o:connectangles="0,0"/>
                </v:shape>
                <v:shape id="Freeform 66" o:spid="_x0000_s1189"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3169BA0A" w14:textId="67F6A0FD" w:rsidR="00696F10" w:rsidRPr="00E700FF" w:rsidRDefault="00696F10" w:rsidP="00696F10">
                        <w:pPr>
                          <w:pStyle w:val="BoxTitle"/>
                          <w:spacing w:before="0" w:beforeAutospacing="0"/>
                        </w:pPr>
                        <w:r w:rsidRPr="001C1B37">
                          <w:t>Q</w:t>
                        </w:r>
                        <w:r>
                          <w:t>53</w:t>
                        </w:r>
                      </w:p>
                    </w:txbxContent>
                  </v:textbox>
                </v:shape>
              </v:group>
            </w:pict>
          </mc:Fallback>
        </mc:AlternateContent>
      </w:r>
    </w:p>
    <w:p w14:paraId="31FBD9A3" w14:textId="7FE78E54" w:rsidR="00F43E7E" w:rsidRDefault="00BD5C95" w:rsidP="00F43E7E">
      <w:pPr>
        <w:pStyle w:val="QuestionBox"/>
      </w:pPr>
      <w:r>
        <w:rPr>
          <w:rFonts w:ascii="ZWAdobeF" w:hAnsi="ZWAdobeF" w:cs="ZWAdobeF"/>
          <w:color w:val="auto"/>
          <w:sz w:val="2"/>
          <w:szCs w:val="2"/>
        </w:rPr>
        <w:t>1370B</w:t>
      </w:r>
      <w:r w:rsidR="0049638A">
        <w:rPr>
          <w:rFonts w:ascii="ZWAdobeF" w:hAnsi="ZWAdobeF" w:cs="ZWAdobeF"/>
          <w:color w:val="auto"/>
          <w:sz w:val="2"/>
          <w:szCs w:val="2"/>
        </w:rPr>
        <w:t>1370B</w:t>
      </w:r>
      <w:r w:rsidR="00D629FA">
        <w:rPr>
          <w:rFonts w:ascii="ZWAdobeF" w:hAnsi="ZWAdobeF" w:cs="ZWAdobeF"/>
          <w:color w:val="auto"/>
          <w:sz w:val="2"/>
          <w:szCs w:val="2"/>
        </w:rPr>
        <w:t>1370B</w:t>
      </w:r>
      <w:r w:rsidR="00F43E7E">
        <w:t>Do you have any other feedback on our proposed settlement provision</w:t>
      </w:r>
      <w:r w:rsidR="00B40D11">
        <w:t>s</w:t>
      </w:r>
      <w:r w:rsidR="00F43E7E">
        <w:t>?</w:t>
      </w:r>
    </w:p>
    <w:p w14:paraId="1B1F051D" w14:textId="130D77D6" w:rsidR="00696F10" w:rsidRDefault="00696F10" w:rsidP="00F43E7E">
      <w:pPr>
        <w:pStyle w:val="QuestionBox"/>
      </w:pPr>
      <w:r>
        <w:rPr>
          <w:noProof/>
        </w:rPr>
        <mc:AlternateContent>
          <mc:Choice Requires="wpg">
            <w:drawing>
              <wp:anchor distT="0" distB="0" distL="114300" distR="114300" simplePos="0" relativeHeight="251789411" behindDoc="1" locked="0" layoutInCell="1" allowOverlap="1" wp14:anchorId="2C0D3F6D" wp14:editId="6454F998">
                <wp:simplePos x="0" y="0"/>
                <wp:positionH relativeFrom="column">
                  <wp:posOffset>0</wp:posOffset>
                </wp:positionH>
                <wp:positionV relativeFrom="paragraph">
                  <wp:posOffset>164465</wp:posOffset>
                </wp:positionV>
                <wp:extent cx="1443794" cy="251974"/>
                <wp:effectExtent l="0" t="0" r="42545" b="0"/>
                <wp:wrapNone/>
                <wp:docPr id="764518377" name="Group 764518377"/>
                <wp:cNvGraphicFramePr/>
                <a:graphic xmlns:a="http://schemas.openxmlformats.org/drawingml/2006/main">
                  <a:graphicData uri="http://schemas.microsoft.com/office/word/2010/wordprocessingGroup">
                    <wpg:wgp>
                      <wpg:cNvGrpSpPr/>
                      <wpg:grpSpPr>
                        <a:xfrm>
                          <a:off x="0" y="0"/>
                          <a:ext cx="1443794" cy="251974"/>
                          <a:chOff x="-15880" y="0"/>
                          <a:chExt cx="1444379" cy="252068"/>
                        </a:xfrm>
                      </wpg:grpSpPr>
                      <wps:wsp>
                        <wps:cNvPr id="76451837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79"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13E6E8" w14:textId="4FDBCC51" w:rsidR="00696F10" w:rsidRPr="00E700FF" w:rsidRDefault="00696F10" w:rsidP="00696F10">
                              <w:pPr>
                                <w:pStyle w:val="BoxTitle"/>
                                <w:spacing w:before="0" w:beforeAutospacing="0"/>
                              </w:pPr>
                              <w:r w:rsidRPr="001C1B37">
                                <w:t>Q</w:t>
                              </w:r>
                              <w:r>
                                <w:t>54</w:t>
                              </w:r>
                            </w:p>
                          </w:txbxContent>
                        </wps:txbx>
                        <wps:bodyPr rot="0" vert="horz" wrap="square" lIns="54000" tIns="82800" rIns="91440" bIns="45720" anchor="ctr" anchorCtr="0" upright="1">
                          <a:noAutofit/>
                        </wps:bodyPr>
                      </wps:wsp>
                    </wpg:wgp>
                  </a:graphicData>
                </a:graphic>
              </wp:anchor>
            </w:drawing>
          </mc:Choice>
          <mc:Fallback>
            <w:pict>
              <v:group w14:anchorId="2C0D3F6D" id="Group 764518377" o:spid="_x0000_s1190" style="position:absolute;left:0;text-align:left;margin-left:0;margin-top:12.95pt;width:113.7pt;height:19.85pt;z-index:-25152706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">
                <v:shape id="Freeform 58" o:spid="_x0000_s119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" path="m,l1815,e" filled="f" strokecolor="#72ab6a" strokeweight=".5pt">
                  <v:path arrowok="t" o:connecttype="custom" o:connectlocs="0,0;1073495,0" o:connectangles="0,0"/>
                </v:shape>
                <v:shape id="Freeform 66" o:spid="_x0000_s1192"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1013E6E8" w14:textId="4FDBCC51" w:rsidR="00696F10" w:rsidRPr="00E700FF" w:rsidRDefault="00696F10" w:rsidP="00696F10">
                        <w:pPr>
                          <w:pStyle w:val="BoxTitle"/>
                          <w:spacing w:before="0" w:beforeAutospacing="0"/>
                        </w:pPr>
                        <w:r w:rsidRPr="001C1B37">
                          <w:t>Q</w:t>
                        </w:r>
                        <w:r>
                          <w:t>54</w:t>
                        </w:r>
                      </w:p>
                    </w:txbxContent>
                  </v:textbox>
                </v:shape>
              </v:group>
            </w:pict>
          </mc:Fallback>
        </mc:AlternateContent>
      </w:r>
    </w:p>
    <w:p w14:paraId="25D91A55" w14:textId="4490BE76" w:rsidR="00F43E7E" w:rsidRDefault="00CD0FC1" w:rsidP="00F43E7E">
      <w:pPr>
        <w:pStyle w:val="QuestionBox"/>
      </w:pPr>
      <w:r w:rsidRPr="00D37FCE">
        <w:rPr>
          <w:noProof/>
          <w:lang w:eastAsia="en-NZ"/>
        </w:rPr>
        <mc:AlternateContent>
          <mc:Choice Requires="wpg">
            <w:drawing>
              <wp:anchor distT="0" distB="0" distL="114300" distR="114300" simplePos="0" relativeHeight="251791459" behindDoc="1" locked="0" layoutInCell="1" allowOverlap="1" wp14:anchorId="1A858A4F" wp14:editId="295B22ED">
                <wp:simplePos x="0" y="0"/>
                <wp:positionH relativeFrom="page">
                  <wp:posOffset>1080135</wp:posOffset>
                </wp:positionH>
                <wp:positionV relativeFrom="paragraph">
                  <wp:posOffset>1351915</wp:posOffset>
                </wp:positionV>
                <wp:extent cx="2411730" cy="1270"/>
                <wp:effectExtent l="0" t="19050" r="26670" b="17780"/>
                <wp:wrapNone/>
                <wp:docPr id="76451838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38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5F386" id="Group 135" o:spid="_x0000_s1026" style="position:absolute;margin-left:85.05pt;margin-top:106.45pt;width:189.9pt;height:.1pt;z-index:-25152502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r w:rsidR="00BD5C95">
        <w:rPr>
          <w:rFonts w:ascii="ZWAdobeF" w:hAnsi="ZWAdobeF" w:cs="ZWAdobeF"/>
          <w:color w:val="auto"/>
          <w:sz w:val="2"/>
          <w:szCs w:val="2"/>
        </w:rPr>
        <w:t>1371B</w:t>
      </w:r>
      <w:r w:rsidR="0049638A">
        <w:rPr>
          <w:rFonts w:ascii="ZWAdobeF" w:hAnsi="ZWAdobeF" w:cs="ZWAdobeF"/>
          <w:color w:val="auto"/>
          <w:sz w:val="2"/>
          <w:szCs w:val="2"/>
        </w:rPr>
        <w:t>1371B</w:t>
      </w:r>
      <w:r w:rsidR="00D629FA">
        <w:rPr>
          <w:rFonts w:ascii="ZWAdobeF" w:hAnsi="ZWAdobeF" w:cs="ZWAdobeF"/>
          <w:color w:val="auto"/>
          <w:sz w:val="2"/>
          <w:szCs w:val="2"/>
        </w:rPr>
        <w:t>1371B</w:t>
      </w:r>
      <w:r w:rsidR="00F43E7E">
        <w:t>Is there anything else you would like to tell us?</w:t>
      </w:r>
    </w:p>
    <w:p w14:paraId="306A5928" w14:textId="150EE651" w:rsidR="00C353BF" w:rsidRPr="00C353BF" w:rsidRDefault="00C353BF" w:rsidP="00C353BF">
      <w:pPr>
        <w:pStyle w:val="BodyText"/>
        <w:sectPr w:rsidR="00C353BF" w:rsidRPr="00C353BF" w:rsidSect="00A141F9">
          <w:footnotePr>
            <w:numRestart w:val="eachSect"/>
          </w:footnotePr>
          <w:pgSz w:w="11907" w:h="16840" w:code="9"/>
          <w:pgMar w:top="1134" w:right="1134" w:bottom="1134" w:left="1701" w:header="499" w:footer="0" w:gutter="0"/>
          <w:cols w:space="720"/>
        </w:sectPr>
      </w:pPr>
    </w:p>
    <w:bookmarkStart w:id="32" w:name="_Toc83895427"/>
    <w:p w14:paraId="7AEB1C6F" w14:textId="77777777" w:rsidR="0044365D" w:rsidRPr="00D37FCE" w:rsidRDefault="00596F79" w:rsidP="0044365D">
      <w:pPr>
        <w:pStyle w:val="Heading1nonum"/>
        <w:spacing w:before="600" w:after="240"/>
        <w:rPr>
          <w:rFonts w:eastAsia="Consolas"/>
        </w:rPr>
      </w:pPr>
      <w:r w:rsidRPr="00D37FCE">
        <w:rPr>
          <w:noProof/>
          <w:lang w:eastAsia="en-NZ"/>
        </w:rPr>
        <w:lastRenderedPageBreak/>
        <mc:AlternateContent>
          <mc:Choice Requires="wpg">
            <w:drawing>
              <wp:anchor distT="0" distB="0" distL="114300" distR="114300" simplePos="0" relativeHeight="251651090" behindDoc="1" locked="0" layoutInCell="1" allowOverlap="1" wp14:anchorId="5E503EC4" wp14:editId="628CB4E5">
                <wp:simplePos x="0" y="0"/>
                <wp:positionH relativeFrom="column">
                  <wp:posOffset>25400</wp:posOffset>
                </wp:positionH>
                <wp:positionV relativeFrom="paragraph">
                  <wp:posOffset>1051750</wp:posOffset>
                </wp:positionV>
                <wp:extent cx="1332230" cy="1270"/>
                <wp:effectExtent l="0" t="19050" r="20320" b="1778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3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801C789" id="Group 130" o:spid="_x0000_s1026" style="position:absolute;margin-left:2pt;margin-top:82.8pt;width:104.9pt;height:.1pt;z-index:-251665390"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" path="m,l2098,e" filled="f" strokecolor="#73ab6e" strokeweight="3pt">
                  <v:path arrowok="t" o:connecttype="custom" o:connectlocs="0,0;2098,0" o:connectangles="0,0"/>
                </v:shape>
              </v:group>
            </w:pict>
          </mc:Fallback>
        </mc:AlternateContent>
      </w:r>
      <w:r w:rsidRPr="00D37FCE">
        <w:rPr>
          <w:rFonts w:eastAsia="Metropolis Black"/>
        </w:rPr>
        <w:t>Introduction</w:t>
      </w:r>
      <w:bookmarkEnd w:id="32"/>
      <w:r w:rsidRPr="00D37FCE">
        <w:rPr>
          <w:noProof/>
          <w:lang w:eastAsia="en-NZ"/>
        </w:rPr>
        <w:t xml:space="preserve"> </w:t>
      </w:r>
    </w:p>
    <w:p w14:paraId="28AEC46A" w14:textId="77777777" w:rsidR="0044365D" w:rsidRPr="00D37FCE" w:rsidRDefault="0044365D" w:rsidP="0044365D">
      <w:pPr>
        <w:pStyle w:val="BodyTextalphalist"/>
      </w:pPr>
    </w:p>
    <w:p w14:paraId="5D1B8622" w14:textId="2259A358" w:rsidR="006F7CBB" w:rsidRPr="00D37FCE" w:rsidRDefault="00E81D3F" w:rsidP="006F7CBB">
      <w:pPr>
        <w:pStyle w:val="BodyTextalphalist"/>
      </w:pPr>
      <w:r w:rsidRPr="00D37FCE">
        <w:rPr>
          <w:rFonts w:eastAsia="Metropolis"/>
          <w:noProof/>
        </w:rPr>
        <mc:AlternateContent>
          <mc:Choice Requires="wpg">
            <w:drawing>
              <wp:anchor distT="0" distB="0" distL="114300" distR="114300" simplePos="0" relativeHeight="251651096" behindDoc="1" locked="0" layoutInCell="1" allowOverlap="1" wp14:anchorId="4B878348" wp14:editId="4B049D7E">
                <wp:simplePos x="0" y="0"/>
                <wp:positionH relativeFrom="column">
                  <wp:posOffset>-635</wp:posOffset>
                </wp:positionH>
                <wp:positionV relativeFrom="paragraph">
                  <wp:posOffset>80010</wp:posOffset>
                </wp:positionV>
                <wp:extent cx="5792470" cy="1657347"/>
                <wp:effectExtent l="0" t="0" r="0" b="635"/>
                <wp:wrapNone/>
                <wp:docPr id="50" name="Group 50"/>
                <wp:cNvGraphicFramePr/>
                <a:graphic xmlns:a="http://schemas.openxmlformats.org/drawingml/2006/main">
                  <a:graphicData uri="http://schemas.microsoft.com/office/word/2010/wordprocessingGroup">
                    <wpg:wgp>
                      <wpg:cNvGrpSpPr/>
                      <wpg:grpSpPr>
                        <a:xfrm>
                          <a:off x="0" y="0"/>
                          <a:ext cx="5792470" cy="1657347"/>
                          <a:chOff x="0" y="-4768"/>
                          <a:chExt cx="5793105" cy="1658227"/>
                        </a:xfrm>
                      </wpg:grpSpPr>
                      <wpg:grpSp>
                        <wpg:cNvPr id="51" name="Group 53"/>
                        <wpg:cNvGrpSpPr>
                          <a:grpSpLocks/>
                        </wpg:cNvGrpSpPr>
                        <wpg:grpSpPr bwMode="auto">
                          <a:xfrm>
                            <a:off x="0" y="314368"/>
                            <a:ext cx="5793105" cy="1339091"/>
                            <a:chOff x="1837" y="1793"/>
                            <a:chExt cx="9354" cy="14458"/>
                          </a:xfrm>
                        </wpg:grpSpPr>
                        <wps:wsp>
                          <wps:cNvPr id="53" name="Freeform 54"/>
                          <wps:cNvSpPr>
                            <a:spLocks/>
                          </wps:cNvSpPr>
                          <wps:spPr bwMode="auto">
                            <a:xfrm>
                              <a:off x="1837" y="1793"/>
                              <a:ext cx="9354" cy="1445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4" name="Freeform 52"/>
                        <wps:cNvSpPr>
                          <a:spLocks/>
                        </wps:cNvSpPr>
                        <wps:spPr bwMode="auto">
                          <a:xfrm>
                            <a:off x="41" y="-4768"/>
                            <a:ext cx="250213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82BB09" w14:textId="461C334F" w:rsidR="00A55F53" w:rsidRDefault="00A55F53" w:rsidP="006F7CBB">
                              <w:pPr>
                                <w:pStyle w:val="BoxTitle"/>
                              </w:pPr>
                              <w:r>
                                <w:t>IN THIS INTRODUCTION WE DISCUSS</w:t>
                              </w:r>
                              <w:r w:rsidRPr="009044CC">
                                <w:t>:</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4B878348" id="Group 50" o:spid="_x0000_s1193" style="position:absolute;left:0;text-align:left;margin-left:-.05pt;margin-top:6.3pt;width:456.1pt;height:130.5pt;z-index:-251665384;mso-height-relative:margin" coordorigin=",-47" coordsize="57931,1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">
                <v:group id="Group 53" o:spid="_x0000_s1194" style="position:absolute;top:3143;width:57931;height:13391" coordorigin="1837,1793" coordsize="9354,1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4" o:spid="_x0000_s1195" style="position:absolute;left:1837;top:1793;width:9354;height:1445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" path="m,l9354,r,7809l,7809,,e" fillcolor="#edf2ea" stroked="f">
                    <v:path arrowok="t" o:connecttype="custom" o:connectlocs="0,1851;9354,1851;9354,16309;0,16309;0,1851" o:connectangles="0,0,0,0,0"/>
                  </v:shape>
                </v:group>
                <v:shape id="_x0000_s1196" style="position:absolute;top:-47;width:25021;height:3237;visibility:visible;mso-wrap-style:square;v-text-anchor:middle" coordsize="250213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" adj="-11796480,,5400" path="m,l2340208,r161925,161925l2502133,323850,,323850,,xe" fillcolor="#72ab6a" stroked="f">
                  <v:stroke joinstyle="round"/>
                  <v:formulas/>
                  <v:path arrowok="t" o:connecttype="custom" o:connectlocs="0,0;2340208,0;2502133,161925;2502133,323850;0,323850;0,0" o:connectangles="0,0,0,0,0,0" textboxrect="0,0,2502133,323850"/>
                  <v:textbox inset=",0,0">
                    <w:txbxContent>
                      <w:p w14:paraId="2F82BB09" w14:textId="461C334F" w:rsidR="00A55F53" w:rsidRDefault="00A55F53" w:rsidP="006F7CBB">
                        <w:pPr>
                          <w:pStyle w:val="BoxTitle"/>
                        </w:pPr>
                        <w:r>
                          <w:t>IN THIS INTRODUCTION WE DISCUSS</w:t>
                        </w:r>
                        <w:r w:rsidRPr="009044CC">
                          <w:t>:</w:t>
                        </w:r>
                      </w:p>
                    </w:txbxContent>
                  </v:textbox>
                </v:shape>
              </v:group>
            </w:pict>
          </mc:Fallback>
        </mc:AlternateContent>
      </w:r>
    </w:p>
    <w:p w14:paraId="03F59DB9" w14:textId="77777777" w:rsidR="006F7CBB" w:rsidRPr="00D37FCE" w:rsidRDefault="006F7CBB" w:rsidP="006F7CBB">
      <w:pPr>
        <w:pStyle w:val="BodyTextalphalist"/>
      </w:pPr>
    </w:p>
    <w:p w14:paraId="37D549BE" w14:textId="321401AB" w:rsidR="00483192" w:rsidRDefault="00BD5C95" w:rsidP="003E2524">
      <w:pPr>
        <w:pStyle w:val="QuestionBox"/>
        <w:numPr>
          <w:ilvl w:val="0"/>
          <w:numId w:val="22"/>
        </w:numPr>
        <w:tabs>
          <w:tab w:val="clear" w:pos="709"/>
        </w:tabs>
        <w:ind w:left="709" w:hanging="283"/>
      </w:pPr>
      <w:r>
        <w:rPr>
          <w:rFonts w:ascii="ZWAdobeF" w:hAnsi="ZWAdobeF" w:cs="ZWAdobeF"/>
          <w:color w:val="auto"/>
          <w:sz w:val="2"/>
          <w:szCs w:val="2"/>
        </w:rPr>
        <w:t>1372B</w:t>
      </w:r>
      <w:r w:rsidR="0049638A">
        <w:rPr>
          <w:rFonts w:ascii="ZWAdobeF" w:hAnsi="ZWAdobeF" w:cs="ZWAdobeF"/>
          <w:color w:val="auto"/>
          <w:sz w:val="2"/>
          <w:szCs w:val="2"/>
        </w:rPr>
        <w:t>1372B</w:t>
      </w:r>
      <w:r w:rsidR="00D629FA">
        <w:rPr>
          <w:rFonts w:ascii="ZWAdobeF" w:hAnsi="ZWAdobeF" w:cs="ZWAdobeF"/>
          <w:color w:val="auto"/>
          <w:sz w:val="2"/>
          <w:szCs w:val="2"/>
        </w:rPr>
        <w:t>1372B</w:t>
      </w:r>
      <w:r w:rsidR="00483192">
        <w:t xml:space="preserve">The purpose and approach of the Supplementary Issues Paper. </w:t>
      </w:r>
    </w:p>
    <w:p w14:paraId="0C7AC12A" w14:textId="02D7F664" w:rsidR="00483192" w:rsidRDefault="00BD5C95" w:rsidP="003E2524">
      <w:pPr>
        <w:pStyle w:val="QuestionBox"/>
        <w:numPr>
          <w:ilvl w:val="0"/>
          <w:numId w:val="22"/>
        </w:numPr>
        <w:tabs>
          <w:tab w:val="clear" w:pos="709"/>
        </w:tabs>
        <w:ind w:left="709" w:hanging="283"/>
      </w:pPr>
      <w:r>
        <w:rPr>
          <w:rFonts w:ascii="ZWAdobeF" w:hAnsi="ZWAdobeF" w:cs="ZWAdobeF"/>
          <w:color w:val="auto"/>
          <w:sz w:val="2"/>
          <w:szCs w:val="2"/>
        </w:rPr>
        <w:t>1373B</w:t>
      </w:r>
      <w:r w:rsidR="0049638A">
        <w:rPr>
          <w:rFonts w:ascii="ZWAdobeF" w:hAnsi="ZWAdobeF" w:cs="ZWAdobeF"/>
          <w:color w:val="auto"/>
          <w:sz w:val="2"/>
          <w:szCs w:val="2"/>
        </w:rPr>
        <w:t>1373B</w:t>
      </w:r>
      <w:r w:rsidR="00D629FA">
        <w:rPr>
          <w:rFonts w:ascii="ZWAdobeF" w:hAnsi="ZWAdobeF" w:cs="ZWAdobeF"/>
          <w:color w:val="auto"/>
          <w:sz w:val="2"/>
          <w:szCs w:val="2"/>
        </w:rPr>
        <w:t>1373B</w:t>
      </w:r>
      <w:r w:rsidR="00483192">
        <w:t xml:space="preserve">Significant developments since our Issues Paper was published. </w:t>
      </w:r>
    </w:p>
    <w:p w14:paraId="5C511224" w14:textId="60644C82" w:rsidR="00483192" w:rsidRDefault="00BD5C95" w:rsidP="003E2524">
      <w:pPr>
        <w:pStyle w:val="QuestionBox"/>
        <w:numPr>
          <w:ilvl w:val="0"/>
          <w:numId w:val="22"/>
        </w:numPr>
        <w:tabs>
          <w:tab w:val="clear" w:pos="709"/>
        </w:tabs>
        <w:ind w:left="709" w:hanging="283"/>
      </w:pPr>
      <w:r>
        <w:rPr>
          <w:rFonts w:ascii="ZWAdobeF" w:hAnsi="ZWAdobeF" w:cs="ZWAdobeF"/>
          <w:color w:val="auto"/>
          <w:sz w:val="2"/>
          <w:szCs w:val="2"/>
        </w:rPr>
        <w:t>1374B</w:t>
      </w:r>
      <w:r w:rsidR="0049638A">
        <w:rPr>
          <w:rFonts w:ascii="ZWAdobeF" w:hAnsi="ZWAdobeF" w:cs="ZWAdobeF"/>
          <w:color w:val="auto"/>
          <w:sz w:val="2"/>
          <w:szCs w:val="2"/>
        </w:rPr>
        <w:t>1374B</w:t>
      </w:r>
      <w:r w:rsidR="00D629FA">
        <w:rPr>
          <w:rFonts w:ascii="ZWAdobeF" w:hAnsi="ZWAdobeF" w:cs="ZWAdobeF"/>
          <w:color w:val="auto"/>
          <w:sz w:val="2"/>
          <w:szCs w:val="2"/>
        </w:rPr>
        <w:t>1374B</w:t>
      </w:r>
      <w:r w:rsidR="00483192">
        <w:t xml:space="preserve">Our views on some of the questions we asked in the Issues Paper. </w:t>
      </w:r>
    </w:p>
    <w:p w14:paraId="2D31DD86" w14:textId="4D76C4AF" w:rsidR="00483192" w:rsidRDefault="00BD5C95" w:rsidP="003E2524">
      <w:pPr>
        <w:pStyle w:val="QuestionBox"/>
        <w:numPr>
          <w:ilvl w:val="0"/>
          <w:numId w:val="22"/>
        </w:numPr>
        <w:tabs>
          <w:tab w:val="clear" w:pos="709"/>
        </w:tabs>
        <w:ind w:left="709" w:hanging="283"/>
      </w:pPr>
      <w:r>
        <w:rPr>
          <w:rFonts w:ascii="ZWAdobeF" w:hAnsi="ZWAdobeF" w:cs="ZWAdobeF"/>
          <w:color w:val="auto"/>
          <w:sz w:val="2"/>
          <w:szCs w:val="2"/>
        </w:rPr>
        <w:t>1375B</w:t>
      </w:r>
      <w:r w:rsidR="0049638A">
        <w:rPr>
          <w:rFonts w:ascii="ZWAdobeF" w:hAnsi="ZWAdobeF" w:cs="ZWAdobeF"/>
          <w:color w:val="auto"/>
          <w:sz w:val="2"/>
          <w:szCs w:val="2"/>
        </w:rPr>
        <w:t>1375B</w:t>
      </w:r>
      <w:r w:rsidR="00D629FA">
        <w:rPr>
          <w:rFonts w:ascii="ZWAdobeF" w:hAnsi="ZWAdobeF" w:cs="ZWAdobeF"/>
          <w:color w:val="auto"/>
          <w:sz w:val="2"/>
          <w:szCs w:val="2"/>
        </w:rPr>
        <w:t>1375B</w:t>
      </w:r>
      <w:r w:rsidR="00483192">
        <w:t>The process for feedback on the Supplementary Issues Paper.</w:t>
      </w:r>
    </w:p>
    <w:p w14:paraId="43D12206" w14:textId="77777777" w:rsidR="00483192" w:rsidRDefault="00483192" w:rsidP="00483192">
      <w:pPr>
        <w:pStyle w:val="QuestionBox"/>
        <w:tabs>
          <w:tab w:val="clear" w:pos="709"/>
        </w:tabs>
        <w:ind w:left="709"/>
      </w:pPr>
    </w:p>
    <w:p w14:paraId="32AE1BB3" w14:textId="77777777" w:rsidR="00213699" w:rsidRDefault="00213699" w:rsidP="00213699">
      <w:pPr>
        <w:pStyle w:val="Heading2"/>
      </w:pPr>
      <w:bookmarkStart w:id="33" w:name="_Toc83895428"/>
      <w:r>
        <w:t>Purpose and approach of this paper</w:t>
      </w:r>
      <w:bookmarkEnd w:id="33"/>
    </w:p>
    <w:p w14:paraId="5C6963A0" w14:textId="6EF1CDF3" w:rsidR="00213699" w:rsidRDefault="00BD5C95" w:rsidP="00B376E6">
      <w:pPr>
        <w:pStyle w:val="ListNumber"/>
      </w:pPr>
      <w:r>
        <w:rPr>
          <w:rFonts w:ascii="ZWAdobeF" w:hAnsi="ZWAdobeF" w:cs="ZWAdobeF"/>
          <w:color w:val="auto"/>
          <w:sz w:val="2"/>
          <w:szCs w:val="2"/>
        </w:rPr>
        <w:t>947B</w:t>
      </w:r>
      <w:r w:rsidR="0049638A">
        <w:rPr>
          <w:rFonts w:ascii="ZWAdobeF" w:hAnsi="ZWAdobeF" w:cs="ZWAdobeF"/>
          <w:color w:val="auto"/>
          <w:sz w:val="2"/>
          <w:szCs w:val="2"/>
        </w:rPr>
        <w:t>947B</w:t>
      </w:r>
      <w:r w:rsidR="00D629FA">
        <w:rPr>
          <w:rFonts w:ascii="ZWAdobeF" w:hAnsi="ZWAdobeF" w:cs="ZWAdobeF"/>
          <w:color w:val="auto"/>
          <w:sz w:val="2"/>
          <w:szCs w:val="2"/>
        </w:rPr>
        <w:t>947B</w:t>
      </w:r>
      <w:r w:rsidR="00213699">
        <w:t xml:space="preserve">In December 2020 we published Issues Paper 45: </w:t>
      </w:r>
      <w:r w:rsidR="00213699" w:rsidRPr="004C5FB0">
        <w:rPr>
          <w:i/>
          <w:iCs/>
        </w:rPr>
        <w:t>Class Actions and Litigation Funding</w:t>
      </w:r>
      <w:r w:rsidR="00213699">
        <w:t xml:space="preserve"> | </w:t>
      </w:r>
      <w:r w:rsidR="00213699">
        <w:rPr>
          <w:i/>
          <w:iCs/>
        </w:rPr>
        <w:t xml:space="preserve">Ko ngā Hunga Take Whaipānga me ngā Pūtea Tautiringa. </w:t>
      </w:r>
      <w:r w:rsidR="00213699">
        <w:t>The Issues Paper did not seek feedback on all aspects of a class actions regime. Rather, we sought feedback on:</w:t>
      </w:r>
    </w:p>
    <w:p w14:paraId="521FDF28" w14:textId="69DD6ED5" w:rsidR="00213699" w:rsidRDefault="00BD5C95" w:rsidP="008A7B8E">
      <w:pPr>
        <w:pStyle w:val="BodyText2"/>
        <w:ind w:hanging="567"/>
      </w:pPr>
      <w:r>
        <w:rPr>
          <w:rFonts w:ascii="ZWAdobeF" w:hAnsi="ZWAdobeF" w:cs="ZWAdobeF"/>
          <w:color w:val="auto"/>
          <w:sz w:val="2"/>
          <w:szCs w:val="2"/>
        </w:rPr>
        <w:t>863B</w:t>
      </w:r>
      <w:r w:rsidR="0049638A">
        <w:rPr>
          <w:rFonts w:ascii="ZWAdobeF" w:hAnsi="ZWAdobeF" w:cs="ZWAdobeF"/>
          <w:color w:val="auto"/>
          <w:sz w:val="2"/>
          <w:szCs w:val="2"/>
        </w:rPr>
        <w:t>863B</w:t>
      </w:r>
      <w:r w:rsidR="00D629FA">
        <w:rPr>
          <w:rFonts w:ascii="ZWAdobeF" w:hAnsi="ZWAdobeF" w:cs="ZWAdobeF"/>
          <w:color w:val="auto"/>
          <w:sz w:val="2"/>
          <w:szCs w:val="2"/>
        </w:rPr>
        <w:t>863B</w:t>
      </w:r>
      <w:r w:rsidR="00213699">
        <w:t>Whether a statutory class actions regime was desirable.</w:t>
      </w:r>
    </w:p>
    <w:p w14:paraId="2BC0E497" w14:textId="7822CB48" w:rsidR="00213699" w:rsidRDefault="00BD5C95" w:rsidP="008A7B8E">
      <w:pPr>
        <w:pStyle w:val="BodyText2"/>
        <w:ind w:hanging="567"/>
      </w:pPr>
      <w:r>
        <w:rPr>
          <w:rFonts w:ascii="ZWAdobeF" w:hAnsi="ZWAdobeF" w:cs="ZWAdobeF"/>
          <w:color w:val="auto"/>
          <w:sz w:val="2"/>
          <w:szCs w:val="2"/>
        </w:rPr>
        <w:t>864B</w:t>
      </w:r>
      <w:r w:rsidR="0049638A">
        <w:rPr>
          <w:rFonts w:ascii="ZWAdobeF" w:hAnsi="ZWAdobeF" w:cs="ZWAdobeF"/>
          <w:color w:val="auto"/>
          <w:sz w:val="2"/>
          <w:szCs w:val="2"/>
        </w:rPr>
        <w:t>864B</w:t>
      </w:r>
      <w:r w:rsidR="00D629FA">
        <w:rPr>
          <w:rFonts w:ascii="ZWAdobeF" w:hAnsi="ZWAdobeF" w:cs="ZWAdobeF"/>
          <w:color w:val="auto"/>
          <w:sz w:val="2"/>
          <w:szCs w:val="2"/>
        </w:rPr>
        <w:t>864B</w:t>
      </w:r>
      <w:r w:rsidR="00213699">
        <w:t>The appropriate objectives of class actions.</w:t>
      </w:r>
    </w:p>
    <w:p w14:paraId="220E2D47" w14:textId="0B7DE765" w:rsidR="00213699" w:rsidRDefault="00BD5C95" w:rsidP="008A7B8E">
      <w:pPr>
        <w:pStyle w:val="BodyText2"/>
        <w:ind w:hanging="567"/>
      </w:pPr>
      <w:r>
        <w:rPr>
          <w:rFonts w:ascii="ZWAdobeF" w:hAnsi="ZWAdobeF" w:cs="ZWAdobeF"/>
          <w:color w:val="auto"/>
          <w:sz w:val="2"/>
          <w:szCs w:val="2"/>
        </w:rPr>
        <w:t>865B</w:t>
      </w:r>
      <w:r w:rsidR="0049638A">
        <w:rPr>
          <w:rFonts w:ascii="ZWAdobeF" w:hAnsi="ZWAdobeF" w:cs="ZWAdobeF"/>
          <w:color w:val="auto"/>
          <w:sz w:val="2"/>
          <w:szCs w:val="2"/>
        </w:rPr>
        <w:t>865B</w:t>
      </w:r>
      <w:r w:rsidR="00D629FA">
        <w:rPr>
          <w:rFonts w:ascii="ZWAdobeF" w:hAnsi="ZWAdobeF" w:cs="ZWAdobeF"/>
          <w:color w:val="auto"/>
          <w:sz w:val="2"/>
          <w:szCs w:val="2"/>
        </w:rPr>
        <w:t>865B</w:t>
      </w:r>
      <w:r w:rsidR="00213699">
        <w:t>Principles for the design of a class actions regime.</w:t>
      </w:r>
    </w:p>
    <w:p w14:paraId="14EBCE05" w14:textId="58CB54B7" w:rsidR="00213699" w:rsidRDefault="00BD5C95" w:rsidP="008A7B8E">
      <w:pPr>
        <w:pStyle w:val="BodyText2"/>
        <w:ind w:hanging="567"/>
      </w:pPr>
      <w:r>
        <w:rPr>
          <w:rFonts w:ascii="ZWAdobeF" w:hAnsi="ZWAdobeF" w:cs="ZWAdobeF"/>
          <w:color w:val="auto"/>
          <w:sz w:val="2"/>
          <w:szCs w:val="2"/>
        </w:rPr>
        <w:t>866B</w:t>
      </w:r>
      <w:r w:rsidR="0049638A">
        <w:rPr>
          <w:rFonts w:ascii="ZWAdobeF" w:hAnsi="ZWAdobeF" w:cs="ZWAdobeF"/>
          <w:color w:val="auto"/>
          <w:sz w:val="2"/>
          <w:szCs w:val="2"/>
        </w:rPr>
        <w:t>866B</w:t>
      </w:r>
      <w:r w:rsidR="00D629FA">
        <w:rPr>
          <w:rFonts w:ascii="ZWAdobeF" w:hAnsi="ZWAdobeF" w:cs="ZWAdobeF"/>
          <w:color w:val="auto"/>
          <w:sz w:val="2"/>
          <w:szCs w:val="2"/>
        </w:rPr>
        <w:t>866B</w:t>
      </w:r>
      <w:r w:rsidR="00213699">
        <w:t>The scope of a class actions regime.</w:t>
      </w:r>
    </w:p>
    <w:p w14:paraId="354B4566" w14:textId="6AABB854" w:rsidR="00213699" w:rsidRDefault="00BD5C95" w:rsidP="008A7B8E">
      <w:pPr>
        <w:pStyle w:val="BodyText2"/>
        <w:ind w:hanging="567"/>
      </w:pPr>
      <w:r>
        <w:rPr>
          <w:rFonts w:ascii="ZWAdobeF" w:hAnsi="ZWAdobeF" w:cs="ZWAdobeF"/>
          <w:color w:val="auto"/>
          <w:sz w:val="2"/>
          <w:szCs w:val="2"/>
        </w:rPr>
        <w:t>867B</w:t>
      </w:r>
      <w:r w:rsidR="0049638A">
        <w:rPr>
          <w:rFonts w:ascii="ZWAdobeF" w:hAnsi="ZWAdobeF" w:cs="ZWAdobeF"/>
          <w:color w:val="auto"/>
          <w:sz w:val="2"/>
          <w:szCs w:val="2"/>
        </w:rPr>
        <w:t>867B</w:t>
      </w:r>
      <w:r w:rsidR="00D629FA">
        <w:rPr>
          <w:rFonts w:ascii="ZWAdobeF" w:hAnsi="ZWAdobeF" w:cs="ZWAdobeF"/>
          <w:color w:val="auto"/>
          <w:sz w:val="2"/>
          <w:szCs w:val="2"/>
        </w:rPr>
        <w:t>867B</w:t>
      </w:r>
      <w:r w:rsidR="00213699">
        <w:t xml:space="preserve">Key design features of a class actions regime, namely: whether to have a certification stage and the requirements of any certification test, the role of representative plaintiff, the mechanism for determining class membership and whether </w:t>
      </w:r>
      <w:r w:rsidR="004A185A">
        <w:t xml:space="preserve">the </w:t>
      </w:r>
      <w:r w:rsidR="00213699">
        <w:t xml:space="preserve">adverse costs rule should apply. </w:t>
      </w:r>
    </w:p>
    <w:p w14:paraId="23B21AA5" w14:textId="0EDDB66A" w:rsidR="00213699" w:rsidRDefault="00BD5C95" w:rsidP="00B376E6">
      <w:pPr>
        <w:pStyle w:val="ListNumber"/>
      </w:pPr>
      <w:r>
        <w:rPr>
          <w:rFonts w:ascii="ZWAdobeF" w:hAnsi="ZWAdobeF" w:cs="ZWAdobeF"/>
          <w:color w:val="auto"/>
          <w:sz w:val="2"/>
          <w:szCs w:val="2"/>
        </w:rPr>
        <w:t>948B</w:t>
      </w:r>
      <w:r w:rsidR="0049638A">
        <w:rPr>
          <w:rFonts w:ascii="ZWAdobeF" w:hAnsi="ZWAdobeF" w:cs="ZWAdobeF"/>
          <w:color w:val="auto"/>
          <w:sz w:val="2"/>
          <w:szCs w:val="2"/>
        </w:rPr>
        <w:t>948B</w:t>
      </w:r>
      <w:r w:rsidR="00D629FA">
        <w:rPr>
          <w:rFonts w:ascii="ZWAdobeF" w:hAnsi="ZWAdobeF" w:cs="ZWAdobeF"/>
          <w:color w:val="auto"/>
          <w:sz w:val="2"/>
          <w:szCs w:val="2"/>
        </w:rPr>
        <w:t>948B</w:t>
      </w:r>
      <w:r w:rsidR="00213699">
        <w:t>We also sought feedback on whether litigation funding is desirable in principle and, if so, whether and how it should be regulated. We sought feedback on how any concerns about funder control of litigation, conflicts of interest, capital adequacy or funder profits should be managed.</w:t>
      </w:r>
    </w:p>
    <w:p w14:paraId="02B4F573" w14:textId="47FB4D9F" w:rsidR="00213699" w:rsidRDefault="00BD5C95" w:rsidP="00B376E6">
      <w:pPr>
        <w:pStyle w:val="ListNumber"/>
      </w:pPr>
      <w:r>
        <w:rPr>
          <w:rFonts w:ascii="ZWAdobeF" w:hAnsi="ZWAdobeF" w:cs="ZWAdobeF"/>
          <w:color w:val="auto"/>
          <w:sz w:val="2"/>
          <w:szCs w:val="2"/>
        </w:rPr>
        <w:t>949B</w:t>
      </w:r>
      <w:r w:rsidR="0049638A">
        <w:rPr>
          <w:rFonts w:ascii="ZWAdobeF" w:hAnsi="ZWAdobeF" w:cs="ZWAdobeF"/>
          <w:color w:val="auto"/>
          <w:sz w:val="2"/>
          <w:szCs w:val="2"/>
        </w:rPr>
        <w:t>949B</w:t>
      </w:r>
      <w:r w:rsidR="00D629FA">
        <w:rPr>
          <w:rFonts w:ascii="ZWAdobeF" w:hAnsi="ZWAdobeF" w:cs="ZWAdobeF"/>
          <w:color w:val="auto"/>
          <w:sz w:val="2"/>
          <w:szCs w:val="2"/>
        </w:rPr>
        <w:t>949B</w:t>
      </w:r>
      <w:r w:rsidR="00213699">
        <w:t xml:space="preserve">We received 51 submissions on the Issues Paper, including from </w:t>
      </w:r>
      <w:r w:rsidR="003F0BE3">
        <w:t>Te Kāhui Ture o Aotearoa |</w:t>
      </w:r>
      <w:r w:rsidR="00213699">
        <w:t xml:space="preserve"> New Zealand Law Society (NZLS), Te Hunga Rōia Māori o Aotearoa, law firms, litigation funders, barristers, insurers, individuals and Government agencies. We also received feedback from the judiciary. </w:t>
      </w:r>
    </w:p>
    <w:p w14:paraId="7338F785" w14:textId="695DA121" w:rsidR="00213699" w:rsidRDefault="00BD5C95" w:rsidP="00B376E6">
      <w:pPr>
        <w:pStyle w:val="ListNumber"/>
      </w:pPr>
      <w:r>
        <w:rPr>
          <w:rFonts w:ascii="ZWAdobeF" w:hAnsi="ZWAdobeF" w:cs="ZWAdobeF"/>
          <w:color w:val="auto"/>
          <w:sz w:val="2"/>
          <w:szCs w:val="2"/>
        </w:rPr>
        <w:t>950B</w:t>
      </w:r>
      <w:r w:rsidR="0049638A">
        <w:rPr>
          <w:rFonts w:ascii="ZWAdobeF" w:hAnsi="ZWAdobeF" w:cs="ZWAdobeF"/>
          <w:color w:val="auto"/>
          <w:sz w:val="2"/>
          <w:szCs w:val="2"/>
        </w:rPr>
        <w:t>950B</w:t>
      </w:r>
      <w:r w:rsidR="00D629FA">
        <w:rPr>
          <w:rFonts w:ascii="ZWAdobeF" w:hAnsi="ZWAdobeF" w:cs="ZWAdobeF"/>
          <w:color w:val="auto"/>
          <w:sz w:val="2"/>
          <w:szCs w:val="2"/>
        </w:rPr>
        <w:t>950B</w:t>
      </w:r>
      <w:r w:rsidR="00213699">
        <w:t>The purpose of this Supplementary Issues Paper is to seek feedback on some additional class actions issues, namely:</w:t>
      </w:r>
    </w:p>
    <w:p w14:paraId="6B7C92BE" w14:textId="18BB6D52" w:rsidR="00213699" w:rsidRDefault="00BD5C95" w:rsidP="003E2524">
      <w:pPr>
        <w:pStyle w:val="BodyText2"/>
        <w:numPr>
          <w:ilvl w:val="3"/>
          <w:numId w:val="23"/>
        </w:numPr>
        <w:ind w:hanging="567"/>
      </w:pPr>
      <w:r>
        <w:rPr>
          <w:rFonts w:ascii="ZWAdobeF" w:hAnsi="ZWAdobeF" w:cs="ZWAdobeF"/>
          <w:color w:val="auto"/>
          <w:sz w:val="2"/>
          <w:szCs w:val="2"/>
        </w:rPr>
        <w:t>868B</w:t>
      </w:r>
      <w:r w:rsidR="0049638A">
        <w:rPr>
          <w:rFonts w:ascii="ZWAdobeF" w:hAnsi="ZWAdobeF" w:cs="ZWAdobeF"/>
          <w:color w:val="auto"/>
          <w:sz w:val="2"/>
          <w:szCs w:val="2"/>
        </w:rPr>
        <w:t>868B</w:t>
      </w:r>
      <w:r w:rsidR="00D629FA">
        <w:rPr>
          <w:rFonts w:ascii="ZWAdobeF" w:hAnsi="ZWAdobeF" w:cs="ZWAdobeF"/>
          <w:color w:val="auto"/>
          <w:sz w:val="2"/>
          <w:szCs w:val="2"/>
        </w:rPr>
        <w:t>868B</w:t>
      </w:r>
      <w:r w:rsidR="00213699">
        <w:t>Issues relating to commencement of a class action, including class actions with multiple defendants and the impact of a class action on limitation periods. We are also seeking feedback on a detailed proposal for certification.</w:t>
      </w:r>
    </w:p>
    <w:p w14:paraId="2516634F" w14:textId="0D3A82DF" w:rsidR="00213699" w:rsidRDefault="00BD5C95" w:rsidP="008A7B8E">
      <w:pPr>
        <w:pStyle w:val="BodyText2"/>
        <w:ind w:hanging="567"/>
      </w:pPr>
      <w:r>
        <w:rPr>
          <w:rFonts w:ascii="ZWAdobeF" w:hAnsi="ZWAdobeF" w:cs="ZWAdobeF"/>
          <w:color w:val="auto"/>
          <w:sz w:val="2"/>
          <w:szCs w:val="2"/>
        </w:rPr>
        <w:t>869B</w:t>
      </w:r>
      <w:r w:rsidR="0049638A">
        <w:rPr>
          <w:rFonts w:ascii="ZWAdobeF" w:hAnsi="ZWAdobeF" w:cs="ZWAdobeF"/>
          <w:color w:val="auto"/>
          <w:sz w:val="2"/>
          <w:szCs w:val="2"/>
        </w:rPr>
        <w:t>869B</w:t>
      </w:r>
      <w:r w:rsidR="00D629FA">
        <w:rPr>
          <w:rFonts w:ascii="ZWAdobeF" w:hAnsi="ZWAdobeF" w:cs="ZWAdobeF"/>
          <w:color w:val="auto"/>
          <w:sz w:val="2"/>
          <w:szCs w:val="2"/>
        </w:rPr>
        <w:t>869B</w:t>
      </w:r>
      <w:r w:rsidR="00213699">
        <w:t>How competing class actions should be managed.</w:t>
      </w:r>
    </w:p>
    <w:p w14:paraId="66EC90E8" w14:textId="2D2C07F8" w:rsidR="00213699" w:rsidRDefault="00BD5C95" w:rsidP="008A7B8E">
      <w:pPr>
        <w:pStyle w:val="BodyText2"/>
        <w:ind w:hanging="567"/>
      </w:pPr>
      <w:r>
        <w:rPr>
          <w:rFonts w:ascii="ZWAdobeF" w:hAnsi="ZWAdobeF" w:cs="ZWAdobeF"/>
          <w:color w:val="auto"/>
          <w:sz w:val="2"/>
          <w:szCs w:val="2"/>
        </w:rPr>
        <w:lastRenderedPageBreak/>
        <w:t>870B</w:t>
      </w:r>
      <w:r w:rsidR="0049638A">
        <w:rPr>
          <w:rFonts w:ascii="ZWAdobeF" w:hAnsi="ZWAdobeF" w:cs="ZWAdobeF"/>
          <w:color w:val="auto"/>
          <w:sz w:val="2"/>
          <w:szCs w:val="2"/>
        </w:rPr>
        <w:t>870B</w:t>
      </w:r>
      <w:r w:rsidR="00D629FA">
        <w:rPr>
          <w:rFonts w:ascii="ZWAdobeF" w:hAnsi="ZWAdobeF" w:cs="ZWAdobeF"/>
          <w:color w:val="auto"/>
          <w:sz w:val="2"/>
          <w:szCs w:val="2"/>
        </w:rPr>
        <w:t>870B</w:t>
      </w:r>
      <w:r w:rsidR="00213699">
        <w:t>Relationships</w:t>
      </w:r>
      <w:r w:rsidR="00F203E3">
        <w:t xml:space="preserve"> with class members</w:t>
      </w:r>
      <w:r w:rsidR="00213699">
        <w:t xml:space="preserve">, including the </w:t>
      </w:r>
      <w:r w:rsidR="00E5667F">
        <w:t>obligations</w:t>
      </w:r>
      <w:r w:rsidR="00213699">
        <w:t xml:space="preserve"> of the representative plaintiff and the nature of the lawyer-class member relationship. </w:t>
      </w:r>
    </w:p>
    <w:p w14:paraId="1C8011DD" w14:textId="5C25B20A" w:rsidR="00213699" w:rsidRDefault="00BD5C95" w:rsidP="008A7B8E">
      <w:pPr>
        <w:pStyle w:val="BodyText2"/>
        <w:ind w:hanging="567"/>
      </w:pPr>
      <w:r>
        <w:rPr>
          <w:rFonts w:ascii="ZWAdobeF" w:hAnsi="ZWAdobeF" w:cs="ZWAdobeF"/>
          <w:color w:val="auto"/>
          <w:sz w:val="2"/>
          <w:szCs w:val="2"/>
        </w:rPr>
        <w:t>871B</w:t>
      </w:r>
      <w:r w:rsidR="0049638A">
        <w:rPr>
          <w:rFonts w:ascii="ZWAdobeF" w:hAnsi="ZWAdobeF" w:cs="ZWAdobeF"/>
          <w:color w:val="auto"/>
          <w:sz w:val="2"/>
          <w:szCs w:val="2"/>
        </w:rPr>
        <w:t>871B</w:t>
      </w:r>
      <w:r w:rsidR="00D629FA">
        <w:rPr>
          <w:rFonts w:ascii="ZWAdobeF" w:hAnsi="ZWAdobeF" w:cs="ZWAdobeF"/>
          <w:color w:val="auto"/>
          <w:sz w:val="2"/>
          <w:szCs w:val="2"/>
        </w:rPr>
        <w:t>871B</w:t>
      </w:r>
      <w:r w:rsidR="00213699">
        <w:t xml:space="preserve">Issues that arise during a class action, including giving notice to class members, case management, discovery, managing individual issues and whether to allow common fund orders or funding equalisation orders. </w:t>
      </w:r>
    </w:p>
    <w:p w14:paraId="783A0F3E" w14:textId="03EDFD93" w:rsidR="00213699" w:rsidRDefault="00BD5C95" w:rsidP="008A7B8E">
      <w:pPr>
        <w:pStyle w:val="BodyText2"/>
        <w:ind w:hanging="567"/>
      </w:pPr>
      <w:r>
        <w:rPr>
          <w:rFonts w:ascii="ZWAdobeF" w:hAnsi="ZWAdobeF" w:cs="ZWAdobeF"/>
          <w:color w:val="auto"/>
          <w:sz w:val="2"/>
          <w:szCs w:val="2"/>
        </w:rPr>
        <w:t>872B</w:t>
      </w:r>
      <w:r w:rsidR="0049638A">
        <w:rPr>
          <w:rFonts w:ascii="ZWAdobeF" w:hAnsi="ZWAdobeF" w:cs="ZWAdobeF"/>
          <w:color w:val="auto"/>
          <w:sz w:val="2"/>
          <w:szCs w:val="2"/>
        </w:rPr>
        <w:t>872B</w:t>
      </w:r>
      <w:r w:rsidR="00D629FA">
        <w:rPr>
          <w:rFonts w:ascii="ZWAdobeF" w:hAnsi="ZWAdobeF" w:cs="ZWAdobeF"/>
          <w:color w:val="auto"/>
          <w:sz w:val="2"/>
          <w:szCs w:val="2"/>
        </w:rPr>
        <w:t>872B</w:t>
      </w:r>
      <w:r w:rsidR="00E5667F">
        <w:t>Several issues associated with judgments in class actions</w:t>
      </w:r>
      <w:r w:rsidR="000229AD">
        <w:t>, namely t</w:t>
      </w:r>
      <w:r w:rsidR="00213699">
        <w:t xml:space="preserve">he binding effect of a judgment on common issues, </w:t>
      </w:r>
      <w:r w:rsidR="00F203E3">
        <w:t xml:space="preserve">assessment of </w:t>
      </w:r>
      <w:r w:rsidR="00213699">
        <w:t>damages, and appeal rights.</w:t>
      </w:r>
    </w:p>
    <w:p w14:paraId="6667B40F" w14:textId="327D1727" w:rsidR="00213699" w:rsidRDefault="00BD5C95" w:rsidP="008A7B8E">
      <w:pPr>
        <w:pStyle w:val="BodyText2"/>
        <w:ind w:hanging="567"/>
      </w:pPr>
      <w:r>
        <w:rPr>
          <w:rFonts w:ascii="ZWAdobeF" w:hAnsi="ZWAdobeF" w:cs="ZWAdobeF"/>
          <w:color w:val="auto"/>
          <w:sz w:val="2"/>
          <w:szCs w:val="2"/>
        </w:rPr>
        <w:t>873B</w:t>
      </w:r>
      <w:r w:rsidR="0049638A">
        <w:rPr>
          <w:rFonts w:ascii="ZWAdobeF" w:hAnsi="ZWAdobeF" w:cs="ZWAdobeF"/>
          <w:color w:val="auto"/>
          <w:sz w:val="2"/>
          <w:szCs w:val="2"/>
        </w:rPr>
        <w:t>873B</w:t>
      </w:r>
      <w:r w:rsidR="00D629FA">
        <w:rPr>
          <w:rFonts w:ascii="ZWAdobeF" w:hAnsi="ZWAdobeF" w:cs="ZWAdobeF"/>
          <w:color w:val="auto"/>
          <w:sz w:val="2"/>
          <w:szCs w:val="2"/>
        </w:rPr>
        <w:t>873B</w:t>
      </w:r>
      <w:r w:rsidR="00213699">
        <w:t xml:space="preserve">Settlement of a class action. </w:t>
      </w:r>
    </w:p>
    <w:p w14:paraId="33738B13" w14:textId="53C47303" w:rsidR="00213699" w:rsidRDefault="00BD5C95" w:rsidP="008A7B8E">
      <w:pPr>
        <w:pStyle w:val="ListNumber"/>
      </w:pPr>
      <w:r>
        <w:rPr>
          <w:rFonts w:ascii="ZWAdobeF" w:hAnsi="ZWAdobeF" w:cs="ZWAdobeF"/>
          <w:color w:val="auto"/>
          <w:sz w:val="2"/>
          <w:szCs w:val="2"/>
        </w:rPr>
        <w:t>951B</w:t>
      </w:r>
      <w:r w:rsidR="0049638A">
        <w:rPr>
          <w:rFonts w:ascii="ZWAdobeF" w:hAnsi="ZWAdobeF" w:cs="ZWAdobeF"/>
          <w:color w:val="auto"/>
          <w:sz w:val="2"/>
          <w:szCs w:val="2"/>
        </w:rPr>
        <w:t>951B</w:t>
      </w:r>
      <w:r w:rsidR="00D629FA">
        <w:rPr>
          <w:rFonts w:ascii="ZWAdobeF" w:hAnsi="ZWAdobeF" w:cs="ZWAdobeF"/>
          <w:color w:val="auto"/>
          <w:sz w:val="2"/>
          <w:szCs w:val="2"/>
        </w:rPr>
        <w:t>951B</w:t>
      </w:r>
      <w:r w:rsidR="00213699">
        <w:t xml:space="preserve">We have expressed a preliminary view on most of the topics we discuss in this paper. We have also provided some draft provisions for submitters to consider, and we acknowledge </w:t>
      </w:r>
      <w:r w:rsidR="00213699" w:rsidRPr="0022716E">
        <w:t>the work of the Parliamentary Counsel Office in drafting these for us.</w:t>
      </w:r>
      <w:r w:rsidR="00213699">
        <w:t xml:space="preserve"> It was not feasible to produce an entire draft Bill for consultation at this stage of the process. We have focused on draft provisions </w:t>
      </w:r>
      <w:r w:rsidR="00F203E3">
        <w:t>for</w:t>
      </w:r>
      <w:r w:rsidR="00213699">
        <w:t xml:space="preserve"> </w:t>
      </w:r>
      <w:r w:rsidR="000229AD">
        <w:t xml:space="preserve">five </w:t>
      </w:r>
      <w:r w:rsidR="00213699">
        <w:t xml:space="preserve">topics: commencement, </w:t>
      </w:r>
      <w:r w:rsidR="000229AD">
        <w:t xml:space="preserve">certification, </w:t>
      </w:r>
      <w:r w:rsidR="00213699">
        <w:t xml:space="preserve">effect of a judgment, aggregate monetary relief and settlement. </w:t>
      </w:r>
    </w:p>
    <w:p w14:paraId="72AB39C2" w14:textId="0B83A102" w:rsidR="00213699" w:rsidRDefault="00BD5C95" w:rsidP="008A7B8E">
      <w:pPr>
        <w:pStyle w:val="ListNumber"/>
      </w:pPr>
      <w:r>
        <w:rPr>
          <w:rFonts w:ascii="ZWAdobeF" w:hAnsi="ZWAdobeF" w:cs="ZWAdobeF"/>
          <w:color w:val="auto"/>
          <w:sz w:val="2"/>
          <w:szCs w:val="2"/>
        </w:rPr>
        <w:t>952B</w:t>
      </w:r>
      <w:r w:rsidR="0049638A">
        <w:rPr>
          <w:rFonts w:ascii="ZWAdobeF" w:hAnsi="ZWAdobeF" w:cs="ZWAdobeF"/>
          <w:color w:val="auto"/>
          <w:sz w:val="2"/>
          <w:szCs w:val="2"/>
        </w:rPr>
        <w:t>952B</w:t>
      </w:r>
      <w:r w:rsidR="00D629FA">
        <w:rPr>
          <w:rFonts w:ascii="ZWAdobeF" w:hAnsi="ZWAdobeF" w:cs="ZWAdobeF"/>
          <w:color w:val="auto"/>
          <w:sz w:val="2"/>
          <w:szCs w:val="2"/>
        </w:rPr>
        <w:t>952B</w:t>
      </w:r>
      <w:r w:rsidR="00213699">
        <w:t xml:space="preserve">While we have carefully considered all the submissions we received on the Issues Paper, the Supplementary Issues Paper only provides a very high-level summary of submitters’ feedback. This is to keep the paper at a manageable length for readers and to enable a focus on matters requiring further consultation. Our </w:t>
      </w:r>
      <w:r w:rsidR="00CE5C1A">
        <w:t>f</w:t>
      </w:r>
      <w:r w:rsidR="00213699">
        <w:t xml:space="preserve">inal </w:t>
      </w:r>
      <w:r w:rsidR="00CE5C1A">
        <w:t>r</w:t>
      </w:r>
      <w:r w:rsidR="00213699">
        <w:t xml:space="preserve">eport will contain a more detailed explanation of the views expressed by submitters and our response to those. </w:t>
      </w:r>
    </w:p>
    <w:p w14:paraId="2DD3A9DC" w14:textId="7CEF830E" w:rsidR="00213699" w:rsidRDefault="00BD5C95" w:rsidP="008A7B8E">
      <w:pPr>
        <w:pStyle w:val="ListNumber"/>
      </w:pPr>
      <w:r>
        <w:rPr>
          <w:rFonts w:ascii="ZWAdobeF" w:hAnsi="ZWAdobeF" w:cs="ZWAdobeF"/>
          <w:color w:val="auto"/>
          <w:sz w:val="2"/>
          <w:szCs w:val="2"/>
        </w:rPr>
        <w:t>953B</w:t>
      </w:r>
      <w:r w:rsidR="0049638A">
        <w:rPr>
          <w:rFonts w:ascii="ZWAdobeF" w:hAnsi="ZWAdobeF" w:cs="ZWAdobeF"/>
          <w:color w:val="auto"/>
          <w:sz w:val="2"/>
          <w:szCs w:val="2"/>
        </w:rPr>
        <w:t>953B</w:t>
      </w:r>
      <w:r w:rsidR="00D629FA">
        <w:rPr>
          <w:rFonts w:ascii="ZWAdobeF" w:hAnsi="ZWAdobeF" w:cs="ZWAdobeF"/>
          <w:color w:val="auto"/>
          <w:sz w:val="2"/>
          <w:szCs w:val="2"/>
        </w:rPr>
        <w:t>953B</w:t>
      </w:r>
      <w:r w:rsidR="00213699">
        <w:t>As the Issues Paper contained a comprehensive discussion of litigation funding issues, it has not been necessary to develop supplementary chapters on litigation funding. This paper does not address litigation funding issues, other than whether:</w:t>
      </w:r>
    </w:p>
    <w:p w14:paraId="2C28236E" w14:textId="2FA8E1E9" w:rsidR="00213699" w:rsidRDefault="00BD5C95" w:rsidP="003E2524">
      <w:pPr>
        <w:pStyle w:val="BodyText2"/>
        <w:numPr>
          <w:ilvl w:val="3"/>
          <w:numId w:val="24"/>
        </w:numPr>
        <w:ind w:hanging="567"/>
      </w:pPr>
      <w:r>
        <w:rPr>
          <w:rFonts w:ascii="ZWAdobeF" w:hAnsi="ZWAdobeF" w:cs="ZWAdobeF"/>
          <w:color w:val="auto"/>
          <w:sz w:val="2"/>
          <w:szCs w:val="2"/>
        </w:rPr>
        <w:t>874B</w:t>
      </w:r>
      <w:r w:rsidR="0049638A">
        <w:rPr>
          <w:rFonts w:ascii="ZWAdobeF" w:hAnsi="ZWAdobeF" w:cs="ZWAdobeF"/>
          <w:color w:val="auto"/>
          <w:sz w:val="2"/>
          <w:szCs w:val="2"/>
        </w:rPr>
        <w:t>874B</w:t>
      </w:r>
      <w:r w:rsidR="00D629FA">
        <w:rPr>
          <w:rFonts w:ascii="ZWAdobeF" w:hAnsi="ZWAdobeF" w:cs="ZWAdobeF"/>
          <w:color w:val="auto"/>
          <w:sz w:val="2"/>
          <w:szCs w:val="2"/>
        </w:rPr>
        <w:t>874B</w:t>
      </w:r>
      <w:r w:rsidR="00213699">
        <w:t>The court should consider respective funding arrangements when assessing competing class action proposals (Chapter 2).</w:t>
      </w:r>
    </w:p>
    <w:p w14:paraId="1AE409E1" w14:textId="35699C95" w:rsidR="00213699" w:rsidRDefault="00BD5C95" w:rsidP="003E2524">
      <w:pPr>
        <w:pStyle w:val="BodyText2"/>
        <w:numPr>
          <w:ilvl w:val="3"/>
          <w:numId w:val="24"/>
        </w:numPr>
        <w:ind w:hanging="567"/>
      </w:pPr>
      <w:r>
        <w:rPr>
          <w:rFonts w:ascii="ZWAdobeF" w:hAnsi="ZWAdobeF" w:cs="ZWAdobeF"/>
          <w:color w:val="auto"/>
          <w:sz w:val="2"/>
          <w:szCs w:val="2"/>
        </w:rPr>
        <w:t>875B</w:t>
      </w:r>
      <w:r w:rsidR="0049638A">
        <w:rPr>
          <w:rFonts w:ascii="ZWAdobeF" w:hAnsi="ZWAdobeF" w:cs="ZWAdobeF"/>
          <w:color w:val="auto"/>
          <w:sz w:val="2"/>
          <w:szCs w:val="2"/>
        </w:rPr>
        <w:t>875B</w:t>
      </w:r>
      <w:r w:rsidR="00D629FA">
        <w:rPr>
          <w:rFonts w:ascii="ZWAdobeF" w:hAnsi="ZWAdobeF" w:cs="ZWAdobeF"/>
          <w:color w:val="auto"/>
          <w:sz w:val="2"/>
          <w:szCs w:val="2"/>
        </w:rPr>
        <w:t>875B</w:t>
      </w:r>
      <w:r w:rsidR="00213699">
        <w:t>Common fund orders or funding equalisation orders should be available in Aotearoa New Zealand (Chapter 4).</w:t>
      </w:r>
    </w:p>
    <w:p w14:paraId="395BCB30" w14:textId="1A1BBE8B" w:rsidR="00213699" w:rsidRDefault="00BD5C95" w:rsidP="003E2524">
      <w:pPr>
        <w:pStyle w:val="BodyText2"/>
        <w:numPr>
          <w:ilvl w:val="3"/>
          <w:numId w:val="24"/>
        </w:numPr>
        <w:ind w:hanging="567"/>
      </w:pPr>
      <w:r>
        <w:rPr>
          <w:rFonts w:ascii="ZWAdobeF" w:hAnsi="ZWAdobeF" w:cs="ZWAdobeF"/>
          <w:color w:val="auto"/>
          <w:sz w:val="2"/>
          <w:szCs w:val="2"/>
        </w:rPr>
        <w:t>876B</w:t>
      </w:r>
      <w:r w:rsidR="0049638A">
        <w:rPr>
          <w:rFonts w:ascii="ZWAdobeF" w:hAnsi="ZWAdobeF" w:cs="ZWAdobeF"/>
          <w:color w:val="auto"/>
          <w:sz w:val="2"/>
          <w:szCs w:val="2"/>
        </w:rPr>
        <w:t>876B</w:t>
      </w:r>
      <w:r w:rsidR="00D629FA">
        <w:rPr>
          <w:rFonts w:ascii="ZWAdobeF" w:hAnsi="ZWAdobeF" w:cs="ZWAdobeF"/>
          <w:color w:val="auto"/>
          <w:sz w:val="2"/>
          <w:szCs w:val="2"/>
        </w:rPr>
        <w:t>876B</w:t>
      </w:r>
      <w:r w:rsidR="00213699">
        <w:t xml:space="preserve">The court should consider litigation funding commissions when deciding whether or not to approve a class action settlement (Chapter 6). </w:t>
      </w:r>
    </w:p>
    <w:p w14:paraId="118ED119" w14:textId="40D08219" w:rsidR="00213699" w:rsidRPr="00900A99" w:rsidRDefault="00BD5C95" w:rsidP="008A7B8E">
      <w:pPr>
        <w:pStyle w:val="ListNumber"/>
      </w:pPr>
      <w:r>
        <w:rPr>
          <w:rFonts w:ascii="ZWAdobeF" w:hAnsi="ZWAdobeF" w:cs="ZWAdobeF"/>
          <w:color w:val="auto"/>
          <w:sz w:val="2"/>
          <w:szCs w:val="2"/>
        </w:rPr>
        <w:t>954B</w:t>
      </w:r>
      <w:r w:rsidR="0049638A">
        <w:rPr>
          <w:rFonts w:ascii="ZWAdobeF" w:hAnsi="ZWAdobeF" w:cs="ZWAdobeF"/>
          <w:color w:val="auto"/>
          <w:sz w:val="2"/>
          <w:szCs w:val="2"/>
        </w:rPr>
        <w:t>954B</w:t>
      </w:r>
      <w:r w:rsidR="00D629FA">
        <w:rPr>
          <w:rFonts w:ascii="ZWAdobeF" w:hAnsi="ZWAdobeF" w:cs="ZWAdobeF"/>
          <w:color w:val="auto"/>
          <w:sz w:val="2"/>
          <w:szCs w:val="2"/>
        </w:rPr>
        <w:t>954B</w:t>
      </w:r>
      <w:r w:rsidR="00213699" w:rsidRPr="00900A99">
        <w:t xml:space="preserve">These issues are a sub-set of some broader questions about litigation funding which we discussed in the Issues Paper. Our policy decisions on these matters will need to be consistent with the overarching recommendations we make with respect to any regulation and oversight of litigation funding. </w:t>
      </w:r>
    </w:p>
    <w:p w14:paraId="2EF86BB3" w14:textId="77777777" w:rsidR="00213699" w:rsidRDefault="00213699" w:rsidP="00213699">
      <w:pPr>
        <w:pStyle w:val="Heading2"/>
      </w:pPr>
      <w:bookmarkStart w:id="34" w:name="_Toc83895429"/>
      <w:r>
        <w:t>Significant developments since our Issues Paper</w:t>
      </w:r>
      <w:bookmarkEnd w:id="34"/>
      <w:r>
        <w:t xml:space="preserve"> </w:t>
      </w:r>
    </w:p>
    <w:p w14:paraId="0B486DAC" w14:textId="70CE9900" w:rsidR="00213699" w:rsidRDefault="00BD5C95" w:rsidP="008A7B8E">
      <w:pPr>
        <w:pStyle w:val="ListNumber"/>
      </w:pPr>
      <w:r>
        <w:rPr>
          <w:rFonts w:ascii="ZWAdobeF" w:hAnsi="ZWAdobeF" w:cs="ZWAdobeF"/>
          <w:color w:val="auto"/>
          <w:sz w:val="2"/>
          <w:szCs w:val="2"/>
        </w:rPr>
        <w:t>955B</w:t>
      </w:r>
      <w:r w:rsidR="0049638A">
        <w:rPr>
          <w:rFonts w:ascii="ZWAdobeF" w:hAnsi="ZWAdobeF" w:cs="ZWAdobeF"/>
          <w:color w:val="auto"/>
          <w:sz w:val="2"/>
          <w:szCs w:val="2"/>
        </w:rPr>
        <w:t>955B</w:t>
      </w:r>
      <w:r w:rsidR="00D629FA">
        <w:rPr>
          <w:rFonts w:ascii="ZWAdobeF" w:hAnsi="ZWAdobeF" w:cs="ZWAdobeF"/>
          <w:color w:val="auto"/>
          <w:sz w:val="2"/>
          <w:szCs w:val="2"/>
        </w:rPr>
        <w:t>955B</w:t>
      </w:r>
      <w:r w:rsidR="00213699">
        <w:t>There have been a number of developments with respect to representative actions, class actions and litigation funding since the Issues Paper was published in December 2020.</w:t>
      </w:r>
    </w:p>
    <w:p w14:paraId="74A42970" w14:textId="6871CCE7" w:rsidR="00213699" w:rsidRDefault="00BD5C95" w:rsidP="00A7668E">
      <w:pPr>
        <w:pStyle w:val="ListNumber"/>
      </w:pPr>
      <w:r>
        <w:rPr>
          <w:rFonts w:ascii="ZWAdobeF" w:hAnsi="ZWAdobeF" w:cs="ZWAdobeF"/>
          <w:color w:val="auto"/>
          <w:sz w:val="2"/>
          <w:szCs w:val="2"/>
        </w:rPr>
        <w:t>956B</w:t>
      </w:r>
      <w:r w:rsidR="0049638A">
        <w:rPr>
          <w:rFonts w:ascii="ZWAdobeF" w:hAnsi="ZWAdobeF" w:cs="ZWAdobeF"/>
          <w:color w:val="auto"/>
          <w:sz w:val="2"/>
          <w:szCs w:val="2"/>
        </w:rPr>
        <w:t>956B</w:t>
      </w:r>
      <w:r w:rsidR="00D629FA">
        <w:rPr>
          <w:rFonts w:ascii="ZWAdobeF" w:hAnsi="ZWAdobeF" w:cs="ZWAdobeF"/>
          <w:color w:val="auto"/>
          <w:sz w:val="2"/>
          <w:szCs w:val="2"/>
        </w:rPr>
        <w:t>956B</w:t>
      </w:r>
      <w:r w:rsidR="00213699">
        <w:t>Developments with respect to litigation under High Court Rule (HCR) 4.24 include:</w:t>
      </w:r>
    </w:p>
    <w:p w14:paraId="0E63F23D" w14:textId="4F1E9135" w:rsidR="005D450C" w:rsidRDefault="00BD5C95" w:rsidP="00B40D11">
      <w:pPr>
        <w:pStyle w:val="BodyText2"/>
        <w:numPr>
          <w:ilvl w:val="3"/>
          <w:numId w:val="105"/>
        </w:numPr>
        <w:ind w:hanging="567"/>
      </w:pPr>
      <w:r>
        <w:rPr>
          <w:rFonts w:ascii="ZWAdobeF" w:hAnsi="ZWAdobeF" w:cs="ZWAdobeF"/>
          <w:color w:val="auto"/>
          <w:sz w:val="2"/>
          <w:szCs w:val="2"/>
        </w:rPr>
        <w:lastRenderedPageBreak/>
        <w:t>877B</w:t>
      </w:r>
      <w:r w:rsidR="0049638A">
        <w:rPr>
          <w:rFonts w:ascii="ZWAdobeF" w:hAnsi="ZWAdobeF" w:cs="ZWAdobeF"/>
          <w:color w:val="auto"/>
          <w:sz w:val="2"/>
          <w:szCs w:val="2"/>
        </w:rPr>
        <w:t>877B</w:t>
      </w:r>
      <w:r w:rsidR="00D629FA">
        <w:rPr>
          <w:rFonts w:ascii="ZWAdobeF" w:hAnsi="ZWAdobeF" w:cs="ZWAdobeF"/>
          <w:color w:val="auto"/>
          <w:sz w:val="2"/>
          <w:szCs w:val="2"/>
        </w:rPr>
        <w:t>877B</w:t>
      </w:r>
      <w:r w:rsidR="005D450C">
        <w:t xml:space="preserve">The Court of Appeal upheld the High Court’s decision to strike out </w:t>
      </w:r>
      <w:r w:rsidR="005D450C" w:rsidRPr="00B40D11">
        <w:rPr>
          <w:i/>
          <w:iCs/>
        </w:rPr>
        <w:t>Houghton v Saunders.</w:t>
      </w:r>
      <w:r w:rsidR="00D629FA">
        <w:rPr>
          <w:rFonts w:ascii="ZWAdobeF" w:hAnsi="ZWAdobeF" w:cs="ZWAdobeF"/>
          <w:iCs/>
          <w:color w:val="auto"/>
          <w:sz w:val="2"/>
          <w:szCs w:val="2"/>
        </w:rPr>
        <w:t>0F</w:t>
      </w:r>
      <w:r w:rsidR="0049638A">
        <w:rPr>
          <w:rFonts w:ascii="ZWAdobeF" w:hAnsi="ZWAdobeF" w:cs="ZWAdobeF"/>
          <w:iCs/>
          <w:color w:val="auto"/>
          <w:sz w:val="2"/>
          <w:szCs w:val="2"/>
        </w:rPr>
        <w:t>0F</w:t>
      </w:r>
      <w:r w:rsidR="000D4978">
        <w:rPr>
          <w:rFonts w:ascii="ZWAdobeF" w:hAnsi="ZWAdobeF" w:cs="ZWAdobeF"/>
          <w:iCs/>
          <w:color w:val="auto"/>
          <w:sz w:val="2"/>
          <w:szCs w:val="2"/>
        </w:rPr>
        <w:t>0F</w:t>
      </w:r>
      <w:r w:rsidR="005D450C" w:rsidRPr="00B90832">
        <w:rPr>
          <w:rStyle w:val="FootnoteReference"/>
        </w:rPr>
        <w:footnoteReference w:id="2"/>
      </w:r>
    </w:p>
    <w:p w14:paraId="076929B4" w14:textId="62B57193" w:rsidR="005D450C" w:rsidRDefault="00BD5C95" w:rsidP="00B40D11">
      <w:pPr>
        <w:pStyle w:val="BodyText2"/>
        <w:numPr>
          <w:ilvl w:val="3"/>
          <w:numId w:val="38"/>
        </w:numPr>
        <w:ind w:hanging="567"/>
      </w:pPr>
      <w:r>
        <w:rPr>
          <w:rFonts w:ascii="ZWAdobeF" w:hAnsi="ZWAdobeF" w:cs="ZWAdobeF"/>
          <w:noProof/>
          <w:color w:val="auto"/>
          <w:sz w:val="2"/>
          <w:szCs w:val="2"/>
        </w:rPr>
        <w:t>878B</w:t>
      </w:r>
      <w:r w:rsidR="0049638A">
        <w:rPr>
          <w:rFonts w:ascii="ZWAdobeF" w:hAnsi="ZWAdobeF" w:cs="ZWAdobeF"/>
          <w:noProof/>
          <w:color w:val="auto"/>
          <w:sz w:val="2"/>
          <w:szCs w:val="2"/>
        </w:rPr>
        <w:t>878B</w:t>
      </w:r>
      <w:r w:rsidR="00D629FA">
        <w:rPr>
          <w:rFonts w:ascii="ZWAdobeF" w:hAnsi="ZWAdobeF" w:cs="ZWAdobeF"/>
          <w:noProof/>
          <w:color w:val="auto"/>
          <w:sz w:val="2"/>
          <w:szCs w:val="2"/>
        </w:rPr>
        <w:t>878B</w:t>
      </w:r>
      <w:r w:rsidR="005D450C">
        <w:rPr>
          <w:noProof/>
        </w:rPr>
        <w:t xml:space="preserve">The </w:t>
      </w:r>
      <w:r w:rsidR="005D450C">
        <w:t>Government announced a proactive settlement package for Southern Response claimants in December 2020.</w:t>
      </w:r>
      <w:r w:rsidR="00D629FA">
        <w:rPr>
          <w:rFonts w:ascii="ZWAdobeF" w:hAnsi="ZWAdobeF" w:cs="ZWAdobeF"/>
          <w:color w:val="auto"/>
          <w:sz w:val="2"/>
          <w:szCs w:val="2"/>
        </w:rPr>
        <w:t>1F</w:t>
      </w:r>
      <w:r w:rsidR="0049638A">
        <w:rPr>
          <w:rFonts w:ascii="ZWAdobeF" w:hAnsi="ZWAdobeF" w:cs="ZWAdobeF"/>
          <w:color w:val="auto"/>
          <w:sz w:val="2"/>
          <w:szCs w:val="2"/>
        </w:rPr>
        <w:t>1F</w:t>
      </w:r>
      <w:r w:rsidR="000D4978">
        <w:rPr>
          <w:rFonts w:ascii="ZWAdobeF" w:hAnsi="ZWAdobeF" w:cs="ZWAdobeF"/>
          <w:color w:val="auto"/>
          <w:sz w:val="2"/>
          <w:szCs w:val="2"/>
        </w:rPr>
        <w:t>1F</w:t>
      </w:r>
      <w:r w:rsidR="005D450C">
        <w:rPr>
          <w:rStyle w:val="FootnoteReference"/>
        </w:rPr>
        <w:footnoteReference w:id="3"/>
      </w:r>
      <w:r w:rsidR="005D450C">
        <w:t xml:space="preserve"> This may provide an alternative to participating in the </w:t>
      </w:r>
      <w:r w:rsidR="005D450C" w:rsidRPr="005D450C">
        <w:rPr>
          <w:i/>
          <w:iCs/>
        </w:rPr>
        <w:t xml:space="preserve">Ross v Southern Response </w:t>
      </w:r>
      <w:r w:rsidR="005D450C">
        <w:t>representative action for some claimants.</w:t>
      </w:r>
    </w:p>
    <w:p w14:paraId="3A287279" w14:textId="65D2EDA4" w:rsidR="00E72EF4" w:rsidRDefault="00BD5C95" w:rsidP="00B40D11">
      <w:pPr>
        <w:pStyle w:val="BodyText2"/>
        <w:numPr>
          <w:ilvl w:val="3"/>
          <w:numId w:val="38"/>
        </w:numPr>
        <w:ind w:hanging="567"/>
      </w:pPr>
      <w:r>
        <w:rPr>
          <w:rFonts w:ascii="ZWAdobeF" w:hAnsi="ZWAdobeF" w:cs="ZWAdobeF"/>
          <w:color w:val="auto"/>
          <w:sz w:val="2"/>
          <w:szCs w:val="2"/>
        </w:rPr>
        <w:t>879B</w:t>
      </w:r>
      <w:r w:rsidR="0049638A">
        <w:rPr>
          <w:rFonts w:ascii="ZWAdobeF" w:hAnsi="ZWAdobeF" w:cs="ZWAdobeF"/>
          <w:color w:val="auto"/>
          <w:sz w:val="2"/>
          <w:szCs w:val="2"/>
        </w:rPr>
        <w:t>879B</w:t>
      </w:r>
      <w:r w:rsidR="00D629FA">
        <w:rPr>
          <w:rFonts w:ascii="ZWAdobeF" w:hAnsi="ZWAdobeF" w:cs="ZWAdobeF"/>
          <w:color w:val="auto"/>
          <w:sz w:val="2"/>
          <w:szCs w:val="2"/>
        </w:rPr>
        <w:t>879B</w:t>
      </w:r>
      <w:r w:rsidR="00E72EF4">
        <w:t xml:space="preserve">The Court of Appeal upheld the High Court’s decision to grant a representation order in </w:t>
      </w:r>
      <w:r w:rsidR="00E72EF4" w:rsidRPr="00E72EF4">
        <w:rPr>
          <w:i/>
          <w:iCs/>
        </w:rPr>
        <w:t>Smith v Claims Resolution Service.</w:t>
      </w:r>
      <w:r w:rsidR="00D629FA">
        <w:rPr>
          <w:rFonts w:ascii="ZWAdobeF" w:hAnsi="ZWAdobeF" w:cs="ZWAdobeF"/>
          <w:iCs/>
          <w:color w:val="auto"/>
          <w:sz w:val="2"/>
          <w:szCs w:val="2"/>
        </w:rPr>
        <w:t>2F</w:t>
      </w:r>
      <w:r w:rsidR="0049638A">
        <w:rPr>
          <w:rFonts w:ascii="ZWAdobeF" w:hAnsi="ZWAdobeF" w:cs="ZWAdobeF"/>
          <w:iCs/>
          <w:color w:val="auto"/>
          <w:sz w:val="2"/>
          <w:szCs w:val="2"/>
        </w:rPr>
        <w:t>2F</w:t>
      </w:r>
      <w:r w:rsidR="000D4978">
        <w:rPr>
          <w:rFonts w:ascii="ZWAdobeF" w:hAnsi="ZWAdobeF" w:cs="ZWAdobeF"/>
          <w:iCs/>
          <w:color w:val="auto"/>
          <w:sz w:val="2"/>
          <w:szCs w:val="2"/>
        </w:rPr>
        <w:t>2F</w:t>
      </w:r>
      <w:r w:rsidR="00E72EF4" w:rsidRPr="00C84924">
        <w:rPr>
          <w:rStyle w:val="FootnoteReference"/>
        </w:rPr>
        <w:footnoteReference w:id="4"/>
      </w:r>
    </w:p>
    <w:p w14:paraId="58D6923D" w14:textId="67F3933A" w:rsidR="00213699" w:rsidRDefault="00BD5C95" w:rsidP="00B40D11">
      <w:pPr>
        <w:pStyle w:val="BodyText2"/>
        <w:numPr>
          <w:ilvl w:val="3"/>
          <w:numId w:val="25"/>
        </w:numPr>
        <w:ind w:hanging="567"/>
      </w:pPr>
      <w:r>
        <w:rPr>
          <w:rFonts w:ascii="ZWAdobeF" w:hAnsi="ZWAdobeF" w:cs="ZWAdobeF"/>
          <w:color w:val="auto"/>
          <w:sz w:val="2"/>
          <w:szCs w:val="2"/>
        </w:rPr>
        <w:t>880B</w:t>
      </w:r>
      <w:r w:rsidR="0049638A">
        <w:rPr>
          <w:rFonts w:ascii="ZWAdobeF" w:hAnsi="ZWAdobeF" w:cs="ZWAdobeF"/>
          <w:color w:val="auto"/>
          <w:sz w:val="2"/>
          <w:szCs w:val="2"/>
        </w:rPr>
        <w:t>880B</w:t>
      </w:r>
      <w:r w:rsidR="00D629FA">
        <w:rPr>
          <w:rFonts w:ascii="ZWAdobeF" w:hAnsi="ZWAdobeF" w:cs="ZWAdobeF"/>
          <w:color w:val="auto"/>
          <w:sz w:val="2"/>
          <w:szCs w:val="2"/>
        </w:rPr>
        <w:t>880B</w:t>
      </w:r>
      <w:r w:rsidR="00213699">
        <w:t xml:space="preserve">A settlement was reached in </w:t>
      </w:r>
      <w:r w:rsidR="00213699" w:rsidRPr="008D7007">
        <w:rPr>
          <w:i/>
          <w:iCs/>
        </w:rPr>
        <w:t>Strathboss Kiwifruit v Attorney-General</w:t>
      </w:r>
      <w:r w:rsidR="00213699">
        <w:t>, with the Government agreeing to pay the claimants $40 million.</w:t>
      </w:r>
      <w:r w:rsidR="00D629FA">
        <w:rPr>
          <w:rFonts w:ascii="ZWAdobeF" w:hAnsi="ZWAdobeF" w:cs="ZWAdobeF"/>
          <w:color w:val="auto"/>
          <w:sz w:val="2"/>
          <w:szCs w:val="2"/>
        </w:rPr>
        <w:t>3F</w:t>
      </w:r>
      <w:r w:rsidR="0049638A">
        <w:rPr>
          <w:rFonts w:ascii="ZWAdobeF" w:hAnsi="ZWAdobeF" w:cs="ZWAdobeF"/>
          <w:color w:val="auto"/>
          <w:sz w:val="2"/>
          <w:szCs w:val="2"/>
        </w:rPr>
        <w:t>3F</w:t>
      </w:r>
      <w:r w:rsidR="000D4978">
        <w:rPr>
          <w:rFonts w:ascii="ZWAdobeF" w:hAnsi="ZWAdobeF" w:cs="ZWAdobeF"/>
          <w:color w:val="auto"/>
          <w:sz w:val="2"/>
          <w:szCs w:val="2"/>
        </w:rPr>
        <w:t>3F</w:t>
      </w:r>
      <w:r w:rsidR="00213699">
        <w:rPr>
          <w:rStyle w:val="FootnoteReference"/>
        </w:rPr>
        <w:footnoteReference w:id="5"/>
      </w:r>
    </w:p>
    <w:p w14:paraId="064EDD96" w14:textId="4823D130" w:rsidR="009C726F" w:rsidRDefault="00BD5C95" w:rsidP="00B40D11">
      <w:pPr>
        <w:pStyle w:val="BodyText2"/>
        <w:numPr>
          <w:ilvl w:val="3"/>
          <w:numId w:val="38"/>
        </w:numPr>
        <w:ind w:hanging="567"/>
      </w:pPr>
      <w:r>
        <w:rPr>
          <w:rFonts w:ascii="ZWAdobeF" w:hAnsi="ZWAdobeF" w:cs="ZWAdobeF"/>
          <w:color w:val="auto"/>
          <w:sz w:val="2"/>
          <w:szCs w:val="2"/>
        </w:rPr>
        <w:t>881B</w:t>
      </w:r>
      <w:r w:rsidR="0049638A">
        <w:rPr>
          <w:rFonts w:ascii="ZWAdobeF" w:hAnsi="ZWAdobeF" w:cs="ZWAdobeF"/>
          <w:color w:val="auto"/>
          <w:sz w:val="2"/>
          <w:szCs w:val="2"/>
        </w:rPr>
        <w:t>881B</w:t>
      </w:r>
      <w:r w:rsidR="00D629FA">
        <w:rPr>
          <w:rFonts w:ascii="ZWAdobeF" w:hAnsi="ZWAdobeF" w:cs="ZWAdobeF"/>
          <w:color w:val="auto"/>
          <w:sz w:val="2"/>
          <w:szCs w:val="2"/>
        </w:rPr>
        <w:t>881B</w:t>
      </w:r>
      <w:r w:rsidR="009C726F">
        <w:t xml:space="preserve">Litigation was discontinued in </w:t>
      </w:r>
      <w:r w:rsidR="009C726F" w:rsidRPr="009C726F">
        <w:rPr>
          <w:i/>
          <w:iCs/>
        </w:rPr>
        <w:t>Paine v Carter Holt Harvey</w:t>
      </w:r>
      <w:r w:rsidR="009C726F">
        <w:t>, as the result of Harbour Litigation Funding withdrawing from funding the case.</w:t>
      </w:r>
      <w:r w:rsidR="00D629FA">
        <w:rPr>
          <w:rFonts w:ascii="ZWAdobeF" w:hAnsi="ZWAdobeF" w:cs="ZWAdobeF"/>
          <w:color w:val="auto"/>
          <w:sz w:val="2"/>
          <w:szCs w:val="2"/>
        </w:rPr>
        <w:t>4F</w:t>
      </w:r>
      <w:r w:rsidR="0049638A">
        <w:rPr>
          <w:rFonts w:ascii="ZWAdobeF" w:hAnsi="ZWAdobeF" w:cs="ZWAdobeF"/>
          <w:color w:val="auto"/>
          <w:sz w:val="2"/>
          <w:szCs w:val="2"/>
        </w:rPr>
        <w:t>4F</w:t>
      </w:r>
      <w:r w:rsidR="000D4978">
        <w:rPr>
          <w:rFonts w:ascii="ZWAdobeF" w:hAnsi="ZWAdobeF" w:cs="ZWAdobeF"/>
          <w:color w:val="auto"/>
          <w:sz w:val="2"/>
          <w:szCs w:val="2"/>
        </w:rPr>
        <w:t>4F</w:t>
      </w:r>
      <w:r w:rsidR="009C726F">
        <w:rPr>
          <w:rStyle w:val="FootnoteReference"/>
        </w:rPr>
        <w:footnoteReference w:id="6"/>
      </w:r>
      <w:r w:rsidR="009C726F">
        <w:t xml:space="preserve"> The same funder also withdrew from funding </w:t>
      </w:r>
      <w:r w:rsidR="009C726F" w:rsidRPr="009C726F">
        <w:rPr>
          <w:i/>
          <w:iCs/>
        </w:rPr>
        <w:t>White v James Hardie</w:t>
      </w:r>
      <w:r w:rsidR="009C726F">
        <w:t>, which resulted in the litigation being discontinued part-way through the substantive hearing.</w:t>
      </w:r>
      <w:r w:rsidR="00D629FA">
        <w:rPr>
          <w:rFonts w:ascii="ZWAdobeF" w:hAnsi="ZWAdobeF" w:cs="ZWAdobeF"/>
          <w:color w:val="auto"/>
          <w:sz w:val="2"/>
          <w:szCs w:val="2"/>
        </w:rPr>
        <w:t>5F</w:t>
      </w:r>
      <w:r w:rsidR="0049638A">
        <w:rPr>
          <w:rFonts w:ascii="ZWAdobeF" w:hAnsi="ZWAdobeF" w:cs="ZWAdobeF"/>
          <w:color w:val="auto"/>
          <w:sz w:val="2"/>
          <w:szCs w:val="2"/>
        </w:rPr>
        <w:t>5F</w:t>
      </w:r>
      <w:r w:rsidR="000D4978">
        <w:rPr>
          <w:rFonts w:ascii="ZWAdobeF" w:hAnsi="ZWAdobeF" w:cs="ZWAdobeF"/>
          <w:color w:val="auto"/>
          <w:sz w:val="2"/>
          <w:szCs w:val="2"/>
        </w:rPr>
        <w:t>5F</w:t>
      </w:r>
      <w:r w:rsidR="009C726F">
        <w:rPr>
          <w:rStyle w:val="FootnoteReference"/>
        </w:rPr>
        <w:footnoteReference w:id="7"/>
      </w:r>
    </w:p>
    <w:p w14:paraId="38078443" w14:textId="211D065E" w:rsidR="009C726F" w:rsidRDefault="00BD5C95" w:rsidP="00B40D11">
      <w:pPr>
        <w:pStyle w:val="BodyText2"/>
        <w:numPr>
          <w:ilvl w:val="3"/>
          <w:numId w:val="38"/>
        </w:numPr>
        <w:ind w:hanging="567"/>
      </w:pPr>
      <w:r>
        <w:rPr>
          <w:rFonts w:ascii="ZWAdobeF" w:hAnsi="ZWAdobeF" w:cs="ZWAdobeF"/>
          <w:color w:val="auto"/>
          <w:sz w:val="2"/>
          <w:szCs w:val="2"/>
        </w:rPr>
        <w:t>882B</w:t>
      </w:r>
      <w:r w:rsidR="0049638A">
        <w:rPr>
          <w:rFonts w:ascii="ZWAdobeF" w:hAnsi="ZWAdobeF" w:cs="ZWAdobeF"/>
          <w:color w:val="auto"/>
          <w:sz w:val="2"/>
          <w:szCs w:val="2"/>
        </w:rPr>
        <w:t>882B</w:t>
      </w:r>
      <w:r w:rsidR="00D629FA">
        <w:rPr>
          <w:rFonts w:ascii="ZWAdobeF" w:hAnsi="ZWAdobeF" w:cs="ZWAdobeF"/>
          <w:color w:val="auto"/>
          <w:sz w:val="2"/>
          <w:szCs w:val="2"/>
        </w:rPr>
        <w:t>882B</w:t>
      </w:r>
      <w:r w:rsidR="009C726F">
        <w:t xml:space="preserve">The High Court released its substantive judgment in </w:t>
      </w:r>
      <w:r w:rsidR="009C726F" w:rsidRPr="009C726F">
        <w:rPr>
          <w:i/>
          <w:iCs/>
        </w:rPr>
        <w:t xml:space="preserve">Cridge v Studorp, </w:t>
      </w:r>
      <w:r w:rsidR="009C726F">
        <w:t>which found for the defendants.</w:t>
      </w:r>
      <w:r w:rsidR="00D629FA">
        <w:rPr>
          <w:rFonts w:ascii="ZWAdobeF" w:hAnsi="ZWAdobeF" w:cs="ZWAdobeF"/>
          <w:color w:val="auto"/>
          <w:sz w:val="2"/>
          <w:szCs w:val="2"/>
        </w:rPr>
        <w:t>6F</w:t>
      </w:r>
      <w:r w:rsidR="0049638A">
        <w:rPr>
          <w:rFonts w:ascii="ZWAdobeF" w:hAnsi="ZWAdobeF" w:cs="ZWAdobeF"/>
          <w:color w:val="auto"/>
          <w:sz w:val="2"/>
          <w:szCs w:val="2"/>
        </w:rPr>
        <w:t>6F</w:t>
      </w:r>
      <w:r w:rsidR="000D4978">
        <w:rPr>
          <w:rFonts w:ascii="ZWAdobeF" w:hAnsi="ZWAdobeF" w:cs="ZWAdobeF"/>
          <w:color w:val="auto"/>
          <w:sz w:val="2"/>
          <w:szCs w:val="2"/>
        </w:rPr>
        <w:t>6F</w:t>
      </w:r>
      <w:r w:rsidR="009C726F">
        <w:rPr>
          <w:rStyle w:val="FootnoteReference"/>
        </w:rPr>
        <w:footnoteReference w:id="8"/>
      </w:r>
    </w:p>
    <w:p w14:paraId="5E235CBB" w14:textId="7189F526" w:rsidR="009C726F" w:rsidRDefault="00BD5C95" w:rsidP="00B40D11">
      <w:pPr>
        <w:pStyle w:val="BodyText2"/>
        <w:numPr>
          <w:ilvl w:val="3"/>
          <w:numId w:val="38"/>
        </w:numPr>
        <w:ind w:hanging="567"/>
      </w:pPr>
      <w:r>
        <w:rPr>
          <w:rFonts w:ascii="ZWAdobeF" w:hAnsi="ZWAdobeF" w:cs="ZWAdobeF"/>
          <w:color w:val="auto"/>
          <w:sz w:val="2"/>
          <w:szCs w:val="2"/>
        </w:rPr>
        <w:t>883B</w:t>
      </w:r>
      <w:r w:rsidR="0049638A">
        <w:rPr>
          <w:rFonts w:ascii="ZWAdobeF" w:hAnsi="ZWAdobeF" w:cs="ZWAdobeF"/>
          <w:color w:val="auto"/>
          <w:sz w:val="2"/>
          <w:szCs w:val="2"/>
        </w:rPr>
        <w:t>883B</w:t>
      </w:r>
      <w:r w:rsidR="00D629FA">
        <w:rPr>
          <w:rFonts w:ascii="ZWAdobeF" w:hAnsi="ZWAdobeF" w:cs="ZWAdobeF"/>
          <w:color w:val="auto"/>
          <w:sz w:val="2"/>
          <w:szCs w:val="2"/>
        </w:rPr>
        <w:t>883B</w:t>
      </w:r>
      <w:r w:rsidR="009C726F">
        <w:t xml:space="preserve">A settlement has been reached in </w:t>
      </w:r>
      <w:r w:rsidR="009C726F" w:rsidRPr="009C726F">
        <w:rPr>
          <w:i/>
          <w:iCs/>
        </w:rPr>
        <w:t xml:space="preserve">Scott v ANZ, </w:t>
      </w:r>
      <w:r w:rsidR="009C726F">
        <w:t>which was a case brought on behalf of investors in Ross Asset Management</w:t>
      </w:r>
      <w:r w:rsidR="009C726F" w:rsidRPr="009C726F">
        <w:rPr>
          <w:i/>
          <w:iCs/>
        </w:rPr>
        <w:t xml:space="preserve">. </w:t>
      </w:r>
      <w:r w:rsidR="009C726F">
        <w:t>We understand the parties are seeking High Court approval of the settlement.</w:t>
      </w:r>
      <w:r w:rsidR="00D629FA">
        <w:rPr>
          <w:rFonts w:ascii="ZWAdobeF" w:hAnsi="ZWAdobeF" w:cs="ZWAdobeF"/>
          <w:color w:val="auto"/>
          <w:sz w:val="2"/>
          <w:szCs w:val="2"/>
        </w:rPr>
        <w:t>7F</w:t>
      </w:r>
      <w:r w:rsidR="0049638A">
        <w:rPr>
          <w:rFonts w:ascii="ZWAdobeF" w:hAnsi="ZWAdobeF" w:cs="ZWAdobeF"/>
          <w:color w:val="auto"/>
          <w:sz w:val="2"/>
          <w:szCs w:val="2"/>
        </w:rPr>
        <w:t>7F</w:t>
      </w:r>
      <w:r w:rsidR="000D4978">
        <w:rPr>
          <w:rFonts w:ascii="ZWAdobeF" w:hAnsi="ZWAdobeF" w:cs="ZWAdobeF"/>
          <w:color w:val="auto"/>
          <w:sz w:val="2"/>
          <w:szCs w:val="2"/>
        </w:rPr>
        <w:t>7F</w:t>
      </w:r>
      <w:r w:rsidR="009C726F">
        <w:rPr>
          <w:rStyle w:val="FootnoteReference"/>
        </w:rPr>
        <w:footnoteReference w:id="9"/>
      </w:r>
    </w:p>
    <w:p w14:paraId="0ED13317" w14:textId="548EAB10" w:rsidR="00213699" w:rsidRDefault="00BD5C95" w:rsidP="00B40D11">
      <w:pPr>
        <w:pStyle w:val="BodyText2"/>
        <w:ind w:hanging="567"/>
      </w:pPr>
      <w:r>
        <w:rPr>
          <w:rFonts w:ascii="ZWAdobeF" w:hAnsi="ZWAdobeF" w:cs="ZWAdobeF"/>
          <w:color w:val="auto"/>
          <w:sz w:val="2"/>
          <w:szCs w:val="2"/>
        </w:rPr>
        <w:t>884B</w:t>
      </w:r>
      <w:r w:rsidR="0049638A">
        <w:rPr>
          <w:rFonts w:ascii="ZWAdobeF" w:hAnsi="ZWAdobeF" w:cs="ZWAdobeF"/>
          <w:color w:val="auto"/>
          <w:sz w:val="2"/>
          <w:szCs w:val="2"/>
        </w:rPr>
        <w:t>884B</w:t>
      </w:r>
      <w:r w:rsidR="00D629FA">
        <w:rPr>
          <w:rFonts w:ascii="ZWAdobeF" w:hAnsi="ZWAdobeF" w:cs="ZWAdobeF"/>
          <w:color w:val="auto"/>
          <w:sz w:val="2"/>
          <w:szCs w:val="2"/>
        </w:rPr>
        <w:t>884B</w:t>
      </w:r>
      <w:r w:rsidR="00213699">
        <w:t xml:space="preserve">In September 2021, the High Court released four interlocutory judgments in </w:t>
      </w:r>
      <w:r w:rsidR="00213699">
        <w:rPr>
          <w:i/>
          <w:iCs/>
        </w:rPr>
        <w:t>Ross v Southern Response</w:t>
      </w:r>
      <w:r w:rsidR="00213699">
        <w:t>.</w:t>
      </w:r>
      <w:r w:rsidR="00D629FA">
        <w:rPr>
          <w:rFonts w:ascii="ZWAdobeF" w:hAnsi="ZWAdobeF" w:cs="ZWAdobeF"/>
          <w:color w:val="auto"/>
          <w:sz w:val="2"/>
          <w:szCs w:val="2"/>
        </w:rPr>
        <w:t>8F</w:t>
      </w:r>
      <w:r w:rsidR="0049638A">
        <w:rPr>
          <w:rFonts w:ascii="ZWAdobeF" w:hAnsi="ZWAdobeF" w:cs="ZWAdobeF"/>
          <w:color w:val="auto"/>
          <w:sz w:val="2"/>
          <w:szCs w:val="2"/>
        </w:rPr>
        <w:t>8F</w:t>
      </w:r>
      <w:r w:rsidR="000D4978">
        <w:rPr>
          <w:rFonts w:ascii="ZWAdobeF" w:hAnsi="ZWAdobeF" w:cs="ZWAdobeF"/>
          <w:color w:val="auto"/>
          <w:sz w:val="2"/>
          <w:szCs w:val="2"/>
        </w:rPr>
        <w:t>8F</w:t>
      </w:r>
      <w:r w:rsidR="00213699">
        <w:rPr>
          <w:rStyle w:val="FootnoteReference"/>
        </w:rPr>
        <w:footnoteReference w:id="10"/>
      </w:r>
      <w:r w:rsidR="00213699">
        <w:t xml:space="preserve">  </w:t>
      </w:r>
    </w:p>
    <w:p w14:paraId="6C821695" w14:textId="00457330" w:rsidR="005266EB" w:rsidRDefault="00BD5C95" w:rsidP="00B40D11">
      <w:pPr>
        <w:pStyle w:val="BodyText2"/>
        <w:ind w:hanging="567"/>
      </w:pPr>
      <w:r>
        <w:rPr>
          <w:rFonts w:ascii="ZWAdobeF" w:hAnsi="ZWAdobeF" w:cs="ZWAdobeF"/>
          <w:color w:val="auto"/>
          <w:sz w:val="2"/>
          <w:szCs w:val="2"/>
        </w:rPr>
        <w:t>885B</w:t>
      </w:r>
      <w:r w:rsidR="0049638A">
        <w:rPr>
          <w:rFonts w:ascii="ZWAdobeF" w:hAnsi="ZWAdobeF" w:cs="ZWAdobeF"/>
          <w:color w:val="auto"/>
          <w:sz w:val="2"/>
          <w:szCs w:val="2"/>
        </w:rPr>
        <w:t>885B</w:t>
      </w:r>
      <w:r w:rsidR="00D629FA">
        <w:rPr>
          <w:rFonts w:ascii="ZWAdobeF" w:hAnsi="ZWAdobeF" w:cs="ZWAdobeF"/>
          <w:color w:val="auto"/>
          <w:sz w:val="2"/>
          <w:szCs w:val="2"/>
        </w:rPr>
        <w:t>885B</w:t>
      </w:r>
      <w:r w:rsidR="005266EB">
        <w:t>A proceeding has been brought against two banks with respect to alleged breaches of the Credit Contracts and Consumer Finance Act</w:t>
      </w:r>
      <w:r w:rsidR="00093CEC">
        <w:t xml:space="preserve"> 2003</w:t>
      </w:r>
      <w:r w:rsidR="005266EB">
        <w:t>.</w:t>
      </w:r>
      <w:r w:rsidR="00D629FA">
        <w:rPr>
          <w:rFonts w:ascii="ZWAdobeF" w:hAnsi="ZWAdobeF" w:cs="ZWAdobeF"/>
          <w:color w:val="auto"/>
          <w:sz w:val="2"/>
          <w:szCs w:val="2"/>
        </w:rPr>
        <w:t>9F</w:t>
      </w:r>
      <w:r w:rsidR="0049638A">
        <w:rPr>
          <w:rFonts w:ascii="ZWAdobeF" w:hAnsi="ZWAdobeF" w:cs="ZWAdobeF"/>
          <w:color w:val="auto"/>
          <w:sz w:val="2"/>
          <w:szCs w:val="2"/>
        </w:rPr>
        <w:t>9F</w:t>
      </w:r>
      <w:r w:rsidR="000D4978">
        <w:rPr>
          <w:rFonts w:ascii="ZWAdobeF" w:hAnsi="ZWAdobeF" w:cs="ZWAdobeF"/>
          <w:color w:val="auto"/>
          <w:sz w:val="2"/>
          <w:szCs w:val="2"/>
        </w:rPr>
        <w:t>9F</w:t>
      </w:r>
      <w:r w:rsidR="00D55EC6">
        <w:rPr>
          <w:rStyle w:val="FootnoteReference"/>
        </w:rPr>
        <w:footnoteReference w:id="11"/>
      </w:r>
      <w:r w:rsidR="005266EB">
        <w:t xml:space="preserve"> </w:t>
      </w:r>
    </w:p>
    <w:p w14:paraId="78429F56" w14:textId="68CD72CA" w:rsidR="00213699" w:rsidRDefault="00BD5C95" w:rsidP="00023718">
      <w:pPr>
        <w:pStyle w:val="ListNumber"/>
      </w:pPr>
      <w:r>
        <w:rPr>
          <w:rFonts w:ascii="ZWAdobeF" w:hAnsi="ZWAdobeF" w:cs="ZWAdobeF"/>
          <w:color w:val="auto"/>
          <w:sz w:val="2"/>
          <w:szCs w:val="2"/>
        </w:rPr>
        <w:lastRenderedPageBreak/>
        <w:t>957B</w:t>
      </w:r>
      <w:r w:rsidR="0049638A">
        <w:rPr>
          <w:rFonts w:ascii="ZWAdobeF" w:hAnsi="ZWAdobeF" w:cs="ZWAdobeF"/>
          <w:color w:val="auto"/>
          <w:sz w:val="2"/>
          <w:szCs w:val="2"/>
        </w:rPr>
        <w:t>957B</w:t>
      </w:r>
      <w:r w:rsidR="00D629FA">
        <w:rPr>
          <w:rFonts w:ascii="ZWAdobeF" w:hAnsi="ZWAdobeF" w:cs="ZWAdobeF"/>
          <w:color w:val="auto"/>
          <w:sz w:val="2"/>
          <w:szCs w:val="2"/>
        </w:rPr>
        <w:t>957B</w:t>
      </w:r>
      <w:r w:rsidR="00213699">
        <w:t>A broader civil litigation development is the Rules Committee’s consultation on reforms to improve access to civil justice.</w:t>
      </w:r>
      <w:r w:rsidR="00D629FA">
        <w:rPr>
          <w:rFonts w:ascii="ZWAdobeF" w:hAnsi="ZWAdobeF" w:cs="ZWAdobeF"/>
          <w:color w:val="auto"/>
          <w:sz w:val="2"/>
          <w:szCs w:val="2"/>
        </w:rPr>
        <w:t>10F</w:t>
      </w:r>
      <w:r w:rsidR="0049638A">
        <w:rPr>
          <w:rFonts w:ascii="ZWAdobeF" w:hAnsi="ZWAdobeF" w:cs="ZWAdobeF"/>
          <w:color w:val="auto"/>
          <w:sz w:val="2"/>
          <w:szCs w:val="2"/>
        </w:rPr>
        <w:t>10F</w:t>
      </w:r>
      <w:r w:rsidR="000D4978">
        <w:rPr>
          <w:rFonts w:ascii="ZWAdobeF" w:hAnsi="ZWAdobeF" w:cs="ZWAdobeF"/>
          <w:color w:val="auto"/>
          <w:sz w:val="2"/>
          <w:szCs w:val="2"/>
        </w:rPr>
        <w:t>10F</w:t>
      </w:r>
      <w:r w:rsidR="00213699">
        <w:rPr>
          <w:rStyle w:val="FootnoteReference"/>
        </w:rPr>
        <w:footnoteReference w:id="12"/>
      </w:r>
      <w:r w:rsidR="00213699">
        <w:t xml:space="preserve"> The Committee released a consultation document in May 2021 and is currently considering the submissions it received.</w:t>
      </w:r>
      <w:r w:rsidR="00D629FA">
        <w:rPr>
          <w:rFonts w:ascii="ZWAdobeF" w:hAnsi="ZWAdobeF" w:cs="ZWAdobeF"/>
          <w:color w:val="auto"/>
          <w:sz w:val="2"/>
          <w:szCs w:val="2"/>
        </w:rPr>
        <w:t>11F</w:t>
      </w:r>
      <w:r w:rsidR="0049638A">
        <w:rPr>
          <w:rFonts w:ascii="ZWAdobeF" w:hAnsi="ZWAdobeF" w:cs="ZWAdobeF"/>
          <w:color w:val="auto"/>
          <w:sz w:val="2"/>
          <w:szCs w:val="2"/>
        </w:rPr>
        <w:t>11F</w:t>
      </w:r>
      <w:r w:rsidR="000D4978">
        <w:rPr>
          <w:rFonts w:ascii="ZWAdobeF" w:hAnsi="ZWAdobeF" w:cs="ZWAdobeF"/>
          <w:color w:val="auto"/>
          <w:sz w:val="2"/>
          <w:szCs w:val="2"/>
        </w:rPr>
        <w:t>11F</w:t>
      </w:r>
      <w:r w:rsidR="00213699">
        <w:rPr>
          <w:rStyle w:val="FootnoteReference"/>
        </w:rPr>
        <w:footnoteReference w:id="13"/>
      </w:r>
      <w:r w:rsidR="00213699">
        <w:t xml:space="preserve"> The NZLS also continues its work on improving access to justice, including a recent survey of the profession on access to justice to build its evidence base.</w:t>
      </w:r>
      <w:r w:rsidR="00D629FA">
        <w:rPr>
          <w:rFonts w:ascii="ZWAdobeF" w:hAnsi="ZWAdobeF" w:cs="ZWAdobeF"/>
          <w:color w:val="auto"/>
          <w:sz w:val="2"/>
          <w:szCs w:val="2"/>
        </w:rPr>
        <w:t>12F</w:t>
      </w:r>
      <w:r w:rsidR="0049638A">
        <w:rPr>
          <w:rFonts w:ascii="ZWAdobeF" w:hAnsi="ZWAdobeF" w:cs="ZWAdobeF"/>
          <w:color w:val="auto"/>
          <w:sz w:val="2"/>
          <w:szCs w:val="2"/>
        </w:rPr>
        <w:t>12F</w:t>
      </w:r>
      <w:r w:rsidR="000D4978">
        <w:rPr>
          <w:rFonts w:ascii="ZWAdobeF" w:hAnsi="ZWAdobeF" w:cs="ZWAdobeF"/>
          <w:color w:val="auto"/>
          <w:sz w:val="2"/>
          <w:szCs w:val="2"/>
        </w:rPr>
        <w:t>12F</w:t>
      </w:r>
      <w:r w:rsidR="00213699">
        <w:rPr>
          <w:rStyle w:val="FootnoteReference"/>
        </w:rPr>
        <w:footnoteReference w:id="14"/>
      </w:r>
      <w:r w:rsidR="00213699">
        <w:t xml:space="preserve"> </w:t>
      </w:r>
    </w:p>
    <w:p w14:paraId="2EE78D0C" w14:textId="183311A2" w:rsidR="00213699" w:rsidRDefault="00BD5C95" w:rsidP="00023718">
      <w:pPr>
        <w:pStyle w:val="ListNumber"/>
      </w:pPr>
      <w:r>
        <w:rPr>
          <w:rFonts w:ascii="ZWAdobeF" w:hAnsi="ZWAdobeF" w:cs="ZWAdobeF"/>
          <w:color w:val="auto"/>
          <w:sz w:val="2"/>
          <w:szCs w:val="2"/>
        </w:rPr>
        <w:t>958B</w:t>
      </w:r>
      <w:r w:rsidR="0049638A">
        <w:rPr>
          <w:rFonts w:ascii="ZWAdobeF" w:hAnsi="ZWAdobeF" w:cs="ZWAdobeF"/>
          <w:color w:val="auto"/>
          <w:sz w:val="2"/>
          <w:szCs w:val="2"/>
        </w:rPr>
        <w:t>958B</w:t>
      </w:r>
      <w:r w:rsidR="00D629FA">
        <w:rPr>
          <w:rFonts w:ascii="ZWAdobeF" w:hAnsi="ZWAdobeF" w:cs="ZWAdobeF"/>
          <w:color w:val="auto"/>
          <w:sz w:val="2"/>
          <w:szCs w:val="2"/>
        </w:rPr>
        <w:t>958B</w:t>
      </w:r>
      <w:r w:rsidR="00213699">
        <w:t>Overseas developments include:</w:t>
      </w:r>
    </w:p>
    <w:p w14:paraId="041AC0EE" w14:textId="2CB9A655" w:rsidR="00213699" w:rsidRDefault="00BD5C95" w:rsidP="003E2524">
      <w:pPr>
        <w:pStyle w:val="BodyText2"/>
        <w:numPr>
          <w:ilvl w:val="3"/>
          <w:numId w:val="26"/>
        </w:numPr>
        <w:ind w:hanging="567"/>
      </w:pPr>
      <w:r>
        <w:rPr>
          <w:rFonts w:ascii="ZWAdobeF" w:hAnsi="ZWAdobeF" w:cs="ZWAdobeF"/>
          <w:color w:val="auto"/>
          <w:sz w:val="2"/>
          <w:szCs w:val="2"/>
        </w:rPr>
        <w:t>886B</w:t>
      </w:r>
      <w:r w:rsidR="0049638A">
        <w:rPr>
          <w:rFonts w:ascii="ZWAdobeF" w:hAnsi="ZWAdobeF" w:cs="ZWAdobeF"/>
          <w:color w:val="auto"/>
          <w:sz w:val="2"/>
          <w:szCs w:val="2"/>
        </w:rPr>
        <w:t>886B</w:t>
      </w:r>
      <w:r w:rsidR="00D629FA">
        <w:rPr>
          <w:rFonts w:ascii="ZWAdobeF" w:hAnsi="ZWAdobeF" w:cs="ZWAdobeF"/>
          <w:color w:val="auto"/>
          <w:sz w:val="2"/>
          <w:szCs w:val="2"/>
        </w:rPr>
        <w:t>886B</w:t>
      </w:r>
      <w:r w:rsidR="00213699">
        <w:t>The report of the Australian Parliamentary Joint Committee on Corporations and Financial Services on litigation funding and the regulation of the class action industry (Australian Parliamentary Inquiry).</w:t>
      </w:r>
      <w:r w:rsidR="00D629FA">
        <w:rPr>
          <w:rFonts w:ascii="ZWAdobeF" w:hAnsi="ZWAdobeF" w:cs="ZWAdobeF"/>
          <w:color w:val="auto"/>
          <w:sz w:val="2"/>
          <w:szCs w:val="2"/>
        </w:rPr>
        <w:t>13F</w:t>
      </w:r>
      <w:r w:rsidR="0049638A">
        <w:rPr>
          <w:rFonts w:ascii="ZWAdobeF" w:hAnsi="ZWAdobeF" w:cs="ZWAdobeF"/>
          <w:color w:val="auto"/>
          <w:sz w:val="2"/>
          <w:szCs w:val="2"/>
        </w:rPr>
        <w:t>13F</w:t>
      </w:r>
      <w:r w:rsidR="000D4978">
        <w:rPr>
          <w:rFonts w:ascii="ZWAdobeF" w:hAnsi="ZWAdobeF" w:cs="ZWAdobeF"/>
          <w:color w:val="auto"/>
          <w:sz w:val="2"/>
          <w:szCs w:val="2"/>
        </w:rPr>
        <w:t>13F</w:t>
      </w:r>
      <w:r w:rsidR="00213699">
        <w:rPr>
          <w:rStyle w:val="FootnoteReference"/>
        </w:rPr>
        <w:footnoteReference w:id="15"/>
      </w:r>
    </w:p>
    <w:p w14:paraId="11682D73" w14:textId="692EDF19" w:rsidR="00213699" w:rsidRDefault="00BD5C95" w:rsidP="003E2524">
      <w:pPr>
        <w:pStyle w:val="BodyText2"/>
        <w:numPr>
          <w:ilvl w:val="3"/>
          <w:numId w:val="26"/>
        </w:numPr>
        <w:ind w:hanging="567"/>
      </w:pPr>
      <w:r>
        <w:rPr>
          <w:rFonts w:ascii="ZWAdobeF" w:hAnsi="ZWAdobeF" w:cs="ZWAdobeF"/>
          <w:color w:val="auto"/>
          <w:sz w:val="2"/>
          <w:szCs w:val="2"/>
        </w:rPr>
        <w:t>887B</w:t>
      </w:r>
      <w:r w:rsidR="0049638A">
        <w:rPr>
          <w:rFonts w:ascii="ZWAdobeF" w:hAnsi="ZWAdobeF" w:cs="ZWAdobeF"/>
          <w:color w:val="auto"/>
          <w:sz w:val="2"/>
          <w:szCs w:val="2"/>
        </w:rPr>
        <w:t>887B</w:t>
      </w:r>
      <w:r w:rsidR="00D629FA">
        <w:rPr>
          <w:rFonts w:ascii="ZWAdobeF" w:hAnsi="ZWAdobeF" w:cs="ZWAdobeF"/>
          <w:color w:val="auto"/>
          <w:sz w:val="2"/>
          <w:szCs w:val="2"/>
        </w:rPr>
        <w:t>887B</w:t>
      </w:r>
      <w:r w:rsidR="00213699">
        <w:t xml:space="preserve">The High Court of Australia released its decision in </w:t>
      </w:r>
      <w:r w:rsidR="00213699" w:rsidRPr="00023718">
        <w:rPr>
          <w:i/>
          <w:iCs/>
        </w:rPr>
        <w:t>Wigmans v AMP Ltd</w:t>
      </w:r>
      <w:r w:rsidR="00213699">
        <w:t>, which addressed competing class actions.</w:t>
      </w:r>
      <w:r w:rsidR="00D629FA">
        <w:rPr>
          <w:rFonts w:ascii="ZWAdobeF" w:hAnsi="ZWAdobeF" w:cs="ZWAdobeF"/>
          <w:color w:val="auto"/>
          <w:sz w:val="2"/>
          <w:szCs w:val="2"/>
        </w:rPr>
        <w:t>14F</w:t>
      </w:r>
      <w:r w:rsidR="0049638A">
        <w:rPr>
          <w:rFonts w:ascii="ZWAdobeF" w:hAnsi="ZWAdobeF" w:cs="ZWAdobeF"/>
          <w:color w:val="auto"/>
          <w:sz w:val="2"/>
          <w:szCs w:val="2"/>
        </w:rPr>
        <w:t>14F</w:t>
      </w:r>
      <w:r w:rsidR="000D4978">
        <w:rPr>
          <w:rFonts w:ascii="ZWAdobeF" w:hAnsi="ZWAdobeF" w:cs="ZWAdobeF"/>
          <w:color w:val="auto"/>
          <w:sz w:val="2"/>
          <w:szCs w:val="2"/>
        </w:rPr>
        <w:t>14F</w:t>
      </w:r>
      <w:r w:rsidR="00213699">
        <w:rPr>
          <w:rStyle w:val="FootnoteReference"/>
        </w:rPr>
        <w:footnoteReference w:id="16"/>
      </w:r>
      <w:r w:rsidR="00213699">
        <w:t xml:space="preserve"> </w:t>
      </w:r>
    </w:p>
    <w:p w14:paraId="64A45716" w14:textId="4631A237" w:rsidR="00213699" w:rsidRDefault="00BD5C95" w:rsidP="003E2524">
      <w:pPr>
        <w:pStyle w:val="BodyText2"/>
        <w:numPr>
          <w:ilvl w:val="3"/>
          <w:numId w:val="26"/>
        </w:numPr>
        <w:ind w:hanging="567"/>
      </w:pPr>
      <w:r>
        <w:rPr>
          <w:rFonts w:ascii="ZWAdobeF" w:hAnsi="ZWAdobeF" w:cs="ZWAdobeF"/>
          <w:color w:val="auto"/>
          <w:sz w:val="2"/>
          <w:szCs w:val="2"/>
        </w:rPr>
        <w:t>888B</w:t>
      </w:r>
      <w:r w:rsidR="0049638A">
        <w:rPr>
          <w:rFonts w:ascii="ZWAdobeF" w:hAnsi="ZWAdobeF" w:cs="ZWAdobeF"/>
          <w:color w:val="auto"/>
          <w:sz w:val="2"/>
          <w:szCs w:val="2"/>
        </w:rPr>
        <w:t>888B</w:t>
      </w:r>
      <w:r w:rsidR="00D629FA">
        <w:rPr>
          <w:rFonts w:ascii="ZWAdobeF" w:hAnsi="ZWAdobeF" w:cs="ZWAdobeF"/>
          <w:color w:val="auto"/>
          <w:sz w:val="2"/>
          <w:szCs w:val="2"/>
        </w:rPr>
        <w:t>888B</w:t>
      </w:r>
      <w:r w:rsidR="00213699">
        <w:t xml:space="preserve">The United Kingdom Supreme Court released its decision in </w:t>
      </w:r>
      <w:r w:rsidR="00213699" w:rsidRPr="00023718">
        <w:rPr>
          <w:i/>
          <w:iCs/>
        </w:rPr>
        <w:t>Mastercard Inc v Merricks</w:t>
      </w:r>
      <w:r w:rsidR="00213699">
        <w:t>.</w:t>
      </w:r>
      <w:r w:rsidR="00D629FA">
        <w:rPr>
          <w:rFonts w:ascii="ZWAdobeF" w:hAnsi="ZWAdobeF" w:cs="ZWAdobeF"/>
          <w:color w:val="auto"/>
          <w:sz w:val="2"/>
          <w:szCs w:val="2"/>
        </w:rPr>
        <w:t>15F</w:t>
      </w:r>
      <w:r w:rsidR="0049638A">
        <w:rPr>
          <w:rFonts w:ascii="ZWAdobeF" w:hAnsi="ZWAdobeF" w:cs="ZWAdobeF"/>
          <w:color w:val="auto"/>
          <w:sz w:val="2"/>
          <w:szCs w:val="2"/>
        </w:rPr>
        <w:t>15F</w:t>
      </w:r>
      <w:r w:rsidR="000D4978">
        <w:rPr>
          <w:rFonts w:ascii="ZWAdobeF" w:hAnsi="ZWAdobeF" w:cs="ZWAdobeF"/>
          <w:color w:val="auto"/>
          <w:sz w:val="2"/>
          <w:szCs w:val="2"/>
        </w:rPr>
        <w:t>15F</w:t>
      </w:r>
      <w:r w:rsidR="00213699">
        <w:rPr>
          <w:rStyle w:val="FootnoteReference"/>
        </w:rPr>
        <w:footnoteReference w:id="17"/>
      </w:r>
      <w:r w:rsidR="00213699">
        <w:t xml:space="preserve"> The case considered the certification criteria for class actions in the United Kingdom Competition Appeal Tribunal.</w:t>
      </w:r>
    </w:p>
    <w:p w14:paraId="0FADDDAF" w14:textId="3C73C177" w:rsidR="00213699" w:rsidRDefault="00BD5C95" w:rsidP="00023718">
      <w:pPr>
        <w:pStyle w:val="ListNumber"/>
      </w:pPr>
      <w:r>
        <w:rPr>
          <w:rFonts w:ascii="ZWAdobeF" w:hAnsi="ZWAdobeF" w:cs="ZWAdobeF"/>
          <w:color w:val="auto"/>
          <w:sz w:val="2"/>
          <w:szCs w:val="2"/>
        </w:rPr>
        <w:t>959B</w:t>
      </w:r>
      <w:r w:rsidR="0049638A">
        <w:rPr>
          <w:rFonts w:ascii="ZWAdobeF" w:hAnsi="ZWAdobeF" w:cs="ZWAdobeF"/>
          <w:color w:val="auto"/>
          <w:sz w:val="2"/>
          <w:szCs w:val="2"/>
        </w:rPr>
        <w:t>959B</w:t>
      </w:r>
      <w:r w:rsidR="00D629FA">
        <w:rPr>
          <w:rFonts w:ascii="ZWAdobeF" w:hAnsi="ZWAdobeF" w:cs="ZWAdobeF"/>
          <w:color w:val="auto"/>
          <w:sz w:val="2"/>
          <w:szCs w:val="2"/>
        </w:rPr>
        <w:t>959B</w:t>
      </w:r>
      <w:r w:rsidR="00213699">
        <w:t xml:space="preserve">We consider these developments in this paper, where relevant. </w:t>
      </w:r>
    </w:p>
    <w:p w14:paraId="1C1E2B43" w14:textId="77777777" w:rsidR="00213699" w:rsidRDefault="00213699" w:rsidP="00213699">
      <w:pPr>
        <w:pStyle w:val="Heading2"/>
      </w:pPr>
      <w:bookmarkStart w:id="36" w:name="_Toc83895430"/>
      <w:r>
        <w:t>A summary of some key policy decisions</w:t>
      </w:r>
      <w:bookmarkEnd w:id="36"/>
    </w:p>
    <w:p w14:paraId="4C6E7504" w14:textId="43F58172" w:rsidR="00213699" w:rsidRDefault="00BD5C95" w:rsidP="00023718">
      <w:pPr>
        <w:pStyle w:val="ListNumber"/>
      </w:pPr>
      <w:r>
        <w:rPr>
          <w:rFonts w:ascii="ZWAdobeF" w:hAnsi="ZWAdobeF" w:cs="ZWAdobeF"/>
          <w:color w:val="auto"/>
          <w:sz w:val="2"/>
          <w:szCs w:val="2"/>
        </w:rPr>
        <w:t>960B</w:t>
      </w:r>
      <w:r w:rsidR="0049638A">
        <w:rPr>
          <w:rFonts w:ascii="ZWAdobeF" w:hAnsi="ZWAdobeF" w:cs="ZWAdobeF"/>
          <w:color w:val="auto"/>
          <w:sz w:val="2"/>
          <w:szCs w:val="2"/>
        </w:rPr>
        <w:t>960B</w:t>
      </w:r>
      <w:r w:rsidR="00D629FA">
        <w:rPr>
          <w:rFonts w:ascii="ZWAdobeF" w:hAnsi="ZWAdobeF" w:cs="ZWAdobeF"/>
          <w:color w:val="auto"/>
          <w:sz w:val="2"/>
          <w:szCs w:val="2"/>
        </w:rPr>
        <w:t>960B</w:t>
      </w:r>
      <w:r w:rsidR="00213699">
        <w:t xml:space="preserve">While it is not the purpose of this Supplementary Issues Paper to outline our views on all the questions we asked in the Issues Paper, we need to explain our views on some matters to provide context for the further issues we discuss. In this section we briefly summarise the conclusions we have reached on the following matters: </w:t>
      </w:r>
    </w:p>
    <w:p w14:paraId="448C05D3" w14:textId="40D845AB" w:rsidR="00213699" w:rsidRDefault="00BD5C95" w:rsidP="003E2524">
      <w:pPr>
        <w:pStyle w:val="BodyText2"/>
        <w:numPr>
          <w:ilvl w:val="3"/>
          <w:numId w:val="27"/>
        </w:numPr>
        <w:ind w:hanging="567"/>
      </w:pPr>
      <w:r>
        <w:rPr>
          <w:rFonts w:ascii="ZWAdobeF" w:hAnsi="ZWAdobeF" w:cs="ZWAdobeF"/>
          <w:color w:val="auto"/>
          <w:sz w:val="2"/>
          <w:szCs w:val="2"/>
        </w:rPr>
        <w:t>889B</w:t>
      </w:r>
      <w:r w:rsidR="0049638A">
        <w:rPr>
          <w:rFonts w:ascii="ZWAdobeF" w:hAnsi="ZWAdobeF" w:cs="ZWAdobeF"/>
          <w:color w:val="auto"/>
          <w:sz w:val="2"/>
          <w:szCs w:val="2"/>
        </w:rPr>
        <w:t>889B</w:t>
      </w:r>
      <w:r w:rsidR="00D629FA">
        <w:rPr>
          <w:rFonts w:ascii="ZWAdobeF" w:hAnsi="ZWAdobeF" w:cs="ZWAdobeF"/>
          <w:color w:val="auto"/>
          <w:sz w:val="2"/>
          <w:szCs w:val="2"/>
        </w:rPr>
        <w:t>889B</w:t>
      </w:r>
      <w:r w:rsidR="00213699">
        <w:t>Desirability of a statutory class actions regime.</w:t>
      </w:r>
    </w:p>
    <w:p w14:paraId="4AC854A8" w14:textId="50254516" w:rsidR="00213699" w:rsidRDefault="00BD5C95" w:rsidP="003E2524">
      <w:pPr>
        <w:pStyle w:val="BodyText2"/>
        <w:numPr>
          <w:ilvl w:val="3"/>
          <w:numId w:val="27"/>
        </w:numPr>
        <w:ind w:hanging="567"/>
      </w:pPr>
      <w:r>
        <w:rPr>
          <w:rFonts w:ascii="ZWAdobeF" w:hAnsi="ZWAdobeF" w:cs="ZWAdobeF"/>
          <w:color w:val="auto"/>
          <w:sz w:val="2"/>
          <w:szCs w:val="2"/>
        </w:rPr>
        <w:t>890B</w:t>
      </w:r>
      <w:r w:rsidR="0049638A">
        <w:rPr>
          <w:rFonts w:ascii="ZWAdobeF" w:hAnsi="ZWAdobeF" w:cs="ZWAdobeF"/>
          <w:color w:val="auto"/>
          <w:sz w:val="2"/>
          <w:szCs w:val="2"/>
        </w:rPr>
        <w:t>890B</w:t>
      </w:r>
      <w:r w:rsidR="00D629FA">
        <w:rPr>
          <w:rFonts w:ascii="ZWAdobeF" w:hAnsi="ZWAdobeF" w:cs="ZWAdobeF"/>
          <w:color w:val="auto"/>
          <w:sz w:val="2"/>
          <w:szCs w:val="2"/>
        </w:rPr>
        <w:t>890B</w:t>
      </w:r>
      <w:r w:rsidR="00213699">
        <w:t>Objectives of class actions.</w:t>
      </w:r>
    </w:p>
    <w:p w14:paraId="0264852E" w14:textId="3F9EF4E1" w:rsidR="00213699" w:rsidRDefault="00BD5C95" w:rsidP="003E2524">
      <w:pPr>
        <w:pStyle w:val="BodyText2"/>
        <w:numPr>
          <w:ilvl w:val="3"/>
          <w:numId w:val="27"/>
        </w:numPr>
        <w:ind w:hanging="567"/>
      </w:pPr>
      <w:r>
        <w:rPr>
          <w:rFonts w:ascii="ZWAdobeF" w:hAnsi="ZWAdobeF" w:cs="ZWAdobeF"/>
          <w:color w:val="auto"/>
          <w:sz w:val="2"/>
          <w:szCs w:val="2"/>
        </w:rPr>
        <w:t>891B</w:t>
      </w:r>
      <w:r w:rsidR="0049638A">
        <w:rPr>
          <w:rFonts w:ascii="ZWAdobeF" w:hAnsi="ZWAdobeF" w:cs="ZWAdobeF"/>
          <w:color w:val="auto"/>
          <w:sz w:val="2"/>
          <w:szCs w:val="2"/>
        </w:rPr>
        <w:t>891B</w:t>
      </w:r>
      <w:r w:rsidR="00D629FA">
        <w:rPr>
          <w:rFonts w:ascii="ZWAdobeF" w:hAnsi="ZWAdobeF" w:cs="ZWAdobeF"/>
          <w:color w:val="auto"/>
          <w:sz w:val="2"/>
          <w:szCs w:val="2"/>
        </w:rPr>
        <w:t>891B</w:t>
      </w:r>
      <w:r w:rsidR="00213699">
        <w:t>Design principles for a class actions regime.</w:t>
      </w:r>
    </w:p>
    <w:p w14:paraId="6555E883" w14:textId="0ABAE990" w:rsidR="00213699" w:rsidRDefault="00BD5C95" w:rsidP="003E2524">
      <w:pPr>
        <w:pStyle w:val="BodyText2"/>
        <w:numPr>
          <w:ilvl w:val="3"/>
          <w:numId w:val="27"/>
        </w:numPr>
        <w:ind w:hanging="567"/>
      </w:pPr>
      <w:r>
        <w:rPr>
          <w:rFonts w:ascii="ZWAdobeF" w:hAnsi="ZWAdobeF" w:cs="ZWAdobeF"/>
          <w:color w:val="auto"/>
          <w:sz w:val="2"/>
          <w:szCs w:val="2"/>
        </w:rPr>
        <w:t>892B</w:t>
      </w:r>
      <w:r w:rsidR="0049638A">
        <w:rPr>
          <w:rFonts w:ascii="ZWAdobeF" w:hAnsi="ZWAdobeF" w:cs="ZWAdobeF"/>
          <w:color w:val="auto"/>
          <w:sz w:val="2"/>
          <w:szCs w:val="2"/>
        </w:rPr>
        <w:t>892B</w:t>
      </w:r>
      <w:r w:rsidR="00D629FA">
        <w:rPr>
          <w:rFonts w:ascii="ZWAdobeF" w:hAnsi="ZWAdobeF" w:cs="ZWAdobeF"/>
          <w:color w:val="auto"/>
          <w:sz w:val="2"/>
          <w:szCs w:val="2"/>
        </w:rPr>
        <w:t>892B</w:t>
      </w:r>
      <w:r w:rsidR="00213699">
        <w:t>Retention of HCR 4.24.</w:t>
      </w:r>
    </w:p>
    <w:p w14:paraId="2BC5C947" w14:textId="6C6C1DAA" w:rsidR="00213699" w:rsidRDefault="00BD5C95" w:rsidP="003E2524">
      <w:pPr>
        <w:pStyle w:val="BodyText2"/>
        <w:numPr>
          <w:ilvl w:val="3"/>
          <w:numId w:val="27"/>
        </w:numPr>
        <w:ind w:hanging="567"/>
      </w:pPr>
      <w:r>
        <w:rPr>
          <w:rFonts w:ascii="ZWAdobeF" w:hAnsi="ZWAdobeF" w:cs="ZWAdobeF"/>
          <w:color w:val="auto"/>
          <w:sz w:val="2"/>
          <w:szCs w:val="2"/>
        </w:rPr>
        <w:t>893B</w:t>
      </w:r>
      <w:r w:rsidR="0049638A">
        <w:rPr>
          <w:rFonts w:ascii="ZWAdobeF" w:hAnsi="ZWAdobeF" w:cs="ZWAdobeF"/>
          <w:color w:val="auto"/>
          <w:sz w:val="2"/>
          <w:szCs w:val="2"/>
        </w:rPr>
        <w:t>893B</w:t>
      </w:r>
      <w:r w:rsidR="00D629FA">
        <w:rPr>
          <w:rFonts w:ascii="ZWAdobeF" w:hAnsi="ZWAdobeF" w:cs="ZWAdobeF"/>
          <w:color w:val="auto"/>
          <w:sz w:val="2"/>
          <w:szCs w:val="2"/>
        </w:rPr>
        <w:t>893B</w:t>
      </w:r>
      <w:r w:rsidR="00213699">
        <w:t xml:space="preserve">Defendant class actions. </w:t>
      </w:r>
    </w:p>
    <w:p w14:paraId="5DC7718C" w14:textId="5F5F772F" w:rsidR="00213699" w:rsidRDefault="00BD5C95" w:rsidP="00023718">
      <w:pPr>
        <w:pStyle w:val="ListNumber"/>
      </w:pPr>
      <w:r>
        <w:rPr>
          <w:rFonts w:ascii="ZWAdobeF" w:hAnsi="ZWAdobeF" w:cs="ZWAdobeF"/>
          <w:color w:val="auto"/>
          <w:sz w:val="2"/>
          <w:szCs w:val="2"/>
        </w:rPr>
        <w:t>961B</w:t>
      </w:r>
      <w:r w:rsidR="0049638A">
        <w:rPr>
          <w:rFonts w:ascii="ZWAdobeF" w:hAnsi="ZWAdobeF" w:cs="ZWAdobeF"/>
          <w:color w:val="auto"/>
          <w:sz w:val="2"/>
          <w:szCs w:val="2"/>
        </w:rPr>
        <w:t>961B</w:t>
      </w:r>
      <w:r w:rsidR="00D629FA">
        <w:rPr>
          <w:rFonts w:ascii="ZWAdobeF" w:hAnsi="ZWAdobeF" w:cs="ZWAdobeF"/>
          <w:color w:val="auto"/>
          <w:sz w:val="2"/>
          <w:szCs w:val="2"/>
        </w:rPr>
        <w:t>961B</w:t>
      </w:r>
      <w:r w:rsidR="00213699">
        <w:t>In Chapter 1, we also discuss the conclusions we have reached on whether to have a certification stage and the certification test</w:t>
      </w:r>
      <w:r w:rsidR="004442F0">
        <w:t>. This includes our conclusion on whether both opt-in and opt-out class actions should be allowed.</w:t>
      </w:r>
      <w:r w:rsidR="00213699">
        <w:t xml:space="preserve"> </w:t>
      </w:r>
    </w:p>
    <w:p w14:paraId="475BF002" w14:textId="77777777" w:rsidR="00213699" w:rsidRDefault="00213699" w:rsidP="00213699">
      <w:pPr>
        <w:pStyle w:val="Heading3"/>
      </w:pPr>
      <w:r>
        <w:lastRenderedPageBreak/>
        <w:t xml:space="preserve">Statutory class actions regime is desirable </w:t>
      </w:r>
    </w:p>
    <w:p w14:paraId="2D136900" w14:textId="612EE6F7" w:rsidR="00213699" w:rsidRDefault="00BD5C95" w:rsidP="00023718">
      <w:pPr>
        <w:pStyle w:val="ListNumber"/>
      </w:pPr>
      <w:r>
        <w:rPr>
          <w:rFonts w:ascii="ZWAdobeF" w:hAnsi="ZWAdobeF" w:cs="ZWAdobeF"/>
          <w:color w:val="auto"/>
          <w:sz w:val="2"/>
          <w:szCs w:val="2"/>
        </w:rPr>
        <w:t>962B</w:t>
      </w:r>
      <w:r w:rsidR="0049638A">
        <w:rPr>
          <w:rFonts w:ascii="ZWAdobeF" w:hAnsi="ZWAdobeF" w:cs="ZWAdobeF"/>
          <w:color w:val="auto"/>
          <w:sz w:val="2"/>
          <w:szCs w:val="2"/>
        </w:rPr>
        <w:t>962B</w:t>
      </w:r>
      <w:r w:rsidR="00D629FA">
        <w:rPr>
          <w:rFonts w:ascii="ZWAdobeF" w:hAnsi="ZWAdobeF" w:cs="ZWAdobeF"/>
          <w:color w:val="auto"/>
          <w:sz w:val="2"/>
          <w:szCs w:val="2"/>
        </w:rPr>
        <w:t>962B</w:t>
      </w:r>
      <w:r w:rsidR="00213699">
        <w:t xml:space="preserve">The Issues Paper discussed the issues that have arisen with using the representative actions rule in HCR 4.24 for group litigation and the potential advantages and disadvantages of class actions. We asked submitters: </w:t>
      </w:r>
    </w:p>
    <w:p w14:paraId="5CAFEA88" w14:textId="7928F38A" w:rsidR="00213699" w:rsidRDefault="00BD5C95" w:rsidP="003E2524">
      <w:pPr>
        <w:pStyle w:val="BodyText2"/>
        <w:numPr>
          <w:ilvl w:val="3"/>
          <w:numId w:val="28"/>
        </w:numPr>
        <w:ind w:hanging="567"/>
      </w:pPr>
      <w:r>
        <w:rPr>
          <w:rFonts w:ascii="ZWAdobeF" w:hAnsi="ZWAdobeF" w:cs="ZWAdobeF"/>
          <w:color w:val="auto"/>
          <w:sz w:val="2"/>
          <w:szCs w:val="2"/>
        </w:rPr>
        <w:t>894B</w:t>
      </w:r>
      <w:r w:rsidR="0049638A">
        <w:rPr>
          <w:rFonts w:ascii="ZWAdobeF" w:hAnsi="ZWAdobeF" w:cs="ZWAdobeF"/>
          <w:color w:val="auto"/>
          <w:sz w:val="2"/>
          <w:szCs w:val="2"/>
        </w:rPr>
        <w:t>894B</w:t>
      </w:r>
      <w:r w:rsidR="00D629FA">
        <w:rPr>
          <w:rFonts w:ascii="ZWAdobeF" w:hAnsi="ZWAdobeF" w:cs="ZWAdobeF"/>
          <w:color w:val="auto"/>
          <w:sz w:val="2"/>
          <w:szCs w:val="2"/>
        </w:rPr>
        <w:t>894B</w:t>
      </w:r>
      <w:r w:rsidR="00213699">
        <w:t>What problems have you encountered when relying on HCR 4.24 for group litigation (Q</w:t>
      </w:r>
      <w:r w:rsidR="004401F4">
        <w:t xml:space="preserve"> </w:t>
      </w:r>
      <w:r w:rsidR="00213699">
        <w:t>1)?</w:t>
      </w:r>
      <w:r w:rsidR="00D629FA">
        <w:rPr>
          <w:rFonts w:ascii="ZWAdobeF" w:hAnsi="ZWAdobeF" w:cs="ZWAdobeF"/>
          <w:color w:val="auto"/>
          <w:sz w:val="2"/>
          <w:szCs w:val="2"/>
        </w:rPr>
        <w:t>16F</w:t>
      </w:r>
      <w:r w:rsidR="0049638A">
        <w:rPr>
          <w:rFonts w:ascii="ZWAdobeF" w:hAnsi="ZWAdobeF" w:cs="ZWAdobeF"/>
          <w:color w:val="auto"/>
          <w:sz w:val="2"/>
          <w:szCs w:val="2"/>
        </w:rPr>
        <w:t>16F</w:t>
      </w:r>
      <w:r w:rsidR="000D4978">
        <w:rPr>
          <w:rFonts w:ascii="ZWAdobeF" w:hAnsi="ZWAdobeF" w:cs="ZWAdobeF"/>
          <w:color w:val="auto"/>
          <w:sz w:val="2"/>
          <w:szCs w:val="2"/>
        </w:rPr>
        <w:t>16F</w:t>
      </w:r>
      <w:r w:rsidR="00213699">
        <w:rPr>
          <w:rStyle w:val="FootnoteReference"/>
        </w:rPr>
        <w:footnoteReference w:id="18"/>
      </w:r>
      <w:r w:rsidR="00213699">
        <w:t xml:space="preserve"> </w:t>
      </w:r>
    </w:p>
    <w:p w14:paraId="63C552D3" w14:textId="3313F3FD" w:rsidR="00213699" w:rsidRDefault="00BD5C95" w:rsidP="003E2524">
      <w:pPr>
        <w:pStyle w:val="BodyText2"/>
        <w:numPr>
          <w:ilvl w:val="3"/>
          <w:numId w:val="28"/>
        </w:numPr>
        <w:ind w:hanging="567"/>
      </w:pPr>
      <w:r>
        <w:rPr>
          <w:rFonts w:ascii="ZWAdobeF" w:hAnsi="ZWAdobeF" w:cs="ZWAdobeF"/>
          <w:color w:val="auto"/>
          <w:sz w:val="2"/>
          <w:szCs w:val="2"/>
        </w:rPr>
        <w:t>895B</w:t>
      </w:r>
      <w:r w:rsidR="0049638A">
        <w:rPr>
          <w:rFonts w:ascii="ZWAdobeF" w:hAnsi="ZWAdobeF" w:cs="ZWAdobeF"/>
          <w:color w:val="auto"/>
          <w:sz w:val="2"/>
          <w:szCs w:val="2"/>
        </w:rPr>
        <w:t>895B</w:t>
      </w:r>
      <w:r w:rsidR="00D629FA">
        <w:rPr>
          <w:rFonts w:ascii="ZWAdobeF" w:hAnsi="ZWAdobeF" w:cs="ZWAdobeF"/>
          <w:color w:val="auto"/>
          <w:sz w:val="2"/>
          <w:szCs w:val="2"/>
        </w:rPr>
        <w:t>895B</w:t>
      </w:r>
      <w:r w:rsidR="00213699">
        <w:t>Which kinds of claims are unlikely to be brought under HCR 4.24 and why (Q</w:t>
      </w:r>
      <w:r w:rsidR="006033BA">
        <w:t xml:space="preserve"> </w:t>
      </w:r>
      <w:r w:rsidR="00213699">
        <w:t>2)?</w:t>
      </w:r>
      <w:r w:rsidR="00D629FA">
        <w:rPr>
          <w:rFonts w:ascii="ZWAdobeF" w:hAnsi="ZWAdobeF" w:cs="ZWAdobeF"/>
          <w:color w:val="auto"/>
          <w:sz w:val="2"/>
          <w:szCs w:val="2"/>
        </w:rPr>
        <w:t>17F</w:t>
      </w:r>
      <w:r w:rsidR="0049638A">
        <w:rPr>
          <w:rFonts w:ascii="ZWAdobeF" w:hAnsi="ZWAdobeF" w:cs="ZWAdobeF"/>
          <w:color w:val="auto"/>
          <w:sz w:val="2"/>
          <w:szCs w:val="2"/>
        </w:rPr>
        <w:t>17F</w:t>
      </w:r>
      <w:r w:rsidR="000D4978">
        <w:rPr>
          <w:rFonts w:ascii="ZWAdobeF" w:hAnsi="ZWAdobeF" w:cs="ZWAdobeF"/>
          <w:color w:val="auto"/>
          <w:sz w:val="2"/>
          <w:szCs w:val="2"/>
        </w:rPr>
        <w:t>17F</w:t>
      </w:r>
      <w:r w:rsidR="00213699">
        <w:rPr>
          <w:rStyle w:val="FootnoteReference"/>
        </w:rPr>
        <w:footnoteReference w:id="19"/>
      </w:r>
    </w:p>
    <w:p w14:paraId="24074651" w14:textId="1F83F852" w:rsidR="00213699" w:rsidRDefault="00BD5C95" w:rsidP="003E2524">
      <w:pPr>
        <w:pStyle w:val="BodyText2"/>
        <w:numPr>
          <w:ilvl w:val="3"/>
          <w:numId w:val="28"/>
        </w:numPr>
        <w:ind w:hanging="567"/>
      </w:pPr>
      <w:r>
        <w:rPr>
          <w:rFonts w:ascii="ZWAdobeF" w:hAnsi="ZWAdobeF" w:cs="ZWAdobeF"/>
          <w:color w:val="auto"/>
          <w:sz w:val="2"/>
          <w:szCs w:val="2"/>
        </w:rPr>
        <w:t>896B</w:t>
      </w:r>
      <w:r w:rsidR="0049638A">
        <w:rPr>
          <w:rFonts w:ascii="ZWAdobeF" w:hAnsi="ZWAdobeF" w:cs="ZWAdobeF"/>
          <w:color w:val="auto"/>
          <w:sz w:val="2"/>
          <w:szCs w:val="2"/>
        </w:rPr>
        <w:t>896B</w:t>
      </w:r>
      <w:r w:rsidR="00D629FA">
        <w:rPr>
          <w:rFonts w:ascii="ZWAdobeF" w:hAnsi="ZWAdobeF" w:cs="ZWAdobeF"/>
          <w:color w:val="auto"/>
          <w:sz w:val="2"/>
          <w:szCs w:val="2"/>
        </w:rPr>
        <w:t>896B</w:t>
      </w:r>
      <w:r w:rsidR="00213699">
        <w:t>What do you see as the advantages of class actions (Q</w:t>
      </w:r>
      <w:r w:rsidR="006033BA">
        <w:t xml:space="preserve"> </w:t>
      </w:r>
      <w:r w:rsidR="00213699">
        <w:t>3)?</w:t>
      </w:r>
      <w:r w:rsidR="00D629FA">
        <w:rPr>
          <w:rFonts w:ascii="ZWAdobeF" w:hAnsi="ZWAdobeF" w:cs="ZWAdobeF"/>
          <w:color w:val="auto"/>
          <w:sz w:val="2"/>
          <w:szCs w:val="2"/>
        </w:rPr>
        <w:t>18F</w:t>
      </w:r>
      <w:r w:rsidR="0049638A">
        <w:rPr>
          <w:rFonts w:ascii="ZWAdobeF" w:hAnsi="ZWAdobeF" w:cs="ZWAdobeF"/>
          <w:color w:val="auto"/>
          <w:sz w:val="2"/>
          <w:szCs w:val="2"/>
        </w:rPr>
        <w:t>18F</w:t>
      </w:r>
      <w:r w:rsidR="000D4978">
        <w:rPr>
          <w:rFonts w:ascii="ZWAdobeF" w:hAnsi="ZWAdobeF" w:cs="ZWAdobeF"/>
          <w:color w:val="auto"/>
          <w:sz w:val="2"/>
          <w:szCs w:val="2"/>
        </w:rPr>
        <w:t>18F</w:t>
      </w:r>
      <w:r w:rsidR="00213699">
        <w:rPr>
          <w:rStyle w:val="FootnoteReference"/>
        </w:rPr>
        <w:footnoteReference w:id="20"/>
      </w:r>
      <w:r w:rsidR="00213699">
        <w:t xml:space="preserve"> </w:t>
      </w:r>
    </w:p>
    <w:p w14:paraId="462146D9" w14:textId="24DA193D" w:rsidR="00213699" w:rsidRDefault="00BD5C95" w:rsidP="003E2524">
      <w:pPr>
        <w:pStyle w:val="BodyText2"/>
        <w:numPr>
          <w:ilvl w:val="3"/>
          <w:numId w:val="28"/>
        </w:numPr>
        <w:ind w:hanging="567"/>
      </w:pPr>
      <w:r>
        <w:rPr>
          <w:rFonts w:ascii="ZWAdobeF" w:hAnsi="ZWAdobeF" w:cs="ZWAdobeF"/>
          <w:color w:val="auto"/>
          <w:sz w:val="2"/>
          <w:szCs w:val="2"/>
        </w:rPr>
        <w:t>897B</w:t>
      </w:r>
      <w:r w:rsidR="0049638A">
        <w:rPr>
          <w:rFonts w:ascii="ZWAdobeF" w:hAnsi="ZWAdobeF" w:cs="ZWAdobeF"/>
          <w:color w:val="auto"/>
          <w:sz w:val="2"/>
          <w:szCs w:val="2"/>
        </w:rPr>
        <w:t>897B</w:t>
      </w:r>
      <w:r w:rsidR="00D629FA">
        <w:rPr>
          <w:rFonts w:ascii="ZWAdobeF" w:hAnsi="ZWAdobeF" w:cs="ZWAdobeF"/>
          <w:color w:val="auto"/>
          <w:sz w:val="2"/>
          <w:szCs w:val="2"/>
        </w:rPr>
        <w:t>897B</w:t>
      </w:r>
      <w:r w:rsidR="00213699">
        <w:t>Do you have any concerns about class actions (Q</w:t>
      </w:r>
      <w:r w:rsidR="006033BA">
        <w:t xml:space="preserve"> </w:t>
      </w:r>
      <w:r w:rsidR="00213699">
        <w:t>4)?</w:t>
      </w:r>
      <w:r w:rsidR="00D629FA">
        <w:rPr>
          <w:rFonts w:ascii="ZWAdobeF" w:hAnsi="ZWAdobeF" w:cs="ZWAdobeF"/>
          <w:color w:val="auto"/>
          <w:sz w:val="2"/>
          <w:szCs w:val="2"/>
        </w:rPr>
        <w:t>19F</w:t>
      </w:r>
      <w:r w:rsidR="0049638A">
        <w:rPr>
          <w:rFonts w:ascii="ZWAdobeF" w:hAnsi="ZWAdobeF" w:cs="ZWAdobeF"/>
          <w:color w:val="auto"/>
          <w:sz w:val="2"/>
          <w:szCs w:val="2"/>
        </w:rPr>
        <w:t>19F</w:t>
      </w:r>
      <w:r w:rsidR="000D4978">
        <w:rPr>
          <w:rFonts w:ascii="ZWAdobeF" w:hAnsi="ZWAdobeF" w:cs="ZWAdobeF"/>
          <w:color w:val="auto"/>
          <w:sz w:val="2"/>
          <w:szCs w:val="2"/>
        </w:rPr>
        <w:t>19F</w:t>
      </w:r>
      <w:r w:rsidR="00213699">
        <w:rPr>
          <w:rStyle w:val="FootnoteReference"/>
        </w:rPr>
        <w:footnoteReference w:id="21"/>
      </w:r>
    </w:p>
    <w:p w14:paraId="05A7E03B" w14:textId="534C91A9" w:rsidR="00213699" w:rsidRDefault="00BD5C95" w:rsidP="00023718">
      <w:pPr>
        <w:pStyle w:val="ListNumber"/>
      </w:pPr>
      <w:r>
        <w:rPr>
          <w:rFonts w:ascii="ZWAdobeF" w:hAnsi="ZWAdobeF" w:cs="ZWAdobeF"/>
          <w:color w:val="auto"/>
          <w:sz w:val="2"/>
          <w:szCs w:val="2"/>
        </w:rPr>
        <w:t>963B</w:t>
      </w:r>
      <w:r w:rsidR="0049638A">
        <w:rPr>
          <w:rFonts w:ascii="ZWAdobeF" w:hAnsi="ZWAdobeF" w:cs="ZWAdobeF"/>
          <w:color w:val="auto"/>
          <w:sz w:val="2"/>
          <w:szCs w:val="2"/>
        </w:rPr>
        <w:t>963B</w:t>
      </w:r>
      <w:r w:rsidR="00D629FA">
        <w:rPr>
          <w:rFonts w:ascii="ZWAdobeF" w:hAnsi="ZWAdobeF" w:cs="ZWAdobeF"/>
          <w:color w:val="auto"/>
          <w:sz w:val="2"/>
          <w:szCs w:val="2"/>
        </w:rPr>
        <w:t>963B</w:t>
      </w:r>
      <w:r w:rsidR="00213699">
        <w:t xml:space="preserve">We received extensive submissions on each of these questions and we will discuss that feedback in the </w:t>
      </w:r>
      <w:r w:rsidR="00CE5C1A">
        <w:t>f</w:t>
      </w:r>
      <w:r w:rsidR="00213699">
        <w:t xml:space="preserve">inal </w:t>
      </w:r>
      <w:r w:rsidR="00CE5C1A">
        <w:t>r</w:t>
      </w:r>
      <w:r w:rsidR="00213699">
        <w:t xml:space="preserve">eport. One common theme was that HCR 4.24 does not provide sufficient clarity on when cases should be allowed to proceed and how they should be managed. This can increase delay and cost and affect the viability of cases. Submitters were more divided on other issues. Some submitters </w:t>
      </w:r>
      <w:r w:rsidR="004442F0">
        <w:t>saw</w:t>
      </w:r>
      <w:r w:rsidR="00213699">
        <w:t xml:space="preserve"> class actions as a means </w:t>
      </w:r>
      <w:r w:rsidR="00F7524F">
        <w:t>of</w:t>
      </w:r>
      <w:r w:rsidR="00213699">
        <w:t xml:space="preserve"> improving access to justice and consider</w:t>
      </w:r>
      <w:r w:rsidR="007805EA">
        <w:t>ed</w:t>
      </w:r>
      <w:r w:rsidR="00213699">
        <w:t xml:space="preserve"> risks such as meritless litigation and negative impacts on the insurance market to be unfounded. Other submitters expressed reservations about the extent to which class actions can improve access to justice and pointed to potential disadvantages of class actions, such as forcing defendants to settle unmeritorious claims, negative impacts on the insurance market and deterring people from becoming directors. </w:t>
      </w:r>
    </w:p>
    <w:p w14:paraId="1451F268" w14:textId="5E06FC85" w:rsidR="00213699" w:rsidRDefault="00BD5C95" w:rsidP="00023718">
      <w:pPr>
        <w:pStyle w:val="ListNumber"/>
      </w:pPr>
      <w:r>
        <w:rPr>
          <w:rFonts w:ascii="ZWAdobeF" w:hAnsi="ZWAdobeF" w:cs="ZWAdobeF"/>
          <w:color w:val="auto"/>
          <w:sz w:val="2"/>
          <w:szCs w:val="2"/>
        </w:rPr>
        <w:t>964B</w:t>
      </w:r>
      <w:r w:rsidR="0049638A">
        <w:rPr>
          <w:rFonts w:ascii="ZWAdobeF" w:hAnsi="ZWAdobeF" w:cs="ZWAdobeF"/>
          <w:color w:val="auto"/>
          <w:sz w:val="2"/>
          <w:szCs w:val="2"/>
        </w:rPr>
        <w:t>964B</w:t>
      </w:r>
      <w:r w:rsidR="00D629FA">
        <w:rPr>
          <w:rFonts w:ascii="ZWAdobeF" w:hAnsi="ZWAdobeF" w:cs="ZWAdobeF"/>
          <w:color w:val="auto"/>
          <w:sz w:val="2"/>
          <w:szCs w:val="2"/>
        </w:rPr>
        <w:t>964B</w:t>
      </w:r>
      <w:r w:rsidR="00213699">
        <w:t>Our Issues Paper expressed the preliminary view that it would be desirable to have a statutory class actions regime for Aotearoa New Zealand.</w:t>
      </w:r>
      <w:r w:rsidR="00D629FA">
        <w:rPr>
          <w:rFonts w:ascii="ZWAdobeF" w:hAnsi="ZWAdobeF" w:cs="ZWAdobeF"/>
          <w:color w:val="auto"/>
          <w:sz w:val="2"/>
          <w:szCs w:val="2"/>
        </w:rPr>
        <w:t>20F</w:t>
      </w:r>
      <w:r w:rsidR="0049638A">
        <w:rPr>
          <w:rFonts w:ascii="ZWAdobeF" w:hAnsi="ZWAdobeF" w:cs="ZWAdobeF"/>
          <w:color w:val="auto"/>
          <w:sz w:val="2"/>
          <w:szCs w:val="2"/>
        </w:rPr>
        <w:t>20F</w:t>
      </w:r>
      <w:r w:rsidR="000D4978">
        <w:rPr>
          <w:rFonts w:ascii="ZWAdobeF" w:hAnsi="ZWAdobeF" w:cs="ZWAdobeF"/>
          <w:color w:val="auto"/>
          <w:sz w:val="2"/>
          <w:szCs w:val="2"/>
        </w:rPr>
        <w:t>20F</w:t>
      </w:r>
      <w:r w:rsidR="00102CFE">
        <w:rPr>
          <w:rStyle w:val="FootnoteReference"/>
        </w:rPr>
        <w:footnoteReference w:id="22"/>
      </w:r>
      <w:r w:rsidR="00213699">
        <w:t xml:space="preserve"> We reached this view because:</w:t>
      </w:r>
    </w:p>
    <w:p w14:paraId="26CD3163" w14:textId="5FD41A38" w:rsidR="00213699" w:rsidRPr="0087009F" w:rsidRDefault="00BD5C95" w:rsidP="00932DB9">
      <w:pPr>
        <w:pStyle w:val="BodyTextalphalist"/>
        <w:numPr>
          <w:ilvl w:val="3"/>
          <w:numId w:val="14"/>
        </w:numPr>
        <w:tabs>
          <w:tab w:val="clear" w:pos="709"/>
        </w:tabs>
        <w:spacing w:after="80"/>
        <w:ind w:hanging="567"/>
        <w:rPr>
          <w:lang w:val="en-GB"/>
        </w:rPr>
      </w:pPr>
      <w:r>
        <w:rPr>
          <w:rFonts w:ascii="ZWAdobeF" w:hAnsi="ZWAdobeF" w:cs="ZWAdobeF"/>
          <w:color w:val="auto"/>
          <w:sz w:val="2"/>
          <w:szCs w:val="2"/>
        </w:rPr>
        <w:lastRenderedPageBreak/>
        <w:t>565B</w:t>
      </w:r>
      <w:r w:rsidR="0049638A">
        <w:rPr>
          <w:rFonts w:ascii="ZWAdobeF" w:hAnsi="ZWAdobeF" w:cs="ZWAdobeF"/>
          <w:color w:val="auto"/>
          <w:sz w:val="2"/>
          <w:szCs w:val="2"/>
        </w:rPr>
        <w:t>565B</w:t>
      </w:r>
      <w:r w:rsidR="00D629FA">
        <w:rPr>
          <w:rFonts w:ascii="ZWAdobeF" w:hAnsi="ZWAdobeF" w:cs="ZWAdobeF"/>
          <w:color w:val="auto"/>
          <w:sz w:val="2"/>
          <w:szCs w:val="2"/>
        </w:rPr>
        <w:t>565B</w:t>
      </w:r>
      <w:r w:rsidR="00213699" w:rsidRPr="63B5E8D0">
        <w:t xml:space="preserve">Group litigation is beneficial but </w:t>
      </w:r>
      <w:r w:rsidR="00213699">
        <w:t xml:space="preserve">HCR 4.24 and other group litigation procedures are </w:t>
      </w:r>
      <w:r w:rsidR="00213699" w:rsidRPr="63B5E8D0">
        <w:t>inadequate.</w:t>
      </w:r>
    </w:p>
    <w:p w14:paraId="28EC5FE2" w14:textId="1E272C1D" w:rsidR="00213699" w:rsidRPr="0087009F" w:rsidRDefault="00BD5C95" w:rsidP="00932DB9">
      <w:pPr>
        <w:pStyle w:val="BodyTextalphalist"/>
        <w:numPr>
          <w:ilvl w:val="3"/>
          <w:numId w:val="14"/>
        </w:numPr>
        <w:tabs>
          <w:tab w:val="clear" w:pos="709"/>
        </w:tabs>
        <w:spacing w:after="80"/>
        <w:ind w:hanging="567"/>
        <w:rPr>
          <w:lang w:val="en-GB"/>
        </w:rPr>
      </w:pPr>
      <w:r>
        <w:rPr>
          <w:rFonts w:ascii="ZWAdobeF" w:hAnsi="ZWAdobeF" w:cs="ZWAdobeF"/>
          <w:color w:val="auto"/>
          <w:sz w:val="2"/>
          <w:szCs w:val="2"/>
        </w:rPr>
        <w:t>566B</w:t>
      </w:r>
      <w:r w:rsidR="0049638A">
        <w:rPr>
          <w:rFonts w:ascii="ZWAdobeF" w:hAnsi="ZWAdobeF" w:cs="ZWAdobeF"/>
          <w:color w:val="auto"/>
          <w:sz w:val="2"/>
          <w:szCs w:val="2"/>
        </w:rPr>
        <w:t>566B</w:t>
      </w:r>
      <w:r w:rsidR="00D629FA">
        <w:rPr>
          <w:rFonts w:ascii="ZWAdobeF" w:hAnsi="ZWAdobeF" w:cs="ZWAdobeF"/>
          <w:color w:val="auto"/>
          <w:sz w:val="2"/>
          <w:szCs w:val="2"/>
        </w:rPr>
        <w:t>566B</w:t>
      </w:r>
      <w:r w:rsidR="00213699" w:rsidRPr="63B5E8D0">
        <w:t>Class actions are likely to improve access to justice, facilitate efficiency and economy of litigation and strengthen incentives for compliance with the law.</w:t>
      </w:r>
    </w:p>
    <w:p w14:paraId="0F272E6E" w14:textId="388695A2" w:rsidR="00213699" w:rsidRPr="0087009F" w:rsidRDefault="00BD5C95" w:rsidP="00932DB9">
      <w:pPr>
        <w:pStyle w:val="BodyTextalphalist"/>
        <w:numPr>
          <w:ilvl w:val="3"/>
          <w:numId w:val="14"/>
        </w:numPr>
        <w:tabs>
          <w:tab w:val="clear" w:pos="709"/>
        </w:tabs>
        <w:spacing w:after="80"/>
        <w:ind w:hanging="567"/>
        <w:rPr>
          <w:lang w:val="en-GB"/>
        </w:rPr>
      </w:pPr>
      <w:r>
        <w:rPr>
          <w:rFonts w:ascii="ZWAdobeF" w:hAnsi="ZWAdobeF" w:cs="ZWAdobeF"/>
          <w:color w:val="auto"/>
          <w:sz w:val="2"/>
          <w:szCs w:val="2"/>
        </w:rPr>
        <w:t>567B</w:t>
      </w:r>
      <w:r w:rsidR="0049638A">
        <w:rPr>
          <w:rFonts w:ascii="ZWAdobeF" w:hAnsi="ZWAdobeF" w:cs="ZWAdobeF"/>
          <w:color w:val="auto"/>
          <w:sz w:val="2"/>
          <w:szCs w:val="2"/>
        </w:rPr>
        <w:t>567B</w:t>
      </w:r>
      <w:r w:rsidR="00D629FA">
        <w:rPr>
          <w:rFonts w:ascii="ZWAdobeF" w:hAnsi="ZWAdobeF" w:cs="ZWAdobeF"/>
          <w:color w:val="auto"/>
          <w:sz w:val="2"/>
          <w:szCs w:val="2"/>
        </w:rPr>
        <w:t>567B</w:t>
      </w:r>
      <w:r w:rsidR="00213699" w:rsidRPr="63B5E8D0">
        <w:t>Many of the potential disadvantages of class actions can be mitigated by the design of the regime.</w:t>
      </w:r>
    </w:p>
    <w:p w14:paraId="6D2CF6D1" w14:textId="718C903E" w:rsidR="00213699" w:rsidRPr="0087009F" w:rsidRDefault="00BD5C95" w:rsidP="00932DB9">
      <w:pPr>
        <w:pStyle w:val="BodyTextalphalist"/>
        <w:numPr>
          <w:ilvl w:val="3"/>
          <w:numId w:val="14"/>
        </w:numPr>
        <w:tabs>
          <w:tab w:val="clear" w:pos="709"/>
        </w:tabs>
        <w:spacing w:after="80"/>
        <w:ind w:hanging="567"/>
        <w:rPr>
          <w:lang w:val="en-GB"/>
        </w:rPr>
      </w:pPr>
      <w:r>
        <w:rPr>
          <w:rFonts w:ascii="ZWAdobeF" w:hAnsi="ZWAdobeF" w:cs="ZWAdobeF"/>
          <w:color w:val="auto"/>
          <w:sz w:val="2"/>
          <w:szCs w:val="2"/>
        </w:rPr>
        <w:t>568B</w:t>
      </w:r>
      <w:r w:rsidR="0049638A">
        <w:rPr>
          <w:rFonts w:ascii="ZWAdobeF" w:hAnsi="ZWAdobeF" w:cs="ZWAdobeF"/>
          <w:color w:val="auto"/>
          <w:sz w:val="2"/>
          <w:szCs w:val="2"/>
        </w:rPr>
        <w:t>568B</w:t>
      </w:r>
      <w:r w:rsidR="00D629FA">
        <w:rPr>
          <w:rFonts w:ascii="ZWAdobeF" w:hAnsi="ZWAdobeF" w:cs="ZWAdobeF"/>
          <w:color w:val="auto"/>
          <w:sz w:val="2"/>
          <w:szCs w:val="2"/>
        </w:rPr>
        <w:t>568B</w:t>
      </w:r>
      <w:r w:rsidR="00213699" w:rsidRPr="63B5E8D0">
        <w:t xml:space="preserve">A statutory regime can provide greater certainty, predictability and transparency </w:t>
      </w:r>
      <w:r w:rsidR="00213699">
        <w:t xml:space="preserve">in </w:t>
      </w:r>
      <w:r w:rsidR="00213699" w:rsidRPr="63B5E8D0">
        <w:t>the law.</w:t>
      </w:r>
    </w:p>
    <w:p w14:paraId="7105AD5A" w14:textId="4D125F78" w:rsidR="00213699" w:rsidRDefault="00BD5C95" w:rsidP="00B82CD1">
      <w:pPr>
        <w:pStyle w:val="ListNumber"/>
      </w:pPr>
      <w:r>
        <w:rPr>
          <w:rFonts w:ascii="ZWAdobeF" w:hAnsi="ZWAdobeF" w:cs="ZWAdobeF"/>
          <w:color w:val="auto"/>
          <w:sz w:val="2"/>
          <w:szCs w:val="2"/>
        </w:rPr>
        <w:t>965B</w:t>
      </w:r>
      <w:r w:rsidR="0049638A">
        <w:rPr>
          <w:rFonts w:ascii="ZWAdobeF" w:hAnsi="ZWAdobeF" w:cs="ZWAdobeF"/>
          <w:color w:val="auto"/>
          <w:sz w:val="2"/>
          <w:szCs w:val="2"/>
        </w:rPr>
        <w:t>965B</w:t>
      </w:r>
      <w:r w:rsidR="00D629FA">
        <w:rPr>
          <w:rFonts w:ascii="ZWAdobeF" w:hAnsi="ZWAdobeF" w:cs="ZWAdobeF"/>
          <w:color w:val="auto"/>
          <w:sz w:val="2"/>
          <w:szCs w:val="2"/>
        </w:rPr>
        <w:t>965B</w:t>
      </w:r>
      <w:r w:rsidR="00213699">
        <w:t>We asked submitters whether Aotearoa New Zealand should have a statutory class actions regime (Q</w:t>
      </w:r>
      <w:r w:rsidR="000823BE">
        <w:t xml:space="preserve"> </w:t>
      </w:r>
      <w:r w:rsidR="00213699">
        <w:t>5). There were 38 submissions on this question, with 35 of those in favour of a statutory class actions regime.</w:t>
      </w:r>
      <w:r w:rsidR="00D629FA">
        <w:rPr>
          <w:rFonts w:ascii="ZWAdobeF" w:hAnsi="ZWAdobeF" w:cs="ZWAdobeF"/>
          <w:color w:val="auto"/>
          <w:sz w:val="2"/>
          <w:szCs w:val="2"/>
        </w:rPr>
        <w:t>21F</w:t>
      </w:r>
      <w:r w:rsidR="0049638A">
        <w:rPr>
          <w:rFonts w:ascii="ZWAdobeF" w:hAnsi="ZWAdobeF" w:cs="ZWAdobeF"/>
          <w:color w:val="auto"/>
          <w:sz w:val="2"/>
          <w:szCs w:val="2"/>
        </w:rPr>
        <w:t>21F</w:t>
      </w:r>
      <w:r w:rsidR="000D4978">
        <w:rPr>
          <w:rFonts w:ascii="ZWAdobeF" w:hAnsi="ZWAdobeF" w:cs="ZWAdobeF"/>
          <w:color w:val="auto"/>
          <w:sz w:val="2"/>
          <w:szCs w:val="2"/>
        </w:rPr>
        <w:t>21F</w:t>
      </w:r>
      <w:r w:rsidR="00213699">
        <w:rPr>
          <w:rStyle w:val="FootnoteReference"/>
        </w:rPr>
        <w:footnoteReference w:id="23"/>
      </w:r>
      <w:r w:rsidR="00213699">
        <w:t xml:space="preserve"> We will discuss the feedback in detail in our </w:t>
      </w:r>
      <w:r w:rsidR="00CE5C1A">
        <w:t>f</w:t>
      </w:r>
      <w:r w:rsidR="00213699">
        <w:t xml:space="preserve">inal </w:t>
      </w:r>
      <w:r w:rsidR="00CE5C1A">
        <w:t>r</w:t>
      </w:r>
      <w:r w:rsidR="00213699">
        <w:t xml:space="preserve">eport. Some key reasons for favouring a statutory class actions regime were: </w:t>
      </w:r>
    </w:p>
    <w:p w14:paraId="01D85899" w14:textId="06C9242A" w:rsidR="00213699" w:rsidRDefault="00BD5C95" w:rsidP="003E2524">
      <w:pPr>
        <w:pStyle w:val="BodyText2"/>
        <w:numPr>
          <w:ilvl w:val="3"/>
          <w:numId w:val="29"/>
        </w:numPr>
        <w:ind w:hanging="567"/>
      </w:pPr>
      <w:r>
        <w:rPr>
          <w:rFonts w:ascii="ZWAdobeF" w:hAnsi="ZWAdobeF" w:cs="ZWAdobeF"/>
          <w:color w:val="auto"/>
          <w:sz w:val="2"/>
          <w:szCs w:val="2"/>
        </w:rPr>
        <w:t>898B</w:t>
      </w:r>
      <w:r w:rsidR="0049638A">
        <w:rPr>
          <w:rFonts w:ascii="ZWAdobeF" w:hAnsi="ZWAdobeF" w:cs="ZWAdobeF"/>
          <w:color w:val="auto"/>
          <w:sz w:val="2"/>
          <w:szCs w:val="2"/>
        </w:rPr>
        <w:t>898B</w:t>
      </w:r>
      <w:r w:rsidR="00D629FA">
        <w:rPr>
          <w:rFonts w:ascii="ZWAdobeF" w:hAnsi="ZWAdobeF" w:cs="ZWAdobeF"/>
          <w:color w:val="auto"/>
          <w:sz w:val="2"/>
          <w:szCs w:val="2"/>
        </w:rPr>
        <w:t>898B</w:t>
      </w:r>
      <w:r w:rsidR="00213699">
        <w:t>It would be preferable to relying on HCR 4.24 and the law developing on an ad hoc basis.</w:t>
      </w:r>
    </w:p>
    <w:p w14:paraId="63CBA5A5" w14:textId="3DCD447C" w:rsidR="00213699" w:rsidRDefault="00BD5C95" w:rsidP="003E2524">
      <w:pPr>
        <w:pStyle w:val="BodyText2"/>
        <w:numPr>
          <w:ilvl w:val="3"/>
          <w:numId w:val="29"/>
        </w:numPr>
        <w:ind w:hanging="567"/>
      </w:pPr>
      <w:r>
        <w:rPr>
          <w:rFonts w:ascii="ZWAdobeF" w:hAnsi="ZWAdobeF" w:cs="ZWAdobeF"/>
          <w:color w:val="auto"/>
          <w:sz w:val="2"/>
          <w:szCs w:val="2"/>
        </w:rPr>
        <w:t>899B</w:t>
      </w:r>
      <w:r w:rsidR="0049638A">
        <w:rPr>
          <w:rFonts w:ascii="ZWAdobeF" w:hAnsi="ZWAdobeF" w:cs="ZWAdobeF"/>
          <w:color w:val="auto"/>
          <w:sz w:val="2"/>
          <w:szCs w:val="2"/>
        </w:rPr>
        <w:t>899B</w:t>
      </w:r>
      <w:r w:rsidR="00D629FA">
        <w:rPr>
          <w:rFonts w:ascii="ZWAdobeF" w:hAnsi="ZWAdobeF" w:cs="ZWAdobeF"/>
          <w:color w:val="auto"/>
          <w:sz w:val="2"/>
          <w:szCs w:val="2"/>
        </w:rPr>
        <w:t>899B</w:t>
      </w:r>
      <w:r w:rsidR="00213699">
        <w:t>It would provide greater certainty for participants.</w:t>
      </w:r>
    </w:p>
    <w:p w14:paraId="169E9066" w14:textId="66E01688" w:rsidR="00213699" w:rsidRDefault="00BD5C95" w:rsidP="003E2524">
      <w:pPr>
        <w:pStyle w:val="BodyText2"/>
        <w:numPr>
          <w:ilvl w:val="3"/>
          <w:numId w:val="29"/>
        </w:numPr>
        <w:ind w:hanging="567"/>
      </w:pPr>
      <w:r>
        <w:rPr>
          <w:rFonts w:ascii="ZWAdobeF" w:hAnsi="ZWAdobeF" w:cs="ZWAdobeF"/>
          <w:color w:val="auto"/>
          <w:sz w:val="2"/>
          <w:szCs w:val="2"/>
        </w:rPr>
        <w:t>900B</w:t>
      </w:r>
      <w:r w:rsidR="0049638A">
        <w:rPr>
          <w:rFonts w:ascii="ZWAdobeF" w:hAnsi="ZWAdobeF" w:cs="ZWAdobeF"/>
          <w:color w:val="auto"/>
          <w:sz w:val="2"/>
          <w:szCs w:val="2"/>
        </w:rPr>
        <w:t>900B</w:t>
      </w:r>
      <w:r w:rsidR="00D629FA">
        <w:rPr>
          <w:rFonts w:ascii="ZWAdobeF" w:hAnsi="ZWAdobeF" w:cs="ZWAdobeF"/>
          <w:color w:val="auto"/>
          <w:sz w:val="2"/>
          <w:szCs w:val="2"/>
        </w:rPr>
        <w:t>900B</w:t>
      </w:r>
      <w:r w:rsidR="00213699">
        <w:t>It would be the result of a more considered policy and legislative process.</w:t>
      </w:r>
    </w:p>
    <w:p w14:paraId="5C166149" w14:textId="3A8DA42D" w:rsidR="00213699" w:rsidRDefault="00BD5C95" w:rsidP="003E2524">
      <w:pPr>
        <w:pStyle w:val="BodyText2"/>
        <w:numPr>
          <w:ilvl w:val="3"/>
          <w:numId w:val="29"/>
        </w:numPr>
        <w:ind w:hanging="567"/>
      </w:pPr>
      <w:r>
        <w:rPr>
          <w:rFonts w:ascii="ZWAdobeF" w:hAnsi="ZWAdobeF" w:cs="ZWAdobeF"/>
          <w:color w:val="auto"/>
          <w:sz w:val="2"/>
          <w:szCs w:val="2"/>
        </w:rPr>
        <w:t>901B</w:t>
      </w:r>
      <w:r w:rsidR="0049638A">
        <w:rPr>
          <w:rFonts w:ascii="ZWAdobeF" w:hAnsi="ZWAdobeF" w:cs="ZWAdobeF"/>
          <w:color w:val="auto"/>
          <w:sz w:val="2"/>
          <w:szCs w:val="2"/>
        </w:rPr>
        <w:t>901B</w:t>
      </w:r>
      <w:r w:rsidR="00D629FA">
        <w:rPr>
          <w:rFonts w:ascii="ZWAdobeF" w:hAnsi="ZWAdobeF" w:cs="ZWAdobeF"/>
          <w:color w:val="auto"/>
          <w:sz w:val="2"/>
          <w:szCs w:val="2"/>
        </w:rPr>
        <w:t>901B</w:t>
      </w:r>
      <w:r w:rsidR="00213699">
        <w:t xml:space="preserve">It could increase access to justice. </w:t>
      </w:r>
    </w:p>
    <w:p w14:paraId="619F0B41" w14:textId="53067A46" w:rsidR="00213699" w:rsidRDefault="00BD5C95" w:rsidP="003E2524">
      <w:pPr>
        <w:pStyle w:val="BodyText2"/>
        <w:numPr>
          <w:ilvl w:val="3"/>
          <w:numId w:val="29"/>
        </w:numPr>
        <w:ind w:hanging="567"/>
      </w:pPr>
      <w:r>
        <w:rPr>
          <w:rFonts w:ascii="ZWAdobeF" w:hAnsi="ZWAdobeF" w:cs="ZWAdobeF"/>
          <w:color w:val="auto"/>
          <w:sz w:val="2"/>
          <w:szCs w:val="2"/>
        </w:rPr>
        <w:t>902B</w:t>
      </w:r>
      <w:r w:rsidR="0049638A">
        <w:rPr>
          <w:rFonts w:ascii="ZWAdobeF" w:hAnsi="ZWAdobeF" w:cs="ZWAdobeF"/>
          <w:color w:val="auto"/>
          <w:sz w:val="2"/>
          <w:szCs w:val="2"/>
        </w:rPr>
        <w:t>902B</w:t>
      </w:r>
      <w:r w:rsidR="00D629FA">
        <w:rPr>
          <w:rFonts w:ascii="ZWAdobeF" w:hAnsi="ZWAdobeF" w:cs="ZWAdobeF"/>
          <w:color w:val="auto"/>
          <w:sz w:val="2"/>
          <w:szCs w:val="2"/>
        </w:rPr>
        <w:t>902B</w:t>
      </w:r>
      <w:r w:rsidR="00213699">
        <w:t xml:space="preserve">It could be designed in a way that mitigates the potential disadvantages of class actions. </w:t>
      </w:r>
    </w:p>
    <w:p w14:paraId="2D7F9F5F" w14:textId="31ACF381" w:rsidR="00213699" w:rsidRDefault="00BD5C95" w:rsidP="00B82CD1">
      <w:pPr>
        <w:pStyle w:val="ListNumber"/>
      </w:pPr>
      <w:r>
        <w:rPr>
          <w:rFonts w:ascii="ZWAdobeF" w:hAnsi="ZWAdobeF" w:cs="ZWAdobeF"/>
          <w:color w:val="auto"/>
          <w:sz w:val="2"/>
          <w:szCs w:val="2"/>
        </w:rPr>
        <w:t>966B</w:t>
      </w:r>
      <w:r w:rsidR="0049638A">
        <w:rPr>
          <w:rFonts w:ascii="ZWAdobeF" w:hAnsi="ZWAdobeF" w:cs="ZWAdobeF"/>
          <w:color w:val="auto"/>
          <w:sz w:val="2"/>
          <w:szCs w:val="2"/>
        </w:rPr>
        <w:t>966B</w:t>
      </w:r>
      <w:r w:rsidR="00D629FA">
        <w:rPr>
          <w:rFonts w:ascii="ZWAdobeF" w:hAnsi="ZWAdobeF" w:cs="ZWAdobeF"/>
          <w:color w:val="auto"/>
          <w:sz w:val="2"/>
          <w:szCs w:val="2"/>
        </w:rPr>
        <w:t>966B</w:t>
      </w:r>
      <w:r w:rsidR="00213699">
        <w:t>While most submitters were in favour of a statutory class action</w:t>
      </w:r>
      <w:r w:rsidR="00805C83">
        <w:t>s</w:t>
      </w:r>
      <w:r w:rsidR="00213699">
        <w:t xml:space="preserve"> regime, this did not mean all of these submitters thought class actions were desirable. As noted above, some submitters were sceptical of the potential benefits of class actions and highlighted potential disadvantages. These submitters tended to support a statutory class actions regime because it would be preferable to the uncertainty </w:t>
      </w:r>
      <w:r w:rsidR="00F8585A">
        <w:t>that arises from re</w:t>
      </w:r>
      <w:r w:rsidR="00213699">
        <w:t>lying on the representative actions rule.</w:t>
      </w:r>
    </w:p>
    <w:p w14:paraId="1411C26D" w14:textId="2E062426" w:rsidR="00213699" w:rsidRDefault="00BD5C95" w:rsidP="00B82CD1">
      <w:pPr>
        <w:pStyle w:val="ListNumber"/>
      </w:pPr>
      <w:r>
        <w:rPr>
          <w:rFonts w:ascii="ZWAdobeF" w:hAnsi="ZWAdobeF" w:cs="ZWAdobeF"/>
          <w:color w:val="auto"/>
          <w:sz w:val="2"/>
          <w:szCs w:val="2"/>
        </w:rPr>
        <w:t>967B</w:t>
      </w:r>
      <w:r w:rsidR="0049638A">
        <w:rPr>
          <w:rFonts w:ascii="ZWAdobeF" w:hAnsi="ZWAdobeF" w:cs="ZWAdobeF"/>
          <w:color w:val="auto"/>
          <w:sz w:val="2"/>
          <w:szCs w:val="2"/>
        </w:rPr>
        <w:t>967B</w:t>
      </w:r>
      <w:r w:rsidR="00D629FA">
        <w:rPr>
          <w:rFonts w:ascii="ZWAdobeF" w:hAnsi="ZWAdobeF" w:cs="ZWAdobeF"/>
          <w:color w:val="auto"/>
          <w:sz w:val="2"/>
          <w:szCs w:val="2"/>
        </w:rPr>
        <w:t>967B</w:t>
      </w:r>
      <w:r w:rsidR="00213699">
        <w:t>Two submitters were opposed to a statutory class actions regime.</w:t>
      </w:r>
      <w:r w:rsidR="00D629FA">
        <w:rPr>
          <w:rFonts w:ascii="ZWAdobeF" w:hAnsi="ZWAdobeF" w:cs="ZWAdobeF"/>
          <w:color w:val="auto"/>
          <w:sz w:val="2"/>
          <w:szCs w:val="2"/>
        </w:rPr>
        <w:t>22F</w:t>
      </w:r>
      <w:r w:rsidR="0049638A">
        <w:rPr>
          <w:rFonts w:ascii="ZWAdobeF" w:hAnsi="ZWAdobeF" w:cs="ZWAdobeF"/>
          <w:color w:val="auto"/>
          <w:sz w:val="2"/>
          <w:szCs w:val="2"/>
        </w:rPr>
        <w:t>22F</w:t>
      </w:r>
      <w:r w:rsidR="000D4978">
        <w:rPr>
          <w:rFonts w:ascii="ZWAdobeF" w:hAnsi="ZWAdobeF" w:cs="ZWAdobeF"/>
          <w:color w:val="auto"/>
          <w:sz w:val="2"/>
          <w:szCs w:val="2"/>
        </w:rPr>
        <w:t>22F</w:t>
      </w:r>
      <w:r w:rsidR="00213699">
        <w:rPr>
          <w:rStyle w:val="FootnoteReference"/>
        </w:rPr>
        <w:footnoteReference w:id="24"/>
      </w:r>
      <w:r w:rsidR="00213699">
        <w:t xml:space="preserve"> One doubted that good design could mitigate the substantial risks of a class action</w:t>
      </w:r>
      <w:r w:rsidR="00805C83">
        <w:t>s</w:t>
      </w:r>
      <w:r w:rsidR="00213699">
        <w:t xml:space="preserve"> regime,</w:t>
      </w:r>
      <w:r w:rsidR="00D629FA">
        <w:rPr>
          <w:rFonts w:ascii="ZWAdobeF" w:hAnsi="ZWAdobeF" w:cs="ZWAdobeF"/>
          <w:color w:val="auto"/>
          <w:sz w:val="2"/>
          <w:szCs w:val="2"/>
        </w:rPr>
        <w:t>23F</w:t>
      </w:r>
      <w:r w:rsidR="0049638A">
        <w:rPr>
          <w:rFonts w:ascii="ZWAdobeF" w:hAnsi="ZWAdobeF" w:cs="ZWAdobeF"/>
          <w:color w:val="auto"/>
          <w:sz w:val="2"/>
          <w:szCs w:val="2"/>
        </w:rPr>
        <w:t>23F</w:t>
      </w:r>
      <w:r w:rsidR="000D4978">
        <w:rPr>
          <w:rFonts w:ascii="ZWAdobeF" w:hAnsi="ZWAdobeF" w:cs="ZWAdobeF"/>
          <w:color w:val="auto"/>
          <w:sz w:val="2"/>
          <w:szCs w:val="2"/>
        </w:rPr>
        <w:t>23F</w:t>
      </w:r>
      <w:r w:rsidR="00213699">
        <w:rPr>
          <w:rStyle w:val="FootnoteReference"/>
        </w:rPr>
        <w:footnoteReference w:id="25"/>
      </w:r>
      <w:r w:rsidR="00213699">
        <w:t xml:space="preserve"> and the other preferred retaining HCR 4.24 and the body of case law which had developed under it.</w:t>
      </w:r>
      <w:r w:rsidR="00D629FA">
        <w:rPr>
          <w:rFonts w:ascii="ZWAdobeF" w:hAnsi="ZWAdobeF" w:cs="ZWAdobeF"/>
          <w:color w:val="auto"/>
          <w:sz w:val="2"/>
          <w:szCs w:val="2"/>
        </w:rPr>
        <w:t>24F</w:t>
      </w:r>
      <w:r w:rsidR="0049638A">
        <w:rPr>
          <w:rFonts w:ascii="ZWAdobeF" w:hAnsi="ZWAdobeF" w:cs="ZWAdobeF"/>
          <w:color w:val="auto"/>
          <w:sz w:val="2"/>
          <w:szCs w:val="2"/>
        </w:rPr>
        <w:t>24F</w:t>
      </w:r>
      <w:r w:rsidR="000D4978">
        <w:rPr>
          <w:rFonts w:ascii="ZWAdobeF" w:hAnsi="ZWAdobeF" w:cs="ZWAdobeF"/>
          <w:color w:val="auto"/>
          <w:sz w:val="2"/>
          <w:szCs w:val="2"/>
        </w:rPr>
        <w:t>24F</w:t>
      </w:r>
      <w:r w:rsidR="00213699">
        <w:rPr>
          <w:rStyle w:val="FootnoteReference"/>
        </w:rPr>
        <w:footnoteReference w:id="26"/>
      </w:r>
      <w:r w:rsidR="00213699">
        <w:t xml:space="preserve"> Another submitter considered it was difficult to answer the question definitively.</w:t>
      </w:r>
      <w:r w:rsidR="00D629FA">
        <w:rPr>
          <w:rFonts w:ascii="ZWAdobeF" w:hAnsi="ZWAdobeF" w:cs="ZWAdobeF"/>
          <w:color w:val="auto"/>
          <w:sz w:val="2"/>
          <w:szCs w:val="2"/>
        </w:rPr>
        <w:t>25F</w:t>
      </w:r>
      <w:r w:rsidR="0049638A">
        <w:rPr>
          <w:rFonts w:ascii="ZWAdobeF" w:hAnsi="ZWAdobeF" w:cs="ZWAdobeF"/>
          <w:color w:val="auto"/>
          <w:sz w:val="2"/>
          <w:szCs w:val="2"/>
        </w:rPr>
        <w:t>25F</w:t>
      </w:r>
      <w:r w:rsidR="000D4978">
        <w:rPr>
          <w:rFonts w:ascii="ZWAdobeF" w:hAnsi="ZWAdobeF" w:cs="ZWAdobeF"/>
          <w:color w:val="auto"/>
          <w:sz w:val="2"/>
          <w:szCs w:val="2"/>
        </w:rPr>
        <w:t>25F</w:t>
      </w:r>
      <w:r w:rsidR="00213699">
        <w:rPr>
          <w:rStyle w:val="FootnoteReference"/>
        </w:rPr>
        <w:footnoteReference w:id="27"/>
      </w:r>
    </w:p>
    <w:p w14:paraId="085C8AF2" w14:textId="3CA594C8" w:rsidR="00213699" w:rsidRDefault="00BD5C95" w:rsidP="00B82CD1">
      <w:pPr>
        <w:pStyle w:val="ListNumber"/>
      </w:pPr>
      <w:r>
        <w:rPr>
          <w:rFonts w:ascii="ZWAdobeF" w:hAnsi="ZWAdobeF" w:cs="ZWAdobeF"/>
          <w:color w:val="auto"/>
          <w:sz w:val="2"/>
          <w:szCs w:val="2"/>
        </w:rPr>
        <w:lastRenderedPageBreak/>
        <w:t>968B</w:t>
      </w:r>
      <w:r w:rsidR="0049638A">
        <w:rPr>
          <w:rFonts w:ascii="ZWAdobeF" w:hAnsi="ZWAdobeF" w:cs="ZWAdobeF"/>
          <w:color w:val="auto"/>
          <w:sz w:val="2"/>
          <w:szCs w:val="2"/>
        </w:rPr>
        <w:t>968B</w:t>
      </w:r>
      <w:r w:rsidR="00D629FA">
        <w:rPr>
          <w:rFonts w:ascii="ZWAdobeF" w:hAnsi="ZWAdobeF" w:cs="ZWAdobeF"/>
          <w:color w:val="auto"/>
          <w:sz w:val="2"/>
          <w:szCs w:val="2"/>
        </w:rPr>
        <w:t>968B</w:t>
      </w:r>
      <w:r w:rsidR="00213699">
        <w:t>After considering</w:t>
      </w:r>
      <w:r w:rsidR="00213699" w:rsidDel="001E1A1A">
        <w:t xml:space="preserve"> </w:t>
      </w:r>
      <w:r w:rsidR="00213699">
        <w:t>the feedback we received, we confirm our view that a statutory class actions regime is desirable.</w:t>
      </w:r>
      <w:r w:rsidR="00D629FA">
        <w:rPr>
          <w:rFonts w:ascii="ZWAdobeF" w:hAnsi="ZWAdobeF" w:cs="ZWAdobeF"/>
          <w:color w:val="auto"/>
          <w:sz w:val="2"/>
          <w:szCs w:val="2"/>
        </w:rPr>
        <w:t>26F</w:t>
      </w:r>
      <w:r w:rsidR="0049638A">
        <w:rPr>
          <w:rFonts w:ascii="ZWAdobeF" w:hAnsi="ZWAdobeF" w:cs="ZWAdobeF"/>
          <w:color w:val="auto"/>
          <w:sz w:val="2"/>
          <w:szCs w:val="2"/>
        </w:rPr>
        <w:t>26F</w:t>
      </w:r>
      <w:r w:rsidR="000D4978">
        <w:rPr>
          <w:rFonts w:ascii="ZWAdobeF" w:hAnsi="ZWAdobeF" w:cs="ZWAdobeF"/>
          <w:color w:val="auto"/>
          <w:sz w:val="2"/>
          <w:szCs w:val="2"/>
        </w:rPr>
        <w:t>26F</w:t>
      </w:r>
      <w:r w:rsidR="00213699">
        <w:rPr>
          <w:rStyle w:val="FootnoteReference"/>
        </w:rPr>
        <w:footnoteReference w:id="28"/>
      </w:r>
      <w:r w:rsidR="00213699">
        <w:t xml:space="preserve"> Essentially this is for the reasons we identified in our Issues Paper. We consider that HCR 4.24 is insufficient for modern group litigation and, if properly designed, the benefits of a statutory class actions regime could outweigh the disadvantages. We acknowledge that the design of the class actions regime will be critical. We have therefore thought carefully about how each aspect of a class action</w:t>
      </w:r>
      <w:r w:rsidR="00805C83">
        <w:t>s</w:t>
      </w:r>
      <w:r w:rsidR="00213699">
        <w:t xml:space="preserve"> regime can give effect to our preferred objectives for class actions and design principles for a class actions regime.</w:t>
      </w:r>
    </w:p>
    <w:p w14:paraId="614B13FE" w14:textId="77777777" w:rsidR="00213699" w:rsidRDefault="00213699" w:rsidP="00213699">
      <w:pPr>
        <w:pStyle w:val="Heading3"/>
      </w:pPr>
      <w:r>
        <w:t xml:space="preserve">Two objectives for class actions </w:t>
      </w:r>
    </w:p>
    <w:p w14:paraId="184AEC50" w14:textId="09280754" w:rsidR="00213699" w:rsidRDefault="00BD5C95" w:rsidP="00B82CD1">
      <w:pPr>
        <w:pStyle w:val="ListNumber"/>
      </w:pPr>
      <w:r>
        <w:rPr>
          <w:rFonts w:ascii="ZWAdobeF" w:hAnsi="ZWAdobeF" w:cs="ZWAdobeF"/>
          <w:color w:val="auto"/>
          <w:sz w:val="2"/>
          <w:szCs w:val="2"/>
        </w:rPr>
        <w:t>969B</w:t>
      </w:r>
      <w:r w:rsidR="0049638A">
        <w:rPr>
          <w:rFonts w:ascii="ZWAdobeF" w:hAnsi="ZWAdobeF" w:cs="ZWAdobeF"/>
          <w:color w:val="auto"/>
          <w:sz w:val="2"/>
          <w:szCs w:val="2"/>
        </w:rPr>
        <w:t>969B</w:t>
      </w:r>
      <w:r w:rsidR="00D629FA">
        <w:rPr>
          <w:rFonts w:ascii="ZWAdobeF" w:hAnsi="ZWAdobeF" w:cs="ZWAdobeF"/>
          <w:color w:val="auto"/>
          <w:sz w:val="2"/>
          <w:szCs w:val="2"/>
        </w:rPr>
        <w:t>969B</w:t>
      </w:r>
      <w:r w:rsidR="00213699">
        <w:t>In our Issues Paper we said it was important to clearly identify the objectives of the class actions procedure as these would drive the design of the legislation and the detailed drafting decisions needed.</w:t>
      </w:r>
      <w:r w:rsidR="00D629FA">
        <w:rPr>
          <w:rFonts w:ascii="ZWAdobeF" w:hAnsi="ZWAdobeF" w:cs="ZWAdobeF"/>
          <w:color w:val="auto"/>
          <w:sz w:val="2"/>
          <w:szCs w:val="2"/>
        </w:rPr>
        <w:t>27F</w:t>
      </w:r>
      <w:r w:rsidR="0049638A">
        <w:rPr>
          <w:rFonts w:ascii="ZWAdobeF" w:hAnsi="ZWAdobeF" w:cs="ZWAdobeF"/>
          <w:color w:val="auto"/>
          <w:sz w:val="2"/>
          <w:szCs w:val="2"/>
        </w:rPr>
        <w:t>27F</w:t>
      </w:r>
      <w:r w:rsidR="000D4978">
        <w:rPr>
          <w:rFonts w:ascii="ZWAdobeF" w:hAnsi="ZWAdobeF" w:cs="ZWAdobeF"/>
          <w:color w:val="auto"/>
          <w:sz w:val="2"/>
          <w:szCs w:val="2"/>
        </w:rPr>
        <w:t>27F</w:t>
      </w:r>
      <w:r w:rsidR="00213699">
        <w:rPr>
          <w:rStyle w:val="FootnoteReference"/>
        </w:rPr>
        <w:footnoteReference w:id="29"/>
      </w:r>
      <w:r w:rsidR="00213699">
        <w:t xml:space="preserve"> We suggested that improving access to justice was the clearest advantage of class actions and should be the main objective of a </w:t>
      </w:r>
      <w:r w:rsidR="0097196F">
        <w:t xml:space="preserve">statutory </w:t>
      </w:r>
      <w:r w:rsidR="00213699">
        <w:t>class action</w:t>
      </w:r>
      <w:r w:rsidR="0097196F">
        <w:t>s regime</w:t>
      </w:r>
      <w:r w:rsidR="00213699">
        <w:t>.</w:t>
      </w:r>
      <w:r w:rsidR="00D629FA">
        <w:rPr>
          <w:rFonts w:ascii="ZWAdobeF" w:hAnsi="ZWAdobeF" w:cs="ZWAdobeF"/>
          <w:color w:val="auto"/>
          <w:sz w:val="2"/>
          <w:szCs w:val="2"/>
        </w:rPr>
        <w:t>28F</w:t>
      </w:r>
      <w:r w:rsidR="0049638A">
        <w:rPr>
          <w:rFonts w:ascii="ZWAdobeF" w:hAnsi="ZWAdobeF" w:cs="ZWAdobeF"/>
          <w:color w:val="auto"/>
          <w:sz w:val="2"/>
          <w:szCs w:val="2"/>
        </w:rPr>
        <w:t>28F</w:t>
      </w:r>
      <w:r w:rsidR="000D4978">
        <w:rPr>
          <w:rFonts w:ascii="ZWAdobeF" w:hAnsi="ZWAdobeF" w:cs="ZWAdobeF"/>
          <w:color w:val="auto"/>
          <w:sz w:val="2"/>
          <w:szCs w:val="2"/>
        </w:rPr>
        <w:t>28F</w:t>
      </w:r>
      <w:r w:rsidR="00213699">
        <w:rPr>
          <w:rStyle w:val="FootnoteReference"/>
        </w:rPr>
        <w:footnoteReference w:id="30"/>
      </w:r>
      <w:r w:rsidR="00213699">
        <w:t xml:space="preserve"> We also expressed the view that improving efficiency and economy of litigation was an important objective for a class actions regime.</w:t>
      </w:r>
      <w:r w:rsidR="00D629FA">
        <w:rPr>
          <w:rFonts w:ascii="ZWAdobeF" w:hAnsi="ZWAdobeF" w:cs="ZWAdobeF"/>
          <w:color w:val="auto"/>
          <w:sz w:val="2"/>
          <w:szCs w:val="2"/>
        </w:rPr>
        <w:t>29F</w:t>
      </w:r>
      <w:r w:rsidR="0049638A">
        <w:rPr>
          <w:rFonts w:ascii="ZWAdobeF" w:hAnsi="ZWAdobeF" w:cs="ZWAdobeF"/>
          <w:color w:val="auto"/>
          <w:sz w:val="2"/>
          <w:szCs w:val="2"/>
        </w:rPr>
        <w:t>29F</w:t>
      </w:r>
      <w:r w:rsidR="000D4978">
        <w:rPr>
          <w:rFonts w:ascii="ZWAdobeF" w:hAnsi="ZWAdobeF" w:cs="ZWAdobeF"/>
          <w:color w:val="auto"/>
          <w:sz w:val="2"/>
          <w:szCs w:val="2"/>
        </w:rPr>
        <w:t>29F</w:t>
      </w:r>
      <w:r w:rsidR="00213699">
        <w:rPr>
          <w:rStyle w:val="FootnoteReference"/>
        </w:rPr>
        <w:footnoteReference w:id="31"/>
      </w:r>
      <w:r w:rsidR="00213699">
        <w:t xml:space="preserve"> We noted that both objectives would not necessarily be met in all cases.</w:t>
      </w:r>
      <w:r w:rsidR="00D629FA">
        <w:rPr>
          <w:rFonts w:ascii="ZWAdobeF" w:hAnsi="ZWAdobeF" w:cs="ZWAdobeF"/>
          <w:color w:val="auto"/>
          <w:sz w:val="2"/>
          <w:szCs w:val="2"/>
        </w:rPr>
        <w:t>30F</w:t>
      </w:r>
      <w:r w:rsidR="0049638A">
        <w:rPr>
          <w:rFonts w:ascii="ZWAdobeF" w:hAnsi="ZWAdobeF" w:cs="ZWAdobeF"/>
          <w:color w:val="auto"/>
          <w:sz w:val="2"/>
          <w:szCs w:val="2"/>
        </w:rPr>
        <w:t>30F</w:t>
      </w:r>
      <w:r w:rsidR="000D4978">
        <w:rPr>
          <w:rFonts w:ascii="ZWAdobeF" w:hAnsi="ZWAdobeF" w:cs="ZWAdobeF"/>
          <w:color w:val="auto"/>
          <w:sz w:val="2"/>
          <w:szCs w:val="2"/>
        </w:rPr>
        <w:t>30F</w:t>
      </w:r>
      <w:r w:rsidR="00213699">
        <w:rPr>
          <w:rStyle w:val="FootnoteReference"/>
        </w:rPr>
        <w:footnoteReference w:id="32"/>
      </w:r>
      <w:r w:rsidR="00213699">
        <w:t xml:space="preserve"> We said it was less clear whether improving incentives to comply with the law should be seen as an objective of a class action</w:t>
      </w:r>
      <w:r w:rsidR="00805C83">
        <w:t>s</w:t>
      </w:r>
      <w:r w:rsidR="00213699">
        <w:t xml:space="preserve"> regime or whether it would be better viewed as a “useful by-product</w:t>
      </w:r>
      <w:r w:rsidR="000A6BBD">
        <w:t>”.</w:t>
      </w:r>
      <w:r w:rsidR="00D629FA">
        <w:rPr>
          <w:rFonts w:ascii="ZWAdobeF" w:hAnsi="ZWAdobeF" w:cs="ZWAdobeF"/>
          <w:color w:val="auto"/>
          <w:sz w:val="2"/>
          <w:szCs w:val="2"/>
        </w:rPr>
        <w:t>31F</w:t>
      </w:r>
      <w:r w:rsidR="0049638A">
        <w:rPr>
          <w:rFonts w:ascii="ZWAdobeF" w:hAnsi="ZWAdobeF" w:cs="ZWAdobeF"/>
          <w:color w:val="auto"/>
          <w:sz w:val="2"/>
          <w:szCs w:val="2"/>
        </w:rPr>
        <w:t>31F</w:t>
      </w:r>
      <w:r w:rsidR="000D4978">
        <w:rPr>
          <w:rFonts w:ascii="ZWAdobeF" w:hAnsi="ZWAdobeF" w:cs="ZWAdobeF"/>
          <w:color w:val="auto"/>
          <w:sz w:val="2"/>
          <w:szCs w:val="2"/>
        </w:rPr>
        <w:t>31F</w:t>
      </w:r>
      <w:r w:rsidR="00213699">
        <w:rPr>
          <w:rStyle w:val="FootnoteReference"/>
        </w:rPr>
        <w:footnoteReference w:id="33"/>
      </w:r>
      <w:r w:rsidR="00213699">
        <w:t xml:space="preserve">  </w:t>
      </w:r>
    </w:p>
    <w:p w14:paraId="0D588844" w14:textId="6015308E" w:rsidR="00213699" w:rsidRDefault="00BD5C95" w:rsidP="00B82CD1">
      <w:pPr>
        <w:pStyle w:val="ListNumber"/>
      </w:pPr>
      <w:r>
        <w:rPr>
          <w:rFonts w:ascii="ZWAdobeF" w:hAnsi="ZWAdobeF" w:cs="ZWAdobeF"/>
          <w:color w:val="auto"/>
          <w:sz w:val="2"/>
          <w:szCs w:val="2"/>
        </w:rPr>
        <w:t>970B</w:t>
      </w:r>
      <w:r w:rsidR="0049638A">
        <w:rPr>
          <w:rFonts w:ascii="ZWAdobeF" w:hAnsi="ZWAdobeF" w:cs="ZWAdobeF"/>
          <w:color w:val="auto"/>
          <w:sz w:val="2"/>
          <w:szCs w:val="2"/>
        </w:rPr>
        <w:t>970B</w:t>
      </w:r>
      <w:r w:rsidR="00D629FA">
        <w:rPr>
          <w:rFonts w:ascii="ZWAdobeF" w:hAnsi="ZWAdobeF" w:cs="ZWAdobeF"/>
          <w:color w:val="auto"/>
          <w:sz w:val="2"/>
          <w:szCs w:val="2"/>
        </w:rPr>
        <w:t>970B</w:t>
      </w:r>
      <w:r w:rsidR="00213699">
        <w:t>We asked submitters what the objectives of a statutory class actions regime should be and whether there should be a primary objective (Q</w:t>
      </w:r>
      <w:r w:rsidR="009E17B3">
        <w:t xml:space="preserve"> </w:t>
      </w:r>
      <w:r w:rsidR="00213699">
        <w:t>10).</w:t>
      </w:r>
    </w:p>
    <w:p w14:paraId="18704BF5" w14:textId="3A636721" w:rsidR="00213699" w:rsidRDefault="00BD5C95" w:rsidP="00B82CD1">
      <w:pPr>
        <w:pStyle w:val="ListNumber"/>
      </w:pPr>
      <w:r>
        <w:rPr>
          <w:rFonts w:ascii="ZWAdobeF" w:hAnsi="ZWAdobeF" w:cs="ZWAdobeF"/>
          <w:color w:val="auto"/>
          <w:sz w:val="2"/>
          <w:szCs w:val="2"/>
        </w:rPr>
        <w:t>971B</w:t>
      </w:r>
      <w:r w:rsidR="0049638A">
        <w:rPr>
          <w:rFonts w:ascii="ZWAdobeF" w:hAnsi="ZWAdobeF" w:cs="ZWAdobeF"/>
          <w:color w:val="auto"/>
          <w:sz w:val="2"/>
          <w:szCs w:val="2"/>
        </w:rPr>
        <w:t>971B</w:t>
      </w:r>
      <w:r w:rsidR="00D629FA">
        <w:rPr>
          <w:rFonts w:ascii="ZWAdobeF" w:hAnsi="ZWAdobeF" w:cs="ZWAdobeF"/>
          <w:color w:val="auto"/>
          <w:sz w:val="2"/>
          <w:szCs w:val="2"/>
        </w:rPr>
        <w:t>971B</w:t>
      </w:r>
      <w:r w:rsidR="00213699">
        <w:t xml:space="preserve">Twenty-two submitters </w:t>
      </w:r>
      <w:r w:rsidR="007F6F8E">
        <w:t>addressed</w:t>
      </w:r>
      <w:r w:rsidR="00213699">
        <w:t xml:space="preserve"> this question.</w:t>
      </w:r>
      <w:r w:rsidR="00D629FA">
        <w:rPr>
          <w:rFonts w:ascii="ZWAdobeF" w:hAnsi="ZWAdobeF" w:cs="ZWAdobeF"/>
          <w:color w:val="auto"/>
          <w:sz w:val="2"/>
          <w:szCs w:val="2"/>
        </w:rPr>
        <w:t>32F</w:t>
      </w:r>
      <w:r w:rsidR="0049638A">
        <w:rPr>
          <w:rFonts w:ascii="ZWAdobeF" w:hAnsi="ZWAdobeF" w:cs="ZWAdobeF"/>
          <w:color w:val="auto"/>
          <w:sz w:val="2"/>
          <w:szCs w:val="2"/>
        </w:rPr>
        <w:t>32F</w:t>
      </w:r>
      <w:r w:rsidR="000D4978">
        <w:rPr>
          <w:rFonts w:ascii="ZWAdobeF" w:hAnsi="ZWAdobeF" w:cs="ZWAdobeF"/>
          <w:color w:val="auto"/>
          <w:sz w:val="2"/>
          <w:szCs w:val="2"/>
        </w:rPr>
        <w:t>32F</w:t>
      </w:r>
      <w:r w:rsidR="00213699">
        <w:rPr>
          <w:rStyle w:val="FootnoteReference"/>
        </w:rPr>
        <w:footnoteReference w:id="34"/>
      </w:r>
      <w:r w:rsidR="00213699">
        <w:t xml:space="preserve"> </w:t>
      </w:r>
      <w:r w:rsidR="00213699" w:rsidRPr="00920EC4">
        <w:t>Ten</w:t>
      </w:r>
      <w:r w:rsidR="00213699">
        <w:t xml:space="preserve"> submitters saw access to justice as the main objective of class actions.</w:t>
      </w:r>
      <w:r w:rsidR="00D629FA">
        <w:rPr>
          <w:rFonts w:ascii="ZWAdobeF" w:hAnsi="ZWAdobeF" w:cs="ZWAdobeF"/>
          <w:color w:val="auto"/>
          <w:sz w:val="2"/>
          <w:szCs w:val="2"/>
        </w:rPr>
        <w:t>33F</w:t>
      </w:r>
      <w:r w:rsidR="0049638A">
        <w:rPr>
          <w:rFonts w:ascii="ZWAdobeF" w:hAnsi="ZWAdobeF" w:cs="ZWAdobeF"/>
          <w:color w:val="auto"/>
          <w:sz w:val="2"/>
          <w:szCs w:val="2"/>
        </w:rPr>
        <w:t>33F</w:t>
      </w:r>
      <w:r w:rsidR="000D4978">
        <w:rPr>
          <w:rFonts w:ascii="ZWAdobeF" w:hAnsi="ZWAdobeF" w:cs="ZWAdobeF"/>
          <w:color w:val="auto"/>
          <w:sz w:val="2"/>
          <w:szCs w:val="2"/>
        </w:rPr>
        <w:t>33F</w:t>
      </w:r>
      <w:r w:rsidR="00213699">
        <w:rPr>
          <w:rStyle w:val="FootnoteReference"/>
        </w:rPr>
        <w:footnoteReference w:id="35"/>
      </w:r>
      <w:r w:rsidR="00213699">
        <w:t xml:space="preserve"> Other submitters said access to justice must be considered from the perspectives of class members and defendants, not just from a plaintiff perspective.</w:t>
      </w:r>
      <w:r w:rsidR="00D629FA">
        <w:rPr>
          <w:rFonts w:ascii="ZWAdobeF" w:hAnsi="ZWAdobeF" w:cs="ZWAdobeF"/>
          <w:color w:val="auto"/>
          <w:sz w:val="2"/>
          <w:szCs w:val="2"/>
        </w:rPr>
        <w:t>34F</w:t>
      </w:r>
      <w:r w:rsidR="0049638A">
        <w:rPr>
          <w:rFonts w:ascii="ZWAdobeF" w:hAnsi="ZWAdobeF" w:cs="ZWAdobeF"/>
          <w:color w:val="auto"/>
          <w:sz w:val="2"/>
          <w:szCs w:val="2"/>
        </w:rPr>
        <w:t>34F</w:t>
      </w:r>
      <w:r w:rsidR="000D4978">
        <w:rPr>
          <w:rFonts w:ascii="ZWAdobeF" w:hAnsi="ZWAdobeF" w:cs="ZWAdobeF"/>
          <w:color w:val="auto"/>
          <w:sz w:val="2"/>
          <w:szCs w:val="2"/>
        </w:rPr>
        <w:t>34F</w:t>
      </w:r>
      <w:r w:rsidR="00213699">
        <w:rPr>
          <w:rStyle w:val="FootnoteReference"/>
        </w:rPr>
        <w:footnoteReference w:id="36"/>
      </w:r>
      <w:r w:rsidR="00213699">
        <w:t xml:space="preserve"> One expressed scepticism about the extent to which class actions would provide access to justice.</w:t>
      </w:r>
      <w:r w:rsidR="00D629FA">
        <w:rPr>
          <w:rFonts w:ascii="ZWAdobeF" w:hAnsi="ZWAdobeF" w:cs="ZWAdobeF"/>
          <w:color w:val="auto"/>
          <w:sz w:val="2"/>
          <w:szCs w:val="2"/>
        </w:rPr>
        <w:t>35F</w:t>
      </w:r>
      <w:r w:rsidR="0049638A">
        <w:rPr>
          <w:rFonts w:ascii="ZWAdobeF" w:hAnsi="ZWAdobeF" w:cs="ZWAdobeF"/>
          <w:color w:val="auto"/>
          <w:sz w:val="2"/>
          <w:szCs w:val="2"/>
        </w:rPr>
        <w:t>35F</w:t>
      </w:r>
      <w:r w:rsidR="000D4978">
        <w:rPr>
          <w:rFonts w:ascii="ZWAdobeF" w:hAnsi="ZWAdobeF" w:cs="ZWAdobeF"/>
          <w:color w:val="auto"/>
          <w:sz w:val="2"/>
          <w:szCs w:val="2"/>
        </w:rPr>
        <w:t>35F</w:t>
      </w:r>
      <w:r w:rsidR="00213699">
        <w:rPr>
          <w:rStyle w:val="FootnoteReference"/>
        </w:rPr>
        <w:footnoteReference w:id="37"/>
      </w:r>
      <w:r w:rsidR="00213699">
        <w:t xml:space="preserve"> Two submitters indicated court efficiency should be the </w:t>
      </w:r>
      <w:r w:rsidR="00213699">
        <w:lastRenderedPageBreak/>
        <w:t>main objective,</w:t>
      </w:r>
      <w:r w:rsidR="00D629FA">
        <w:rPr>
          <w:rFonts w:ascii="ZWAdobeF" w:hAnsi="ZWAdobeF" w:cs="ZWAdobeF"/>
          <w:color w:val="auto"/>
          <w:sz w:val="2"/>
          <w:szCs w:val="2"/>
        </w:rPr>
        <w:t>36F</w:t>
      </w:r>
      <w:r w:rsidR="0049638A">
        <w:rPr>
          <w:rFonts w:ascii="ZWAdobeF" w:hAnsi="ZWAdobeF" w:cs="ZWAdobeF"/>
          <w:color w:val="auto"/>
          <w:sz w:val="2"/>
          <w:szCs w:val="2"/>
        </w:rPr>
        <w:t>36F</w:t>
      </w:r>
      <w:r w:rsidR="000D4978">
        <w:rPr>
          <w:rFonts w:ascii="ZWAdobeF" w:hAnsi="ZWAdobeF" w:cs="ZWAdobeF"/>
          <w:color w:val="auto"/>
          <w:sz w:val="2"/>
          <w:szCs w:val="2"/>
        </w:rPr>
        <w:t>36F</w:t>
      </w:r>
      <w:r w:rsidR="00213699">
        <w:rPr>
          <w:rStyle w:val="FootnoteReference"/>
        </w:rPr>
        <w:footnoteReference w:id="38"/>
      </w:r>
      <w:r w:rsidR="00213699">
        <w:t xml:space="preserve"> while other submitters critiqued the idea that class actions could improve efficiency and economy of litigation.</w:t>
      </w:r>
      <w:r w:rsidR="00D629FA">
        <w:rPr>
          <w:rFonts w:ascii="ZWAdobeF" w:hAnsi="ZWAdobeF" w:cs="ZWAdobeF"/>
          <w:color w:val="auto"/>
          <w:sz w:val="2"/>
          <w:szCs w:val="2"/>
        </w:rPr>
        <w:t>37F</w:t>
      </w:r>
      <w:r w:rsidR="0049638A">
        <w:rPr>
          <w:rFonts w:ascii="ZWAdobeF" w:hAnsi="ZWAdobeF" w:cs="ZWAdobeF"/>
          <w:color w:val="auto"/>
          <w:sz w:val="2"/>
          <w:szCs w:val="2"/>
        </w:rPr>
        <w:t>37F</w:t>
      </w:r>
      <w:r w:rsidR="000D4978">
        <w:rPr>
          <w:rFonts w:ascii="ZWAdobeF" w:hAnsi="ZWAdobeF" w:cs="ZWAdobeF"/>
          <w:color w:val="auto"/>
          <w:sz w:val="2"/>
          <w:szCs w:val="2"/>
        </w:rPr>
        <w:t>37F</w:t>
      </w:r>
      <w:r w:rsidR="00213699">
        <w:rPr>
          <w:rStyle w:val="FootnoteReference"/>
        </w:rPr>
        <w:footnoteReference w:id="39"/>
      </w:r>
      <w:r w:rsidR="00213699">
        <w:t xml:space="preserve"> Five submitters saw both access to justice and economy and efficiency of litigation as important objectives, with no need for a primary objective.</w:t>
      </w:r>
      <w:r w:rsidR="00D629FA">
        <w:rPr>
          <w:rFonts w:ascii="ZWAdobeF" w:hAnsi="ZWAdobeF" w:cs="ZWAdobeF"/>
          <w:color w:val="auto"/>
          <w:sz w:val="2"/>
          <w:szCs w:val="2"/>
        </w:rPr>
        <w:t>38F</w:t>
      </w:r>
      <w:r w:rsidR="0049638A">
        <w:rPr>
          <w:rFonts w:ascii="ZWAdobeF" w:hAnsi="ZWAdobeF" w:cs="ZWAdobeF"/>
          <w:color w:val="auto"/>
          <w:sz w:val="2"/>
          <w:szCs w:val="2"/>
        </w:rPr>
        <w:t>38F</w:t>
      </w:r>
      <w:r w:rsidR="000D4978">
        <w:rPr>
          <w:rFonts w:ascii="ZWAdobeF" w:hAnsi="ZWAdobeF" w:cs="ZWAdobeF"/>
          <w:color w:val="auto"/>
          <w:sz w:val="2"/>
          <w:szCs w:val="2"/>
        </w:rPr>
        <w:t>38F</w:t>
      </w:r>
      <w:r w:rsidR="00213699">
        <w:rPr>
          <w:rStyle w:val="FootnoteReference"/>
        </w:rPr>
        <w:footnoteReference w:id="40"/>
      </w:r>
    </w:p>
    <w:p w14:paraId="271EB2C6" w14:textId="44C7BCCD" w:rsidR="00213699" w:rsidRDefault="00BD5C95" w:rsidP="00B82CD1">
      <w:pPr>
        <w:pStyle w:val="ListNumber"/>
      </w:pPr>
      <w:r>
        <w:rPr>
          <w:rFonts w:ascii="ZWAdobeF" w:hAnsi="ZWAdobeF" w:cs="ZWAdobeF"/>
          <w:color w:val="auto"/>
          <w:sz w:val="2"/>
          <w:szCs w:val="2"/>
        </w:rPr>
        <w:t>972B</w:t>
      </w:r>
      <w:r w:rsidR="0049638A">
        <w:rPr>
          <w:rFonts w:ascii="ZWAdobeF" w:hAnsi="ZWAdobeF" w:cs="ZWAdobeF"/>
          <w:color w:val="auto"/>
          <w:sz w:val="2"/>
          <w:szCs w:val="2"/>
        </w:rPr>
        <w:t>972B</w:t>
      </w:r>
      <w:r w:rsidR="00D629FA">
        <w:rPr>
          <w:rFonts w:ascii="ZWAdobeF" w:hAnsi="ZWAdobeF" w:cs="ZWAdobeF"/>
          <w:color w:val="auto"/>
          <w:sz w:val="2"/>
          <w:szCs w:val="2"/>
        </w:rPr>
        <w:t>972B</w:t>
      </w:r>
      <w:r w:rsidR="00213699">
        <w:t>Eight submitters said they did not see improving incentives to comply with the law as the purpose of a class actions regime,</w:t>
      </w:r>
      <w:r w:rsidR="00D629FA">
        <w:rPr>
          <w:rFonts w:ascii="ZWAdobeF" w:hAnsi="ZWAdobeF" w:cs="ZWAdobeF"/>
          <w:color w:val="auto"/>
          <w:sz w:val="2"/>
          <w:szCs w:val="2"/>
        </w:rPr>
        <w:t>39F</w:t>
      </w:r>
      <w:r w:rsidR="0049638A">
        <w:rPr>
          <w:rFonts w:ascii="ZWAdobeF" w:hAnsi="ZWAdobeF" w:cs="ZWAdobeF"/>
          <w:color w:val="auto"/>
          <w:sz w:val="2"/>
          <w:szCs w:val="2"/>
        </w:rPr>
        <w:t>39F</w:t>
      </w:r>
      <w:r w:rsidR="000D4978">
        <w:rPr>
          <w:rFonts w:ascii="ZWAdobeF" w:hAnsi="ZWAdobeF" w:cs="ZWAdobeF"/>
          <w:color w:val="auto"/>
          <w:sz w:val="2"/>
          <w:szCs w:val="2"/>
        </w:rPr>
        <w:t>39F</w:t>
      </w:r>
      <w:r w:rsidR="00213699">
        <w:rPr>
          <w:rStyle w:val="FootnoteReference"/>
        </w:rPr>
        <w:footnoteReference w:id="41"/>
      </w:r>
      <w:r w:rsidR="00213699">
        <w:t xml:space="preserve"> although some saw this as a possible by-product or consequence of class actions. Three submitters appeared to support the objective of strengthening incentives for compliance with the law.</w:t>
      </w:r>
      <w:r w:rsidR="00D629FA">
        <w:rPr>
          <w:rFonts w:ascii="ZWAdobeF" w:hAnsi="ZWAdobeF" w:cs="ZWAdobeF"/>
          <w:color w:val="auto"/>
          <w:sz w:val="2"/>
          <w:szCs w:val="2"/>
        </w:rPr>
        <w:t>40F</w:t>
      </w:r>
      <w:r w:rsidR="0049638A">
        <w:rPr>
          <w:rFonts w:ascii="ZWAdobeF" w:hAnsi="ZWAdobeF" w:cs="ZWAdobeF"/>
          <w:color w:val="auto"/>
          <w:sz w:val="2"/>
          <w:szCs w:val="2"/>
        </w:rPr>
        <w:t>40F</w:t>
      </w:r>
      <w:r w:rsidR="000D4978">
        <w:rPr>
          <w:rFonts w:ascii="ZWAdobeF" w:hAnsi="ZWAdobeF" w:cs="ZWAdobeF"/>
          <w:color w:val="auto"/>
          <w:sz w:val="2"/>
          <w:szCs w:val="2"/>
        </w:rPr>
        <w:t>40F</w:t>
      </w:r>
      <w:r w:rsidR="00213699">
        <w:rPr>
          <w:rStyle w:val="FootnoteReference"/>
        </w:rPr>
        <w:footnoteReference w:id="42"/>
      </w:r>
      <w:r w:rsidR="00213699">
        <w:t xml:space="preserve"> Several submitters also identified other objectives for class actions.</w:t>
      </w:r>
      <w:r w:rsidR="00D629FA">
        <w:rPr>
          <w:rFonts w:ascii="ZWAdobeF" w:hAnsi="ZWAdobeF" w:cs="ZWAdobeF"/>
          <w:color w:val="auto"/>
          <w:sz w:val="2"/>
          <w:szCs w:val="2"/>
        </w:rPr>
        <w:t>41F</w:t>
      </w:r>
      <w:r w:rsidR="0049638A">
        <w:rPr>
          <w:rFonts w:ascii="ZWAdobeF" w:hAnsi="ZWAdobeF" w:cs="ZWAdobeF"/>
          <w:color w:val="auto"/>
          <w:sz w:val="2"/>
          <w:szCs w:val="2"/>
        </w:rPr>
        <w:t>41F</w:t>
      </w:r>
      <w:r w:rsidR="000D4978">
        <w:rPr>
          <w:rFonts w:ascii="ZWAdobeF" w:hAnsi="ZWAdobeF" w:cs="ZWAdobeF"/>
          <w:color w:val="auto"/>
          <w:sz w:val="2"/>
          <w:szCs w:val="2"/>
        </w:rPr>
        <w:t>41F</w:t>
      </w:r>
      <w:r w:rsidR="00213699">
        <w:rPr>
          <w:rStyle w:val="FootnoteReference"/>
        </w:rPr>
        <w:footnoteReference w:id="43"/>
      </w:r>
      <w:r w:rsidR="00213699">
        <w:t xml:space="preserve"> </w:t>
      </w:r>
    </w:p>
    <w:p w14:paraId="5FBD1551" w14:textId="2EA458CD" w:rsidR="00213699" w:rsidRPr="00C32BD3" w:rsidRDefault="00BD5C95" w:rsidP="00B82CD1">
      <w:pPr>
        <w:pStyle w:val="ListNumber"/>
      </w:pPr>
      <w:r>
        <w:rPr>
          <w:rFonts w:ascii="ZWAdobeF" w:hAnsi="ZWAdobeF" w:cs="ZWAdobeF"/>
          <w:color w:val="auto"/>
          <w:sz w:val="2"/>
          <w:szCs w:val="2"/>
        </w:rPr>
        <w:t>973B</w:t>
      </w:r>
      <w:r w:rsidR="0049638A">
        <w:rPr>
          <w:rFonts w:ascii="ZWAdobeF" w:hAnsi="ZWAdobeF" w:cs="ZWAdobeF"/>
          <w:color w:val="auto"/>
          <w:sz w:val="2"/>
          <w:szCs w:val="2"/>
        </w:rPr>
        <w:t>973B</w:t>
      </w:r>
      <w:r w:rsidR="00D629FA">
        <w:rPr>
          <w:rFonts w:ascii="ZWAdobeF" w:hAnsi="ZWAdobeF" w:cs="ZWAdobeF"/>
          <w:color w:val="auto"/>
          <w:sz w:val="2"/>
          <w:szCs w:val="2"/>
        </w:rPr>
        <w:t>973B</w:t>
      </w:r>
      <w:r w:rsidR="00213699" w:rsidRPr="00C32BD3">
        <w:t>We consider that the objectives of class action</w:t>
      </w:r>
      <w:r w:rsidR="00213699">
        <w:t>s</w:t>
      </w:r>
      <w:r w:rsidR="00213699" w:rsidRPr="00C32BD3">
        <w:t xml:space="preserve"> should be improving access to justice and manag</w:t>
      </w:r>
      <w:r w:rsidR="00213699">
        <w:t>ing</w:t>
      </w:r>
      <w:r w:rsidR="00213699" w:rsidRPr="00C32BD3">
        <w:t xml:space="preserve"> multiple claims in an efficient way.</w:t>
      </w:r>
      <w:r w:rsidR="00D629FA">
        <w:rPr>
          <w:rFonts w:ascii="ZWAdobeF" w:hAnsi="ZWAdobeF" w:cs="ZWAdobeF"/>
          <w:color w:val="auto"/>
          <w:sz w:val="2"/>
          <w:szCs w:val="2"/>
        </w:rPr>
        <w:t>42F</w:t>
      </w:r>
      <w:r w:rsidR="0049638A">
        <w:rPr>
          <w:rFonts w:ascii="ZWAdobeF" w:hAnsi="ZWAdobeF" w:cs="ZWAdobeF"/>
          <w:color w:val="auto"/>
          <w:sz w:val="2"/>
          <w:szCs w:val="2"/>
        </w:rPr>
        <w:t>42F</w:t>
      </w:r>
      <w:r w:rsidR="000D4978">
        <w:rPr>
          <w:rFonts w:ascii="ZWAdobeF" w:hAnsi="ZWAdobeF" w:cs="ZWAdobeF"/>
          <w:color w:val="auto"/>
          <w:sz w:val="2"/>
          <w:szCs w:val="2"/>
        </w:rPr>
        <w:t>42F</w:t>
      </w:r>
      <w:r w:rsidR="00213699">
        <w:rPr>
          <w:rStyle w:val="FootnoteReference"/>
        </w:rPr>
        <w:footnoteReference w:id="44"/>
      </w:r>
      <w:r w:rsidR="00213699" w:rsidRPr="00C32BD3">
        <w:t xml:space="preserve"> We consider “access to justice” to be broader than simply allowing access to the courts. It also includes procedural access to justice (for all participants) and substantive access to justice (the extent to which class actions lead to a substantively fair result).</w:t>
      </w:r>
      <w:r w:rsidR="00D629FA">
        <w:rPr>
          <w:rFonts w:ascii="ZWAdobeF" w:hAnsi="ZWAdobeF" w:cs="ZWAdobeF"/>
          <w:color w:val="auto"/>
          <w:sz w:val="2"/>
          <w:szCs w:val="2"/>
        </w:rPr>
        <w:t>43F</w:t>
      </w:r>
      <w:r w:rsidR="0049638A">
        <w:rPr>
          <w:rFonts w:ascii="ZWAdobeF" w:hAnsi="ZWAdobeF" w:cs="ZWAdobeF"/>
          <w:color w:val="auto"/>
          <w:sz w:val="2"/>
          <w:szCs w:val="2"/>
        </w:rPr>
        <w:t>43F</w:t>
      </w:r>
      <w:r w:rsidR="000D4978">
        <w:rPr>
          <w:rFonts w:ascii="ZWAdobeF" w:hAnsi="ZWAdobeF" w:cs="ZWAdobeF"/>
          <w:color w:val="auto"/>
          <w:sz w:val="2"/>
          <w:szCs w:val="2"/>
        </w:rPr>
        <w:t>43F</w:t>
      </w:r>
      <w:r w:rsidR="00213699" w:rsidRPr="00C32BD3">
        <w:rPr>
          <w:rStyle w:val="FootnoteReference"/>
        </w:rPr>
        <w:footnoteReference w:id="45"/>
      </w:r>
      <w:r w:rsidR="00213699" w:rsidRPr="00C32BD3">
        <w:t xml:space="preserve"> </w:t>
      </w:r>
      <w:r w:rsidR="00213699">
        <w:t xml:space="preserve">We have phrased the efficiency objective slightly differently to the Issues Paper, although our intention is the same. We think that “efficiency” is a broad concept and can encompass managing claims in an economic way. We think that managing multiple claims in an efficient way is beneficial for </w:t>
      </w:r>
      <w:r w:rsidR="007F6F8E">
        <w:t xml:space="preserve">the </w:t>
      </w:r>
      <w:r w:rsidR="00213699">
        <w:t xml:space="preserve">parties, other court users and the court system. </w:t>
      </w:r>
    </w:p>
    <w:p w14:paraId="73E7B7E3" w14:textId="0C5DBEF7" w:rsidR="00213699" w:rsidRPr="00C32BD3" w:rsidRDefault="00BD5C95" w:rsidP="00B82CD1">
      <w:pPr>
        <w:pStyle w:val="ListNumber"/>
      </w:pPr>
      <w:r>
        <w:rPr>
          <w:rFonts w:ascii="ZWAdobeF" w:hAnsi="ZWAdobeF" w:cs="ZWAdobeF"/>
          <w:color w:val="auto"/>
          <w:sz w:val="2"/>
          <w:szCs w:val="2"/>
        </w:rPr>
        <w:t>974B</w:t>
      </w:r>
      <w:r w:rsidR="0049638A">
        <w:rPr>
          <w:rFonts w:ascii="ZWAdobeF" w:hAnsi="ZWAdobeF" w:cs="ZWAdobeF"/>
          <w:color w:val="auto"/>
          <w:sz w:val="2"/>
          <w:szCs w:val="2"/>
        </w:rPr>
        <w:t>974B</w:t>
      </w:r>
      <w:r w:rsidR="00D629FA">
        <w:rPr>
          <w:rFonts w:ascii="ZWAdobeF" w:hAnsi="ZWAdobeF" w:cs="ZWAdobeF"/>
          <w:color w:val="auto"/>
          <w:sz w:val="2"/>
          <w:szCs w:val="2"/>
        </w:rPr>
        <w:t>974B</w:t>
      </w:r>
      <w:r w:rsidR="00213699" w:rsidRPr="00C32BD3">
        <w:t>We think these should be equal objectives, rather than access to justice being the primary objective.</w:t>
      </w:r>
      <w:r w:rsidR="00D629FA">
        <w:rPr>
          <w:rFonts w:ascii="ZWAdobeF" w:hAnsi="ZWAdobeF" w:cs="ZWAdobeF"/>
          <w:color w:val="auto"/>
          <w:sz w:val="2"/>
          <w:szCs w:val="2"/>
        </w:rPr>
        <w:t>44F</w:t>
      </w:r>
      <w:r w:rsidR="0049638A">
        <w:rPr>
          <w:rFonts w:ascii="ZWAdobeF" w:hAnsi="ZWAdobeF" w:cs="ZWAdobeF"/>
          <w:color w:val="auto"/>
          <w:sz w:val="2"/>
          <w:szCs w:val="2"/>
        </w:rPr>
        <w:t>44F</w:t>
      </w:r>
      <w:r w:rsidR="000D4978">
        <w:rPr>
          <w:rFonts w:ascii="ZWAdobeF" w:hAnsi="ZWAdobeF" w:cs="ZWAdobeF"/>
          <w:color w:val="auto"/>
          <w:sz w:val="2"/>
          <w:szCs w:val="2"/>
        </w:rPr>
        <w:t>44F</w:t>
      </w:r>
      <w:r w:rsidR="00213699" w:rsidRPr="00C32BD3">
        <w:rPr>
          <w:rStyle w:val="FootnoteReference"/>
        </w:rPr>
        <w:footnoteReference w:id="46"/>
      </w:r>
      <w:r w:rsidR="00213699" w:rsidRPr="00C32BD3">
        <w:t xml:space="preserve"> </w:t>
      </w:r>
      <w:r w:rsidR="00213699">
        <w:t xml:space="preserve">We think this is consistent with the objective of the High Court Rules, which refers to the “just, speedy and inexpensive” determination of proceedings and </w:t>
      </w:r>
      <w:r w:rsidR="00417B66">
        <w:t xml:space="preserve">interlocutory </w:t>
      </w:r>
      <w:r w:rsidR="00213699">
        <w:t>applications.</w:t>
      </w:r>
      <w:r w:rsidR="00D629FA">
        <w:rPr>
          <w:rFonts w:ascii="ZWAdobeF" w:hAnsi="ZWAdobeF" w:cs="ZWAdobeF"/>
          <w:color w:val="auto"/>
          <w:sz w:val="2"/>
          <w:szCs w:val="2"/>
        </w:rPr>
        <w:t>45F</w:t>
      </w:r>
      <w:r w:rsidR="0049638A">
        <w:rPr>
          <w:rFonts w:ascii="ZWAdobeF" w:hAnsi="ZWAdobeF" w:cs="ZWAdobeF"/>
          <w:color w:val="auto"/>
          <w:sz w:val="2"/>
          <w:szCs w:val="2"/>
        </w:rPr>
        <w:t>45F</w:t>
      </w:r>
      <w:r w:rsidR="000D4978">
        <w:rPr>
          <w:rFonts w:ascii="ZWAdobeF" w:hAnsi="ZWAdobeF" w:cs="ZWAdobeF"/>
          <w:color w:val="auto"/>
          <w:sz w:val="2"/>
          <w:szCs w:val="2"/>
        </w:rPr>
        <w:t>45F</w:t>
      </w:r>
      <w:r w:rsidR="00213699" w:rsidRPr="00C32BD3">
        <w:rPr>
          <w:rStyle w:val="FootnoteReference"/>
        </w:rPr>
        <w:footnoteReference w:id="47"/>
      </w:r>
      <w:r w:rsidR="00213699" w:rsidRPr="00C32BD3">
        <w:t xml:space="preserve"> As the NZLS pointed out, if access to justice was seen as an overriding consideration for class actions, this could upset this balance and have a negative impact on defendants.</w:t>
      </w:r>
      <w:r w:rsidR="00213699">
        <w:t xml:space="preserve"> There will also be some class actions which engage one objective more than the other. </w:t>
      </w:r>
    </w:p>
    <w:p w14:paraId="1B867C26" w14:textId="0373B5B8" w:rsidR="00213699" w:rsidRDefault="00BD5C95" w:rsidP="00B82CD1">
      <w:pPr>
        <w:pStyle w:val="ListNumber"/>
      </w:pPr>
      <w:r>
        <w:rPr>
          <w:rFonts w:ascii="ZWAdobeF" w:hAnsi="ZWAdobeF" w:cs="ZWAdobeF"/>
          <w:color w:val="auto"/>
          <w:sz w:val="2"/>
          <w:szCs w:val="2"/>
        </w:rPr>
        <w:lastRenderedPageBreak/>
        <w:t>975B</w:t>
      </w:r>
      <w:r w:rsidR="0049638A">
        <w:rPr>
          <w:rFonts w:ascii="ZWAdobeF" w:hAnsi="ZWAdobeF" w:cs="ZWAdobeF"/>
          <w:color w:val="auto"/>
          <w:sz w:val="2"/>
          <w:szCs w:val="2"/>
        </w:rPr>
        <w:t>975B</w:t>
      </w:r>
      <w:r w:rsidR="00D629FA">
        <w:rPr>
          <w:rFonts w:ascii="ZWAdobeF" w:hAnsi="ZWAdobeF" w:cs="ZWAdobeF"/>
          <w:color w:val="auto"/>
          <w:sz w:val="2"/>
          <w:szCs w:val="2"/>
        </w:rPr>
        <w:t>975B</w:t>
      </w:r>
      <w:r w:rsidR="00213699">
        <w:t>We do not consider that strengthening incentives for compliance with the law should be an objective of class actions, although it may be a beneficial effect. We think it is more appropriate for this objective to sit with regulators, with class actions primarily serving a compensatory role. If strengthening incentives for compliance with the law was an objective of class actions, there is a risk that this would dilute the other objectives.</w:t>
      </w:r>
      <w:r w:rsidR="00D629FA">
        <w:rPr>
          <w:rFonts w:ascii="ZWAdobeF" w:hAnsi="ZWAdobeF" w:cs="ZWAdobeF"/>
          <w:color w:val="auto"/>
          <w:sz w:val="2"/>
          <w:szCs w:val="2"/>
        </w:rPr>
        <w:t>46F</w:t>
      </w:r>
      <w:r w:rsidR="0049638A">
        <w:rPr>
          <w:rFonts w:ascii="ZWAdobeF" w:hAnsi="ZWAdobeF" w:cs="ZWAdobeF"/>
          <w:color w:val="auto"/>
          <w:sz w:val="2"/>
          <w:szCs w:val="2"/>
        </w:rPr>
        <w:t>46F</w:t>
      </w:r>
      <w:r w:rsidR="000D4978">
        <w:rPr>
          <w:rFonts w:ascii="ZWAdobeF" w:hAnsi="ZWAdobeF" w:cs="ZWAdobeF"/>
          <w:color w:val="auto"/>
          <w:sz w:val="2"/>
          <w:szCs w:val="2"/>
        </w:rPr>
        <w:t>46F</w:t>
      </w:r>
      <w:r w:rsidR="00213699">
        <w:rPr>
          <w:rStyle w:val="FootnoteReference"/>
        </w:rPr>
        <w:footnoteReference w:id="48"/>
      </w:r>
    </w:p>
    <w:p w14:paraId="11557AE0" w14:textId="1045083C" w:rsidR="00213699" w:rsidRPr="00C32BD3" w:rsidRDefault="00BD5C95" w:rsidP="00B82CD1">
      <w:pPr>
        <w:pStyle w:val="ListNumber"/>
      </w:pPr>
      <w:r>
        <w:rPr>
          <w:rFonts w:ascii="ZWAdobeF" w:hAnsi="ZWAdobeF" w:cs="ZWAdobeF"/>
          <w:color w:val="auto"/>
          <w:sz w:val="2"/>
          <w:szCs w:val="2"/>
        </w:rPr>
        <w:t>976B</w:t>
      </w:r>
      <w:r w:rsidR="0049638A">
        <w:rPr>
          <w:rFonts w:ascii="ZWAdobeF" w:hAnsi="ZWAdobeF" w:cs="ZWAdobeF"/>
          <w:color w:val="auto"/>
          <w:sz w:val="2"/>
          <w:szCs w:val="2"/>
        </w:rPr>
        <w:t>976B</w:t>
      </w:r>
      <w:r w:rsidR="00D629FA">
        <w:rPr>
          <w:rFonts w:ascii="ZWAdobeF" w:hAnsi="ZWAdobeF" w:cs="ZWAdobeF"/>
          <w:color w:val="auto"/>
          <w:sz w:val="2"/>
          <w:szCs w:val="2"/>
        </w:rPr>
        <w:t>976B</w:t>
      </w:r>
      <w:r w:rsidR="00213699" w:rsidRPr="00C32BD3">
        <w:t>We suggest that improving access to justice and manag</w:t>
      </w:r>
      <w:r w:rsidR="00213699">
        <w:t>ing</w:t>
      </w:r>
      <w:r w:rsidR="00213699" w:rsidRPr="00C32BD3">
        <w:t xml:space="preserve"> multiple claims in an efficient way could become the stated objectives of class actions </w:t>
      </w:r>
      <w:r w:rsidR="00213699">
        <w:t>in the legislation</w:t>
      </w:r>
      <w:r w:rsidR="00213699" w:rsidRPr="00C32BD3">
        <w:t xml:space="preserve">. </w:t>
      </w:r>
    </w:p>
    <w:p w14:paraId="17579847" w14:textId="77777777" w:rsidR="00213699" w:rsidRPr="003568E9" w:rsidRDefault="00213699" w:rsidP="00213699">
      <w:pPr>
        <w:pStyle w:val="Heading3"/>
      </w:pPr>
      <w:r>
        <w:t xml:space="preserve">Principles for the development of a class actions regime  </w:t>
      </w:r>
    </w:p>
    <w:p w14:paraId="1679986A" w14:textId="550A8960" w:rsidR="00213699" w:rsidRDefault="00BD5C95" w:rsidP="00B82CD1">
      <w:pPr>
        <w:pStyle w:val="ListNumber"/>
      </w:pPr>
      <w:r>
        <w:rPr>
          <w:rFonts w:ascii="ZWAdobeF" w:hAnsi="ZWAdobeF" w:cs="ZWAdobeF"/>
          <w:color w:val="auto"/>
          <w:sz w:val="2"/>
          <w:szCs w:val="2"/>
        </w:rPr>
        <w:t>977B</w:t>
      </w:r>
      <w:r w:rsidR="0049638A">
        <w:rPr>
          <w:rFonts w:ascii="ZWAdobeF" w:hAnsi="ZWAdobeF" w:cs="ZWAdobeF"/>
          <w:color w:val="auto"/>
          <w:sz w:val="2"/>
          <w:szCs w:val="2"/>
        </w:rPr>
        <w:t>977B</w:t>
      </w:r>
      <w:r w:rsidR="00D629FA">
        <w:rPr>
          <w:rFonts w:ascii="ZWAdobeF" w:hAnsi="ZWAdobeF" w:cs="ZWAdobeF"/>
          <w:color w:val="auto"/>
          <w:sz w:val="2"/>
          <w:szCs w:val="2"/>
        </w:rPr>
        <w:t>977B</w:t>
      </w:r>
      <w:r w:rsidR="00213699">
        <w:t>Our Issues Paper proposed eight principles to guide the development of a class actions regime. We said that a class actions regime should:</w:t>
      </w:r>
    </w:p>
    <w:p w14:paraId="51D8CBF6" w14:textId="1ED7BA15" w:rsidR="00213699" w:rsidRDefault="00BD5C95" w:rsidP="003E2524">
      <w:pPr>
        <w:pStyle w:val="BodyText2"/>
        <w:numPr>
          <w:ilvl w:val="3"/>
          <w:numId w:val="30"/>
        </w:numPr>
        <w:ind w:hanging="567"/>
      </w:pPr>
      <w:r>
        <w:rPr>
          <w:rFonts w:ascii="ZWAdobeF" w:hAnsi="ZWAdobeF" w:cs="ZWAdobeF"/>
          <w:color w:val="auto"/>
          <w:sz w:val="2"/>
          <w:szCs w:val="2"/>
        </w:rPr>
        <w:t>903B</w:t>
      </w:r>
      <w:r w:rsidR="0049638A">
        <w:rPr>
          <w:rFonts w:ascii="ZWAdobeF" w:hAnsi="ZWAdobeF" w:cs="ZWAdobeF"/>
          <w:color w:val="auto"/>
          <w:sz w:val="2"/>
          <w:szCs w:val="2"/>
        </w:rPr>
        <w:t>903B</w:t>
      </w:r>
      <w:r w:rsidR="00D629FA">
        <w:rPr>
          <w:rFonts w:ascii="ZWAdobeF" w:hAnsi="ZWAdobeF" w:cs="ZWAdobeF"/>
          <w:color w:val="auto"/>
          <w:sz w:val="2"/>
          <w:szCs w:val="2"/>
        </w:rPr>
        <w:t>903B</w:t>
      </w:r>
      <w:r w:rsidR="00213699">
        <w:t>Have clear objectives for the class action procedure.</w:t>
      </w:r>
    </w:p>
    <w:p w14:paraId="051571B7" w14:textId="753C2155" w:rsidR="00213699" w:rsidRDefault="00BD5C95" w:rsidP="003E2524">
      <w:pPr>
        <w:pStyle w:val="BodyText2"/>
        <w:numPr>
          <w:ilvl w:val="3"/>
          <w:numId w:val="30"/>
        </w:numPr>
        <w:ind w:hanging="567"/>
      </w:pPr>
      <w:r>
        <w:rPr>
          <w:rFonts w:ascii="ZWAdobeF" w:hAnsi="ZWAdobeF" w:cs="ZWAdobeF"/>
          <w:color w:val="auto"/>
          <w:sz w:val="2"/>
          <w:szCs w:val="2"/>
        </w:rPr>
        <w:t>904B</w:t>
      </w:r>
      <w:r w:rsidR="0049638A">
        <w:rPr>
          <w:rFonts w:ascii="ZWAdobeF" w:hAnsi="ZWAdobeF" w:cs="ZWAdobeF"/>
          <w:color w:val="auto"/>
          <w:sz w:val="2"/>
          <w:szCs w:val="2"/>
        </w:rPr>
        <w:t>904B</w:t>
      </w:r>
      <w:r w:rsidR="00D629FA">
        <w:rPr>
          <w:rFonts w:ascii="ZWAdobeF" w:hAnsi="ZWAdobeF" w:cs="ZWAdobeF"/>
          <w:color w:val="auto"/>
          <w:sz w:val="2"/>
          <w:szCs w:val="2"/>
        </w:rPr>
        <w:t>904B</w:t>
      </w:r>
      <w:r w:rsidR="00213699">
        <w:t>Strike an appropriate balance between the interests of plaintiffs and defendants.</w:t>
      </w:r>
    </w:p>
    <w:p w14:paraId="22B828B0" w14:textId="7948B45C" w:rsidR="00213699" w:rsidRDefault="00BD5C95" w:rsidP="003E2524">
      <w:pPr>
        <w:pStyle w:val="BodyText2"/>
        <w:numPr>
          <w:ilvl w:val="3"/>
          <w:numId w:val="30"/>
        </w:numPr>
        <w:ind w:hanging="567"/>
      </w:pPr>
      <w:r>
        <w:rPr>
          <w:rFonts w:ascii="ZWAdobeF" w:hAnsi="ZWAdobeF" w:cs="ZWAdobeF"/>
          <w:color w:val="auto"/>
          <w:sz w:val="2"/>
          <w:szCs w:val="2"/>
        </w:rPr>
        <w:t>905B</w:t>
      </w:r>
      <w:r w:rsidR="0049638A">
        <w:rPr>
          <w:rFonts w:ascii="ZWAdobeF" w:hAnsi="ZWAdobeF" w:cs="ZWAdobeF"/>
          <w:color w:val="auto"/>
          <w:sz w:val="2"/>
          <w:szCs w:val="2"/>
        </w:rPr>
        <w:t>905B</w:t>
      </w:r>
      <w:r w:rsidR="00D629FA">
        <w:rPr>
          <w:rFonts w:ascii="ZWAdobeF" w:hAnsi="ZWAdobeF" w:cs="ZWAdobeF"/>
          <w:color w:val="auto"/>
          <w:sz w:val="2"/>
          <w:szCs w:val="2"/>
        </w:rPr>
        <w:t>905B</w:t>
      </w:r>
      <w:r w:rsidR="00213699">
        <w:t>Ensure that the interests of class members are safeguarded.</w:t>
      </w:r>
    </w:p>
    <w:p w14:paraId="0DFDAC0D" w14:textId="4EB10CE6" w:rsidR="00213699" w:rsidRDefault="00BD5C95" w:rsidP="003E2524">
      <w:pPr>
        <w:pStyle w:val="BodyText2"/>
        <w:numPr>
          <w:ilvl w:val="3"/>
          <w:numId w:val="30"/>
        </w:numPr>
        <w:ind w:hanging="567"/>
      </w:pPr>
      <w:r>
        <w:rPr>
          <w:rFonts w:ascii="ZWAdobeF" w:hAnsi="ZWAdobeF" w:cs="ZWAdobeF"/>
          <w:color w:val="auto"/>
          <w:sz w:val="2"/>
          <w:szCs w:val="2"/>
        </w:rPr>
        <w:t>906B</w:t>
      </w:r>
      <w:r w:rsidR="0049638A">
        <w:rPr>
          <w:rFonts w:ascii="ZWAdobeF" w:hAnsi="ZWAdobeF" w:cs="ZWAdobeF"/>
          <w:color w:val="auto"/>
          <w:sz w:val="2"/>
          <w:szCs w:val="2"/>
        </w:rPr>
        <w:t>906B</w:t>
      </w:r>
      <w:r w:rsidR="00D629FA">
        <w:rPr>
          <w:rFonts w:ascii="ZWAdobeF" w:hAnsi="ZWAdobeF" w:cs="ZWAdobeF"/>
          <w:color w:val="auto"/>
          <w:sz w:val="2"/>
          <w:szCs w:val="2"/>
        </w:rPr>
        <w:t>906B</w:t>
      </w:r>
      <w:r w:rsidR="00213699">
        <w:t>Provide a procedure that is just, speedy, inexpensive and proportionate.</w:t>
      </w:r>
    </w:p>
    <w:p w14:paraId="57BE2678" w14:textId="287FECED" w:rsidR="00213699" w:rsidRDefault="00BD5C95" w:rsidP="003E2524">
      <w:pPr>
        <w:pStyle w:val="BodyText2"/>
        <w:numPr>
          <w:ilvl w:val="3"/>
          <w:numId w:val="30"/>
        </w:numPr>
        <w:ind w:hanging="567"/>
      </w:pPr>
      <w:r>
        <w:rPr>
          <w:rFonts w:ascii="ZWAdobeF" w:hAnsi="ZWAdobeF" w:cs="ZWAdobeF"/>
          <w:color w:val="auto"/>
          <w:sz w:val="2"/>
          <w:szCs w:val="2"/>
        </w:rPr>
        <w:t>907B</w:t>
      </w:r>
      <w:r w:rsidR="0049638A">
        <w:rPr>
          <w:rFonts w:ascii="ZWAdobeF" w:hAnsi="ZWAdobeF" w:cs="ZWAdobeF"/>
          <w:color w:val="auto"/>
          <w:sz w:val="2"/>
          <w:szCs w:val="2"/>
        </w:rPr>
        <w:t>907B</w:t>
      </w:r>
      <w:r w:rsidR="00D629FA">
        <w:rPr>
          <w:rFonts w:ascii="ZWAdobeF" w:hAnsi="ZWAdobeF" w:cs="ZWAdobeF"/>
          <w:color w:val="auto"/>
          <w:sz w:val="2"/>
          <w:szCs w:val="2"/>
        </w:rPr>
        <w:t>907B</w:t>
      </w:r>
      <w:r w:rsidR="00213699">
        <w:t>Be appropriate for contemporary Aotearoa New Zealand.</w:t>
      </w:r>
    </w:p>
    <w:p w14:paraId="34D6A8D4" w14:textId="314B1561" w:rsidR="00213699" w:rsidRDefault="00BD5C95" w:rsidP="003E2524">
      <w:pPr>
        <w:pStyle w:val="BodyText2"/>
        <w:numPr>
          <w:ilvl w:val="3"/>
          <w:numId w:val="30"/>
        </w:numPr>
        <w:ind w:hanging="567"/>
      </w:pPr>
      <w:r>
        <w:rPr>
          <w:rFonts w:ascii="ZWAdobeF" w:hAnsi="ZWAdobeF" w:cs="ZWAdobeF"/>
          <w:color w:val="auto"/>
          <w:sz w:val="2"/>
          <w:szCs w:val="2"/>
        </w:rPr>
        <w:t>908B</w:t>
      </w:r>
      <w:r w:rsidR="0049638A">
        <w:rPr>
          <w:rFonts w:ascii="ZWAdobeF" w:hAnsi="ZWAdobeF" w:cs="ZWAdobeF"/>
          <w:color w:val="auto"/>
          <w:sz w:val="2"/>
          <w:szCs w:val="2"/>
        </w:rPr>
        <w:t>908B</w:t>
      </w:r>
      <w:r w:rsidR="00D629FA">
        <w:rPr>
          <w:rFonts w:ascii="ZWAdobeF" w:hAnsi="ZWAdobeF" w:cs="ZWAdobeF"/>
          <w:color w:val="auto"/>
          <w:sz w:val="2"/>
          <w:szCs w:val="2"/>
        </w:rPr>
        <w:t>908B</w:t>
      </w:r>
      <w:r w:rsidR="00213699">
        <w:t>Recognise and provide for relevant tikanga Māori concepts.</w:t>
      </w:r>
    </w:p>
    <w:p w14:paraId="2A17A1B0" w14:textId="1C7AE25F" w:rsidR="00213699" w:rsidRDefault="00BD5C95" w:rsidP="003E2524">
      <w:pPr>
        <w:pStyle w:val="BodyText2"/>
        <w:numPr>
          <w:ilvl w:val="3"/>
          <w:numId w:val="30"/>
        </w:numPr>
        <w:ind w:hanging="567"/>
      </w:pPr>
      <w:r>
        <w:rPr>
          <w:rFonts w:ascii="ZWAdobeF" w:hAnsi="ZWAdobeF" w:cs="ZWAdobeF"/>
          <w:color w:val="auto"/>
          <w:sz w:val="2"/>
          <w:szCs w:val="2"/>
        </w:rPr>
        <w:t>909B</w:t>
      </w:r>
      <w:r w:rsidR="0049638A">
        <w:rPr>
          <w:rFonts w:ascii="ZWAdobeF" w:hAnsi="ZWAdobeF" w:cs="ZWAdobeF"/>
          <w:color w:val="auto"/>
          <w:sz w:val="2"/>
          <w:szCs w:val="2"/>
        </w:rPr>
        <w:t>909B</w:t>
      </w:r>
      <w:r w:rsidR="00D629FA">
        <w:rPr>
          <w:rFonts w:ascii="ZWAdobeF" w:hAnsi="ZWAdobeF" w:cs="ZWAdobeF"/>
          <w:color w:val="auto"/>
          <w:sz w:val="2"/>
          <w:szCs w:val="2"/>
        </w:rPr>
        <w:t>909B</w:t>
      </w:r>
      <w:r w:rsidR="00213699">
        <w:t>Not adversely impact on other methods of bringing collective litigation.</w:t>
      </w:r>
    </w:p>
    <w:p w14:paraId="67A29A27" w14:textId="791457D8" w:rsidR="00213699" w:rsidRDefault="00BD5C95" w:rsidP="003E2524">
      <w:pPr>
        <w:pStyle w:val="BodyText2"/>
        <w:numPr>
          <w:ilvl w:val="3"/>
          <w:numId w:val="30"/>
        </w:numPr>
        <w:ind w:hanging="567"/>
      </w:pPr>
      <w:r>
        <w:rPr>
          <w:rFonts w:ascii="ZWAdobeF" w:hAnsi="ZWAdobeF" w:cs="ZWAdobeF"/>
          <w:color w:val="auto"/>
          <w:sz w:val="2"/>
          <w:szCs w:val="2"/>
        </w:rPr>
        <w:t>910B</w:t>
      </w:r>
      <w:r w:rsidR="0049638A">
        <w:rPr>
          <w:rFonts w:ascii="ZWAdobeF" w:hAnsi="ZWAdobeF" w:cs="ZWAdobeF"/>
          <w:color w:val="auto"/>
          <w:sz w:val="2"/>
          <w:szCs w:val="2"/>
        </w:rPr>
        <w:t>910B</w:t>
      </w:r>
      <w:r w:rsidR="00D629FA">
        <w:rPr>
          <w:rFonts w:ascii="ZWAdobeF" w:hAnsi="ZWAdobeF" w:cs="ZWAdobeF"/>
          <w:color w:val="auto"/>
          <w:sz w:val="2"/>
          <w:szCs w:val="2"/>
        </w:rPr>
        <w:t>910B</w:t>
      </w:r>
      <w:r w:rsidR="00213699">
        <w:t xml:space="preserve">Provide clarity on issues arising in funded class actions. </w:t>
      </w:r>
    </w:p>
    <w:p w14:paraId="6400B35E" w14:textId="1B9D3559" w:rsidR="00213699" w:rsidRDefault="00BD5C95" w:rsidP="00B82CD1">
      <w:pPr>
        <w:pStyle w:val="ListNumber"/>
      </w:pPr>
      <w:r>
        <w:rPr>
          <w:rFonts w:ascii="ZWAdobeF" w:hAnsi="ZWAdobeF" w:cs="ZWAdobeF"/>
          <w:color w:val="auto"/>
          <w:sz w:val="2"/>
          <w:szCs w:val="2"/>
        </w:rPr>
        <w:t>978B</w:t>
      </w:r>
      <w:r w:rsidR="0049638A">
        <w:rPr>
          <w:rFonts w:ascii="ZWAdobeF" w:hAnsi="ZWAdobeF" w:cs="ZWAdobeF"/>
          <w:color w:val="auto"/>
          <w:sz w:val="2"/>
          <w:szCs w:val="2"/>
        </w:rPr>
        <w:t>978B</w:t>
      </w:r>
      <w:r w:rsidR="00D629FA">
        <w:rPr>
          <w:rFonts w:ascii="ZWAdobeF" w:hAnsi="ZWAdobeF" w:cs="ZWAdobeF"/>
          <w:color w:val="auto"/>
          <w:sz w:val="2"/>
          <w:szCs w:val="2"/>
        </w:rPr>
        <w:t>978B</w:t>
      </w:r>
      <w:r w:rsidR="00213699">
        <w:t>We asked submitters specific questions in relation to each of these proposed principles (Q</w:t>
      </w:r>
      <w:r w:rsidR="00472093">
        <w:rPr>
          <w:rFonts w:ascii="Calibri" w:hAnsi="Calibri" w:cs="Calibri"/>
        </w:rPr>
        <w:t> </w:t>
      </w:r>
      <w:r w:rsidR="00213699">
        <w:t>10 to Q</w:t>
      </w:r>
      <w:r w:rsidR="00D3327B">
        <w:t xml:space="preserve"> </w:t>
      </w:r>
      <w:r w:rsidR="00213699">
        <w:t xml:space="preserve">17). The feedback we received on these questions has been relevant to many specific features of a class actions regime, and not simply to the design principles. For example, many submitters identified practical ways </w:t>
      </w:r>
      <w:r w:rsidR="00F6401F">
        <w:t>of giving effect to t</w:t>
      </w:r>
      <w:r w:rsidR="00213699">
        <w:t xml:space="preserve">hese principles. </w:t>
      </w:r>
    </w:p>
    <w:p w14:paraId="09EDF7E4" w14:textId="1E6DDF6C" w:rsidR="00213699" w:rsidRDefault="00BD5C95" w:rsidP="00B82CD1">
      <w:pPr>
        <w:pStyle w:val="ListNumber"/>
      </w:pPr>
      <w:r>
        <w:rPr>
          <w:rFonts w:ascii="ZWAdobeF" w:hAnsi="ZWAdobeF" w:cs="ZWAdobeF"/>
          <w:color w:val="auto"/>
          <w:sz w:val="2"/>
          <w:szCs w:val="2"/>
        </w:rPr>
        <w:t>979B</w:t>
      </w:r>
      <w:r w:rsidR="0049638A">
        <w:rPr>
          <w:rFonts w:ascii="ZWAdobeF" w:hAnsi="ZWAdobeF" w:cs="ZWAdobeF"/>
          <w:color w:val="auto"/>
          <w:sz w:val="2"/>
          <w:szCs w:val="2"/>
        </w:rPr>
        <w:t>979B</w:t>
      </w:r>
      <w:r w:rsidR="00D629FA">
        <w:rPr>
          <w:rFonts w:ascii="ZWAdobeF" w:hAnsi="ZWAdobeF" w:cs="ZWAdobeF"/>
          <w:color w:val="auto"/>
          <w:sz w:val="2"/>
          <w:szCs w:val="2"/>
        </w:rPr>
        <w:t>979B</w:t>
      </w:r>
      <w:r w:rsidR="00213699">
        <w:t>We also asked submitters if they agreed with our overall list of principles (Q</w:t>
      </w:r>
      <w:r w:rsidR="007F1E30">
        <w:t xml:space="preserve"> </w:t>
      </w:r>
      <w:r w:rsidR="00213699">
        <w:t>18). We received 1</w:t>
      </w:r>
      <w:r w:rsidR="007F6F8E">
        <w:t>5</w:t>
      </w:r>
      <w:r w:rsidR="00213699">
        <w:t xml:space="preserve"> submissions on </w:t>
      </w:r>
      <w:r w:rsidR="007F1E30">
        <w:t>this question</w:t>
      </w:r>
      <w:r w:rsidR="00213699">
        <w:t>.</w:t>
      </w:r>
      <w:r w:rsidR="00D629FA">
        <w:rPr>
          <w:rFonts w:ascii="ZWAdobeF" w:hAnsi="ZWAdobeF" w:cs="ZWAdobeF"/>
          <w:color w:val="auto"/>
          <w:sz w:val="2"/>
          <w:szCs w:val="2"/>
        </w:rPr>
        <w:t>47F</w:t>
      </w:r>
      <w:r w:rsidR="0049638A">
        <w:rPr>
          <w:rFonts w:ascii="ZWAdobeF" w:hAnsi="ZWAdobeF" w:cs="ZWAdobeF"/>
          <w:color w:val="auto"/>
          <w:sz w:val="2"/>
          <w:szCs w:val="2"/>
        </w:rPr>
        <w:t>47F</w:t>
      </w:r>
      <w:r w:rsidR="000D4978">
        <w:rPr>
          <w:rFonts w:ascii="ZWAdobeF" w:hAnsi="ZWAdobeF" w:cs="ZWAdobeF"/>
          <w:color w:val="auto"/>
          <w:sz w:val="2"/>
          <w:szCs w:val="2"/>
        </w:rPr>
        <w:t>47F</w:t>
      </w:r>
      <w:r w:rsidR="00213699">
        <w:rPr>
          <w:rStyle w:val="FootnoteReference"/>
        </w:rPr>
        <w:footnoteReference w:id="49"/>
      </w:r>
      <w:r w:rsidR="00213699">
        <w:t xml:space="preserve"> Of these, 11 submitters said they agreed with our list of principles, although some indicated provisos or supported additional principles.</w:t>
      </w:r>
      <w:r w:rsidR="00D629FA">
        <w:rPr>
          <w:rFonts w:ascii="ZWAdobeF" w:hAnsi="ZWAdobeF" w:cs="ZWAdobeF"/>
          <w:color w:val="auto"/>
          <w:sz w:val="2"/>
          <w:szCs w:val="2"/>
        </w:rPr>
        <w:t>48F</w:t>
      </w:r>
      <w:r w:rsidR="0049638A">
        <w:rPr>
          <w:rFonts w:ascii="ZWAdobeF" w:hAnsi="ZWAdobeF" w:cs="ZWAdobeF"/>
          <w:color w:val="auto"/>
          <w:sz w:val="2"/>
          <w:szCs w:val="2"/>
        </w:rPr>
        <w:t>48F</w:t>
      </w:r>
      <w:r w:rsidR="000D4978">
        <w:rPr>
          <w:rFonts w:ascii="ZWAdobeF" w:hAnsi="ZWAdobeF" w:cs="ZWAdobeF"/>
          <w:color w:val="auto"/>
          <w:sz w:val="2"/>
          <w:szCs w:val="2"/>
        </w:rPr>
        <w:t>48F</w:t>
      </w:r>
      <w:r w:rsidR="00213699">
        <w:rPr>
          <w:rStyle w:val="FootnoteReference"/>
        </w:rPr>
        <w:footnoteReference w:id="50"/>
      </w:r>
    </w:p>
    <w:p w14:paraId="094B9809" w14:textId="33470DAC" w:rsidR="00213699" w:rsidRDefault="00BD5C95" w:rsidP="00B82CD1">
      <w:pPr>
        <w:pStyle w:val="ListNumber"/>
      </w:pPr>
      <w:r>
        <w:rPr>
          <w:rFonts w:ascii="ZWAdobeF" w:hAnsi="ZWAdobeF" w:cs="ZWAdobeF"/>
          <w:color w:val="auto"/>
          <w:sz w:val="2"/>
          <w:szCs w:val="2"/>
        </w:rPr>
        <w:t>980B</w:t>
      </w:r>
      <w:r w:rsidR="0049638A">
        <w:rPr>
          <w:rFonts w:ascii="ZWAdobeF" w:hAnsi="ZWAdobeF" w:cs="ZWAdobeF"/>
          <w:color w:val="auto"/>
          <w:sz w:val="2"/>
          <w:szCs w:val="2"/>
        </w:rPr>
        <w:t>980B</w:t>
      </w:r>
      <w:r w:rsidR="00D629FA">
        <w:rPr>
          <w:rFonts w:ascii="ZWAdobeF" w:hAnsi="ZWAdobeF" w:cs="ZWAdobeF"/>
          <w:color w:val="auto"/>
          <w:sz w:val="2"/>
          <w:szCs w:val="2"/>
        </w:rPr>
        <w:t>980B</w:t>
      </w:r>
      <w:r w:rsidR="00213699">
        <w:t>We have concluded that a statutory class actions regime should:</w:t>
      </w:r>
    </w:p>
    <w:p w14:paraId="34143935" w14:textId="76AF045B" w:rsidR="00213699" w:rsidRDefault="00BD5C95" w:rsidP="003E2524">
      <w:pPr>
        <w:pStyle w:val="BodyText2"/>
        <w:numPr>
          <w:ilvl w:val="3"/>
          <w:numId w:val="31"/>
        </w:numPr>
        <w:ind w:hanging="567"/>
      </w:pPr>
      <w:r>
        <w:rPr>
          <w:rFonts w:ascii="ZWAdobeF" w:hAnsi="ZWAdobeF" w:cs="ZWAdobeF"/>
          <w:color w:val="auto"/>
          <w:sz w:val="2"/>
          <w:szCs w:val="2"/>
        </w:rPr>
        <w:t>911B</w:t>
      </w:r>
      <w:r w:rsidR="0049638A">
        <w:rPr>
          <w:rFonts w:ascii="ZWAdobeF" w:hAnsi="ZWAdobeF" w:cs="ZWAdobeF"/>
          <w:color w:val="auto"/>
          <w:sz w:val="2"/>
          <w:szCs w:val="2"/>
        </w:rPr>
        <w:t>911B</w:t>
      </w:r>
      <w:r w:rsidR="00D629FA">
        <w:rPr>
          <w:rFonts w:ascii="ZWAdobeF" w:hAnsi="ZWAdobeF" w:cs="ZWAdobeF"/>
          <w:color w:val="auto"/>
          <w:sz w:val="2"/>
          <w:szCs w:val="2"/>
        </w:rPr>
        <w:t>911B</w:t>
      </w:r>
      <w:r w:rsidR="00213699">
        <w:t>Consider the interests of both plaintiffs and defendants.</w:t>
      </w:r>
    </w:p>
    <w:p w14:paraId="06E378FB" w14:textId="12AFA08D" w:rsidR="00213699" w:rsidRDefault="00BD5C95" w:rsidP="003E2524">
      <w:pPr>
        <w:pStyle w:val="BodyText2"/>
        <w:numPr>
          <w:ilvl w:val="3"/>
          <w:numId w:val="31"/>
        </w:numPr>
        <w:ind w:hanging="567"/>
      </w:pPr>
      <w:r>
        <w:rPr>
          <w:rFonts w:ascii="ZWAdobeF" w:hAnsi="ZWAdobeF" w:cs="ZWAdobeF"/>
          <w:color w:val="auto"/>
          <w:sz w:val="2"/>
          <w:szCs w:val="2"/>
        </w:rPr>
        <w:t>912B</w:t>
      </w:r>
      <w:r w:rsidR="0049638A">
        <w:rPr>
          <w:rFonts w:ascii="ZWAdobeF" w:hAnsi="ZWAdobeF" w:cs="ZWAdobeF"/>
          <w:color w:val="auto"/>
          <w:sz w:val="2"/>
          <w:szCs w:val="2"/>
        </w:rPr>
        <w:t>912B</w:t>
      </w:r>
      <w:r w:rsidR="00D629FA">
        <w:rPr>
          <w:rFonts w:ascii="ZWAdobeF" w:hAnsi="ZWAdobeF" w:cs="ZWAdobeF"/>
          <w:color w:val="auto"/>
          <w:sz w:val="2"/>
          <w:szCs w:val="2"/>
        </w:rPr>
        <w:t>912B</w:t>
      </w:r>
      <w:r w:rsidR="00213699">
        <w:t>Safeguard the interests of class members.</w:t>
      </w:r>
    </w:p>
    <w:p w14:paraId="5FA4D6AD" w14:textId="0680B515" w:rsidR="00213699" w:rsidRDefault="00BD5C95" w:rsidP="003E2524">
      <w:pPr>
        <w:pStyle w:val="BodyText2"/>
        <w:numPr>
          <w:ilvl w:val="3"/>
          <w:numId w:val="31"/>
        </w:numPr>
        <w:ind w:hanging="567"/>
      </w:pPr>
      <w:r>
        <w:rPr>
          <w:rFonts w:ascii="ZWAdobeF" w:hAnsi="ZWAdobeF" w:cs="ZWAdobeF"/>
          <w:color w:val="auto"/>
          <w:sz w:val="2"/>
          <w:szCs w:val="2"/>
        </w:rPr>
        <w:t>913B</w:t>
      </w:r>
      <w:r w:rsidR="0049638A">
        <w:rPr>
          <w:rFonts w:ascii="ZWAdobeF" w:hAnsi="ZWAdobeF" w:cs="ZWAdobeF"/>
          <w:color w:val="auto"/>
          <w:sz w:val="2"/>
          <w:szCs w:val="2"/>
        </w:rPr>
        <w:t>913B</w:t>
      </w:r>
      <w:r w:rsidR="00D629FA">
        <w:rPr>
          <w:rFonts w:ascii="ZWAdobeF" w:hAnsi="ZWAdobeF" w:cs="ZWAdobeF"/>
          <w:color w:val="auto"/>
          <w:sz w:val="2"/>
          <w:szCs w:val="2"/>
        </w:rPr>
        <w:t>913B</w:t>
      </w:r>
      <w:r w:rsidR="00213699">
        <w:t>Consider the principle of proportionality, meaning that the time and cost of litigation should be proportionate to what is at stake.</w:t>
      </w:r>
    </w:p>
    <w:p w14:paraId="51CC8C1B" w14:textId="778A0F7A" w:rsidR="00213699" w:rsidRDefault="00BD5C95" w:rsidP="003E2524">
      <w:pPr>
        <w:pStyle w:val="BodyText2"/>
        <w:numPr>
          <w:ilvl w:val="3"/>
          <w:numId w:val="31"/>
        </w:numPr>
        <w:ind w:hanging="567"/>
      </w:pPr>
      <w:r>
        <w:rPr>
          <w:rFonts w:ascii="ZWAdobeF" w:hAnsi="ZWAdobeF" w:cs="ZWAdobeF"/>
          <w:color w:val="auto"/>
          <w:sz w:val="2"/>
          <w:szCs w:val="2"/>
        </w:rPr>
        <w:lastRenderedPageBreak/>
        <w:t>914B</w:t>
      </w:r>
      <w:r w:rsidR="0049638A">
        <w:rPr>
          <w:rFonts w:ascii="ZWAdobeF" w:hAnsi="ZWAdobeF" w:cs="ZWAdobeF"/>
          <w:color w:val="auto"/>
          <w:sz w:val="2"/>
          <w:szCs w:val="2"/>
        </w:rPr>
        <w:t>914B</w:t>
      </w:r>
      <w:r w:rsidR="00D629FA">
        <w:rPr>
          <w:rFonts w:ascii="ZWAdobeF" w:hAnsi="ZWAdobeF" w:cs="ZWAdobeF"/>
          <w:color w:val="auto"/>
          <w:sz w:val="2"/>
          <w:szCs w:val="2"/>
        </w:rPr>
        <w:t>914B</w:t>
      </w:r>
      <w:r w:rsidR="00213699">
        <w:t>Strike an appropriate balance between flexibility and certainty.</w:t>
      </w:r>
    </w:p>
    <w:p w14:paraId="2F27B8CF" w14:textId="150B8F6D" w:rsidR="00213699" w:rsidRDefault="00BD5C95" w:rsidP="003E2524">
      <w:pPr>
        <w:pStyle w:val="BodyText2"/>
        <w:numPr>
          <w:ilvl w:val="3"/>
          <w:numId w:val="31"/>
        </w:numPr>
        <w:ind w:hanging="567"/>
      </w:pPr>
      <w:r>
        <w:rPr>
          <w:rFonts w:ascii="ZWAdobeF" w:hAnsi="ZWAdobeF" w:cs="ZWAdobeF"/>
          <w:color w:val="auto"/>
          <w:sz w:val="2"/>
          <w:szCs w:val="2"/>
        </w:rPr>
        <w:t>915B</w:t>
      </w:r>
      <w:r w:rsidR="0049638A">
        <w:rPr>
          <w:rFonts w:ascii="ZWAdobeF" w:hAnsi="ZWAdobeF" w:cs="ZWAdobeF"/>
          <w:color w:val="auto"/>
          <w:sz w:val="2"/>
          <w:szCs w:val="2"/>
        </w:rPr>
        <w:t>915B</w:t>
      </w:r>
      <w:r w:rsidR="00D629FA">
        <w:rPr>
          <w:rFonts w:ascii="ZWAdobeF" w:hAnsi="ZWAdobeF" w:cs="ZWAdobeF"/>
          <w:color w:val="auto"/>
          <w:sz w:val="2"/>
          <w:szCs w:val="2"/>
        </w:rPr>
        <w:t>915B</w:t>
      </w:r>
      <w:r w:rsidR="00213699">
        <w:t>Be appropriate for contemporary Aotearoa New Zealand.</w:t>
      </w:r>
    </w:p>
    <w:p w14:paraId="21E99E3D" w14:textId="16C4C022" w:rsidR="00213699" w:rsidRDefault="00BD5C95" w:rsidP="003E2524">
      <w:pPr>
        <w:pStyle w:val="BodyText2"/>
        <w:numPr>
          <w:ilvl w:val="3"/>
          <w:numId w:val="31"/>
        </w:numPr>
        <w:ind w:hanging="567"/>
      </w:pPr>
      <w:r>
        <w:rPr>
          <w:rFonts w:ascii="ZWAdobeF" w:hAnsi="ZWAdobeF" w:cs="ZWAdobeF"/>
          <w:color w:val="auto"/>
          <w:sz w:val="2"/>
          <w:szCs w:val="2"/>
        </w:rPr>
        <w:t>916B</w:t>
      </w:r>
      <w:r w:rsidR="0049638A">
        <w:rPr>
          <w:rFonts w:ascii="ZWAdobeF" w:hAnsi="ZWAdobeF" w:cs="ZWAdobeF"/>
          <w:color w:val="auto"/>
          <w:sz w:val="2"/>
          <w:szCs w:val="2"/>
        </w:rPr>
        <w:t>916B</w:t>
      </w:r>
      <w:r w:rsidR="00D629FA">
        <w:rPr>
          <w:rFonts w:ascii="ZWAdobeF" w:hAnsi="ZWAdobeF" w:cs="ZWAdobeF"/>
          <w:color w:val="auto"/>
          <w:sz w:val="2"/>
          <w:szCs w:val="2"/>
        </w:rPr>
        <w:t>916B</w:t>
      </w:r>
      <w:r w:rsidR="00213699">
        <w:t>Recognise and reflect tikanga Māori.</w:t>
      </w:r>
    </w:p>
    <w:p w14:paraId="1A68571D" w14:textId="1E900962" w:rsidR="00213699" w:rsidRDefault="00BD5C95" w:rsidP="003E2524">
      <w:pPr>
        <w:pStyle w:val="BodyText2"/>
        <w:numPr>
          <w:ilvl w:val="3"/>
          <w:numId w:val="31"/>
        </w:numPr>
        <w:ind w:hanging="567"/>
      </w:pPr>
      <w:r>
        <w:rPr>
          <w:rFonts w:ascii="ZWAdobeF" w:hAnsi="ZWAdobeF" w:cs="ZWAdobeF"/>
          <w:color w:val="auto"/>
          <w:sz w:val="2"/>
          <w:szCs w:val="2"/>
        </w:rPr>
        <w:t>917B</w:t>
      </w:r>
      <w:r w:rsidR="0049638A">
        <w:rPr>
          <w:rFonts w:ascii="ZWAdobeF" w:hAnsi="ZWAdobeF" w:cs="ZWAdobeF"/>
          <w:color w:val="auto"/>
          <w:sz w:val="2"/>
          <w:szCs w:val="2"/>
        </w:rPr>
        <w:t>917B</w:t>
      </w:r>
      <w:r w:rsidR="00D629FA">
        <w:rPr>
          <w:rFonts w:ascii="ZWAdobeF" w:hAnsi="ZWAdobeF" w:cs="ZWAdobeF"/>
          <w:color w:val="auto"/>
          <w:sz w:val="2"/>
          <w:szCs w:val="2"/>
        </w:rPr>
        <w:t>917B</w:t>
      </w:r>
      <w:r w:rsidR="00213699">
        <w:t>Not adversely impact on other methods of group litigation.</w:t>
      </w:r>
    </w:p>
    <w:p w14:paraId="2FE2BBEB" w14:textId="3353527B" w:rsidR="00213699" w:rsidRDefault="00BD5C95" w:rsidP="003E2524">
      <w:pPr>
        <w:pStyle w:val="BodyText2"/>
        <w:numPr>
          <w:ilvl w:val="3"/>
          <w:numId w:val="31"/>
        </w:numPr>
        <w:ind w:hanging="567"/>
      </w:pPr>
      <w:r>
        <w:rPr>
          <w:rFonts w:ascii="ZWAdobeF" w:hAnsi="ZWAdobeF" w:cs="ZWAdobeF"/>
          <w:color w:val="auto"/>
          <w:sz w:val="2"/>
          <w:szCs w:val="2"/>
        </w:rPr>
        <w:t>918B</w:t>
      </w:r>
      <w:r w:rsidR="0049638A">
        <w:rPr>
          <w:rFonts w:ascii="ZWAdobeF" w:hAnsi="ZWAdobeF" w:cs="ZWAdobeF"/>
          <w:color w:val="auto"/>
          <w:sz w:val="2"/>
          <w:szCs w:val="2"/>
        </w:rPr>
        <w:t>918B</w:t>
      </w:r>
      <w:r w:rsidR="00D629FA">
        <w:rPr>
          <w:rFonts w:ascii="ZWAdobeF" w:hAnsi="ZWAdobeF" w:cs="ZWAdobeF"/>
          <w:color w:val="auto"/>
          <w:sz w:val="2"/>
          <w:szCs w:val="2"/>
        </w:rPr>
        <w:t>918B</w:t>
      </w:r>
      <w:r w:rsidR="00213699">
        <w:t>Provide clarity on issues arising in funded litigation.</w:t>
      </w:r>
    </w:p>
    <w:p w14:paraId="284FEBAE" w14:textId="7821015B" w:rsidR="00213699" w:rsidRDefault="00BD5C95" w:rsidP="00B82CD1">
      <w:pPr>
        <w:pStyle w:val="ListNumber"/>
      </w:pPr>
      <w:r>
        <w:rPr>
          <w:rFonts w:ascii="ZWAdobeF" w:hAnsi="ZWAdobeF" w:cs="ZWAdobeF"/>
          <w:color w:val="auto"/>
          <w:sz w:val="2"/>
          <w:szCs w:val="2"/>
        </w:rPr>
        <w:t>981B</w:t>
      </w:r>
      <w:r w:rsidR="0049638A">
        <w:rPr>
          <w:rFonts w:ascii="ZWAdobeF" w:hAnsi="ZWAdobeF" w:cs="ZWAdobeF"/>
          <w:color w:val="auto"/>
          <w:sz w:val="2"/>
          <w:szCs w:val="2"/>
        </w:rPr>
        <w:t>981B</w:t>
      </w:r>
      <w:r w:rsidR="00D629FA">
        <w:rPr>
          <w:rFonts w:ascii="ZWAdobeF" w:hAnsi="ZWAdobeF" w:cs="ZWAdobeF"/>
          <w:color w:val="auto"/>
          <w:sz w:val="2"/>
          <w:szCs w:val="2"/>
        </w:rPr>
        <w:t>981B</w:t>
      </w:r>
      <w:r w:rsidR="00213699">
        <w:t>We see these as principles that should guide the policy process of developing a class actions regime, rather than being the objectives of class actions themselves.</w:t>
      </w:r>
      <w:r w:rsidR="00D629FA">
        <w:rPr>
          <w:rFonts w:ascii="ZWAdobeF" w:hAnsi="ZWAdobeF" w:cs="ZWAdobeF"/>
          <w:color w:val="auto"/>
          <w:sz w:val="2"/>
          <w:szCs w:val="2"/>
        </w:rPr>
        <w:t>49F</w:t>
      </w:r>
      <w:r w:rsidR="0049638A">
        <w:rPr>
          <w:rFonts w:ascii="ZWAdobeF" w:hAnsi="ZWAdobeF" w:cs="ZWAdobeF"/>
          <w:color w:val="auto"/>
          <w:sz w:val="2"/>
          <w:szCs w:val="2"/>
        </w:rPr>
        <w:t>49F</w:t>
      </w:r>
      <w:r w:rsidR="000D4978">
        <w:rPr>
          <w:rFonts w:ascii="ZWAdobeF" w:hAnsi="ZWAdobeF" w:cs="ZWAdobeF"/>
          <w:color w:val="auto"/>
          <w:sz w:val="2"/>
          <w:szCs w:val="2"/>
        </w:rPr>
        <w:t>49F</w:t>
      </w:r>
      <w:r w:rsidR="00213699">
        <w:rPr>
          <w:rStyle w:val="FootnoteReference"/>
        </w:rPr>
        <w:footnoteReference w:id="51"/>
      </w:r>
      <w:r w:rsidR="00213699">
        <w:t xml:space="preserve"> They are the principles that are guiding our work in developing recommendations on class actions. These principles are similar to those we outlined in our Issues Paper, with two key differences.</w:t>
      </w:r>
    </w:p>
    <w:p w14:paraId="1D114CBA" w14:textId="253DF912" w:rsidR="00213699" w:rsidRDefault="00BD5C95" w:rsidP="00B82CD1">
      <w:pPr>
        <w:pStyle w:val="ListNumber"/>
      </w:pPr>
      <w:r>
        <w:rPr>
          <w:rFonts w:ascii="ZWAdobeF" w:hAnsi="ZWAdobeF" w:cs="ZWAdobeF"/>
          <w:color w:val="auto"/>
          <w:sz w:val="2"/>
          <w:szCs w:val="2"/>
        </w:rPr>
        <w:t>982B</w:t>
      </w:r>
      <w:r w:rsidR="0049638A">
        <w:rPr>
          <w:rFonts w:ascii="ZWAdobeF" w:hAnsi="ZWAdobeF" w:cs="ZWAdobeF"/>
          <w:color w:val="auto"/>
          <w:sz w:val="2"/>
          <w:szCs w:val="2"/>
        </w:rPr>
        <w:t>982B</w:t>
      </w:r>
      <w:r w:rsidR="00D629FA">
        <w:rPr>
          <w:rFonts w:ascii="ZWAdobeF" w:hAnsi="ZWAdobeF" w:cs="ZWAdobeF"/>
          <w:color w:val="auto"/>
          <w:sz w:val="2"/>
          <w:szCs w:val="2"/>
        </w:rPr>
        <w:t>982B</w:t>
      </w:r>
      <w:r w:rsidR="00213699">
        <w:t>We have decided it is unnecessary to expressly include the objective of the High Court Rules as a principle as this will necessarily apply to all civil litigation, including class actions. Therefore, our principle (c) simply refers to proportionality, which was a concept that was supported by many submitters.</w:t>
      </w:r>
      <w:r w:rsidR="00D629FA">
        <w:rPr>
          <w:rFonts w:ascii="ZWAdobeF" w:hAnsi="ZWAdobeF" w:cs="ZWAdobeF"/>
          <w:color w:val="auto"/>
          <w:sz w:val="2"/>
          <w:szCs w:val="2"/>
        </w:rPr>
        <w:t>50F</w:t>
      </w:r>
      <w:r w:rsidR="0049638A">
        <w:rPr>
          <w:rFonts w:ascii="ZWAdobeF" w:hAnsi="ZWAdobeF" w:cs="ZWAdobeF"/>
          <w:color w:val="auto"/>
          <w:sz w:val="2"/>
          <w:szCs w:val="2"/>
        </w:rPr>
        <w:t>50F</w:t>
      </w:r>
      <w:r w:rsidR="000D4978">
        <w:rPr>
          <w:rFonts w:ascii="ZWAdobeF" w:hAnsi="ZWAdobeF" w:cs="ZWAdobeF"/>
          <w:color w:val="auto"/>
          <w:sz w:val="2"/>
          <w:szCs w:val="2"/>
        </w:rPr>
        <w:t>50F</w:t>
      </w:r>
      <w:r w:rsidR="00213699">
        <w:rPr>
          <w:rStyle w:val="FootnoteReference"/>
        </w:rPr>
        <w:footnoteReference w:id="52"/>
      </w:r>
    </w:p>
    <w:p w14:paraId="3BB93F3B" w14:textId="5588E880" w:rsidR="00213699" w:rsidRDefault="00BD5C95" w:rsidP="00B82CD1">
      <w:pPr>
        <w:pStyle w:val="ListNumber"/>
      </w:pPr>
      <w:r>
        <w:rPr>
          <w:rFonts w:ascii="ZWAdobeF" w:hAnsi="ZWAdobeF" w:cs="ZWAdobeF"/>
          <w:color w:val="auto"/>
          <w:sz w:val="2"/>
          <w:szCs w:val="2"/>
        </w:rPr>
        <w:t>983B</w:t>
      </w:r>
      <w:r w:rsidR="0049638A">
        <w:rPr>
          <w:rFonts w:ascii="ZWAdobeF" w:hAnsi="ZWAdobeF" w:cs="ZWAdobeF"/>
          <w:color w:val="auto"/>
          <w:sz w:val="2"/>
          <w:szCs w:val="2"/>
        </w:rPr>
        <w:t>983B</w:t>
      </w:r>
      <w:r w:rsidR="00D629FA">
        <w:rPr>
          <w:rFonts w:ascii="ZWAdobeF" w:hAnsi="ZWAdobeF" w:cs="ZWAdobeF"/>
          <w:color w:val="auto"/>
          <w:sz w:val="2"/>
          <w:szCs w:val="2"/>
        </w:rPr>
        <w:t>983B</w:t>
      </w:r>
      <w:r w:rsidR="00213699">
        <w:t>We have included a new principle of striking an appropriate balance between flexibility and certainty. Several submitters referred to the need to ensure that a court has sufficient flexibility and discretion.</w:t>
      </w:r>
      <w:r w:rsidR="00213699">
        <w:softHyphen/>
      </w:r>
      <w:r w:rsidR="00D629FA">
        <w:rPr>
          <w:rFonts w:ascii="ZWAdobeF" w:hAnsi="ZWAdobeF" w:cs="ZWAdobeF"/>
          <w:color w:val="auto"/>
          <w:sz w:val="2"/>
          <w:szCs w:val="2"/>
        </w:rPr>
        <w:t>51F</w:t>
      </w:r>
      <w:r w:rsidR="0049638A">
        <w:rPr>
          <w:rFonts w:ascii="ZWAdobeF" w:hAnsi="ZWAdobeF" w:cs="ZWAdobeF"/>
          <w:color w:val="auto"/>
          <w:sz w:val="2"/>
          <w:szCs w:val="2"/>
        </w:rPr>
        <w:t>51F</w:t>
      </w:r>
      <w:r w:rsidR="000D4978">
        <w:rPr>
          <w:rFonts w:ascii="ZWAdobeF" w:hAnsi="ZWAdobeF" w:cs="ZWAdobeF"/>
          <w:color w:val="auto"/>
          <w:sz w:val="2"/>
          <w:szCs w:val="2"/>
        </w:rPr>
        <w:t>51F</w:t>
      </w:r>
      <w:r w:rsidR="00213699">
        <w:rPr>
          <w:rStyle w:val="FootnoteReference"/>
        </w:rPr>
        <w:footnoteReference w:id="53"/>
      </w:r>
      <w:r w:rsidR="00213699">
        <w:t xml:space="preserve"> This point was made most strongly by NZLS which cautioned against a regime acting as a “straitjacket”</w:t>
      </w:r>
      <w:r w:rsidR="00BA0344">
        <w:t>,</w:t>
      </w:r>
      <w:r w:rsidR="00213699">
        <w:t xml:space="preserve"> </w:t>
      </w:r>
      <w:r w:rsidR="00717292">
        <w:t xml:space="preserve">precluding </w:t>
      </w:r>
      <w:r w:rsidR="00213699">
        <w:t xml:space="preserve">a court from implementing procedures suited to a particular case. However, many submitters were critical of the uncertainty caused by HCR 4.24 and said that a class actions regime should provide clarity and certainty. We think the appropriate degree of flexibility or prescription will depend on the aspect of the class actions regime at issue. For example, we think courts will need a high degree of flexibility with respect to case management to allow for the circumstances of individual cases. Greater prescription might be appropriate for a certification test so that a claimant can assess whether a potential class action is feasible or not. </w:t>
      </w:r>
    </w:p>
    <w:p w14:paraId="4CBB9519" w14:textId="77777777" w:rsidR="00213699" w:rsidRDefault="00213699" w:rsidP="00213699">
      <w:pPr>
        <w:pStyle w:val="Heading3"/>
      </w:pPr>
      <w:r>
        <w:t>Representative actions rule should be retained</w:t>
      </w:r>
    </w:p>
    <w:p w14:paraId="5353B1AE" w14:textId="0D78EB56" w:rsidR="00213699" w:rsidRDefault="00BD5C95" w:rsidP="00B82CD1">
      <w:pPr>
        <w:pStyle w:val="ListNumber"/>
      </w:pPr>
      <w:r>
        <w:rPr>
          <w:rFonts w:ascii="ZWAdobeF" w:hAnsi="ZWAdobeF" w:cs="ZWAdobeF"/>
          <w:color w:val="auto"/>
          <w:sz w:val="2"/>
          <w:szCs w:val="2"/>
        </w:rPr>
        <w:t>984B</w:t>
      </w:r>
      <w:r w:rsidR="0049638A">
        <w:rPr>
          <w:rFonts w:ascii="ZWAdobeF" w:hAnsi="ZWAdobeF" w:cs="ZWAdobeF"/>
          <w:color w:val="auto"/>
          <w:sz w:val="2"/>
          <w:szCs w:val="2"/>
        </w:rPr>
        <w:t>984B</w:t>
      </w:r>
      <w:r w:rsidR="00D629FA">
        <w:rPr>
          <w:rFonts w:ascii="ZWAdobeF" w:hAnsi="ZWAdobeF" w:cs="ZWAdobeF"/>
          <w:color w:val="auto"/>
          <w:sz w:val="2"/>
          <w:szCs w:val="2"/>
        </w:rPr>
        <w:t>984B</w:t>
      </w:r>
      <w:r w:rsidR="00213699">
        <w:t>In our Issues Paper we discussed whether the representative actions rule in HCR 4.24 should be retained if a class actions regime were adopted. We suggested that a representative action may be preferable to a class action in some cases, such as where the class is small, or a non-monetary remedy is sought.</w:t>
      </w:r>
      <w:r w:rsidR="00D629FA">
        <w:rPr>
          <w:rFonts w:ascii="ZWAdobeF" w:hAnsi="ZWAdobeF" w:cs="ZWAdobeF"/>
          <w:color w:val="auto"/>
          <w:sz w:val="2"/>
          <w:szCs w:val="2"/>
        </w:rPr>
        <w:t>52F</w:t>
      </w:r>
      <w:r w:rsidR="0049638A">
        <w:rPr>
          <w:rFonts w:ascii="ZWAdobeF" w:hAnsi="ZWAdobeF" w:cs="ZWAdobeF"/>
          <w:color w:val="auto"/>
          <w:sz w:val="2"/>
          <w:szCs w:val="2"/>
        </w:rPr>
        <w:t>52F</w:t>
      </w:r>
      <w:r w:rsidR="000D4978">
        <w:rPr>
          <w:rFonts w:ascii="ZWAdobeF" w:hAnsi="ZWAdobeF" w:cs="ZWAdobeF"/>
          <w:color w:val="auto"/>
          <w:sz w:val="2"/>
          <w:szCs w:val="2"/>
        </w:rPr>
        <w:t>52F</w:t>
      </w:r>
      <w:r w:rsidR="00213699">
        <w:rPr>
          <w:rStyle w:val="FootnoteReference"/>
        </w:rPr>
        <w:footnoteReference w:id="54"/>
      </w:r>
      <w:r w:rsidR="00213699">
        <w:t xml:space="preserve"> However, we also expressed concern that a parallel representative actions procedure might undermine a class actions regime.</w:t>
      </w:r>
      <w:r w:rsidR="00D629FA">
        <w:rPr>
          <w:rFonts w:ascii="ZWAdobeF" w:hAnsi="ZWAdobeF" w:cs="ZWAdobeF"/>
          <w:color w:val="auto"/>
          <w:sz w:val="2"/>
          <w:szCs w:val="2"/>
        </w:rPr>
        <w:t>53F</w:t>
      </w:r>
      <w:r w:rsidR="0049638A">
        <w:rPr>
          <w:rFonts w:ascii="ZWAdobeF" w:hAnsi="ZWAdobeF" w:cs="ZWAdobeF"/>
          <w:color w:val="auto"/>
          <w:sz w:val="2"/>
          <w:szCs w:val="2"/>
        </w:rPr>
        <w:t>53F</w:t>
      </w:r>
      <w:r w:rsidR="000D4978">
        <w:rPr>
          <w:rFonts w:ascii="ZWAdobeF" w:hAnsi="ZWAdobeF" w:cs="ZWAdobeF"/>
          <w:color w:val="auto"/>
          <w:sz w:val="2"/>
          <w:szCs w:val="2"/>
        </w:rPr>
        <w:t>53F</w:t>
      </w:r>
      <w:r w:rsidR="00213699">
        <w:rPr>
          <w:rStyle w:val="FootnoteReference"/>
        </w:rPr>
        <w:footnoteReference w:id="55"/>
      </w:r>
      <w:r w:rsidR="00213699">
        <w:t xml:space="preserve">  </w:t>
      </w:r>
    </w:p>
    <w:p w14:paraId="4CD432A2" w14:textId="550D5004" w:rsidR="00213699" w:rsidRDefault="00BD5C95" w:rsidP="00B82CD1">
      <w:pPr>
        <w:pStyle w:val="ListNumber"/>
      </w:pPr>
      <w:r>
        <w:rPr>
          <w:rFonts w:ascii="ZWAdobeF" w:hAnsi="ZWAdobeF" w:cs="ZWAdobeF"/>
          <w:color w:val="auto"/>
          <w:sz w:val="2"/>
          <w:szCs w:val="2"/>
        </w:rPr>
        <w:lastRenderedPageBreak/>
        <w:t>985B</w:t>
      </w:r>
      <w:r w:rsidR="0049638A">
        <w:rPr>
          <w:rFonts w:ascii="ZWAdobeF" w:hAnsi="ZWAdobeF" w:cs="ZWAdobeF"/>
          <w:color w:val="auto"/>
          <w:sz w:val="2"/>
          <w:szCs w:val="2"/>
        </w:rPr>
        <w:t>985B</w:t>
      </w:r>
      <w:r w:rsidR="00D629FA">
        <w:rPr>
          <w:rFonts w:ascii="ZWAdobeF" w:hAnsi="ZWAdobeF" w:cs="ZWAdobeF"/>
          <w:color w:val="auto"/>
          <w:sz w:val="2"/>
          <w:szCs w:val="2"/>
        </w:rPr>
        <w:t>985B</w:t>
      </w:r>
      <w:r w:rsidR="00213699">
        <w:t>We asked submitters whether</w:t>
      </w:r>
      <w:r w:rsidR="00213699" w:rsidRPr="002F05E7">
        <w:t xml:space="preserve"> the representative actions rule </w:t>
      </w:r>
      <w:r w:rsidR="00213699">
        <w:t xml:space="preserve">should </w:t>
      </w:r>
      <w:r w:rsidR="00213699" w:rsidRPr="002F05E7">
        <w:t>be retained alongside a class actions regime</w:t>
      </w:r>
      <w:r w:rsidR="00213699">
        <w:t xml:space="preserve"> and</w:t>
      </w:r>
      <w:r w:rsidR="002B1B86">
        <w:t>,</w:t>
      </w:r>
      <w:r w:rsidR="00213699">
        <w:t xml:space="preserve"> if so, whether it should be limited to certain kinds of cases (Q</w:t>
      </w:r>
      <w:r w:rsidR="000823BE">
        <w:rPr>
          <w:rFonts w:ascii="Calibri" w:hAnsi="Calibri" w:cs="Calibri"/>
        </w:rPr>
        <w:t> </w:t>
      </w:r>
      <w:r w:rsidR="00213699">
        <w:t>9). We received 20 submissions on this question.</w:t>
      </w:r>
      <w:r w:rsidR="00D629FA">
        <w:rPr>
          <w:rFonts w:ascii="ZWAdobeF" w:hAnsi="ZWAdobeF" w:cs="ZWAdobeF"/>
          <w:color w:val="auto"/>
          <w:sz w:val="2"/>
          <w:szCs w:val="2"/>
        </w:rPr>
        <w:t>54F</w:t>
      </w:r>
      <w:r w:rsidR="0049638A">
        <w:rPr>
          <w:rFonts w:ascii="ZWAdobeF" w:hAnsi="ZWAdobeF" w:cs="ZWAdobeF"/>
          <w:color w:val="auto"/>
          <w:sz w:val="2"/>
          <w:szCs w:val="2"/>
        </w:rPr>
        <w:t>54F</w:t>
      </w:r>
      <w:r w:rsidR="000D4978">
        <w:rPr>
          <w:rFonts w:ascii="ZWAdobeF" w:hAnsi="ZWAdobeF" w:cs="ZWAdobeF"/>
          <w:color w:val="auto"/>
          <w:sz w:val="2"/>
          <w:szCs w:val="2"/>
        </w:rPr>
        <w:t>54F</w:t>
      </w:r>
      <w:r w:rsidR="00213699">
        <w:rPr>
          <w:rStyle w:val="FootnoteReference"/>
        </w:rPr>
        <w:footnoteReference w:id="56"/>
      </w:r>
      <w:r w:rsidR="00213699">
        <w:t xml:space="preserve"> There were 12 submitters who supported retaining a representative actions rule.</w:t>
      </w:r>
      <w:r w:rsidR="00D629FA">
        <w:rPr>
          <w:rFonts w:ascii="ZWAdobeF" w:hAnsi="ZWAdobeF" w:cs="ZWAdobeF"/>
          <w:color w:val="auto"/>
          <w:sz w:val="2"/>
          <w:szCs w:val="2"/>
        </w:rPr>
        <w:t>55F</w:t>
      </w:r>
      <w:r w:rsidR="0049638A">
        <w:rPr>
          <w:rFonts w:ascii="ZWAdobeF" w:hAnsi="ZWAdobeF" w:cs="ZWAdobeF"/>
          <w:color w:val="auto"/>
          <w:sz w:val="2"/>
          <w:szCs w:val="2"/>
        </w:rPr>
        <w:t>55F</w:t>
      </w:r>
      <w:r w:rsidR="000D4978">
        <w:rPr>
          <w:rFonts w:ascii="ZWAdobeF" w:hAnsi="ZWAdobeF" w:cs="ZWAdobeF"/>
          <w:color w:val="auto"/>
          <w:sz w:val="2"/>
          <w:szCs w:val="2"/>
        </w:rPr>
        <w:t>55F</w:t>
      </w:r>
      <w:r w:rsidR="00213699">
        <w:rPr>
          <w:rStyle w:val="FootnoteReference"/>
        </w:rPr>
        <w:footnoteReference w:id="57"/>
      </w:r>
      <w:r w:rsidR="00213699">
        <w:t xml:space="preserve"> Submitters noted representative actions might be more appropriate for claims involving small groups, non-monetary claims, claims against multiple defendants, and trusts and estates claims. Some submitters pointed to HCR 4.24 as potentially providing greater flexibility than a class actions regime. There were seven submitters who thought the representative actions rule should be abolished.</w:t>
      </w:r>
      <w:r w:rsidR="00D629FA">
        <w:rPr>
          <w:rFonts w:ascii="ZWAdobeF" w:hAnsi="ZWAdobeF" w:cs="ZWAdobeF"/>
          <w:color w:val="auto"/>
          <w:sz w:val="2"/>
          <w:szCs w:val="2"/>
        </w:rPr>
        <w:t>56F</w:t>
      </w:r>
      <w:r w:rsidR="0049638A">
        <w:rPr>
          <w:rFonts w:ascii="ZWAdobeF" w:hAnsi="ZWAdobeF" w:cs="ZWAdobeF"/>
          <w:color w:val="auto"/>
          <w:sz w:val="2"/>
          <w:szCs w:val="2"/>
        </w:rPr>
        <w:t>56F</w:t>
      </w:r>
      <w:r w:rsidR="000D4978">
        <w:rPr>
          <w:rFonts w:ascii="ZWAdobeF" w:hAnsi="ZWAdobeF" w:cs="ZWAdobeF"/>
          <w:color w:val="auto"/>
          <w:sz w:val="2"/>
          <w:szCs w:val="2"/>
        </w:rPr>
        <w:t>56F</w:t>
      </w:r>
      <w:r w:rsidR="00213699">
        <w:rPr>
          <w:rStyle w:val="FootnoteReference"/>
        </w:rPr>
        <w:footnoteReference w:id="58"/>
      </w:r>
      <w:r w:rsidR="00213699">
        <w:t xml:space="preserve"> Submitters pointed to the potential for confusion and the lack of necessity for HCR 4.24 if there were a class actions regime. One submitter did not express a clear preference.</w:t>
      </w:r>
      <w:r w:rsidR="00D629FA">
        <w:rPr>
          <w:rFonts w:ascii="ZWAdobeF" w:hAnsi="ZWAdobeF" w:cs="ZWAdobeF"/>
          <w:color w:val="auto"/>
          <w:sz w:val="2"/>
          <w:szCs w:val="2"/>
        </w:rPr>
        <w:t>57F</w:t>
      </w:r>
      <w:r w:rsidR="0049638A">
        <w:rPr>
          <w:rFonts w:ascii="ZWAdobeF" w:hAnsi="ZWAdobeF" w:cs="ZWAdobeF"/>
          <w:color w:val="auto"/>
          <w:sz w:val="2"/>
          <w:szCs w:val="2"/>
        </w:rPr>
        <w:t>57F</w:t>
      </w:r>
      <w:r w:rsidR="000D4978">
        <w:rPr>
          <w:rFonts w:ascii="ZWAdobeF" w:hAnsi="ZWAdobeF" w:cs="ZWAdobeF"/>
          <w:color w:val="auto"/>
          <w:sz w:val="2"/>
          <w:szCs w:val="2"/>
        </w:rPr>
        <w:t>57F</w:t>
      </w:r>
      <w:r w:rsidR="00213699">
        <w:rPr>
          <w:rStyle w:val="FootnoteReference"/>
        </w:rPr>
        <w:footnoteReference w:id="59"/>
      </w:r>
    </w:p>
    <w:p w14:paraId="03A74334" w14:textId="0A61659C" w:rsidR="00213699" w:rsidRPr="00D20DB4" w:rsidRDefault="00BD5C95" w:rsidP="00B82CD1">
      <w:pPr>
        <w:pStyle w:val="ListNumber"/>
      </w:pPr>
      <w:r>
        <w:rPr>
          <w:rFonts w:ascii="ZWAdobeF" w:hAnsi="ZWAdobeF" w:cs="ZWAdobeF"/>
          <w:color w:val="auto"/>
          <w:sz w:val="2"/>
          <w:szCs w:val="2"/>
        </w:rPr>
        <w:t>986B</w:t>
      </w:r>
      <w:r w:rsidR="0049638A">
        <w:rPr>
          <w:rFonts w:ascii="ZWAdobeF" w:hAnsi="ZWAdobeF" w:cs="ZWAdobeF"/>
          <w:color w:val="auto"/>
          <w:sz w:val="2"/>
          <w:szCs w:val="2"/>
        </w:rPr>
        <w:t>986B</w:t>
      </w:r>
      <w:r w:rsidR="00D629FA">
        <w:rPr>
          <w:rFonts w:ascii="ZWAdobeF" w:hAnsi="ZWAdobeF" w:cs="ZWAdobeF"/>
          <w:color w:val="auto"/>
          <w:sz w:val="2"/>
          <w:szCs w:val="2"/>
        </w:rPr>
        <w:t>986B</w:t>
      </w:r>
      <w:r w:rsidR="00213699">
        <w:t xml:space="preserve">We have concluded that HCR 4.24 should be retained. We expect there will be cases which are unsuitable to be brought as a class action, but where it would still be efficient for the court to consider multiple claims together. However, we think it would be undesirable if HCR 4.24 were used as an alternative means of bringing a class action, as a way of avoiding the requirements of a class actions regime. It may be desirable to amend HCR 4.24 to provide that it should not be used where a class action would be a more appropriate procedure. We will return to this issue in our </w:t>
      </w:r>
      <w:r w:rsidR="000F6F80">
        <w:t>f</w:t>
      </w:r>
      <w:r w:rsidR="00213699">
        <w:t xml:space="preserve">inal </w:t>
      </w:r>
      <w:r w:rsidR="000F6F80">
        <w:t>r</w:t>
      </w:r>
      <w:r w:rsidR="00213699">
        <w:t>eport.</w:t>
      </w:r>
    </w:p>
    <w:p w14:paraId="42C9C6E8" w14:textId="545CCE18" w:rsidR="00213699" w:rsidRDefault="00722D56" w:rsidP="00213699">
      <w:pPr>
        <w:pStyle w:val="Heading3"/>
      </w:pPr>
      <w:r>
        <w:t>Class actions regime should not provide for d</w:t>
      </w:r>
      <w:r w:rsidR="00213699">
        <w:t xml:space="preserve">efendant class actions  </w:t>
      </w:r>
    </w:p>
    <w:p w14:paraId="51E081C8" w14:textId="3A408EA2" w:rsidR="00213699" w:rsidRDefault="00BD5C95" w:rsidP="00B82CD1">
      <w:pPr>
        <w:pStyle w:val="ListNumber"/>
      </w:pPr>
      <w:r>
        <w:rPr>
          <w:rFonts w:ascii="ZWAdobeF" w:hAnsi="ZWAdobeF" w:cs="ZWAdobeF"/>
          <w:color w:val="auto"/>
          <w:sz w:val="2"/>
          <w:szCs w:val="2"/>
        </w:rPr>
        <w:t>987B</w:t>
      </w:r>
      <w:r w:rsidR="0049638A">
        <w:rPr>
          <w:rFonts w:ascii="ZWAdobeF" w:hAnsi="ZWAdobeF" w:cs="ZWAdobeF"/>
          <w:color w:val="auto"/>
          <w:sz w:val="2"/>
          <w:szCs w:val="2"/>
        </w:rPr>
        <w:t>987B</w:t>
      </w:r>
      <w:r w:rsidR="00D629FA">
        <w:rPr>
          <w:rFonts w:ascii="ZWAdobeF" w:hAnsi="ZWAdobeF" w:cs="ZWAdobeF"/>
          <w:color w:val="auto"/>
          <w:sz w:val="2"/>
          <w:szCs w:val="2"/>
        </w:rPr>
        <w:t>987B</w:t>
      </w:r>
      <w:r w:rsidR="00213699">
        <w:t xml:space="preserve">Defendant class actions involve a plaintiff bringing a </w:t>
      </w:r>
      <w:r w:rsidR="00213699" w:rsidRPr="00144F30">
        <w:t>claim against a group of potential defendants</w:t>
      </w:r>
      <w:r w:rsidR="00213699">
        <w:t xml:space="preserve"> who are </w:t>
      </w:r>
      <w:r w:rsidR="00213699" w:rsidRPr="00144F30">
        <w:t>represented by a representative defendant.</w:t>
      </w:r>
      <w:r w:rsidR="00213699">
        <w:t xml:space="preserve"> In our Issues Paper, we observed that defendant class actions may enhance procedural efficiency and access to justice.</w:t>
      </w:r>
      <w:r w:rsidR="00D629FA">
        <w:rPr>
          <w:rFonts w:ascii="ZWAdobeF" w:hAnsi="ZWAdobeF" w:cs="ZWAdobeF"/>
          <w:color w:val="auto"/>
          <w:sz w:val="2"/>
          <w:szCs w:val="2"/>
        </w:rPr>
        <w:t>58F</w:t>
      </w:r>
      <w:r w:rsidR="0049638A">
        <w:rPr>
          <w:rFonts w:ascii="ZWAdobeF" w:hAnsi="ZWAdobeF" w:cs="ZWAdobeF"/>
          <w:color w:val="auto"/>
          <w:sz w:val="2"/>
          <w:szCs w:val="2"/>
        </w:rPr>
        <w:t>58F</w:t>
      </w:r>
      <w:r w:rsidR="000D4978">
        <w:rPr>
          <w:rFonts w:ascii="ZWAdobeF" w:hAnsi="ZWAdobeF" w:cs="ZWAdobeF"/>
          <w:color w:val="auto"/>
          <w:sz w:val="2"/>
          <w:szCs w:val="2"/>
        </w:rPr>
        <w:t>58F</w:t>
      </w:r>
      <w:r w:rsidR="00213699">
        <w:rPr>
          <w:rStyle w:val="FootnoteReference"/>
        </w:rPr>
        <w:footnoteReference w:id="60"/>
      </w:r>
      <w:r w:rsidR="00213699">
        <w:t xml:space="preserve"> However, while some features of plaintiff class actions could apply to defendant class actions, we noted that certain differences between plaintiff and defendant class actions posed difficulties.</w:t>
      </w:r>
      <w:r w:rsidR="00D629FA">
        <w:rPr>
          <w:rFonts w:ascii="ZWAdobeF" w:hAnsi="ZWAdobeF" w:cs="ZWAdobeF"/>
          <w:color w:val="auto"/>
          <w:sz w:val="2"/>
          <w:szCs w:val="2"/>
        </w:rPr>
        <w:t>59F</w:t>
      </w:r>
      <w:r w:rsidR="0049638A">
        <w:rPr>
          <w:rFonts w:ascii="ZWAdobeF" w:hAnsi="ZWAdobeF" w:cs="ZWAdobeF"/>
          <w:color w:val="auto"/>
          <w:sz w:val="2"/>
          <w:szCs w:val="2"/>
        </w:rPr>
        <w:t>59F</w:t>
      </w:r>
      <w:r w:rsidR="000D4978">
        <w:rPr>
          <w:rFonts w:ascii="ZWAdobeF" w:hAnsi="ZWAdobeF" w:cs="ZWAdobeF"/>
          <w:color w:val="auto"/>
          <w:sz w:val="2"/>
          <w:szCs w:val="2"/>
        </w:rPr>
        <w:t>59F</w:t>
      </w:r>
      <w:r w:rsidR="00213699">
        <w:rPr>
          <w:rStyle w:val="FootnoteReference"/>
        </w:rPr>
        <w:footnoteReference w:id="61"/>
      </w:r>
      <w:r w:rsidR="00213699">
        <w:t xml:space="preserve"> We observed that while defendant class actions are allowed in some overseas regimes, they are very rare.</w:t>
      </w:r>
      <w:r w:rsidR="00D629FA">
        <w:rPr>
          <w:rFonts w:ascii="ZWAdobeF" w:hAnsi="ZWAdobeF" w:cs="ZWAdobeF"/>
          <w:color w:val="auto"/>
          <w:sz w:val="2"/>
          <w:szCs w:val="2"/>
        </w:rPr>
        <w:t>60F</w:t>
      </w:r>
      <w:r w:rsidR="0049638A">
        <w:rPr>
          <w:rFonts w:ascii="ZWAdobeF" w:hAnsi="ZWAdobeF" w:cs="ZWAdobeF"/>
          <w:color w:val="auto"/>
          <w:sz w:val="2"/>
          <w:szCs w:val="2"/>
        </w:rPr>
        <w:t>60F</w:t>
      </w:r>
      <w:r w:rsidR="000D4978">
        <w:rPr>
          <w:rFonts w:ascii="ZWAdobeF" w:hAnsi="ZWAdobeF" w:cs="ZWAdobeF"/>
          <w:color w:val="auto"/>
          <w:sz w:val="2"/>
          <w:szCs w:val="2"/>
        </w:rPr>
        <w:t>60F</w:t>
      </w:r>
      <w:r w:rsidR="00213699">
        <w:rPr>
          <w:rStyle w:val="FootnoteReference"/>
        </w:rPr>
        <w:footnoteReference w:id="62"/>
      </w:r>
    </w:p>
    <w:p w14:paraId="2CDFA4C8" w14:textId="4E13E3A3" w:rsidR="00213699" w:rsidRDefault="00BD5C95" w:rsidP="00B82CD1">
      <w:pPr>
        <w:pStyle w:val="ListNumber"/>
      </w:pPr>
      <w:r>
        <w:rPr>
          <w:rFonts w:ascii="ZWAdobeF" w:hAnsi="ZWAdobeF" w:cs="ZWAdobeF"/>
          <w:color w:val="auto"/>
          <w:sz w:val="2"/>
          <w:szCs w:val="2"/>
        </w:rPr>
        <w:t>988B</w:t>
      </w:r>
      <w:r w:rsidR="0049638A">
        <w:rPr>
          <w:rFonts w:ascii="ZWAdobeF" w:hAnsi="ZWAdobeF" w:cs="ZWAdobeF"/>
          <w:color w:val="auto"/>
          <w:sz w:val="2"/>
          <w:szCs w:val="2"/>
        </w:rPr>
        <w:t>988B</w:t>
      </w:r>
      <w:r w:rsidR="00D629FA">
        <w:rPr>
          <w:rFonts w:ascii="ZWAdobeF" w:hAnsi="ZWAdobeF" w:cs="ZWAdobeF"/>
          <w:color w:val="auto"/>
          <w:sz w:val="2"/>
          <w:szCs w:val="2"/>
        </w:rPr>
        <w:t>988B</w:t>
      </w:r>
      <w:r w:rsidR="00213699">
        <w:t>We asked submitters whether a class actions regime should include defendant class actions (Q</w:t>
      </w:r>
      <w:r w:rsidR="000823BE">
        <w:t xml:space="preserve"> </w:t>
      </w:r>
      <w:r w:rsidR="00213699">
        <w:t>8). We received 12 submissions on this question.</w:t>
      </w:r>
      <w:r w:rsidR="00D629FA">
        <w:rPr>
          <w:rFonts w:ascii="ZWAdobeF" w:hAnsi="ZWAdobeF" w:cs="ZWAdobeF"/>
          <w:color w:val="auto"/>
          <w:sz w:val="2"/>
          <w:szCs w:val="2"/>
        </w:rPr>
        <w:t>61F</w:t>
      </w:r>
      <w:r w:rsidR="0049638A">
        <w:rPr>
          <w:rFonts w:ascii="ZWAdobeF" w:hAnsi="ZWAdobeF" w:cs="ZWAdobeF"/>
          <w:color w:val="auto"/>
          <w:sz w:val="2"/>
          <w:szCs w:val="2"/>
        </w:rPr>
        <w:t>61F</w:t>
      </w:r>
      <w:r w:rsidR="000D4978">
        <w:rPr>
          <w:rFonts w:ascii="ZWAdobeF" w:hAnsi="ZWAdobeF" w:cs="ZWAdobeF"/>
          <w:color w:val="auto"/>
          <w:sz w:val="2"/>
          <w:szCs w:val="2"/>
        </w:rPr>
        <w:t>61F</w:t>
      </w:r>
      <w:r w:rsidR="00213699">
        <w:rPr>
          <w:rStyle w:val="FootnoteReference"/>
        </w:rPr>
        <w:footnoteReference w:id="63"/>
      </w:r>
      <w:r w:rsidR="00213699">
        <w:t xml:space="preserve"> Three submitters were in </w:t>
      </w:r>
      <w:r w:rsidR="00213699">
        <w:lastRenderedPageBreak/>
        <w:t>favour of defendant class actions.</w:t>
      </w:r>
      <w:r w:rsidR="00D629FA">
        <w:rPr>
          <w:rFonts w:ascii="ZWAdobeF" w:hAnsi="ZWAdobeF" w:cs="ZWAdobeF"/>
          <w:color w:val="auto"/>
          <w:sz w:val="2"/>
          <w:szCs w:val="2"/>
        </w:rPr>
        <w:t>62F</w:t>
      </w:r>
      <w:r w:rsidR="0049638A">
        <w:rPr>
          <w:rFonts w:ascii="ZWAdobeF" w:hAnsi="ZWAdobeF" w:cs="ZWAdobeF"/>
          <w:color w:val="auto"/>
          <w:sz w:val="2"/>
          <w:szCs w:val="2"/>
        </w:rPr>
        <w:t>62F</w:t>
      </w:r>
      <w:r w:rsidR="000D4978">
        <w:rPr>
          <w:rFonts w:ascii="ZWAdobeF" w:hAnsi="ZWAdobeF" w:cs="ZWAdobeF"/>
          <w:color w:val="auto"/>
          <w:sz w:val="2"/>
          <w:szCs w:val="2"/>
        </w:rPr>
        <w:t>62F</w:t>
      </w:r>
      <w:r w:rsidR="00213699">
        <w:rPr>
          <w:rStyle w:val="FootnoteReference"/>
        </w:rPr>
        <w:footnoteReference w:id="64"/>
      </w:r>
      <w:r w:rsidR="00213699">
        <w:t xml:space="preserve"> They noted that this would increase the economy and efficiency of litigation, and that there is no basis for excluding defendant class actions. Three submitters were opposed to defendant class actions.</w:t>
      </w:r>
      <w:r w:rsidR="00D629FA">
        <w:rPr>
          <w:rFonts w:ascii="ZWAdobeF" w:hAnsi="ZWAdobeF" w:cs="ZWAdobeF"/>
          <w:color w:val="auto"/>
          <w:sz w:val="2"/>
          <w:szCs w:val="2"/>
        </w:rPr>
        <w:t>63F</w:t>
      </w:r>
      <w:r w:rsidR="0049638A">
        <w:rPr>
          <w:rFonts w:ascii="ZWAdobeF" w:hAnsi="ZWAdobeF" w:cs="ZWAdobeF"/>
          <w:color w:val="auto"/>
          <w:sz w:val="2"/>
          <w:szCs w:val="2"/>
        </w:rPr>
        <w:t>63F</w:t>
      </w:r>
      <w:r w:rsidR="000D4978">
        <w:rPr>
          <w:rFonts w:ascii="ZWAdobeF" w:hAnsi="ZWAdobeF" w:cs="ZWAdobeF"/>
          <w:color w:val="auto"/>
          <w:sz w:val="2"/>
          <w:szCs w:val="2"/>
        </w:rPr>
        <w:t>63F</w:t>
      </w:r>
      <w:r w:rsidR="00213699">
        <w:rPr>
          <w:rStyle w:val="FootnoteReference"/>
        </w:rPr>
        <w:footnoteReference w:id="65"/>
      </w:r>
      <w:r w:rsidR="00213699">
        <w:t xml:space="preserve"> They pointed to the lack of any clear need for defendant class actions and the difficulty in adapting class action rules for defendant class actions. Six submitters did not express a clear view on the question.</w:t>
      </w:r>
      <w:r w:rsidR="00D629FA">
        <w:rPr>
          <w:rFonts w:ascii="ZWAdobeF" w:hAnsi="ZWAdobeF" w:cs="ZWAdobeF"/>
          <w:color w:val="auto"/>
          <w:sz w:val="2"/>
          <w:szCs w:val="2"/>
        </w:rPr>
        <w:t>64F</w:t>
      </w:r>
      <w:r w:rsidR="0049638A">
        <w:rPr>
          <w:rFonts w:ascii="ZWAdobeF" w:hAnsi="ZWAdobeF" w:cs="ZWAdobeF"/>
          <w:color w:val="auto"/>
          <w:sz w:val="2"/>
          <w:szCs w:val="2"/>
        </w:rPr>
        <w:t>64F</w:t>
      </w:r>
      <w:r w:rsidR="000D4978">
        <w:rPr>
          <w:rFonts w:ascii="ZWAdobeF" w:hAnsi="ZWAdobeF" w:cs="ZWAdobeF"/>
          <w:color w:val="auto"/>
          <w:sz w:val="2"/>
          <w:szCs w:val="2"/>
        </w:rPr>
        <w:t>64F</w:t>
      </w:r>
      <w:r w:rsidR="00213699">
        <w:rPr>
          <w:rStyle w:val="FootnoteReference"/>
        </w:rPr>
        <w:footnoteReference w:id="66"/>
      </w:r>
      <w:r w:rsidR="00213699">
        <w:t xml:space="preserve"> </w:t>
      </w:r>
    </w:p>
    <w:p w14:paraId="1AC15F4E" w14:textId="2869D58D" w:rsidR="00213699" w:rsidRDefault="00BD5C95" w:rsidP="00B82CD1">
      <w:pPr>
        <w:pStyle w:val="ListNumber"/>
      </w:pPr>
      <w:r>
        <w:rPr>
          <w:rFonts w:ascii="ZWAdobeF" w:hAnsi="ZWAdobeF" w:cs="ZWAdobeF"/>
          <w:color w:val="auto"/>
          <w:sz w:val="2"/>
          <w:szCs w:val="2"/>
        </w:rPr>
        <w:t>989B</w:t>
      </w:r>
      <w:r w:rsidR="0049638A">
        <w:rPr>
          <w:rFonts w:ascii="ZWAdobeF" w:hAnsi="ZWAdobeF" w:cs="ZWAdobeF"/>
          <w:color w:val="auto"/>
          <w:sz w:val="2"/>
          <w:szCs w:val="2"/>
        </w:rPr>
        <w:t>989B</w:t>
      </w:r>
      <w:r w:rsidR="00D629FA">
        <w:rPr>
          <w:rFonts w:ascii="ZWAdobeF" w:hAnsi="ZWAdobeF" w:cs="ZWAdobeF"/>
          <w:color w:val="auto"/>
          <w:sz w:val="2"/>
          <w:szCs w:val="2"/>
        </w:rPr>
        <w:t>989B</w:t>
      </w:r>
      <w:r w:rsidR="00213699">
        <w:t xml:space="preserve">We have concluded that a class actions regime should not provide for defendant class actions. There are significant differences between plaintiff class actions and defendant class actions, which would need to be reflected in a class actions regime. Given that claims involving representative defendants are likely to be rare and to involve small numbers of defendant class members, we think it is preferable to bring these as defendant representative actions. As noted above, we favour retaining the representative actions rule. </w:t>
      </w:r>
    </w:p>
    <w:p w14:paraId="0771F43A" w14:textId="2C5BCE07" w:rsidR="00213699" w:rsidRDefault="00213699" w:rsidP="00213699">
      <w:pPr>
        <w:pStyle w:val="Heading2"/>
      </w:pPr>
      <w:bookmarkStart w:id="37" w:name="_Toc83895431"/>
      <w:r>
        <w:t xml:space="preserve">Providing feedback on our </w:t>
      </w:r>
      <w:r w:rsidR="005A2FEE">
        <w:t>S</w:t>
      </w:r>
      <w:r>
        <w:t xml:space="preserve">upplementary </w:t>
      </w:r>
      <w:r w:rsidR="005A2FEE">
        <w:t>I</w:t>
      </w:r>
      <w:r>
        <w:t xml:space="preserve">ssues </w:t>
      </w:r>
      <w:r w:rsidR="005A2FEE">
        <w:t>P</w:t>
      </w:r>
      <w:r>
        <w:t>aper</w:t>
      </w:r>
      <w:bookmarkEnd w:id="37"/>
      <w:r>
        <w:t xml:space="preserve"> </w:t>
      </w:r>
    </w:p>
    <w:p w14:paraId="39B31416" w14:textId="63074187" w:rsidR="00213699" w:rsidRDefault="00BD5C95" w:rsidP="00B82CD1">
      <w:pPr>
        <w:pStyle w:val="ListNumber"/>
      </w:pPr>
      <w:r>
        <w:rPr>
          <w:rFonts w:ascii="ZWAdobeF" w:hAnsi="ZWAdobeF" w:cs="ZWAdobeF"/>
          <w:color w:val="auto"/>
          <w:sz w:val="2"/>
          <w:szCs w:val="2"/>
        </w:rPr>
        <w:t>990B</w:t>
      </w:r>
      <w:r w:rsidR="0049638A">
        <w:rPr>
          <w:rFonts w:ascii="ZWAdobeF" w:hAnsi="ZWAdobeF" w:cs="ZWAdobeF"/>
          <w:color w:val="auto"/>
          <w:sz w:val="2"/>
          <w:szCs w:val="2"/>
        </w:rPr>
        <w:t>990B</w:t>
      </w:r>
      <w:r w:rsidR="00D629FA">
        <w:rPr>
          <w:rFonts w:ascii="ZWAdobeF" w:hAnsi="ZWAdobeF" w:cs="ZWAdobeF"/>
          <w:color w:val="auto"/>
          <w:sz w:val="2"/>
          <w:szCs w:val="2"/>
        </w:rPr>
        <w:t>990B</w:t>
      </w:r>
      <w:r w:rsidR="00213699">
        <w:t>We are receiving submissions on our Supplementary Issues Paper until 12 November 2021. We welcome feedback on any of the questions we have raised as well as our draft provisions.</w:t>
      </w:r>
    </w:p>
    <w:p w14:paraId="2616609E" w14:textId="5AED49FC" w:rsidR="00213699" w:rsidRDefault="00BD5C95" w:rsidP="00B82CD1">
      <w:pPr>
        <w:pStyle w:val="ListNumber"/>
      </w:pPr>
      <w:r>
        <w:rPr>
          <w:rFonts w:ascii="ZWAdobeF" w:hAnsi="ZWAdobeF" w:cs="ZWAdobeF"/>
          <w:color w:val="auto"/>
          <w:sz w:val="2"/>
          <w:szCs w:val="2"/>
        </w:rPr>
        <w:t>991B</w:t>
      </w:r>
      <w:r w:rsidR="0049638A">
        <w:rPr>
          <w:rFonts w:ascii="ZWAdobeF" w:hAnsi="ZWAdobeF" w:cs="ZWAdobeF"/>
          <w:color w:val="auto"/>
          <w:sz w:val="2"/>
          <w:szCs w:val="2"/>
        </w:rPr>
        <w:t>991B</w:t>
      </w:r>
      <w:r w:rsidR="00D629FA">
        <w:rPr>
          <w:rFonts w:ascii="ZWAdobeF" w:hAnsi="ZWAdobeF" w:cs="ZWAdobeF"/>
          <w:color w:val="auto"/>
          <w:sz w:val="2"/>
          <w:szCs w:val="2"/>
        </w:rPr>
        <w:t>991B</w:t>
      </w:r>
      <w:r w:rsidR="00213699">
        <w:t>We had originally intended to hold policy workshops in Auckland, Wellington and Christchurch, to facilitate feedback on our Supplementary Issues Paper. Due to the uncertainty and restrictions caused by COVID-19, we have decided that workshops should primarily take place online. We have scheduled zoom workshops on 19, 20 and 26 October 2021. We have also scheduled an in-person workshop in Wellington on 27 October 2021 (subject to COVID-19 restrictions). People who are interested can sign up for these workshops on our website.</w:t>
      </w:r>
      <w:r w:rsidR="00D629FA">
        <w:rPr>
          <w:rFonts w:ascii="ZWAdobeF" w:hAnsi="ZWAdobeF" w:cs="ZWAdobeF"/>
          <w:color w:val="auto"/>
          <w:sz w:val="2"/>
          <w:szCs w:val="2"/>
        </w:rPr>
        <w:t>65F</w:t>
      </w:r>
      <w:r w:rsidR="0049638A">
        <w:rPr>
          <w:rFonts w:ascii="ZWAdobeF" w:hAnsi="ZWAdobeF" w:cs="ZWAdobeF"/>
          <w:color w:val="auto"/>
          <w:sz w:val="2"/>
          <w:szCs w:val="2"/>
        </w:rPr>
        <w:t>65F</w:t>
      </w:r>
      <w:r w:rsidR="000D4978">
        <w:rPr>
          <w:rFonts w:ascii="ZWAdobeF" w:hAnsi="ZWAdobeF" w:cs="ZWAdobeF"/>
          <w:color w:val="auto"/>
          <w:sz w:val="2"/>
          <w:szCs w:val="2"/>
        </w:rPr>
        <w:t>65F</w:t>
      </w:r>
      <w:r w:rsidR="00213699">
        <w:rPr>
          <w:rStyle w:val="FootnoteReference"/>
        </w:rPr>
        <w:footnoteReference w:id="67"/>
      </w:r>
      <w:r w:rsidR="00213699">
        <w:t xml:space="preserve"> We have designed these as workshops rather than presentations, as the purpose is to provide an efficient way for people to give feedback on our proposals.</w:t>
      </w:r>
      <w:r w:rsidR="00D629FA">
        <w:rPr>
          <w:rFonts w:ascii="ZWAdobeF" w:hAnsi="ZWAdobeF" w:cs="ZWAdobeF"/>
          <w:color w:val="auto"/>
          <w:sz w:val="2"/>
          <w:szCs w:val="2"/>
        </w:rPr>
        <w:t>66F</w:t>
      </w:r>
      <w:r w:rsidR="0049638A">
        <w:rPr>
          <w:rFonts w:ascii="ZWAdobeF" w:hAnsi="ZWAdobeF" w:cs="ZWAdobeF"/>
          <w:color w:val="auto"/>
          <w:sz w:val="2"/>
          <w:szCs w:val="2"/>
        </w:rPr>
        <w:t>66F</w:t>
      </w:r>
      <w:r w:rsidR="000D4978">
        <w:rPr>
          <w:rFonts w:ascii="ZWAdobeF" w:hAnsi="ZWAdobeF" w:cs="ZWAdobeF"/>
          <w:color w:val="auto"/>
          <w:sz w:val="2"/>
          <w:szCs w:val="2"/>
        </w:rPr>
        <w:t>66F</w:t>
      </w:r>
      <w:r w:rsidR="00213699">
        <w:rPr>
          <w:rStyle w:val="FootnoteReference"/>
        </w:rPr>
        <w:footnoteReference w:id="68"/>
      </w:r>
      <w:r w:rsidR="00213699">
        <w:t xml:space="preserve"> This feedback can be instead of, or as well as, a submission.</w:t>
      </w:r>
    </w:p>
    <w:p w14:paraId="438551F5" w14:textId="2A7577E8" w:rsidR="00213699" w:rsidRDefault="00BD5C95" w:rsidP="00B82CD1">
      <w:pPr>
        <w:pStyle w:val="ListNumber"/>
      </w:pPr>
      <w:r>
        <w:rPr>
          <w:rFonts w:ascii="ZWAdobeF" w:hAnsi="ZWAdobeF" w:cs="ZWAdobeF"/>
          <w:color w:val="auto"/>
          <w:sz w:val="2"/>
          <w:szCs w:val="2"/>
        </w:rPr>
        <w:t>992B</w:t>
      </w:r>
      <w:r w:rsidR="0049638A">
        <w:rPr>
          <w:rFonts w:ascii="ZWAdobeF" w:hAnsi="ZWAdobeF" w:cs="ZWAdobeF"/>
          <w:color w:val="auto"/>
          <w:sz w:val="2"/>
          <w:szCs w:val="2"/>
        </w:rPr>
        <w:t>992B</w:t>
      </w:r>
      <w:r w:rsidR="00D629FA">
        <w:rPr>
          <w:rFonts w:ascii="ZWAdobeF" w:hAnsi="ZWAdobeF" w:cs="ZWAdobeF"/>
          <w:color w:val="auto"/>
          <w:sz w:val="2"/>
          <w:szCs w:val="2"/>
        </w:rPr>
        <w:t>992B</w:t>
      </w:r>
      <w:r w:rsidR="00213699">
        <w:t>The views expressed in this Supplementary Issues Paper are preliminary and we will consider all the feedback we receive before forming our final recommendations. We intend to deliver our final report to the Minister of Justice in May 2022.</w:t>
      </w:r>
    </w:p>
    <w:p w14:paraId="1B1235A0" w14:textId="6B8DED49" w:rsidR="00596F79" w:rsidRPr="00D37FCE" w:rsidRDefault="00596F79" w:rsidP="00596F79">
      <w:pPr>
        <w:pStyle w:val="ListNumber"/>
        <w:numPr>
          <w:ilvl w:val="0"/>
          <w:numId w:val="0"/>
        </w:numPr>
        <w:ind w:left="567" w:hanging="567"/>
      </w:pPr>
    </w:p>
    <w:p w14:paraId="249FFB6A" w14:textId="77777777" w:rsidR="0044365D" w:rsidRPr="00D37FCE" w:rsidRDefault="0044365D" w:rsidP="0044365D">
      <w:pPr>
        <w:spacing w:before="120" w:line="300" w:lineRule="atLeast"/>
        <w:jc w:val="both"/>
        <w:rPr>
          <w:szCs w:val="20"/>
        </w:rPr>
      </w:pPr>
    </w:p>
    <w:p w14:paraId="287CE581" w14:textId="75561A1E" w:rsidR="004B2375" w:rsidRPr="00D37FCE" w:rsidRDefault="00C71EFA" w:rsidP="004B2375">
      <w:pPr>
        <w:tabs>
          <w:tab w:val="left" w:pos="709"/>
        </w:tabs>
        <w:spacing w:before="80"/>
        <w:ind w:left="1004" w:right="284"/>
        <w:jc w:val="both"/>
      </w:pPr>
      <w:r w:rsidRPr="00D37FCE">
        <w:rPr>
          <w:noProof/>
          <w:lang w:eastAsia="en-NZ"/>
        </w:rPr>
        <mc:AlternateContent>
          <mc:Choice Requires="wpg">
            <w:drawing>
              <wp:anchor distT="0" distB="0" distL="114300" distR="114300" simplePos="0" relativeHeight="251651091" behindDoc="1" locked="0" layoutInCell="1" allowOverlap="1" wp14:anchorId="4D3F9C89" wp14:editId="0B1ABE9F">
                <wp:simplePos x="0" y="0"/>
                <wp:positionH relativeFrom="page">
                  <wp:posOffset>1175385</wp:posOffset>
                </wp:positionH>
                <wp:positionV relativeFrom="paragraph">
                  <wp:posOffset>36727</wp:posOffset>
                </wp:positionV>
                <wp:extent cx="2411730" cy="1270"/>
                <wp:effectExtent l="0" t="19050" r="26670" b="17780"/>
                <wp:wrapNone/>
                <wp:docPr id="13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13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720F4" id="Group 135" o:spid="_x0000_s1026" style="position:absolute;margin-left:92.55pt;margin-top:2.9pt;width:189.9pt;height:.1pt;z-index:-251665389;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" path="m,l2097,e" filled="f" strokecolor="#72ab6a" strokeweight="3pt">
                  <v:path arrowok="t" o:connecttype="custom" o:connectlocs="0,0;2097,0" o:connectangles="0,0"/>
                </v:shape>
                <w10:wrap anchorx="page"/>
              </v:group>
            </w:pict>
          </mc:Fallback>
        </mc:AlternateContent>
      </w:r>
    </w:p>
    <w:p w14:paraId="3C235454" w14:textId="77777777" w:rsidR="0044365D" w:rsidRPr="00D37FCE" w:rsidRDefault="0044365D" w:rsidP="00422EF6">
      <w:pPr>
        <w:pStyle w:val="BodyText"/>
        <w:sectPr w:rsidR="0044365D" w:rsidRPr="00D37FCE" w:rsidSect="00FD6721">
          <w:headerReference w:type="even" r:id="rId30"/>
          <w:headerReference w:type="default" r:id="rId31"/>
          <w:footnotePr>
            <w:numRestart w:val="eachSect"/>
          </w:footnotePr>
          <w:type w:val="nextColumn"/>
          <w:pgSz w:w="11907" w:h="16840" w:code="9"/>
          <w:pgMar w:top="1134" w:right="1134" w:bottom="1134" w:left="1701" w:header="499" w:footer="833" w:gutter="0"/>
          <w:cols w:space="720"/>
        </w:sectPr>
      </w:pPr>
    </w:p>
    <w:p w14:paraId="3266F82D" w14:textId="288FA9E5" w:rsidR="00522791" w:rsidRPr="00D37FCE" w:rsidRDefault="00BD5C95" w:rsidP="005B0F89">
      <w:pPr>
        <w:pStyle w:val="HEADING2topchapter-notinTOC"/>
      </w:pPr>
      <w:r>
        <w:rPr>
          <w:rFonts w:ascii="ZWAdobeF" w:hAnsi="ZWAdobeF" w:cs="ZWAdobeF"/>
          <w:b w:val="0"/>
          <w:color w:val="auto"/>
          <w:sz w:val="2"/>
          <w:szCs w:val="2"/>
        </w:rPr>
        <w:lastRenderedPageBreak/>
        <w:t>936B</w:t>
      </w:r>
      <w:r w:rsidR="0049638A">
        <w:rPr>
          <w:rFonts w:ascii="ZWAdobeF" w:hAnsi="ZWAdobeF" w:cs="ZWAdobeF"/>
          <w:b w:val="0"/>
          <w:color w:val="auto"/>
          <w:sz w:val="2"/>
          <w:szCs w:val="2"/>
        </w:rPr>
        <w:t>936B</w:t>
      </w:r>
      <w:r w:rsidR="00D629FA">
        <w:rPr>
          <w:rFonts w:ascii="ZWAdobeF" w:hAnsi="ZWAdobeF" w:cs="ZWAdobeF"/>
          <w:b w:val="0"/>
          <w:color w:val="auto"/>
          <w:sz w:val="2"/>
          <w:szCs w:val="2"/>
        </w:rPr>
        <w:t>936B</w:t>
      </w:r>
      <w:r w:rsidR="00522791" w:rsidRPr="00D37FCE">
        <w:t>CHAPTER 1</w:t>
      </w:r>
    </w:p>
    <w:p w14:paraId="334BB223" w14:textId="77777777" w:rsidR="00522791" w:rsidRPr="00D37FCE" w:rsidRDefault="00522791" w:rsidP="00522791">
      <w:pPr>
        <w:spacing w:line="200" w:lineRule="exact"/>
        <w:rPr>
          <w:szCs w:val="20"/>
        </w:rPr>
      </w:pPr>
      <w:r w:rsidRPr="00D37FCE">
        <w:rPr>
          <w:noProof/>
          <w:lang w:eastAsia="en-NZ"/>
        </w:rPr>
        <mc:AlternateContent>
          <mc:Choice Requires="wpg">
            <w:drawing>
              <wp:anchor distT="0" distB="0" distL="114300" distR="114300" simplePos="0" relativeHeight="251651077" behindDoc="1" locked="0" layoutInCell="1" allowOverlap="1" wp14:anchorId="488CA164" wp14:editId="1C0F970E">
                <wp:simplePos x="0" y="0"/>
                <wp:positionH relativeFrom="page">
                  <wp:posOffset>1076325</wp:posOffset>
                </wp:positionH>
                <wp:positionV relativeFrom="paragraph">
                  <wp:posOffset>6350</wp:posOffset>
                </wp:positionV>
                <wp:extent cx="1332230" cy="1270"/>
                <wp:effectExtent l="0" t="19050" r="1270" b="1778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78F68" id="Group 33" o:spid="_x0000_s1026" style="position:absolute;margin-left:84.75pt;margin-top:.5pt;width:104.9pt;height:.1pt;z-index:-25166540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ndAgMAAPw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9FDAFBE" w14:textId="799EC850" w:rsidR="00045FD3" w:rsidRPr="00D37FCE" w:rsidRDefault="005513F7" w:rsidP="00497010">
      <w:pPr>
        <w:pStyle w:val="Heading1"/>
        <w:rPr>
          <w:rFonts w:eastAsia="Metropolis Black"/>
        </w:rPr>
      </w:pPr>
      <w:bookmarkStart w:id="38" w:name="_Toc83895432"/>
      <w:bookmarkStart w:id="39" w:name="_Ref55484087"/>
      <w:r w:rsidRPr="00D37FCE">
        <w:rPr>
          <w:rFonts w:eastAsia="Metropolis Black"/>
          <w:color w:val="FFFFFF" w:themeColor="background1"/>
          <w:sz w:val="2"/>
          <w:szCs w:val="2"/>
        </w:rPr>
        <w:t xml:space="preserve">1 </w:t>
      </w:r>
      <w:r w:rsidR="00C934E3">
        <w:rPr>
          <w:rFonts w:eastAsia="Metropolis Black"/>
        </w:rPr>
        <w:t xml:space="preserve">Commencement </w:t>
      </w:r>
      <w:r w:rsidR="00757CBD">
        <w:rPr>
          <w:rFonts w:eastAsia="Metropolis Black"/>
        </w:rPr>
        <w:t xml:space="preserve">and certification </w:t>
      </w:r>
      <w:r w:rsidR="00C934E3">
        <w:rPr>
          <w:rFonts w:eastAsia="Metropolis Black"/>
        </w:rPr>
        <w:t>of a class action</w:t>
      </w:r>
      <w:bookmarkEnd w:id="38"/>
      <w:r w:rsidR="00045FD3" w:rsidRPr="00D37FCE">
        <w:rPr>
          <w:rFonts w:eastAsia="Metropolis Black"/>
        </w:rPr>
        <w:t xml:space="preserve"> </w:t>
      </w:r>
    </w:p>
    <w:p w14:paraId="144C13B9" w14:textId="77777777" w:rsidR="00045FD3" w:rsidRPr="00D37FCE" w:rsidRDefault="00045FD3" w:rsidP="00045FD3">
      <w:pPr>
        <w:spacing w:line="200" w:lineRule="exact"/>
        <w:rPr>
          <w:szCs w:val="20"/>
        </w:rPr>
      </w:pPr>
      <w:r w:rsidRPr="00D37FCE">
        <w:rPr>
          <w:noProof/>
          <w:lang w:eastAsia="en-NZ"/>
        </w:rPr>
        <mc:AlternateContent>
          <mc:Choice Requires="wpg">
            <w:drawing>
              <wp:anchor distT="0" distB="0" distL="114300" distR="114300" simplePos="0" relativeHeight="251651088" behindDoc="1" locked="0" layoutInCell="1" allowOverlap="1" wp14:anchorId="7F243FD0" wp14:editId="1D22BDE5">
                <wp:simplePos x="0" y="0"/>
                <wp:positionH relativeFrom="page">
                  <wp:posOffset>1087427</wp:posOffset>
                </wp:positionH>
                <wp:positionV relativeFrom="paragraph">
                  <wp:posOffset>71755</wp:posOffset>
                </wp:positionV>
                <wp:extent cx="1332230" cy="1270"/>
                <wp:effectExtent l="0" t="19050" r="1270" b="17780"/>
                <wp:wrapNone/>
                <wp:docPr id="764518044" name="Group 764518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04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F5BAF" id="Group 764518044" o:spid="_x0000_s1026" style="position:absolute;margin-left:85.6pt;margin-top:5.65pt;width:104.9pt;height:.1pt;z-index:-25166539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bookmarkStart w:id="40" w:name="_Toc364765328"/>
      <w:bookmarkStart w:id="41" w:name="_Toc273189522"/>
    </w:p>
    <w:p w14:paraId="459D51E2" w14:textId="622E7280" w:rsidR="009044CC" w:rsidRPr="00D37FCE" w:rsidRDefault="009044CC" w:rsidP="00045FD3">
      <w:pPr>
        <w:pStyle w:val="BodyTextalphalist"/>
      </w:pPr>
      <w:bookmarkStart w:id="42" w:name="_Hlk67049949"/>
      <w:bookmarkEnd w:id="40"/>
      <w:bookmarkEnd w:id="41"/>
    </w:p>
    <w:p w14:paraId="3F5B355A" w14:textId="2AEB7723" w:rsidR="009044CC" w:rsidRPr="00D37FCE" w:rsidRDefault="001D7E87" w:rsidP="00045FD3">
      <w:pPr>
        <w:pStyle w:val="BodyTextalphalist"/>
      </w:pPr>
      <w:r w:rsidRPr="00D37FCE">
        <w:rPr>
          <w:rFonts w:eastAsia="Metropolis"/>
          <w:noProof/>
        </w:rPr>
        <mc:AlternateContent>
          <mc:Choice Requires="wpg">
            <w:drawing>
              <wp:anchor distT="0" distB="0" distL="114300" distR="114300" simplePos="0" relativeHeight="251651101" behindDoc="1" locked="0" layoutInCell="1" allowOverlap="1" wp14:anchorId="2136D404" wp14:editId="58DBAA72">
                <wp:simplePos x="0" y="0"/>
                <wp:positionH relativeFrom="column">
                  <wp:posOffset>-3810</wp:posOffset>
                </wp:positionH>
                <wp:positionV relativeFrom="paragraph">
                  <wp:posOffset>32385</wp:posOffset>
                </wp:positionV>
                <wp:extent cx="5792470" cy="2362241"/>
                <wp:effectExtent l="0" t="0" r="0" b="0"/>
                <wp:wrapNone/>
                <wp:docPr id="764518282" name="Group 764518282"/>
                <wp:cNvGraphicFramePr/>
                <a:graphic xmlns:a="http://schemas.openxmlformats.org/drawingml/2006/main">
                  <a:graphicData uri="http://schemas.microsoft.com/office/word/2010/wordprocessingGroup">
                    <wpg:wgp>
                      <wpg:cNvGrpSpPr/>
                      <wpg:grpSpPr>
                        <a:xfrm>
                          <a:off x="0" y="0"/>
                          <a:ext cx="5792470" cy="2362241"/>
                          <a:chOff x="0" y="-4768"/>
                          <a:chExt cx="5793105" cy="2363710"/>
                        </a:xfrm>
                      </wpg:grpSpPr>
                      <wpg:grpSp>
                        <wpg:cNvPr id="764518283" name="Group 53"/>
                        <wpg:cNvGrpSpPr>
                          <a:grpSpLocks/>
                        </wpg:cNvGrpSpPr>
                        <wpg:grpSpPr bwMode="auto">
                          <a:xfrm>
                            <a:off x="0" y="314275"/>
                            <a:ext cx="5793105" cy="2044667"/>
                            <a:chOff x="1837" y="1792"/>
                            <a:chExt cx="9354" cy="22076"/>
                          </a:xfrm>
                        </wpg:grpSpPr>
                        <wps:wsp>
                          <wps:cNvPr id="764518284" name="Freeform 54"/>
                          <wps:cNvSpPr>
                            <a:spLocks/>
                          </wps:cNvSpPr>
                          <wps:spPr bwMode="auto">
                            <a:xfrm>
                              <a:off x="1837" y="1792"/>
                              <a:ext cx="9354" cy="2207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289"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4C1992" w14:textId="30A5D1F7" w:rsidR="00A55F53" w:rsidRDefault="00A55F53" w:rsidP="008B5537">
                              <w:pPr>
                                <w:pStyle w:val="BoxTitle"/>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2136D404" id="Group 764518282" o:spid="_x0000_s1197" style="position:absolute;left:0;text-align:left;margin-left:-.3pt;margin-top:2.55pt;width:456.1pt;height:186pt;z-index:-251665379;mso-height-relative:margin" coordorigin=",-47" coordsize="57931,2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">
                <v:group id="Group 53" o:spid="_x0000_s1198" style="position:absolute;top:3142;width:57931;height:20447" coordorigin="1837,1792" coordsize="9354,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">
                  <v:shape id="Freeform 54" o:spid="_x0000_s1199" style="position:absolute;left:1837;top:1792;width:9354;height:2207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" path="m,l9354,r,7809l,7809,,e" fillcolor="#edf2ea" stroked="f">
                    <v:path arrowok="t" o:connecttype="custom" o:connectlocs="0,2827;9354,2827;9354,24903;0,24903;0,2827" o:connectangles="0,0,0,0,0"/>
                  </v:shape>
                </v:group>
                <v:shape id="_x0000_s1200"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6D4C1992" w14:textId="30A5D1F7" w:rsidR="00A55F53" w:rsidRDefault="00A55F53" w:rsidP="008B5537">
                        <w:pPr>
                          <w:pStyle w:val="BoxTitle"/>
                        </w:pPr>
                        <w:r>
                          <w:t>INTRODUCTION</w:t>
                        </w:r>
                      </w:p>
                    </w:txbxContent>
                  </v:textbox>
                </v:shape>
              </v:group>
            </w:pict>
          </mc:Fallback>
        </mc:AlternateContent>
      </w:r>
    </w:p>
    <w:p w14:paraId="291A86E7" w14:textId="77777777" w:rsidR="009044CC" w:rsidRPr="00D37FCE" w:rsidRDefault="009044CC" w:rsidP="00045FD3">
      <w:pPr>
        <w:pStyle w:val="BodyTextalphalist"/>
      </w:pPr>
    </w:p>
    <w:p w14:paraId="6D8F4B99" w14:textId="0035BC91" w:rsidR="001D7E87" w:rsidRDefault="00BD5C95" w:rsidP="001D7E87">
      <w:pPr>
        <w:pStyle w:val="QuestionBox"/>
        <w:tabs>
          <w:tab w:val="clear" w:pos="709"/>
        </w:tabs>
        <w:ind w:left="0" w:firstLine="426"/>
      </w:pPr>
      <w:r>
        <w:rPr>
          <w:rFonts w:ascii="ZWAdobeF" w:hAnsi="ZWAdobeF" w:cs="ZWAdobeF"/>
          <w:color w:val="auto"/>
          <w:sz w:val="2"/>
          <w:szCs w:val="2"/>
        </w:rPr>
        <w:t>1376B</w:t>
      </w:r>
      <w:r w:rsidR="0049638A">
        <w:rPr>
          <w:rFonts w:ascii="ZWAdobeF" w:hAnsi="ZWAdobeF" w:cs="ZWAdobeF"/>
          <w:color w:val="auto"/>
          <w:sz w:val="2"/>
          <w:szCs w:val="2"/>
        </w:rPr>
        <w:t>1376B</w:t>
      </w:r>
      <w:r w:rsidR="00D629FA">
        <w:rPr>
          <w:rFonts w:ascii="ZWAdobeF" w:hAnsi="ZWAdobeF" w:cs="ZWAdobeF"/>
          <w:color w:val="auto"/>
          <w:sz w:val="2"/>
          <w:szCs w:val="2"/>
        </w:rPr>
        <w:t>1376B</w:t>
      </w:r>
      <w:r w:rsidR="001D7E87">
        <w:t>In this chapter, we:</w:t>
      </w:r>
    </w:p>
    <w:p w14:paraId="61CC0DCB" w14:textId="05C20B3C" w:rsidR="00873E3D" w:rsidRDefault="00BD5C95" w:rsidP="003E2524">
      <w:pPr>
        <w:pStyle w:val="QuestionBox"/>
        <w:numPr>
          <w:ilvl w:val="0"/>
          <w:numId w:val="22"/>
        </w:numPr>
        <w:tabs>
          <w:tab w:val="clear" w:pos="709"/>
        </w:tabs>
        <w:ind w:left="709" w:hanging="283"/>
      </w:pPr>
      <w:r>
        <w:rPr>
          <w:rFonts w:ascii="ZWAdobeF" w:hAnsi="ZWAdobeF" w:cs="ZWAdobeF"/>
          <w:color w:val="auto"/>
          <w:sz w:val="2"/>
          <w:szCs w:val="2"/>
        </w:rPr>
        <w:t>1377B</w:t>
      </w:r>
      <w:r w:rsidR="0049638A">
        <w:rPr>
          <w:rFonts w:ascii="ZWAdobeF" w:hAnsi="ZWAdobeF" w:cs="ZWAdobeF"/>
          <w:color w:val="auto"/>
          <w:sz w:val="2"/>
          <w:szCs w:val="2"/>
        </w:rPr>
        <w:t>1377B</w:t>
      </w:r>
      <w:r w:rsidR="00D629FA">
        <w:rPr>
          <w:rFonts w:ascii="ZWAdobeF" w:hAnsi="ZWAdobeF" w:cs="ZWAdobeF"/>
          <w:color w:val="auto"/>
          <w:sz w:val="2"/>
          <w:szCs w:val="2"/>
        </w:rPr>
        <w:t>1377B</w:t>
      </w:r>
      <w:r w:rsidR="00873E3D">
        <w:t xml:space="preserve">Outline who should be able to commence a class action. </w:t>
      </w:r>
    </w:p>
    <w:p w14:paraId="4DC26B2D" w14:textId="5FA9878D" w:rsidR="00B763FB" w:rsidRDefault="00BD5C95" w:rsidP="003E2524">
      <w:pPr>
        <w:pStyle w:val="QuestionBox"/>
        <w:numPr>
          <w:ilvl w:val="0"/>
          <w:numId w:val="22"/>
        </w:numPr>
        <w:tabs>
          <w:tab w:val="clear" w:pos="709"/>
        </w:tabs>
        <w:ind w:left="709" w:hanging="283"/>
      </w:pPr>
      <w:r>
        <w:rPr>
          <w:rFonts w:ascii="ZWAdobeF" w:hAnsi="ZWAdobeF" w:cs="ZWAdobeF"/>
          <w:color w:val="auto"/>
          <w:sz w:val="2"/>
          <w:szCs w:val="2"/>
        </w:rPr>
        <w:t>1378B</w:t>
      </w:r>
      <w:r w:rsidR="0049638A">
        <w:rPr>
          <w:rFonts w:ascii="ZWAdobeF" w:hAnsi="ZWAdobeF" w:cs="ZWAdobeF"/>
          <w:color w:val="auto"/>
          <w:sz w:val="2"/>
          <w:szCs w:val="2"/>
        </w:rPr>
        <w:t>1378B</w:t>
      </w:r>
      <w:r w:rsidR="00D629FA">
        <w:rPr>
          <w:rFonts w:ascii="ZWAdobeF" w:hAnsi="ZWAdobeF" w:cs="ZWAdobeF"/>
          <w:color w:val="auto"/>
          <w:sz w:val="2"/>
          <w:szCs w:val="2"/>
        </w:rPr>
        <w:t>1378B</w:t>
      </w:r>
      <w:r w:rsidR="00B763FB">
        <w:t xml:space="preserve">Explain why a class actions regime should have a certification stage. </w:t>
      </w:r>
    </w:p>
    <w:p w14:paraId="48751AEF" w14:textId="0E07E359" w:rsidR="00B763FB" w:rsidRDefault="00BD5C95" w:rsidP="003E2524">
      <w:pPr>
        <w:pStyle w:val="QuestionBox"/>
        <w:numPr>
          <w:ilvl w:val="0"/>
          <w:numId w:val="22"/>
        </w:numPr>
        <w:tabs>
          <w:tab w:val="clear" w:pos="709"/>
        </w:tabs>
        <w:ind w:left="709" w:hanging="283"/>
      </w:pPr>
      <w:r>
        <w:rPr>
          <w:rFonts w:ascii="ZWAdobeF" w:hAnsi="ZWAdobeF" w:cs="ZWAdobeF"/>
          <w:color w:val="auto"/>
          <w:sz w:val="2"/>
          <w:szCs w:val="2"/>
        </w:rPr>
        <w:t>1379B</w:t>
      </w:r>
      <w:r w:rsidR="0049638A">
        <w:rPr>
          <w:rFonts w:ascii="ZWAdobeF" w:hAnsi="ZWAdobeF" w:cs="ZWAdobeF"/>
          <w:color w:val="auto"/>
          <w:sz w:val="2"/>
          <w:szCs w:val="2"/>
        </w:rPr>
        <w:t>1379B</w:t>
      </w:r>
      <w:r w:rsidR="00D629FA">
        <w:rPr>
          <w:rFonts w:ascii="ZWAdobeF" w:hAnsi="ZWAdobeF" w:cs="ZWAdobeF"/>
          <w:color w:val="auto"/>
          <w:sz w:val="2"/>
          <w:szCs w:val="2"/>
        </w:rPr>
        <w:t>1379B</w:t>
      </w:r>
      <w:r w:rsidR="00B763FB">
        <w:t>Discuss our proposed certification test.</w:t>
      </w:r>
    </w:p>
    <w:p w14:paraId="4F9713D2" w14:textId="446FBF3A" w:rsidR="00B763FB" w:rsidRDefault="00BD5C95" w:rsidP="003E2524">
      <w:pPr>
        <w:pStyle w:val="QuestionBox"/>
        <w:numPr>
          <w:ilvl w:val="0"/>
          <w:numId w:val="22"/>
        </w:numPr>
        <w:tabs>
          <w:tab w:val="clear" w:pos="709"/>
        </w:tabs>
        <w:ind w:left="709" w:hanging="283"/>
      </w:pPr>
      <w:r>
        <w:rPr>
          <w:rFonts w:ascii="ZWAdobeF" w:hAnsi="ZWAdobeF" w:cs="ZWAdobeF"/>
          <w:color w:val="auto"/>
          <w:sz w:val="2"/>
          <w:szCs w:val="2"/>
        </w:rPr>
        <w:t>1380B</w:t>
      </w:r>
      <w:r w:rsidR="0049638A">
        <w:rPr>
          <w:rFonts w:ascii="ZWAdobeF" w:hAnsi="ZWAdobeF" w:cs="ZWAdobeF"/>
          <w:color w:val="auto"/>
          <w:sz w:val="2"/>
          <w:szCs w:val="2"/>
        </w:rPr>
        <w:t>1380B</w:t>
      </w:r>
      <w:r w:rsidR="00D629FA">
        <w:rPr>
          <w:rFonts w:ascii="ZWAdobeF" w:hAnsi="ZWAdobeF" w:cs="ZWAdobeF"/>
          <w:color w:val="auto"/>
          <w:sz w:val="2"/>
          <w:szCs w:val="2"/>
        </w:rPr>
        <w:t>1380B</w:t>
      </w:r>
      <w:r w:rsidR="00B763FB">
        <w:t>Identify some additional certification issues to be considered.</w:t>
      </w:r>
    </w:p>
    <w:p w14:paraId="71E046B0" w14:textId="4B70E0E0" w:rsidR="00B763FB" w:rsidRDefault="00BD5C95" w:rsidP="003E2524">
      <w:pPr>
        <w:pStyle w:val="QuestionBox"/>
        <w:numPr>
          <w:ilvl w:val="0"/>
          <w:numId w:val="22"/>
        </w:numPr>
        <w:tabs>
          <w:tab w:val="clear" w:pos="709"/>
        </w:tabs>
        <w:ind w:left="709" w:hanging="283"/>
      </w:pPr>
      <w:r>
        <w:rPr>
          <w:rFonts w:ascii="ZWAdobeF" w:hAnsi="ZWAdobeF" w:cs="ZWAdobeF"/>
          <w:color w:val="auto"/>
          <w:sz w:val="2"/>
          <w:szCs w:val="2"/>
        </w:rPr>
        <w:t>1381B</w:t>
      </w:r>
      <w:r w:rsidR="0049638A">
        <w:rPr>
          <w:rFonts w:ascii="ZWAdobeF" w:hAnsi="ZWAdobeF" w:cs="ZWAdobeF"/>
          <w:color w:val="auto"/>
          <w:sz w:val="2"/>
          <w:szCs w:val="2"/>
        </w:rPr>
        <w:t>1381B</w:t>
      </w:r>
      <w:r w:rsidR="00D629FA">
        <w:rPr>
          <w:rFonts w:ascii="ZWAdobeF" w:hAnsi="ZWAdobeF" w:cs="ZWAdobeF"/>
          <w:color w:val="auto"/>
          <w:sz w:val="2"/>
          <w:szCs w:val="2"/>
        </w:rPr>
        <w:t>1381B</w:t>
      </w:r>
      <w:r w:rsidR="00B763FB">
        <w:t>Discuss the impact of a class action on limitation periods.</w:t>
      </w:r>
    </w:p>
    <w:p w14:paraId="5FF93F7F" w14:textId="5E2CECDF" w:rsidR="00045FD3" w:rsidRDefault="00045FD3" w:rsidP="00B763FB">
      <w:pPr>
        <w:pStyle w:val="QuestionBox"/>
        <w:tabs>
          <w:tab w:val="clear" w:pos="709"/>
        </w:tabs>
        <w:ind w:left="426"/>
      </w:pPr>
    </w:p>
    <w:p w14:paraId="75F9134E" w14:textId="5049BC9F" w:rsidR="00B763FB" w:rsidRDefault="00B763FB" w:rsidP="00562681">
      <w:pPr>
        <w:pStyle w:val="Heading2"/>
      </w:pPr>
      <w:bookmarkStart w:id="43" w:name="_Toc83895433"/>
      <w:bookmarkEnd w:id="39"/>
      <w:bookmarkEnd w:id="42"/>
      <w:r>
        <w:t>Commencement</w:t>
      </w:r>
      <w:bookmarkEnd w:id="43"/>
    </w:p>
    <w:p w14:paraId="6F66936A" w14:textId="425B8101" w:rsidR="00B763FB" w:rsidRDefault="00BD5C95" w:rsidP="00B73434">
      <w:pPr>
        <w:pStyle w:val="BodyText"/>
        <w:numPr>
          <w:ilvl w:val="1"/>
          <w:numId w:val="81"/>
        </w:numPr>
        <w:tabs>
          <w:tab w:val="clear" w:pos="879"/>
        </w:tabs>
        <w:ind w:left="709" w:hanging="709"/>
      </w:pPr>
      <w:r>
        <w:rPr>
          <w:rFonts w:ascii="ZWAdobeF" w:hAnsi="ZWAdobeF" w:cs="ZWAdobeF"/>
          <w:color w:val="auto"/>
          <w:sz w:val="2"/>
          <w:szCs w:val="2"/>
        </w:rPr>
        <w:t>0B</w:t>
      </w:r>
      <w:r w:rsidR="0049638A">
        <w:rPr>
          <w:rFonts w:ascii="ZWAdobeF" w:hAnsi="ZWAdobeF" w:cs="ZWAdobeF"/>
          <w:color w:val="auto"/>
          <w:sz w:val="2"/>
          <w:szCs w:val="2"/>
        </w:rPr>
        <w:t>0B</w:t>
      </w:r>
      <w:r w:rsidR="00D629FA">
        <w:rPr>
          <w:rFonts w:ascii="ZWAdobeF" w:hAnsi="ZWAdobeF" w:cs="ZWAdobeF"/>
          <w:color w:val="auto"/>
          <w:sz w:val="2"/>
          <w:szCs w:val="2"/>
        </w:rPr>
        <w:t>0B</w:t>
      </w:r>
      <w:r w:rsidR="00A11AA3">
        <w:t>In this section we discuss our</w:t>
      </w:r>
      <w:r w:rsidR="00A921BC">
        <w:t xml:space="preserve"> proposals on when a class action may be commenced. In particular, we consider: </w:t>
      </w:r>
      <w:r w:rsidR="00A11AA3">
        <w:t xml:space="preserve"> </w:t>
      </w:r>
    </w:p>
    <w:p w14:paraId="4D3241EB" w14:textId="4261F0B1" w:rsidR="00B763FB" w:rsidRDefault="00BD5C95" w:rsidP="003E2524">
      <w:pPr>
        <w:pStyle w:val="BodyTextnonum"/>
        <w:numPr>
          <w:ilvl w:val="3"/>
          <w:numId w:val="34"/>
        </w:numPr>
      </w:pPr>
      <w:r>
        <w:rPr>
          <w:rFonts w:ascii="ZWAdobeF" w:hAnsi="ZWAdobeF" w:cs="ZWAdobeF"/>
          <w:color w:val="auto"/>
          <w:sz w:val="2"/>
          <w:szCs w:val="2"/>
        </w:rPr>
        <w:t>581B</w:t>
      </w:r>
      <w:r w:rsidR="0049638A">
        <w:rPr>
          <w:rFonts w:ascii="ZWAdobeF" w:hAnsi="ZWAdobeF" w:cs="ZWAdobeF"/>
          <w:color w:val="auto"/>
          <w:sz w:val="2"/>
          <w:szCs w:val="2"/>
        </w:rPr>
        <w:t>581B</w:t>
      </w:r>
      <w:r w:rsidR="00D629FA">
        <w:rPr>
          <w:rFonts w:ascii="ZWAdobeF" w:hAnsi="ZWAdobeF" w:cs="ZWAdobeF"/>
          <w:color w:val="auto"/>
          <w:sz w:val="2"/>
          <w:szCs w:val="2"/>
        </w:rPr>
        <w:t>581B</w:t>
      </w:r>
      <w:r w:rsidR="00B763FB">
        <w:t>A class action is aggregate litigation.</w:t>
      </w:r>
    </w:p>
    <w:p w14:paraId="1C17AA51" w14:textId="735C98E1" w:rsidR="00B763FB" w:rsidRDefault="00BD5C95" w:rsidP="003E2524">
      <w:pPr>
        <w:pStyle w:val="BodyTextnonum"/>
        <w:numPr>
          <w:ilvl w:val="3"/>
          <w:numId w:val="34"/>
        </w:numPr>
      </w:pPr>
      <w:r>
        <w:rPr>
          <w:rFonts w:ascii="ZWAdobeF" w:hAnsi="ZWAdobeF" w:cs="ZWAdobeF"/>
          <w:color w:val="auto"/>
          <w:sz w:val="2"/>
          <w:szCs w:val="2"/>
        </w:rPr>
        <w:t>582B</w:t>
      </w:r>
      <w:r w:rsidR="0049638A">
        <w:rPr>
          <w:rFonts w:ascii="ZWAdobeF" w:hAnsi="ZWAdobeF" w:cs="ZWAdobeF"/>
          <w:color w:val="auto"/>
          <w:sz w:val="2"/>
          <w:szCs w:val="2"/>
        </w:rPr>
        <w:t>582B</w:t>
      </w:r>
      <w:r w:rsidR="00D629FA">
        <w:rPr>
          <w:rFonts w:ascii="ZWAdobeF" w:hAnsi="ZWAdobeF" w:cs="ZWAdobeF"/>
          <w:color w:val="auto"/>
          <w:sz w:val="2"/>
          <w:szCs w:val="2"/>
        </w:rPr>
        <w:t>582B</w:t>
      </w:r>
      <w:r w:rsidR="00B763FB">
        <w:t xml:space="preserve">There must be two or more persons represented by a representative plaintiff. </w:t>
      </w:r>
    </w:p>
    <w:p w14:paraId="52EDA603" w14:textId="2E68539E" w:rsidR="00B763FB" w:rsidRDefault="00BD5C95" w:rsidP="003E2524">
      <w:pPr>
        <w:pStyle w:val="BodyTextnonum"/>
        <w:numPr>
          <w:ilvl w:val="3"/>
          <w:numId w:val="34"/>
        </w:numPr>
      </w:pPr>
      <w:r>
        <w:rPr>
          <w:rFonts w:ascii="ZWAdobeF" w:hAnsi="ZWAdobeF" w:cs="ZWAdobeF"/>
          <w:color w:val="auto"/>
          <w:sz w:val="2"/>
          <w:szCs w:val="2"/>
        </w:rPr>
        <w:t>583B</w:t>
      </w:r>
      <w:r w:rsidR="0049638A">
        <w:rPr>
          <w:rFonts w:ascii="ZWAdobeF" w:hAnsi="ZWAdobeF" w:cs="ZWAdobeF"/>
          <w:color w:val="auto"/>
          <w:sz w:val="2"/>
          <w:szCs w:val="2"/>
        </w:rPr>
        <w:t>583B</w:t>
      </w:r>
      <w:r w:rsidR="00D629FA">
        <w:rPr>
          <w:rFonts w:ascii="ZWAdobeF" w:hAnsi="ZWAdobeF" w:cs="ZWAdobeF"/>
          <w:color w:val="auto"/>
          <w:sz w:val="2"/>
          <w:szCs w:val="2"/>
        </w:rPr>
        <w:t>583B</w:t>
      </w:r>
      <w:r w:rsidR="00B763FB">
        <w:t xml:space="preserve">The representative plaintiff must usually be a class member. </w:t>
      </w:r>
    </w:p>
    <w:p w14:paraId="0206B0F6" w14:textId="5EBDB226" w:rsidR="00B763FB" w:rsidRDefault="00BD5C95" w:rsidP="003E2524">
      <w:pPr>
        <w:pStyle w:val="BodyTextnonum"/>
        <w:numPr>
          <w:ilvl w:val="3"/>
          <w:numId w:val="34"/>
        </w:numPr>
      </w:pPr>
      <w:r>
        <w:rPr>
          <w:rFonts w:ascii="ZWAdobeF" w:hAnsi="ZWAdobeF" w:cs="ZWAdobeF"/>
          <w:color w:val="auto"/>
          <w:sz w:val="2"/>
          <w:szCs w:val="2"/>
        </w:rPr>
        <w:t>584B</w:t>
      </w:r>
      <w:r w:rsidR="0049638A">
        <w:rPr>
          <w:rFonts w:ascii="ZWAdobeF" w:hAnsi="ZWAdobeF" w:cs="ZWAdobeF"/>
          <w:color w:val="auto"/>
          <w:sz w:val="2"/>
          <w:szCs w:val="2"/>
        </w:rPr>
        <w:t>584B</w:t>
      </w:r>
      <w:r w:rsidR="00D629FA">
        <w:rPr>
          <w:rFonts w:ascii="ZWAdobeF" w:hAnsi="ZWAdobeF" w:cs="ZWAdobeF"/>
          <w:color w:val="auto"/>
          <w:sz w:val="2"/>
          <w:szCs w:val="2"/>
        </w:rPr>
        <w:t>584B</w:t>
      </w:r>
      <w:r w:rsidR="00B763FB">
        <w:t>A State entity can be a representative plaintiff where it has the ability to bring a proceeding on behalf of two or more people under other legislation.</w:t>
      </w:r>
    </w:p>
    <w:p w14:paraId="55BF881C" w14:textId="17CE41C4" w:rsidR="00B763FB" w:rsidRDefault="00BD5C95" w:rsidP="003E2524">
      <w:pPr>
        <w:pStyle w:val="BodyTextnonum"/>
        <w:numPr>
          <w:ilvl w:val="3"/>
          <w:numId w:val="34"/>
        </w:numPr>
      </w:pPr>
      <w:r>
        <w:rPr>
          <w:rFonts w:ascii="ZWAdobeF" w:hAnsi="ZWAdobeF" w:cs="ZWAdobeF"/>
          <w:color w:val="auto"/>
          <w:sz w:val="2"/>
          <w:szCs w:val="2"/>
        </w:rPr>
        <w:t>585B</w:t>
      </w:r>
      <w:r w:rsidR="0049638A">
        <w:rPr>
          <w:rFonts w:ascii="ZWAdobeF" w:hAnsi="ZWAdobeF" w:cs="ZWAdobeF"/>
          <w:color w:val="auto"/>
          <w:sz w:val="2"/>
          <w:szCs w:val="2"/>
        </w:rPr>
        <w:t>585B</w:t>
      </w:r>
      <w:r w:rsidR="00D629FA">
        <w:rPr>
          <w:rFonts w:ascii="ZWAdobeF" w:hAnsi="ZWAdobeF" w:cs="ZWAdobeF"/>
          <w:color w:val="auto"/>
          <w:sz w:val="2"/>
          <w:szCs w:val="2"/>
        </w:rPr>
        <w:t>585B</w:t>
      </w:r>
      <w:r w:rsidR="00B763FB">
        <w:t>There should be a representative plaintiff for every defendant.</w:t>
      </w:r>
    </w:p>
    <w:p w14:paraId="2FD5839A" w14:textId="377ED56B" w:rsidR="00B763FB" w:rsidRDefault="00BD5C95" w:rsidP="00932E49">
      <w:pPr>
        <w:pStyle w:val="BodyText"/>
      </w:pPr>
      <w:r>
        <w:rPr>
          <w:rFonts w:ascii="ZWAdobeF" w:hAnsi="ZWAdobeF" w:cs="ZWAdobeF"/>
          <w:color w:val="auto"/>
          <w:sz w:val="2"/>
          <w:szCs w:val="2"/>
        </w:rPr>
        <w:t>1B</w:t>
      </w:r>
      <w:r w:rsidR="0049638A">
        <w:rPr>
          <w:rFonts w:ascii="ZWAdobeF" w:hAnsi="ZWAdobeF" w:cs="ZWAdobeF"/>
          <w:color w:val="auto"/>
          <w:sz w:val="2"/>
          <w:szCs w:val="2"/>
        </w:rPr>
        <w:t>1B</w:t>
      </w:r>
      <w:r w:rsidR="00D629FA">
        <w:rPr>
          <w:rFonts w:ascii="ZWAdobeF" w:hAnsi="ZWAdobeF" w:cs="ZWAdobeF"/>
          <w:color w:val="auto"/>
          <w:sz w:val="2"/>
          <w:szCs w:val="2"/>
        </w:rPr>
        <w:t>1B</w:t>
      </w:r>
      <w:r w:rsidR="00B763FB">
        <w:t>We discuss each of these aspects below and then set out our draft commencement provisions.</w:t>
      </w:r>
    </w:p>
    <w:p w14:paraId="2D2664DE" w14:textId="77777777" w:rsidR="00B763FB" w:rsidRDefault="00B763FB" w:rsidP="00B61BDA">
      <w:pPr>
        <w:pStyle w:val="Heading3"/>
        <w:keepLines/>
        <w:spacing w:before="40" w:after="0"/>
      </w:pPr>
      <w:r>
        <w:lastRenderedPageBreak/>
        <w:t xml:space="preserve">A class action is aggregate litigation </w:t>
      </w:r>
    </w:p>
    <w:p w14:paraId="34F85BC9" w14:textId="7BC7B52F" w:rsidR="00B763FB" w:rsidRDefault="00BD5C95" w:rsidP="00932E49">
      <w:pPr>
        <w:pStyle w:val="BodyText"/>
      </w:pPr>
      <w:r>
        <w:rPr>
          <w:rFonts w:ascii="ZWAdobeF" w:hAnsi="ZWAdobeF" w:cs="ZWAdobeF"/>
          <w:color w:val="auto"/>
          <w:sz w:val="2"/>
          <w:szCs w:val="2"/>
        </w:rPr>
        <w:t>2B</w:t>
      </w:r>
      <w:r w:rsidR="0049638A">
        <w:rPr>
          <w:rFonts w:ascii="ZWAdobeF" w:hAnsi="ZWAdobeF" w:cs="ZWAdobeF"/>
          <w:color w:val="auto"/>
          <w:sz w:val="2"/>
          <w:szCs w:val="2"/>
        </w:rPr>
        <w:t>2B</w:t>
      </w:r>
      <w:r w:rsidR="00D629FA">
        <w:rPr>
          <w:rFonts w:ascii="ZWAdobeF" w:hAnsi="ZWAdobeF" w:cs="ZWAdobeF"/>
          <w:color w:val="auto"/>
          <w:sz w:val="2"/>
          <w:szCs w:val="2"/>
        </w:rPr>
        <w:t>2B</w:t>
      </w:r>
      <w:r w:rsidR="00B763FB">
        <w:t xml:space="preserve">We see class actions as a form of aggregate litigation. A class action requires a group of litigants who each have a claim which is typically seeking damages. It can be contrasted with forms of group litigation where multiple people will be affected by the determination of a single claim, such as a proceeding under the Declaratory Judgments Act 1908 or a challenge to a resource consent decision. </w:t>
      </w:r>
      <w:r w:rsidR="00CD2D12">
        <w:t>One of our proposed objectives for class actions is to manage “multiple claims” in an efficient way, which reflects our concept of aggregate litigation.</w:t>
      </w:r>
    </w:p>
    <w:p w14:paraId="36E5FE45" w14:textId="0DA357BD" w:rsidR="00B763FB" w:rsidRDefault="00BD5C95" w:rsidP="00932E49">
      <w:pPr>
        <w:pStyle w:val="BodyText"/>
      </w:pPr>
      <w:r>
        <w:rPr>
          <w:rFonts w:ascii="ZWAdobeF" w:hAnsi="ZWAdobeF" w:cs="ZWAdobeF"/>
          <w:color w:val="auto"/>
          <w:sz w:val="2"/>
          <w:szCs w:val="2"/>
        </w:rPr>
        <w:t>3B</w:t>
      </w:r>
      <w:r w:rsidR="0049638A">
        <w:rPr>
          <w:rFonts w:ascii="ZWAdobeF" w:hAnsi="ZWAdobeF" w:cs="ZWAdobeF"/>
          <w:color w:val="auto"/>
          <w:sz w:val="2"/>
          <w:szCs w:val="2"/>
        </w:rPr>
        <w:t>3B</w:t>
      </w:r>
      <w:r w:rsidR="00D629FA">
        <w:rPr>
          <w:rFonts w:ascii="ZWAdobeF" w:hAnsi="ZWAdobeF" w:cs="ZWAdobeF"/>
          <w:color w:val="auto"/>
          <w:sz w:val="2"/>
          <w:szCs w:val="2"/>
        </w:rPr>
        <w:t>3B</w:t>
      </w:r>
      <w:r w:rsidR="00B763FB">
        <w:t xml:space="preserve">The </w:t>
      </w:r>
      <w:r w:rsidR="006459F9">
        <w:t>idea</w:t>
      </w:r>
      <w:r w:rsidR="00B763FB">
        <w:t xml:space="preserve"> of aggregate claims is </w:t>
      </w:r>
      <w:r w:rsidR="006459F9">
        <w:t xml:space="preserve">also </w:t>
      </w:r>
      <w:r w:rsidR="00B763FB">
        <w:t>reflected in our draft commencement provision which envisages each class member having a claim.</w:t>
      </w:r>
      <w:r w:rsidR="00D629FA">
        <w:rPr>
          <w:rFonts w:ascii="ZWAdobeF" w:hAnsi="ZWAdobeF" w:cs="ZWAdobeF"/>
          <w:color w:val="auto"/>
          <w:sz w:val="2"/>
          <w:szCs w:val="2"/>
        </w:rPr>
        <w:t>67F</w:t>
      </w:r>
      <w:r w:rsidR="0049638A">
        <w:rPr>
          <w:rFonts w:ascii="ZWAdobeF" w:hAnsi="ZWAdobeF" w:cs="ZWAdobeF"/>
          <w:color w:val="auto"/>
          <w:sz w:val="2"/>
          <w:szCs w:val="2"/>
        </w:rPr>
        <w:t>67F</w:t>
      </w:r>
      <w:r w:rsidR="000D4978">
        <w:rPr>
          <w:rFonts w:ascii="ZWAdobeF" w:hAnsi="ZWAdobeF" w:cs="ZWAdobeF"/>
          <w:color w:val="auto"/>
          <w:sz w:val="2"/>
          <w:szCs w:val="2"/>
        </w:rPr>
        <w:t>67F</w:t>
      </w:r>
      <w:r w:rsidR="00B763FB">
        <w:rPr>
          <w:rStyle w:val="FootnoteReference"/>
        </w:rPr>
        <w:footnoteReference w:id="69"/>
      </w:r>
      <w:r w:rsidR="00B763FB">
        <w:t xml:space="preserve"> Each claim will need to raise a common issue of fact or law of significance to the resolution of the claim.</w:t>
      </w:r>
      <w:r w:rsidR="00D629FA">
        <w:rPr>
          <w:rFonts w:ascii="ZWAdobeF" w:hAnsi="ZWAdobeF" w:cs="ZWAdobeF"/>
          <w:color w:val="auto"/>
          <w:sz w:val="2"/>
          <w:szCs w:val="2"/>
        </w:rPr>
        <w:t>68F</w:t>
      </w:r>
      <w:r w:rsidR="0049638A">
        <w:rPr>
          <w:rFonts w:ascii="ZWAdobeF" w:hAnsi="ZWAdobeF" w:cs="ZWAdobeF"/>
          <w:color w:val="auto"/>
          <w:sz w:val="2"/>
          <w:szCs w:val="2"/>
        </w:rPr>
        <w:t>68F</w:t>
      </w:r>
      <w:r w:rsidR="000D4978">
        <w:rPr>
          <w:rFonts w:ascii="ZWAdobeF" w:hAnsi="ZWAdobeF" w:cs="ZWAdobeF"/>
          <w:color w:val="auto"/>
          <w:sz w:val="2"/>
          <w:szCs w:val="2"/>
        </w:rPr>
        <w:t>68F</w:t>
      </w:r>
      <w:r w:rsidR="00B763FB">
        <w:rPr>
          <w:rStyle w:val="FootnoteReference"/>
        </w:rPr>
        <w:footnoteReference w:id="70"/>
      </w:r>
      <w:r w:rsidR="00B763FB">
        <w:t xml:space="preserve"> We discuss this proposed commonality standard in our discussion of the certification test below. </w:t>
      </w:r>
    </w:p>
    <w:p w14:paraId="30586526" w14:textId="00A9382A" w:rsidR="00B763FB" w:rsidRPr="00784780" w:rsidRDefault="00BD5C95" w:rsidP="00932E49">
      <w:pPr>
        <w:pStyle w:val="BodyText"/>
      </w:pPr>
      <w:r>
        <w:rPr>
          <w:rFonts w:ascii="ZWAdobeF" w:hAnsi="ZWAdobeF" w:cs="ZWAdobeF"/>
          <w:color w:val="auto"/>
          <w:sz w:val="2"/>
          <w:szCs w:val="2"/>
        </w:rPr>
        <w:t>4B</w:t>
      </w:r>
      <w:r w:rsidR="0049638A">
        <w:rPr>
          <w:rFonts w:ascii="ZWAdobeF" w:hAnsi="ZWAdobeF" w:cs="ZWAdobeF"/>
          <w:color w:val="auto"/>
          <w:sz w:val="2"/>
          <w:szCs w:val="2"/>
        </w:rPr>
        <w:t>4B</w:t>
      </w:r>
      <w:r w:rsidR="00D629FA">
        <w:rPr>
          <w:rFonts w:ascii="ZWAdobeF" w:hAnsi="ZWAdobeF" w:cs="ZWAdobeF"/>
          <w:color w:val="auto"/>
          <w:sz w:val="2"/>
          <w:szCs w:val="2"/>
        </w:rPr>
        <w:t>4B</w:t>
      </w:r>
      <w:r w:rsidR="00B763FB">
        <w:t xml:space="preserve">Our draft commencement provision refers to class members each having a “claim” and our preliminary view is that it should not be necessary for class members to have the same cause of action. There may be situations where small differences in factual circumstances lead to class members having different causes of action and it would still be efficient to consider the claims together. An example might be where new legislation applies to some class members rather than others, depending on the date their cause of action arose. </w:t>
      </w:r>
    </w:p>
    <w:p w14:paraId="4A2D329A" w14:textId="77777777" w:rsidR="00B763FB" w:rsidRDefault="00B763FB" w:rsidP="00562681">
      <w:pPr>
        <w:pStyle w:val="Heading3"/>
      </w:pPr>
      <w:r>
        <w:t>There must be two or more persons represented by a representative plaintiff</w:t>
      </w:r>
    </w:p>
    <w:p w14:paraId="42FB28F1" w14:textId="4E69A82E" w:rsidR="00B763FB" w:rsidRDefault="00BD5C95" w:rsidP="00932E49">
      <w:pPr>
        <w:pStyle w:val="BodyText"/>
      </w:pPr>
      <w:r>
        <w:rPr>
          <w:rFonts w:ascii="ZWAdobeF" w:hAnsi="ZWAdobeF" w:cs="ZWAdobeF"/>
          <w:color w:val="auto"/>
          <w:sz w:val="2"/>
          <w:szCs w:val="2"/>
        </w:rPr>
        <w:t>5B</w:t>
      </w:r>
      <w:r w:rsidR="0049638A">
        <w:rPr>
          <w:rFonts w:ascii="ZWAdobeF" w:hAnsi="ZWAdobeF" w:cs="ZWAdobeF"/>
          <w:color w:val="auto"/>
          <w:sz w:val="2"/>
          <w:szCs w:val="2"/>
        </w:rPr>
        <w:t>5B</w:t>
      </w:r>
      <w:r w:rsidR="00D629FA">
        <w:rPr>
          <w:rFonts w:ascii="ZWAdobeF" w:hAnsi="ZWAdobeF" w:cs="ZWAdobeF"/>
          <w:color w:val="auto"/>
          <w:sz w:val="2"/>
          <w:szCs w:val="2"/>
        </w:rPr>
        <w:t>5B</w:t>
      </w:r>
      <w:r w:rsidR="00B763FB">
        <w:t xml:space="preserve">Our Issues Paper outlined four different approaches to </w:t>
      </w:r>
      <w:r w:rsidR="001E1032">
        <w:t xml:space="preserve">minimum class size (or </w:t>
      </w:r>
      <w:r w:rsidR="00B763FB">
        <w:t>numerosity</w:t>
      </w:r>
      <w:r w:rsidR="001E1032">
        <w:t>)</w:t>
      </w:r>
      <w:r w:rsidR="00B763FB">
        <w:t>: a descriptive requirement such as “numerous persons”, a minimum specified number of plaintiffs (for example, the Australian regimes require seven or more), impracticality of joinder</w:t>
      </w:r>
      <w:r w:rsidR="00121CAE">
        <w:t>,</w:t>
      </w:r>
      <w:r w:rsidR="00B763FB">
        <w:t xml:space="preserve"> and a bare threshold test (such as a class of two or more).</w:t>
      </w:r>
      <w:r w:rsidR="00D629FA">
        <w:rPr>
          <w:rFonts w:ascii="ZWAdobeF" w:hAnsi="ZWAdobeF" w:cs="ZWAdobeF"/>
          <w:color w:val="auto"/>
          <w:sz w:val="2"/>
          <w:szCs w:val="2"/>
        </w:rPr>
        <w:t>69F</w:t>
      </w:r>
      <w:r w:rsidR="0049638A">
        <w:rPr>
          <w:rFonts w:ascii="ZWAdobeF" w:hAnsi="ZWAdobeF" w:cs="ZWAdobeF"/>
          <w:color w:val="auto"/>
          <w:sz w:val="2"/>
          <w:szCs w:val="2"/>
        </w:rPr>
        <w:t>69F</w:t>
      </w:r>
      <w:r w:rsidR="000D4978">
        <w:rPr>
          <w:rFonts w:ascii="ZWAdobeF" w:hAnsi="ZWAdobeF" w:cs="ZWAdobeF"/>
          <w:color w:val="auto"/>
          <w:sz w:val="2"/>
          <w:szCs w:val="2"/>
        </w:rPr>
        <w:t>69F</w:t>
      </w:r>
      <w:r w:rsidR="00B763FB">
        <w:rPr>
          <w:rStyle w:val="FootnoteReference"/>
        </w:rPr>
        <w:footnoteReference w:id="71"/>
      </w:r>
      <w:r w:rsidR="00B763FB">
        <w:t xml:space="preserve"> </w:t>
      </w:r>
    </w:p>
    <w:p w14:paraId="385E8E14" w14:textId="48B2CA14" w:rsidR="00B763FB" w:rsidRDefault="00BD5C95" w:rsidP="00932E49">
      <w:pPr>
        <w:pStyle w:val="BodyText"/>
      </w:pPr>
      <w:r>
        <w:rPr>
          <w:rFonts w:ascii="ZWAdobeF" w:hAnsi="ZWAdobeF" w:cs="ZWAdobeF"/>
          <w:color w:val="auto"/>
          <w:sz w:val="2"/>
          <w:szCs w:val="2"/>
        </w:rPr>
        <w:t>6B</w:t>
      </w:r>
      <w:r w:rsidR="0049638A">
        <w:rPr>
          <w:rFonts w:ascii="ZWAdobeF" w:hAnsi="ZWAdobeF" w:cs="ZWAdobeF"/>
          <w:color w:val="auto"/>
          <w:sz w:val="2"/>
          <w:szCs w:val="2"/>
        </w:rPr>
        <w:t>6B</w:t>
      </w:r>
      <w:r w:rsidR="00D629FA">
        <w:rPr>
          <w:rFonts w:ascii="ZWAdobeF" w:hAnsi="ZWAdobeF" w:cs="ZWAdobeF"/>
          <w:color w:val="auto"/>
          <w:sz w:val="2"/>
          <w:szCs w:val="2"/>
        </w:rPr>
        <w:t>6B</w:t>
      </w:r>
      <w:r w:rsidR="00B763FB">
        <w:t>There were 16 submissions which addressed the issue of numerosity.</w:t>
      </w:r>
      <w:r w:rsidR="00D629FA">
        <w:rPr>
          <w:rFonts w:ascii="ZWAdobeF" w:hAnsi="ZWAdobeF" w:cs="ZWAdobeF"/>
          <w:color w:val="auto"/>
          <w:sz w:val="2"/>
          <w:szCs w:val="2"/>
        </w:rPr>
        <w:t>70F</w:t>
      </w:r>
      <w:r w:rsidR="0049638A">
        <w:rPr>
          <w:rFonts w:ascii="ZWAdobeF" w:hAnsi="ZWAdobeF" w:cs="ZWAdobeF"/>
          <w:color w:val="auto"/>
          <w:sz w:val="2"/>
          <w:szCs w:val="2"/>
        </w:rPr>
        <w:t>70F</w:t>
      </w:r>
      <w:r w:rsidR="000D4978">
        <w:rPr>
          <w:rFonts w:ascii="ZWAdobeF" w:hAnsi="ZWAdobeF" w:cs="ZWAdobeF"/>
          <w:color w:val="auto"/>
          <w:sz w:val="2"/>
          <w:szCs w:val="2"/>
        </w:rPr>
        <w:t>70F</w:t>
      </w:r>
      <w:r w:rsidR="00B763FB">
        <w:rPr>
          <w:rStyle w:val="FootnoteReference"/>
        </w:rPr>
        <w:footnoteReference w:id="72"/>
      </w:r>
      <w:r w:rsidR="00B763FB">
        <w:t xml:space="preserve"> Of these, 10 submitters supported having a numerosity requirement.</w:t>
      </w:r>
      <w:r w:rsidR="00D629FA">
        <w:rPr>
          <w:rFonts w:ascii="ZWAdobeF" w:hAnsi="ZWAdobeF" w:cs="ZWAdobeF"/>
          <w:color w:val="auto"/>
          <w:sz w:val="2"/>
          <w:szCs w:val="2"/>
        </w:rPr>
        <w:t>71F</w:t>
      </w:r>
      <w:r w:rsidR="0049638A">
        <w:rPr>
          <w:rFonts w:ascii="ZWAdobeF" w:hAnsi="ZWAdobeF" w:cs="ZWAdobeF"/>
          <w:color w:val="auto"/>
          <w:sz w:val="2"/>
          <w:szCs w:val="2"/>
        </w:rPr>
        <w:t>71F</w:t>
      </w:r>
      <w:r w:rsidR="000D4978">
        <w:rPr>
          <w:rFonts w:ascii="ZWAdobeF" w:hAnsi="ZWAdobeF" w:cs="ZWAdobeF"/>
          <w:color w:val="auto"/>
          <w:sz w:val="2"/>
          <w:szCs w:val="2"/>
        </w:rPr>
        <w:t>71F</w:t>
      </w:r>
      <w:r w:rsidR="00B763FB">
        <w:rPr>
          <w:rStyle w:val="FootnoteReference"/>
        </w:rPr>
        <w:footnoteReference w:id="73"/>
      </w:r>
      <w:r w:rsidR="00B763FB">
        <w:t xml:space="preserve"> Submitters who favoured a numerosity requirement suggested a variety of different approaches including:</w:t>
      </w:r>
    </w:p>
    <w:p w14:paraId="1E7D57A8" w14:textId="0572D453" w:rsidR="00B763FB" w:rsidRDefault="00BD5C95" w:rsidP="003E2524">
      <w:pPr>
        <w:pStyle w:val="BodyTextnonum"/>
        <w:numPr>
          <w:ilvl w:val="3"/>
          <w:numId w:val="34"/>
        </w:numPr>
      </w:pPr>
      <w:r>
        <w:rPr>
          <w:rFonts w:ascii="ZWAdobeF" w:hAnsi="ZWAdobeF" w:cs="ZWAdobeF"/>
          <w:color w:val="auto"/>
          <w:sz w:val="2"/>
          <w:szCs w:val="2"/>
        </w:rPr>
        <w:t>586B</w:t>
      </w:r>
      <w:r w:rsidR="0049638A">
        <w:rPr>
          <w:rFonts w:ascii="ZWAdobeF" w:hAnsi="ZWAdobeF" w:cs="ZWAdobeF"/>
          <w:color w:val="auto"/>
          <w:sz w:val="2"/>
          <w:szCs w:val="2"/>
        </w:rPr>
        <w:t>586B</w:t>
      </w:r>
      <w:r w:rsidR="00D629FA">
        <w:rPr>
          <w:rFonts w:ascii="ZWAdobeF" w:hAnsi="ZWAdobeF" w:cs="ZWAdobeF"/>
          <w:color w:val="auto"/>
          <w:sz w:val="2"/>
          <w:szCs w:val="2"/>
        </w:rPr>
        <w:t>586B</w:t>
      </w:r>
      <w:r w:rsidR="00B763FB">
        <w:t xml:space="preserve">A minimum specified number of class members, such as seven to align with Australia. </w:t>
      </w:r>
    </w:p>
    <w:p w14:paraId="499878F6" w14:textId="7D281321" w:rsidR="00B763FB" w:rsidRDefault="00BD5C95" w:rsidP="003E2524">
      <w:pPr>
        <w:pStyle w:val="BodyTextnonum"/>
        <w:numPr>
          <w:ilvl w:val="3"/>
          <w:numId w:val="34"/>
        </w:numPr>
      </w:pPr>
      <w:r>
        <w:rPr>
          <w:rFonts w:ascii="ZWAdobeF" w:hAnsi="ZWAdobeF" w:cs="ZWAdobeF"/>
          <w:color w:val="auto"/>
          <w:sz w:val="2"/>
          <w:szCs w:val="2"/>
        </w:rPr>
        <w:t>587B</w:t>
      </w:r>
      <w:r w:rsidR="0049638A">
        <w:rPr>
          <w:rFonts w:ascii="ZWAdobeF" w:hAnsi="ZWAdobeF" w:cs="ZWAdobeF"/>
          <w:color w:val="auto"/>
          <w:sz w:val="2"/>
          <w:szCs w:val="2"/>
        </w:rPr>
        <w:t>587B</w:t>
      </w:r>
      <w:r w:rsidR="00D629FA">
        <w:rPr>
          <w:rFonts w:ascii="ZWAdobeF" w:hAnsi="ZWAdobeF" w:cs="ZWAdobeF"/>
          <w:color w:val="auto"/>
          <w:sz w:val="2"/>
          <w:szCs w:val="2"/>
        </w:rPr>
        <w:t>587B</w:t>
      </w:r>
      <w:r w:rsidR="00B763FB">
        <w:t>Impracticality of joinder.</w:t>
      </w:r>
    </w:p>
    <w:p w14:paraId="7965404B" w14:textId="1BA3FCDB" w:rsidR="00B763FB" w:rsidRDefault="00BD5C95" w:rsidP="003E2524">
      <w:pPr>
        <w:pStyle w:val="BodyTextnonum"/>
        <w:numPr>
          <w:ilvl w:val="3"/>
          <w:numId w:val="34"/>
        </w:numPr>
      </w:pPr>
      <w:r>
        <w:rPr>
          <w:rFonts w:ascii="ZWAdobeF" w:hAnsi="ZWAdobeF" w:cs="ZWAdobeF"/>
          <w:color w:val="auto"/>
          <w:sz w:val="2"/>
          <w:szCs w:val="2"/>
        </w:rPr>
        <w:t>588B</w:t>
      </w:r>
      <w:r w:rsidR="0049638A">
        <w:rPr>
          <w:rFonts w:ascii="ZWAdobeF" w:hAnsi="ZWAdobeF" w:cs="ZWAdobeF"/>
          <w:color w:val="auto"/>
          <w:sz w:val="2"/>
          <w:szCs w:val="2"/>
        </w:rPr>
        <w:t>588B</w:t>
      </w:r>
      <w:r w:rsidR="00D629FA">
        <w:rPr>
          <w:rFonts w:ascii="ZWAdobeF" w:hAnsi="ZWAdobeF" w:cs="ZWAdobeF"/>
          <w:color w:val="auto"/>
          <w:sz w:val="2"/>
          <w:szCs w:val="2"/>
        </w:rPr>
        <w:t>588B</w:t>
      </w:r>
      <w:r w:rsidR="00B763FB">
        <w:t>Numerosity considered on a case-by-case basis at the certification stage</w:t>
      </w:r>
      <w:r w:rsidR="0013676B">
        <w:t>.</w:t>
      </w:r>
      <w:r w:rsidR="00B763FB">
        <w:t xml:space="preserve"> </w:t>
      </w:r>
    </w:p>
    <w:p w14:paraId="3C606FAA" w14:textId="19F308C4" w:rsidR="00B763FB" w:rsidRDefault="00BD5C95" w:rsidP="003E2524">
      <w:pPr>
        <w:pStyle w:val="BodyTextnonum"/>
        <w:numPr>
          <w:ilvl w:val="3"/>
          <w:numId w:val="34"/>
        </w:numPr>
      </w:pPr>
      <w:r>
        <w:rPr>
          <w:rFonts w:ascii="ZWAdobeF" w:hAnsi="ZWAdobeF" w:cs="ZWAdobeF"/>
          <w:color w:val="auto"/>
          <w:sz w:val="2"/>
          <w:szCs w:val="2"/>
        </w:rPr>
        <w:t>589B</w:t>
      </w:r>
      <w:r w:rsidR="0049638A">
        <w:rPr>
          <w:rFonts w:ascii="ZWAdobeF" w:hAnsi="ZWAdobeF" w:cs="ZWAdobeF"/>
          <w:color w:val="auto"/>
          <w:sz w:val="2"/>
          <w:szCs w:val="2"/>
        </w:rPr>
        <w:t>589B</w:t>
      </w:r>
      <w:r w:rsidR="00D629FA">
        <w:rPr>
          <w:rFonts w:ascii="ZWAdobeF" w:hAnsi="ZWAdobeF" w:cs="ZWAdobeF"/>
          <w:color w:val="auto"/>
          <w:sz w:val="2"/>
          <w:szCs w:val="2"/>
        </w:rPr>
        <w:t>589B</w:t>
      </w:r>
      <w:r w:rsidR="00B763FB">
        <w:t>A number large enough to obtain litigation funding.</w:t>
      </w:r>
    </w:p>
    <w:p w14:paraId="5AA88E52" w14:textId="5ED484AF" w:rsidR="00B763FB" w:rsidRDefault="00BD5C95" w:rsidP="00932E49">
      <w:pPr>
        <w:pStyle w:val="BodyText"/>
      </w:pPr>
      <w:r>
        <w:rPr>
          <w:rFonts w:ascii="ZWAdobeF" w:hAnsi="ZWAdobeF" w:cs="ZWAdobeF"/>
          <w:color w:val="auto"/>
          <w:sz w:val="2"/>
          <w:szCs w:val="2"/>
        </w:rPr>
        <w:lastRenderedPageBreak/>
        <w:t>7B</w:t>
      </w:r>
      <w:r w:rsidR="0049638A">
        <w:rPr>
          <w:rFonts w:ascii="ZWAdobeF" w:hAnsi="ZWAdobeF" w:cs="ZWAdobeF"/>
          <w:color w:val="auto"/>
          <w:sz w:val="2"/>
          <w:szCs w:val="2"/>
        </w:rPr>
        <w:t>7B</w:t>
      </w:r>
      <w:r w:rsidR="00D629FA">
        <w:rPr>
          <w:rFonts w:ascii="ZWAdobeF" w:hAnsi="ZWAdobeF" w:cs="ZWAdobeF"/>
          <w:color w:val="auto"/>
          <w:sz w:val="2"/>
          <w:szCs w:val="2"/>
        </w:rPr>
        <w:t>7B</w:t>
      </w:r>
      <w:r w:rsidR="00B763FB">
        <w:t xml:space="preserve">In our view, having a minimum specified number such as seven is too arbitrary a mechanism for determining whether the size of the class justifies the use of the class action procedure. Some claims with six or eight class members could be appropriate to bring as a class action, while others may not. </w:t>
      </w:r>
    </w:p>
    <w:p w14:paraId="0F68B729" w14:textId="115505F6" w:rsidR="00B763FB" w:rsidRDefault="00BD5C95" w:rsidP="00932E49">
      <w:pPr>
        <w:pStyle w:val="BodyText"/>
      </w:pPr>
      <w:r>
        <w:rPr>
          <w:rFonts w:ascii="ZWAdobeF" w:hAnsi="ZWAdobeF" w:cs="ZWAdobeF"/>
          <w:color w:val="auto"/>
          <w:sz w:val="2"/>
          <w:szCs w:val="2"/>
        </w:rPr>
        <w:t>8B</w:t>
      </w:r>
      <w:r w:rsidR="0049638A">
        <w:rPr>
          <w:rFonts w:ascii="ZWAdobeF" w:hAnsi="ZWAdobeF" w:cs="ZWAdobeF"/>
          <w:color w:val="auto"/>
          <w:sz w:val="2"/>
          <w:szCs w:val="2"/>
        </w:rPr>
        <w:t>8B</w:t>
      </w:r>
      <w:r w:rsidR="00D629FA">
        <w:rPr>
          <w:rFonts w:ascii="ZWAdobeF" w:hAnsi="ZWAdobeF" w:cs="ZWAdobeF"/>
          <w:color w:val="auto"/>
          <w:sz w:val="2"/>
          <w:szCs w:val="2"/>
        </w:rPr>
        <w:t>8B</w:t>
      </w:r>
      <w:r w:rsidR="00B763FB">
        <w:t xml:space="preserve">We do not favour impracticality of joinder as the numerosity threshold because it may pose </w:t>
      </w:r>
      <w:r w:rsidR="00285D76">
        <w:t xml:space="preserve">too high a </w:t>
      </w:r>
      <w:r w:rsidR="00B763FB">
        <w:t>bar. In the United States, for example, joinder is presumed to be impractical if there are more than 40 class members, while classes of under 20 people have difficulty being certified.</w:t>
      </w:r>
      <w:r w:rsidR="00D629FA">
        <w:rPr>
          <w:rFonts w:ascii="ZWAdobeF" w:hAnsi="ZWAdobeF" w:cs="ZWAdobeF"/>
          <w:color w:val="auto"/>
          <w:sz w:val="2"/>
          <w:szCs w:val="2"/>
        </w:rPr>
        <w:t>72F</w:t>
      </w:r>
      <w:r w:rsidR="0049638A">
        <w:rPr>
          <w:rFonts w:ascii="ZWAdobeF" w:hAnsi="ZWAdobeF" w:cs="ZWAdobeF"/>
          <w:color w:val="auto"/>
          <w:sz w:val="2"/>
          <w:szCs w:val="2"/>
        </w:rPr>
        <w:t>72F</w:t>
      </w:r>
      <w:r w:rsidR="000D4978">
        <w:rPr>
          <w:rFonts w:ascii="ZWAdobeF" w:hAnsi="ZWAdobeF" w:cs="ZWAdobeF"/>
          <w:color w:val="auto"/>
          <w:sz w:val="2"/>
          <w:szCs w:val="2"/>
        </w:rPr>
        <w:t>72F</w:t>
      </w:r>
      <w:r w:rsidR="00B763FB">
        <w:rPr>
          <w:rStyle w:val="FootnoteReference"/>
        </w:rPr>
        <w:footnoteReference w:id="74"/>
      </w:r>
      <w:r w:rsidR="00B763FB">
        <w:t xml:space="preserve"> An approach which requires a high numerosity threshold could lead to many cases being pursued through HCR 4.24 instead, resulting in a parallel regime. We also consider that plaintiffs should have some choice about how they pursue a proceeding, and a class action should not be barred where the option of joinder is a possibility. Rather than being a threshold criterion, we think the appropriateness of the joinder procedure should form part of the court’s assessment of whether a class action is an appropriate procedure for the efficient resolution of class members’ claims.</w:t>
      </w:r>
      <w:r w:rsidR="00D629FA">
        <w:rPr>
          <w:rFonts w:ascii="ZWAdobeF" w:hAnsi="ZWAdobeF" w:cs="ZWAdobeF"/>
          <w:color w:val="auto"/>
          <w:sz w:val="2"/>
          <w:szCs w:val="2"/>
        </w:rPr>
        <w:t>73F</w:t>
      </w:r>
      <w:r w:rsidR="0049638A">
        <w:rPr>
          <w:rFonts w:ascii="ZWAdobeF" w:hAnsi="ZWAdobeF" w:cs="ZWAdobeF"/>
          <w:color w:val="auto"/>
          <w:sz w:val="2"/>
          <w:szCs w:val="2"/>
        </w:rPr>
        <w:t>73F</w:t>
      </w:r>
      <w:r w:rsidR="000D4978">
        <w:rPr>
          <w:rFonts w:ascii="ZWAdobeF" w:hAnsi="ZWAdobeF" w:cs="ZWAdobeF"/>
          <w:color w:val="auto"/>
          <w:sz w:val="2"/>
          <w:szCs w:val="2"/>
        </w:rPr>
        <w:t>73F</w:t>
      </w:r>
      <w:r w:rsidR="00B763FB">
        <w:rPr>
          <w:rStyle w:val="FootnoteReference"/>
        </w:rPr>
        <w:footnoteReference w:id="75"/>
      </w:r>
      <w:r w:rsidR="00B763FB">
        <w:t xml:space="preserve"> </w:t>
      </w:r>
    </w:p>
    <w:p w14:paraId="3F474B6E" w14:textId="48BB8DBE" w:rsidR="00B763FB" w:rsidRDefault="00BD5C95" w:rsidP="00932E49">
      <w:pPr>
        <w:pStyle w:val="BodyText"/>
      </w:pPr>
      <w:r>
        <w:rPr>
          <w:rFonts w:ascii="ZWAdobeF" w:hAnsi="ZWAdobeF" w:cs="ZWAdobeF"/>
          <w:color w:val="auto"/>
          <w:sz w:val="2"/>
          <w:szCs w:val="2"/>
        </w:rPr>
        <w:t>9B</w:t>
      </w:r>
      <w:r w:rsidR="0049638A">
        <w:rPr>
          <w:rFonts w:ascii="ZWAdobeF" w:hAnsi="ZWAdobeF" w:cs="ZWAdobeF"/>
          <w:color w:val="auto"/>
          <w:sz w:val="2"/>
          <w:szCs w:val="2"/>
        </w:rPr>
        <w:t>9B</w:t>
      </w:r>
      <w:r w:rsidR="00D629FA">
        <w:rPr>
          <w:rFonts w:ascii="ZWAdobeF" w:hAnsi="ZWAdobeF" w:cs="ZWAdobeF"/>
          <w:color w:val="auto"/>
          <w:sz w:val="2"/>
          <w:szCs w:val="2"/>
        </w:rPr>
        <w:t>9B</w:t>
      </w:r>
      <w:r w:rsidR="00B763FB">
        <w:t xml:space="preserve">While a descriptive approach such as “numerous persons” has some appeal as it allows for flexibility, this may simply result in a minimum number for what constitutes “numerous” developing through case law. </w:t>
      </w:r>
    </w:p>
    <w:p w14:paraId="2D2582E5" w14:textId="73DDC32E" w:rsidR="00B763FB" w:rsidRDefault="00BD5C95" w:rsidP="00932E49">
      <w:pPr>
        <w:pStyle w:val="BodyText"/>
      </w:pPr>
      <w:r>
        <w:rPr>
          <w:rFonts w:ascii="ZWAdobeF" w:hAnsi="ZWAdobeF" w:cs="ZWAdobeF"/>
          <w:color w:val="auto"/>
          <w:sz w:val="2"/>
          <w:szCs w:val="2"/>
        </w:rPr>
        <w:t>10B</w:t>
      </w:r>
      <w:r w:rsidR="0049638A">
        <w:rPr>
          <w:rFonts w:ascii="ZWAdobeF" w:hAnsi="ZWAdobeF" w:cs="ZWAdobeF"/>
          <w:color w:val="auto"/>
          <w:sz w:val="2"/>
          <w:szCs w:val="2"/>
        </w:rPr>
        <w:t>10B</w:t>
      </w:r>
      <w:r w:rsidR="00D629FA">
        <w:rPr>
          <w:rFonts w:ascii="ZWAdobeF" w:hAnsi="ZWAdobeF" w:cs="ZWAdobeF"/>
          <w:color w:val="auto"/>
          <w:sz w:val="2"/>
          <w:szCs w:val="2"/>
        </w:rPr>
        <w:t>10B</w:t>
      </w:r>
      <w:r w:rsidR="00B763FB">
        <w:t>We have therefore decided that a more nuanced approach to numerosity is appropriate. Our draft provision on commencement only requires a representative plaintiff and two other persons.</w:t>
      </w:r>
      <w:r w:rsidR="00D629FA">
        <w:rPr>
          <w:rFonts w:ascii="ZWAdobeF" w:hAnsi="ZWAdobeF" w:cs="ZWAdobeF"/>
          <w:color w:val="auto"/>
          <w:sz w:val="2"/>
          <w:szCs w:val="2"/>
        </w:rPr>
        <w:t>74F</w:t>
      </w:r>
      <w:r w:rsidR="0049638A">
        <w:rPr>
          <w:rFonts w:ascii="ZWAdobeF" w:hAnsi="ZWAdobeF" w:cs="ZWAdobeF"/>
          <w:color w:val="auto"/>
          <w:sz w:val="2"/>
          <w:szCs w:val="2"/>
        </w:rPr>
        <w:t>74F</w:t>
      </w:r>
      <w:r w:rsidR="000D4978">
        <w:rPr>
          <w:rFonts w:ascii="ZWAdobeF" w:hAnsi="ZWAdobeF" w:cs="ZWAdobeF"/>
          <w:color w:val="auto"/>
          <w:sz w:val="2"/>
          <w:szCs w:val="2"/>
        </w:rPr>
        <w:t>74F</w:t>
      </w:r>
      <w:r w:rsidR="00B763FB">
        <w:rPr>
          <w:rStyle w:val="FootnoteReference"/>
        </w:rPr>
        <w:footnoteReference w:id="76"/>
      </w:r>
      <w:r w:rsidR="00B763FB">
        <w:t xml:space="preserve"> The size of the class can then be considered at certification as part of the court’s consideration of whether a class action is an appropriate procedure for resolving the claims.</w:t>
      </w:r>
      <w:r w:rsidR="00D629FA">
        <w:rPr>
          <w:rFonts w:ascii="ZWAdobeF" w:hAnsi="ZWAdobeF" w:cs="ZWAdobeF"/>
          <w:color w:val="auto"/>
          <w:sz w:val="2"/>
          <w:szCs w:val="2"/>
        </w:rPr>
        <w:t>75F</w:t>
      </w:r>
      <w:r w:rsidR="0049638A">
        <w:rPr>
          <w:rFonts w:ascii="ZWAdobeF" w:hAnsi="ZWAdobeF" w:cs="ZWAdobeF"/>
          <w:color w:val="auto"/>
          <w:sz w:val="2"/>
          <w:szCs w:val="2"/>
        </w:rPr>
        <w:t>75F</w:t>
      </w:r>
      <w:r w:rsidR="000D4978">
        <w:rPr>
          <w:rFonts w:ascii="ZWAdobeF" w:hAnsi="ZWAdobeF" w:cs="ZWAdobeF"/>
          <w:color w:val="auto"/>
          <w:sz w:val="2"/>
          <w:szCs w:val="2"/>
        </w:rPr>
        <w:t>75F</w:t>
      </w:r>
      <w:r w:rsidR="00B763FB">
        <w:rPr>
          <w:rStyle w:val="FootnoteReference"/>
        </w:rPr>
        <w:footnoteReference w:id="77"/>
      </w:r>
      <w:r w:rsidR="00B763FB">
        <w:t xml:space="preserve"> This will </w:t>
      </w:r>
      <w:r w:rsidR="00121CAE">
        <w:t xml:space="preserve">enable </w:t>
      </w:r>
      <w:r w:rsidR="00B763FB">
        <w:t xml:space="preserve">the court to consider the size of the class in the context of other aspects of the case, such as the type of claim and the other procedures that might be available. For example, a class action might be an appropriate procedure for a class action involving 20 people with individual claims of $500,000 each but may be a less suitable procedure in a case involving 20 people with a claim of $1,000 each. In the latter case, the Disputes Tribunal </w:t>
      </w:r>
      <w:r w:rsidR="00FA7019">
        <w:t xml:space="preserve">would likely </w:t>
      </w:r>
      <w:r w:rsidR="00B763FB">
        <w:t>be</w:t>
      </w:r>
      <w:r w:rsidR="00BC04FC">
        <w:t xml:space="preserve"> a</w:t>
      </w:r>
      <w:r w:rsidR="00B763FB">
        <w:t xml:space="preserve"> more appropriate forum for resolving the dispute.</w:t>
      </w:r>
    </w:p>
    <w:p w14:paraId="131B4D0E" w14:textId="77777777" w:rsidR="00B763FB" w:rsidRDefault="00B763FB" w:rsidP="00562681">
      <w:pPr>
        <w:pStyle w:val="Heading3"/>
      </w:pPr>
      <w:r>
        <w:t xml:space="preserve">Representative plaintiff should ordinarily be a class member </w:t>
      </w:r>
    </w:p>
    <w:p w14:paraId="1967DEF7" w14:textId="1D95B10D" w:rsidR="00B763FB" w:rsidRDefault="00BD5C95" w:rsidP="00932E49">
      <w:pPr>
        <w:pStyle w:val="BodyText"/>
      </w:pPr>
      <w:r>
        <w:rPr>
          <w:rFonts w:ascii="ZWAdobeF" w:hAnsi="ZWAdobeF" w:cs="ZWAdobeF"/>
          <w:color w:val="auto"/>
          <w:sz w:val="2"/>
          <w:szCs w:val="2"/>
        </w:rPr>
        <w:t>11B</w:t>
      </w:r>
      <w:r w:rsidR="0049638A">
        <w:rPr>
          <w:rFonts w:ascii="ZWAdobeF" w:hAnsi="ZWAdobeF" w:cs="ZWAdobeF"/>
          <w:color w:val="auto"/>
          <w:sz w:val="2"/>
          <w:szCs w:val="2"/>
        </w:rPr>
        <w:t>11B</w:t>
      </w:r>
      <w:r w:rsidR="00D629FA">
        <w:rPr>
          <w:rFonts w:ascii="ZWAdobeF" w:hAnsi="ZWAdobeF" w:cs="ZWAdobeF"/>
          <w:color w:val="auto"/>
          <w:sz w:val="2"/>
          <w:szCs w:val="2"/>
        </w:rPr>
        <w:t>11B</w:t>
      </w:r>
      <w:r w:rsidR="00B763FB">
        <w:t>Our Issues Paper explained that in some jurisdictions</w:t>
      </w:r>
      <w:r w:rsidR="00C853E7">
        <w:t>,</w:t>
      </w:r>
      <w:r w:rsidR="00B763FB">
        <w:t xml:space="preserve"> a representative plaintiff must be a class member</w:t>
      </w:r>
      <w:r w:rsidR="00C853E7">
        <w:t>,</w:t>
      </w:r>
      <w:r w:rsidR="00B763FB">
        <w:t xml:space="preserve"> while other jurisdictions allow non-class members (sometimes known as ideological plaintiffs) to commence class actions on behalf of others.</w:t>
      </w:r>
      <w:r w:rsidR="00D629FA">
        <w:rPr>
          <w:rFonts w:ascii="ZWAdobeF" w:hAnsi="ZWAdobeF" w:cs="ZWAdobeF"/>
          <w:color w:val="auto"/>
          <w:sz w:val="2"/>
          <w:szCs w:val="2"/>
        </w:rPr>
        <w:t>76F</w:t>
      </w:r>
      <w:r w:rsidR="0049638A">
        <w:rPr>
          <w:rFonts w:ascii="ZWAdobeF" w:hAnsi="ZWAdobeF" w:cs="ZWAdobeF"/>
          <w:color w:val="auto"/>
          <w:sz w:val="2"/>
          <w:szCs w:val="2"/>
        </w:rPr>
        <w:t>76F</w:t>
      </w:r>
      <w:r w:rsidR="000D4978">
        <w:rPr>
          <w:rFonts w:ascii="ZWAdobeF" w:hAnsi="ZWAdobeF" w:cs="ZWAdobeF"/>
          <w:color w:val="auto"/>
          <w:sz w:val="2"/>
          <w:szCs w:val="2"/>
        </w:rPr>
        <w:t>76F</w:t>
      </w:r>
      <w:r w:rsidR="00B763FB">
        <w:rPr>
          <w:rStyle w:val="FootnoteReference"/>
        </w:rPr>
        <w:footnoteReference w:id="78"/>
      </w:r>
      <w:r w:rsidR="00B763FB">
        <w:t xml:space="preserve"> We asked submitters whether a representative plaintiff must be a class member (Q 29).</w:t>
      </w:r>
    </w:p>
    <w:p w14:paraId="40E16B25" w14:textId="6BDA9F31" w:rsidR="00B763FB" w:rsidRDefault="00BD5C95" w:rsidP="00932E49">
      <w:pPr>
        <w:pStyle w:val="BodyText"/>
      </w:pPr>
      <w:r>
        <w:rPr>
          <w:rFonts w:ascii="ZWAdobeF" w:hAnsi="ZWAdobeF" w:cs="ZWAdobeF"/>
          <w:color w:val="auto"/>
          <w:sz w:val="2"/>
          <w:szCs w:val="2"/>
        </w:rPr>
        <w:t>12B</w:t>
      </w:r>
      <w:r w:rsidR="0049638A">
        <w:rPr>
          <w:rFonts w:ascii="ZWAdobeF" w:hAnsi="ZWAdobeF" w:cs="ZWAdobeF"/>
          <w:color w:val="auto"/>
          <w:sz w:val="2"/>
          <w:szCs w:val="2"/>
        </w:rPr>
        <w:t>12B</w:t>
      </w:r>
      <w:r w:rsidR="00D629FA">
        <w:rPr>
          <w:rFonts w:ascii="ZWAdobeF" w:hAnsi="ZWAdobeF" w:cs="ZWAdobeF"/>
          <w:color w:val="auto"/>
          <w:sz w:val="2"/>
          <w:szCs w:val="2"/>
        </w:rPr>
        <w:t>12B</w:t>
      </w:r>
      <w:r w:rsidR="00B763FB">
        <w:t>We received 24 submissions on whether a representative plaintiff must be a class member, with submitters divided on this issue.</w:t>
      </w:r>
      <w:r w:rsidR="00D629FA">
        <w:rPr>
          <w:rFonts w:ascii="ZWAdobeF" w:hAnsi="ZWAdobeF" w:cs="ZWAdobeF"/>
          <w:color w:val="auto"/>
          <w:sz w:val="2"/>
          <w:szCs w:val="2"/>
        </w:rPr>
        <w:t>77F</w:t>
      </w:r>
      <w:r w:rsidR="0049638A">
        <w:rPr>
          <w:rFonts w:ascii="ZWAdobeF" w:hAnsi="ZWAdobeF" w:cs="ZWAdobeF"/>
          <w:color w:val="auto"/>
          <w:sz w:val="2"/>
          <w:szCs w:val="2"/>
        </w:rPr>
        <w:t>77F</w:t>
      </w:r>
      <w:r w:rsidR="000D4978">
        <w:rPr>
          <w:rFonts w:ascii="ZWAdobeF" w:hAnsi="ZWAdobeF" w:cs="ZWAdobeF"/>
          <w:color w:val="auto"/>
          <w:sz w:val="2"/>
          <w:szCs w:val="2"/>
        </w:rPr>
        <w:t>77F</w:t>
      </w:r>
      <w:r w:rsidR="007D019F">
        <w:rPr>
          <w:rStyle w:val="FootnoteReference"/>
        </w:rPr>
        <w:footnoteReference w:id="79"/>
      </w:r>
      <w:r w:rsidR="00B763FB">
        <w:t xml:space="preserve"> Fourteen submitters said a representative </w:t>
      </w:r>
      <w:r w:rsidR="00B763FB">
        <w:lastRenderedPageBreak/>
        <w:t>plaintiff should have some sort of interest in the proceeding, either because they are a class member or have statutory standing.</w:t>
      </w:r>
      <w:r w:rsidR="00D629FA">
        <w:rPr>
          <w:rFonts w:ascii="ZWAdobeF" w:hAnsi="ZWAdobeF" w:cs="ZWAdobeF"/>
          <w:color w:val="auto"/>
          <w:sz w:val="2"/>
          <w:szCs w:val="2"/>
        </w:rPr>
        <w:t>78F</w:t>
      </w:r>
      <w:r w:rsidR="0049638A">
        <w:rPr>
          <w:rFonts w:ascii="ZWAdobeF" w:hAnsi="ZWAdobeF" w:cs="ZWAdobeF"/>
          <w:color w:val="auto"/>
          <w:sz w:val="2"/>
          <w:szCs w:val="2"/>
        </w:rPr>
        <w:t>78F</w:t>
      </w:r>
      <w:r w:rsidR="000D4978">
        <w:rPr>
          <w:rFonts w:ascii="ZWAdobeF" w:hAnsi="ZWAdobeF" w:cs="ZWAdobeF"/>
          <w:color w:val="auto"/>
          <w:sz w:val="2"/>
          <w:szCs w:val="2"/>
        </w:rPr>
        <w:t>78F</w:t>
      </w:r>
      <w:r w:rsidR="00B763FB">
        <w:rPr>
          <w:rStyle w:val="FootnoteReference"/>
        </w:rPr>
        <w:footnoteReference w:id="80"/>
      </w:r>
      <w:r w:rsidR="00B763FB">
        <w:t xml:space="preserve"> Submitters commented that the representative plaintiff should have the same or </w:t>
      </w:r>
      <w:r w:rsidR="00796456">
        <w:t xml:space="preserve">a </w:t>
      </w:r>
      <w:r w:rsidR="00B763FB">
        <w:t xml:space="preserve">similar interest in the subject matter as those they represent, </w:t>
      </w:r>
      <w:r w:rsidR="00CA59D9">
        <w:t>so</w:t>
      </w:r>
      <w:r w:rsidR="001E2928">
        <w:t xml:space="preserve"> they</w:t>
      </w:r>
      <w:r w:rsidR="00B763FB">
        <w:t xml:space="preserve"> would have a self-interest in protecting the interests of the class. Submitters noted that allowing a person without their own claim to be representative plaintiff would be a significant departure from the current rules on standing. </w:t>
      </w:r>
    </w:p>
    <w:p w14:paraId="22D833E0" w14:textId="2DEC82B7" w:rsidR="00B763FB" w:rsidRDefault="00BD5C95" w:rsidP="00932E49">
      <w:pPr>
        <w:pStyle w:val="BodyText"/>
      </w:pPr>
      <w:r>
        <w:rPr>
          <w:rFonts w:ascii="ZWAdobeF" w:hAnsi="ZWAdobeF" w:cs="ZWAdobeF"/>
          <w:color w:val="auto"/>
          <w:sz w:val="2"/>
          <w:szCs w:val="2"/>
        </w:rPr>
        <w:t>13B</w:t>
      </w:r>
      <w:r w:rsidR="0049638A">
        <w:rPr>
          <w:rFonts w:ascii="ZWAdobeF" w:hAnsi="ZWAdobeF" w:cs="ZWAdobeF"/>
          <w:color w:val="auto"/>
          <w:sz w:val="2"/>
          <w:szCs w:val="2"/>
        </w:rPr>
        <w:t>13B</w:t>
      </w:r>
      <w:r w:rsidR="00D629FA">
        <w:rPr>
          <w:rFonts w:ascii="ZWAdobeF" w:hAnsi="ZWAdobeF" w:cs="ZWAdobeF"/>
          <w:color w:val="auto"/>
          <w:sz w:val="2"/>
          <w:szCs w:val="2"/>
        </w:rPr>
        <w:t>13B</w:t>
      </w:r>
      <w:r w:rsidR="00B763FB">
        <w:t>There were seven submitters who thought a broader range of persons, such as an ideological plaintiff, could fulfil the role of representative plaintiff.</w:t>
      </w:r>
      <w:r w:rsidR="00D629FA">
        <w:rPr>
          <w:rFonts w:ascii="ZWAdobeF" w:hAnsi="ZWAdobeF" w:cs="ZWAdobeF"/>
          <w:color w:val="auto"/>
          <w:sz w:val="2"/>
          <w:szCs w:val="2"/>
        </w:rPr>
        <w:t>79F</w:t>
      </w:r>
      <w:r w:rsidR="0049638A">
        <w:rPr>
          <w:rFonts w:ascii="ZWAdobeF" w:hAnsi="ZWAdobeF" w:cs="ZWAdobeF"/>
          <w:color w:val="auto"/>
          <w:sz w:val="2"/>
          <w:szCs w:val="2"/>
        </w:rPr>
        <w:t>79F</w:t>
      </w:r>
      <w:r w:rsidR="000D4978">
        <w:rPr>
          <w:rFonts w:ascii="ZWAdobeF" w:hAnsi="ZWAdobeF" w:cs="ZWAdobeF"/>
          <w:color w:val="auto"/>
          <w:sz w:val="2"/>
          <w:szCs w:val="2"/>
        </w:rPr>
        <w:t>79F</w:t>
      </w:r>
      <w:r w:rsidR="00B763FB">
        <w:rPr>
          <w:rStyle w:val="FootnoteReference"/>
        </w:rPr>
        <w:footnoteReference w:id="81"/>
      </w:r>
      <w:r w:rsidR="00B763FB">
        <w:t xml:space="preserve"> Submitters noted that being a representative plaintiff could be a heavy burden and there may be situations where no class member is able to fulfil this role, such as claims involving vulnerable groups. There were also three submissions which made points relevant to the question of who should be able to bring a class action, without expressing a position on whether the representative plaintiff must be a class member.</w:t>
      </w:r>
      <w:r w:rsidR="00D629FA">
        <w:rPr>
          <w:rFonts w:ascii="ZWAdobeF" w:hAnsi="ZWAdobeF" w:cs="ZWAdobeF"/>
          <w:color w:val="auto"/>
          <w:sz w:val="2"/>
          <w:szCs w:val="2"/>
        </w:rPr>
        <w:t>80F</w:t>
      </w:r>
      <w:r w:rsidR="0049638A">
        <w:rPr>
          <w:rFonts w:ascii="ZWAdobeF" w:hAnsi="ZWAdobeF" w:cs="ZWAdobeF"/>
          <w:color w:val="auto"/>
          <w:sz w:val="2"/>
          <w:szCs w:val="2"/>
        </w:rPr>
        <w:t>80F</w:t>
      </w:r>
      <w:r w:rsidR="000D4978">
        <w:rPr>
          <w:rFonts w:ascii="ZWAdobeF" w:hAnsi="ZWAdobeF" w:cs="ZWAdobeF"/>
          <w:color w:val="auto"/>
          <w:sz w:val="2"/>
          <w:szCs w:val="2"/>
        </w:rPr>
        <w:t>80F</w:t>
      </w:r>
      <w:r w:rsidR="00B763FB">
        <w:rPr>
          <w:rStyle w:val="FootnoteReference"/>
        </w:rPr>
        <w:footnoteReference w:id="82"/>
      </w:r>
    </w:p>
    <w:p w14:paraId="5B4ACC26" w14:textId="655F6DCF" w:rsidR="00B763FB" w:rsidRDefault="00BD5C95" w:rsidP="00932E49">
      <w:pPr>
        <w:pStyle w:val="BodyText"/>
      </w:pPr>
      <w:r>
        <w:rPr>
          <w:rFonts w:ascii="ZWAdobeF" w:hAnsi="ZWAdobeF" w:cs="ZWAdobeF"/>
          <w:color w:val="auto"/>
          <w:sz w:val="2"/>
          <w:szCs w:val="2"/>
        </w:rPr>
        <w:t>14B</w:t>
      </w:r>
      <w:r w:rsidR="0049638A">
        <w:rPr>
          <w:rFonts w:ascii="ZWAdobeF" w:hAnsi="ZWAdobeF" w:cs="ZWAdobeF"/>
          <w:color w:val="auto"/>
          <w:sz w:val="2"/>
          <w:szCs w:val="2"/>
        </w:rPr>
        <w:t>14B</w:t>
      </w:r>
      <w:r w:rsidR="00D629FA">
        <w:rPr>
          <w:rFonts w:ascii="ZWAdobeF" w:hAnsi="ZWAdobeF" w:cs="ZWAdobeF"/>
          <w:color w:val="auto"/>
          <w:sz w:val="2"/>
          <w:szCs w:val="2"/>
        </w:rPr>
        <w:t>14B</w:t>
      </w:r>
      <w:r w:rsidR="00B763FB">
        <w:t>We have concluded that the representative plaintiff must ordinarily be a class member, which is reflected in our draft commencement provision.</w:t>
      </w:r>
      <w:r w:rsidR="00D629FA">
        <w:rPr>
          <w:rFonts w:ascii="ZWAdobeF" w:hAnsi="ZWAdobeF" w:cs="ZWAdobeF"/>
          <w:color w:val="auto"/>
          <w:sz w:val="2"/>
          <w:szCs w:val="2"/>
        </w:rPr>
        <w:t>81F</w:t>
      </w:r>
      <w:r w:rsidR="0049638A">
        <w:rPr>
          <w:rFonts w:ascii="ZWAdobeF" w:hAnsi="ZWAdobeF" w:cs="ZWAdobeF"/>
          <w:color w:val="auto"/>
          <w:sz w:val="2"/>
          <w:szCs w:val="2"/>
        </w:rPr>
        <w:t>81F</w:t>
      </w:r>
      <w:r w:rsidR="000D4978">
        <w:rPr>
          <w:rFonts w:ascii="ZWAdobeF" w:hAnsi="ZWAdobeF" w:cs="ZWAdobeF"/>
          <w:color w:val="auto"/>
          <w:sz w:val="2"/>
          <w:szCs w:val="2"/>
        </w:rPr>
        <w:t>81F</w:t>
      </w:r>
      <w:r w:rsidR="00B763FB">
        <w:rPr>
          <w:rStyle w:val="FootnoteReference"/>
        </w:rPr>
        <w:footnoteReference w:id="83"/>
      </w:r>
      <w:r w:rsidR="00B763FB">
        <w:t xml:space="preserve"> Allowing non-class member representative plaintiffs would be a significant departure from normal standing rules and we are not satisfied that it is necessary to ensure access to justice or the efficient management of multiple claims. There are benefits to having a representative plaintiff who has their own claim at stake, including demonstrating that the class action is supported by a genuine claimant and an understanding of what is at issue for class members. There is one exception to our proposal, which is where the representative plaintiff is a government entity. We discuss this below. </w:t>
      </w:r>
    </w:p>
    <w:p w14:paraId="5F86BB59" w14:textId="77777777" w:rsidR="00B763FB" w:rsidRDefault="00B763FB" w:rsidP="0016640A">
      <w:pPr>
        <w:pStyle w:val="Heading3"/>
      </w:pPr>
      <w:r>
        <w:t xml:space="preserve">Government entity can be a representative plaintiff in some cases </w:t>
      </w:r>
    </w:p>
    <w:p w14:paraId="4ECE349A" w14:textId="19049B68" w:rsidR="00B763FB" w:rsidRDefault="00BD5C95" w:rsidP="00932E49">
      <w:pPr>
        <w:pStyle w:val="BodyText"/>
      </w:pPr>
      <w:r>
        <w:rPr>
          <w:rFonts w:ascii="ZWAdobeF" w:hAnsi="ZWAdobeF" w:cs="ZWAdobeF"/>
          <w:color w:val="auto"/>
          <w:sz w:val="2"/>
          <w:szCs w:val="2"/>
        </w:rPr>
        <w:t>15B</w:t>
      </w:r>
      <w:r w:rsidR="0049638A">
        <w:rPr>
          <w:rFonts w:ascii="ZWAdobeF" w:hAnsi="ZWAdobeF" w:cs="ZWAdobeF"/>
          <w:color w:val="auto"/>
          <w:sz w:val="2"/>
          <w:szCs w:val="2"/>
        </w:rPr>
        <w:t>15B</w:t>
      </w:r>
      <w:r w:rsidR="00D629FA">
        <w:rPr>
          <w:rFonts w:ascii="ZWAdobeF" w:hAnsi="ZWAdobeF" w:cs="ZWAdobeF"/>
          <w:color w:val="auto"/>
          <w:sz w:val="2"/>
          <w:szCs w:val="2"/>
        </w:rPr>
        <w:t>15B</w:t>
      </w:r>
      <w:r w:rsidR="00B763FB">
        <w:t>We received 19 submissions on the question of when a government entity should be able to bring a class action as a representative plaintiff.</w:t>
      </w:r>
      <w:r w:rsidR="00D629FA">
        <w:rPr>
          <w:rFonts w:ascii="ZWAdobeF" w:hAnsi="ZWAdobeF" w:cs="ZWAdobeF"/>
          <w:color w:val="auto"/>
          <w:sz w:val="2"/>
          <w:szCs w:val="2"/>
        </w:rPr>
        <w:t>82F</w:t>
      </w:r>
      <w:r w:rsidR="0049638A">
        <w:rPr>
          <w:rFonts w:ascii="ZWAdobeF" w:hAnsi="ZWAdobeF" w:cs="ZWAdobeF"/>
          <w:color w:val="auto"/>
          <w:sz w:val="2"/>
          <w:szCs w:val="2"/>
        </w:rPr>
        <w:t>82F</w:t>
      </w:r>
      <w:r w:rsidR="000D4978">
        <w:rPr>
          <w:rFonts w:ascii="ZWAdobeF" w:hAnsi="ZWAdobeF" w:cs="ZWAdobeF"/>
          <w:color w:val="auto"/>
          <w:sz w:val="2"/>
          <w:szCs w:val="2"/>
        </w:rPr>
        <w:t>82F</w:t>
      </w:r>
      <w:r w:rsidR="00B763FB">
        <w:rPr>
          <w:rStyle w:val="FootnoteReference"/>
        </w:rPr>
        <w:footnoteReference w:id="84"/>
      </w:r>
      <w:r w:rsidR="00B763FB">
        <w:t xml:space="preserve"> Submitters supported government representative plaintiffs in several circumstances:  </w:t>
      </w:r>
    </w:p>
    <w:p w14:paraId="57C4C7AB" w14:textId="60CAAC43" w:rsidR="00B763FB" w:rsidRDefault="00BD5C95" w:rsidP="003E2524">
      <w:pPr>
        <w:pStyle w:val="BodyTextnonum"/>
        <w:numPr>
          <w:ilvl w:val="3"/>
          <w:numId w:val="34"/>
        </w:numPr>
      </w:pPr>
      <w:r>
        <w:rPr>
          <w:rFonts w:ascii="ZWAdobeF" w:hAnsi="ZWAdobeF" w:cs="ZWAdobeF"/>
          <w:color w:val="auto"/>
          <w:sz w:val="2"/>
          <w:szCs w:val="2"/>
        </w:rPr>
        <w:t>590B</w:t>
      </w:r>
      <w:r w:rsidR="0049638A">
        <w:rPr>
          <w:rFonts w:ascii="ZWAdobeF" w:hAnsi="ZWAdobeF" w:cs="ZWAdobeF"/>
          <w:color w:val="auto"/>
          <w:sz w:val="2"/>
          <w:szCs w:val="2"/>
        </w:rPr>
        <w:t>590B</w:t>
      </w:r>
      <w:r w:rsidR="00D629FA">
        <w:rPr>
          <w:rFonts w:ascii="ZWAdobeF" w:hAnsi="ZWAdobeF" w:cs="ZWAdobeF"/>
          <w:color w:val="auto"/>
          <w:sz w:val="2"/>
          <w:szCs w:val="2"/>
        </w:rPr>
        <w:t>590B</w:t>
      </w:r>
      <w:r w:rsidR="00B763FB">
        <w:t>Where the government entity is a class member.</w:t>
      </w:r>
      <w:r w:rsidR="00D629FA">
        <w:rPr>
          <w:rFonts w:ascii="ZWAdobeF" w:hAnsi="ZWAdobeF" w:cs="ZWAdobeF"/>
          <w:color w:val="auto"/>
          <w:sz w:val="2"/>
          <w:szCs w:val="2"/>
        </w:rPr>
        <w:t>83F</w:t>
      </w:r>
      <w:r w:rsidR="0049638A">
        <w:rPr>
          <w:rFonts w:ascii="ZWAdobeF" w:hAnsi="ZWAdobeF" w:cs="ZWAdobeF"/>
          <w:color w:val="auto"/>
          <w:sz w:val="2"/>
          <w:szCs w:val="2"/>
        </w:rPr>
        <w:t>83F</w:t>
      </w:r>
      <w:r w:rsidR="000D4978">
        <w:rPr>
          <w:rFonts w:ascii="ZWAdobeF" w:hAnsi="ZWAdobeF" w:cs="ZWAdobeF"/>
          <w:color w:val="auto"/>
          <w:sz w:val="2"/>
          <w:szCs w:val="2"/>
        </w:rPr>
        <w:t>83F</w:t>
      </w:r>
      <w:r w:rsidR="00B763FB">
        <w:rPr>
          <w:rStyle w:val="FootnoteReference"/>
        </w:rPr>
        <w:footnoteReference w:id="85"/>
      </w:r>
    </w:p>
    <w:p w14:paraId="332CCF27" w14:textId="5A3F6B1E" w:rsidR="00B763FB" w:rsidRDefault="00BD5C95" w:rsidP="003E2524">
      <w:pPr>
        <w:pStyle w:val="BodyTextnonum"/>
        <w:numPr>
          <w:ilvl w:val="3"/>
          <w:numId w:val="34"/>
        </w:numPr>
      </w:pPr>
      <w:r>
        <w:rPr>
          <w:rFonts w:ascii="ZWAdobeF" w:hAnsi="ZWAdobeF" w:cs="ZWAdobeF"/>
          <w:color w:val="auto"/>
          <w:sz w:val="2"/>
          <w:szCs w:val="2"/>
        </w:rPr>
        <w:lastRenderedPageBreak/>
        <w:t>591B</w:t>
      </w:r>
      <w:r w:rsidR="0049638A">
        <w:rPr>
          <w:rFonts w:ascii="ZWAdobeF" w:hAnsi="ZWAdobeF" w:cs="ZWAdobeF"/>
          <w:color w:val="auto"/>
          <w:sz w:val="2"/>
          <w:szCs w:val="2"/>
        </w:rPr>
        <w:t>591B</w:t>
      </w:r>
      <w:r w:rsidR="00D629FA">
        <w:rPr>
          <w:rFonts w:ascii="ZWAdobeF" w:hAnsi="ZWAdobeF" w:cs="ZWAdobeF"/>
          <w:color w:val="auto"/>
          <w:sz w:val="2"/>
          <w:szCs w:val="2"/>
        </w:rPr>
        <w:t>591B</w:t>
      </w:r>
      <w:r w:rsidR="00B763FB">
        <w:t>Where there is statutory standing.</w:t>
      </w:r>
      <w:r w:rsidR="00D629FA">
        <w:rPr>
          <w:rFonts w:ascii="ZWAdobeF" w:hAnsi="ZWAdobeF" w:cs="ZWAdobeF"/>
          <w:color w:val="auto"/>
          <w:sz w:val="2"/>
          <w:szCs w:val="2"/>
        </w:rPr>
        <w:t>84F</w:t>
      </w:r>
      <w:r w:rsidR="0049638A">
        <w:rPr>
          <w:rFonts w:ascii="ZWAdobeF" w:hAnsi="ZWAdobeF" w:cs="ZWAdobeF"/>
          <w:color w:val="auto"/>
          <w:sz w:val="2"/>
          <w:szCs w:val="2"/>
        </w:rPr>
        <w:t>84F</w:t>
      </w:r>
      <w:r w:rsidR="000D4978">
        <w:rPr>
          <w:rFonts w:ascii="ZWAdobeF" w:hAnsi="ZWAdobeF" w:cs="ZWAdobeF"/>
          <w:color w:val="auto"/>
          <w:sz w:val="2"/>
          <w:szCs w:val="2"/>
        </w:rPr>
        <w:t>84F</w:t>
      </w:r>
      <w:r w:rsidR="00B763FB">
        <w:rPr>
          <w:rStyle w:val="FootnoteReference"/>
        </w:rPr>
        <w:footnoteReference w:id="86"/>
      </w:r>
      <w:r w:rsidR="00B763FB">
        <w:t xml:space="preserve"> </w:t>
      </w:r>
    </w:p>
    <w:p w14:paraId="5913D173" w14:textId="4DFD4380" w:rsidR="00B763FB" w:rsidRDefault="00BD5C95" w:rsidP="003E2524">
      <w:pPr>
        <w:pStyle w:val="BodyTextnonum"/>
        <w:numPr>
          <w:ilvl w:val="3"/>
          <w:numId w:val="34"/>
        </w:numPr>
      </w:pPr>
      <w:r>
        <w:rPr>
          <w:rFonts w:ascii="ZWAdobeF" w:hAnsi="ZWAdobeF" w:cs="ZWAdobeF"/>
          <w:color w:val="auto"/>
          <w:sz w:val="2"/>
          <w:szCs w:val="2"/>
        </w:rPr>
        <w:t>592B</w:t>
      </w:r>
      <w:r w:rsidR="0049638A">
        <w:rPr>
          <w:rFonts w:ascii="ZWAdobeF" w:hAnsi="ZWAdobeF" w:cs="ZWAdobeF"/>
          <w:color w:val="auto"/>
          <w:sz w:val="2"/>
          <w:szCs w:val="2"/>
        </w:rPr>
        <w:t>592B</w:t>
      </w:r>
      <w:r w:rsidR="00D629FA">
        <w:rPr>
          <w:rFonts w:ascii="ZWAdobeF" w:hAnsi="ZWAdobeF" w:cs="ZWAdobeF"/>
          <w:color w:val="auto"/>
          <w:sz w:val="2"/>
          <w:szCs w:val="2"/>
        </w:rPr>
        <w:t>592B</w:t>
      </w:r>
      <w:r w:rsidR="00B763FB">
        <w:t>A broader ability for government entities to be representative plaintiffs.</w:t>
      </w:r>
      <w:r w:rsidR="00D629FA">
        <w:rPr>
          <w:rFonts w:ascii="ZWAdobeF" w:hAnsi="ZWAdobeF" w:cs="ZWAdobeF"/>
          <w:color w:val="auto"/>
          <w:sz w:val="2"/>
          <w:szCs w:val="2"/>
        </w:rPr>
        <w:t>85F</w:t>
      </w:r>
      <w:r w:rsidR="0049638A">
        <w:rPr>
          <w:rFonts w:ascii="ZWAdobeF" w:hAnsi="ZWAdobeF" w:cs="ZWAdobeF"/>
          <w:color w:val="auto"/>
          <w:sz w:val="2"/>
          <w:szCs w:val="2"/>
        </w:rPr>
        <w:t>85F</w:t>
      </w:r>
      <w:r w:rsidR="000D4978">
        <w:rPr>
          <w:rFonts w:ascii="ZWAdobeF" w:hAnsi="ZWAdobeF" w:cs="ZWAdobeF"/>
          <w:color w:val="auto"/>
          <w:sz w:val="2"/>
          <w:szCs w:val="2"/>
        </w:rPr>
        <w:t>85F</w:t>
      </w:r>
      <w:r w:rsidR="00B763FB">
        <w:rPr>
          <w:rStyle w:val="FootnoteReference"/>
        </w:rPr>
        <w:footnoteReference w:id="87"/>
      </w:r>
      <w:r w:rsidR="00B763FB">
        <w:t xml:space="preserve"> </w:t>
      </w:r>
    </w:p>
    <w:p w14:paraId="68571126" w14:textId="08136B08" w:rsidR="00B763FB" w:rsidRDefault="00BD5C95" w:rsidP="00932E49">
      <w:pPr>
        <w:pStyle w:val="BodyText"/>
      </w:pPr>
      <w:r>
        <w:rPr>
          <w:rFonts w:ascii="ZWAdobeF" w:hAnsi="ZWAdobeF" w:cs="ZWAdobeF"/>
          <w:color w:val="auto"/>
          <w:sz w:val="2"/>
          <w:szCs w:val="2"/>
        </w:rPr>
        <w:t>16B</w:t>
      </w:r>
      <w:r w:rsidR="0049638A">
        <w:rPr>
          <w:rFonts w:ascii="ZWAdobeF" w:hAnsi="ZWAdobeF" w:cs="ZWAdobeF"/>
          <w:color w:val="auto"/>
          <w:sz w:val="2"/>
          <w:szCs w:val="2"/>
        </w:rPr>
        <w:t>16B</w:t>
      </w:r>
      <w:r w:rsidR="00D629FA">
        <w:rPr>
          <w:rFonts w:ascii="ZWAdobeF" w:hAnsi="ZWAdobeF" w:cs="ZWAdobeF"/>
          <w:color w:val="auto"/>
          <w:sz w:val="2"/>
          <w:szCs w:val="2"/>
        </w:rPr>
        <w:t>16B</w:t>
      </w:r>
      <w:r w:rsidR="00B763FB">
        <w:t xml:space="preserve">Some submitters indicated a regulator could be the </w:t>
      </w:r>
      <w:r w:rsidR="00175A44">
        <w:t>p</w:t>
      </w:r>
      <w:r w:rsidR="00B763FB">
        <w:t>referable representative plaintiff in some circumstances.</w:t>
      </w:r>
      <w:r w:rsidR="00D629FA">
        <w:rPr>
          <w:rFonts w:ascii="ZWAdobeF" w:hAnsi="ZWAdobeF" w:cs="ZWAdobeF"/>
          <w:color w:val="auto"/>
          <w:sz w:val="2"/>
          <w:szCs w:val="2"/>
        </w:rPr>
        <w:t>86F</w:t>
      </w:r>
      <w:r w:rsidR="0049638A">
        <w:rPr>
          <w:rFonts w:ascii="ZWAdobeF" w:hAnsi="ZWAdobeF" w:cs="ZWAdobeF"/>
          <w:color w:val="auto"/>
          <w:sz w:val="2"/>
          <w:szCs w:val="2"/>
        </w:rPr>
        <w:t>86F</w:t>
      </w:r>
      <w:r w:rsidR="000D4978">
        <w:rPr>
          <w:rFonts w:ascii="ZWAdobeF" w:hAnsi="ZWAdobeF" w:cs="ZWAdobeF"/>
          <w:color w:val="auto"/>
          <w:sz w:val="2"/>
          <w:szCs w:val="2"/>
        </w:rPr>
        <w:t>86F</w:t>
      </w:r>
      <w:r w:rsidR="00B763FB">
        <w:rPr>
          <w:rStyle w:val="FootnoteReference"/>
        </w:rPr>
        <w:footnoteReference w:id="88"/>
      </w:r>
    </w:p>
    <w:p w14:paraId="6F39DFFA" w14:textId="234ADEE0" w:rsidR="00B763FB" w:rsidRDefault="00BD5C95" w:rsidP="00932E49">
      <w:pPr>
        <w:pStyle w:val="BodyText"/>
      </w:pPr>
      <w:r>
        <w:rPr>
          <w:rFonts w:ascii="ZWAdobeF" w:hAnsi="ZWAdobeF" w:cs="ZWAdobeF"/>
          <w:color w:val="auto"/>
          <w:sz w:val="2"/>
          <w:szCs w:val="2"/>
        </w:rPr>
        <w:t>17B</w:t>
      </w:r>
      <w:r w:rsidR="0049638A">
        <w:rPr>
          <w:rFonts w:ascii="ZWAdobeF" w:hAnsi="ZWAdobeF" w:cs="ZWAdobeF"/>
          <w:color w:val="auto"/>
          <w:sz w:val="2"/>
          <w:szCs w:val="2"/>
        </w:rPr>
        <w:t>17B</w:t>
      </w:r>
      <w:r w:rsidR="00D629FA">
        <w:rPr>
          <w:rFonts w:ascii="ZWAdobeF" w:hAnsi="ZWAdobeF" w:cs="ZWAdobeF"/>
          <w:color w:val="auto"/>
          <w:sz w:val="2"/>
          <w:szCs w:val="2"/>
        </w:rPr>
        <w:t>17B</w:t>
      </w:r>
      <w:r w:rsidR="00175A44">
        <w:t>We agree a government entity</w:t>
      </w:r>
      <w:r w:rsidR="00FE63F6">
        <w:t xml:space="preserve"> should be able to bring a class action </w:t>
      </w:r>
      <w:r w:rsidR="000D5DC5">
        <w:t xml:space="preserve">as representative plaintiff </w:t>
      </w:r>
      <w:r w:rsidR="00FE63F6">
        <w:t xml:space="preserve">where they are a class member. </w:t>
      </w:r>
      <w:r w:rsidR="00B763FB" w:rsidRPr="00DE2599">
        <w:t xml:space="preserve">We </w:t>
      </w:r>
      <w:r w:rsidR="00FE63F6">
        <w:t xml:space="preserve">also </w:t>
      </w:r>
      <w:r w:rsidR="00B763FB" w:rsidRPr="00DE2599">
        <w:t xml:space="preserve">consider </w:t>
      </w:r>
      <w:r w:rsidR="00B763FB">
        <w:t xml:space="preserve">a </w:t>
      </w:r>
      <w:r w:rsidR="00BF70DE">
        <w:t xml:space="preserve">government </w:t>
      </w:r>
      <w:r w:rsidR="00B763FB">
        <w:t xml:space="preserve">entity should be allowed to bring a class action </w:t>
      </w:r>
      <w:r w:rsidR="00B763FB" w:rsidRPr="00DE2599">
        <w:t xml:space="preserve">where another statute provides </w:t>
      </w:r>
      <w:r w:rsidR="00B763FB">
        <w:t xml:space="preserve">it with the </w:t>
      </w:r>
      <w:r w:rsidR="00B763FB" w:rsidRPr="00DE2599">
        <w:t xml:space="preserve">ability to bring a proceeding on behalf of </w:t>
      </w:r>
      <w:r w:rsidR="00B763FB">
        <w:t>two or more people</w:t>
      </w:r>
      <w:r w:rsidR="00B763FB" w:rsidRPr="00DE2599">
        <w:t>.</w:t>
      </w:r>
      <w:r w:rsidR="00B763FB">
        <w:t xml:space="preserve"> In this situation, a</w:t>
      </w:r>
      <w:r w:rsidR="00B763FB" w:rsidRPr="00DE2599">
        <w:t xml:space="preserve"> policy decision has already been made that it is appropriate </w:t>
      </w:r>
      <w:r w:rsidR="00B763FB">
        <w:t xml:space="preserve">for a particular entity to bring a claim on behalf of others. Allowing these </w:t>
      </w:r>
      <w:r w:rsidR="00716371">
        <w:t>entities</w:t>
      </w:r>
      <w:r w:rsidR="00B763FB">
        <w:t xml:space="preserve"> to bring a class action would simply provide them with another procedural tool.</w:t>
      </w:r>
    </w:p>
    <w:p w14:paraId="1A527FB8" w14:textId="6BFDCA1A" w:rsidR="00B763FB" w:rsidRPr="00DE2599" w:rsidRDefault="00BD5C95" w:rsidP="00932E49">
      <w:pPr>
        <w:pStyle w:val="BodyText"/>
      </w:pPr>
      <w:r>
        <w:rPr>
          <w:rFonts w:ascii="ZWAdobeF" w:hAnsi="ZWAdobeF" w:cs="ZWAdobeF"/>
          <w:color w:val="auto"/>
          <w:sz w:val="2"/>
          <w:szCs w:val="2"/>
        </w:rPr>
        <w:t>18B</w:t>
      </w:r>
      <w:r w:rsidR="0049638A">
        <w:rPr>
          <w:rFonts w:ascii="ZWAdobeF" w:hAnsi="ZWAdobeF" w:cs="ZWAdobeF"/>
          <w:color w:val="auto"/>
          <w:sz w:val="2"/>
          <w:szCs w:val="2"/>
        </w:rPr>
        <w:t>18B</w:t>
      </w:r>
      <w:r w:rsidR="00D629FA">
        <w:rPr>
          <w:rFonts w:ascii="ZWAdobeF" w:hAnsi="ZWAdobeF" w:cs="ZWAdobeF"/>
          <w:color w:val="auto"/>
          <w:sz w:val="2"/>
          <w:szCs w:val="2"/>
        </w:rPr>
        <w:t>18B</w:t>
      </w:r>
      <w:r w:rsidR="00B763FB" w:rsidRPr="00DE2599">
        <w:t>This would</w:t>
      </w:r>
      <w:r w:rsidR="00B763FB">
        <w:t xml:space="preserve"> allow, for example, </w:t>
      </w:r>
      <w:r w:rsidR="00364B68">
        <w:t>Te Mana Tatai Hokohoko |</w:t>
      </w:r>
      <w:r w:rsidR="00B763FB">
        <w:t xml:space="preserve"> Financial Markets Authority and </w:t>
      </w:r>
      <w:r w:rsidR="00F4774C">
        <w:t xml:space="preserve">Te Komihana Tauhokohoko | </w:t>
      </w:r>
      <w:r w:rsidR="00B763FB">
        <w:t>Commerce Commission to bring a class action in appropriate circumstances, although it would not oblige them to. We think the exception should be general, rather than referring to particular entities or statutes, so that the provision does not require regular updating. This is reflected in our draft commencement provision.</w:t>
      </w:r>
      <w:r w:rsidR="00D629FA">
        <w:rPr>
          <w:rFonts w:ascii="ZWAdobeF" w:hAnsi="ZWAdobeF" w:cs="ZWAdobeF"/>
          <w:color w:val="auto"/>
          <w:sz w:val="2"/>
          <w:szCs w:val="2"/>
        </w:rPr>
        <w:t>87F</w:t>
      </w:r>
      <w:r w:rsidR="0049638A">
        <w:rPr>
          <w:rFonts w:ascii="ZWAdobeF" w:hAnsi="ZWAdobeF" w:cs="ZWAdobeF"/>
          <w:color w:val="auto"/>
          <w:sz w:val="2"/>
          <w:szCs w:val="2"/>
        </w:rPr>
        <w:t>87F</w:t>
      </w:r>
      <w:r w:rsidR="000D4978">
        <w:rPr>
          <w:rFonts w:ascii="ZWAdobeF" w:hAnsi="ZWAdobeF" w:cs="ZWAdobeF"/>
          <w:color w:val="auto"/>
          <w:sz w:val="2"/>
          <w:szCs w:val="2"/>
        </w:rPr>
        <w:t>87F</w:t>
      </w:r>
      <w:r w:rsidR="00B763FB">
        <w:rPr>
          <w:rStyle w:val="FootnoteReference"/>
        </w:rPr>
        <w:footnoteReference w:id="89"/>
      </w:r>
    </w:p>
    <w:p w14:paraId="69FA8018" w14:textId="4C3FF001" w:rsidR="00B763FB" w:rsidRDefault="00BD5C95" w:rsidP="00932E49">
      <w:pPr>
        <w:pStyle w:val="BodyText"/>
      </w:pPr>
      <w:r>
        <w:rPr>
          <w:rFonts w:ascii="ZWAdobeF" w:hAnsi="ZWAdobeF" w:cs="ZWAdobeF"/>
          <w:color w:val="auto"/>
          <w:sz w:val="2"/>
          <w:szCs w:val="2"/>
        </w:rPr>
        <w:t>19B</w:t>
      </w:r>
      <w:r w:rsidR="0049638A">
        <w:rPr>
          <w:rFonts w:ascii="ZWAdobeF" w:hAnsi="ZWAdobeF" w:cs="ZWAdobeF"/>
          <w:color w:val="auto"/>
          <w:sz w:val="2"/>
          <w:szCs w:val="2"/>
        </w:rPr>
        <w:t>19B</w:t>
      </w:r>
      <w:r w:rsidR="00D629FA">
        <w:rPr>
          <w:rFonts w:ascii="ZWAdobeF" w:hAnsi="ZWAdobeF" w:cs="ZWAdobeF"/>
          <w:color w:val="auto"/>
          <w:sz w:val="2"/>
          <w:szCs w:val="2"/>
        </w:rPr>
        <w:t>19B</w:t>
      </w:r>
      <w:r w:rsidR="00B763FB">
        <w:t xml:space="preserve">Where a statute permits a </w:t>
      </w:r>
      <w:r w:rsidR="004657DC">
        <w:t>government</w:t>
      </w:r>
      <w:r w:rsidR="00B763FB">
        <w:t xml:space="preserve"> entity to bring proceedings on behalf of others subject to certain considerations or limitations, those should apply to the entity’s ability to bring a class action proceeding. For example, </w:t>
      </w:r>
      <w:r w:rsidR="00364B68">
        <w:t>Te Mana Tatai Hokohoko |</w:t>
      </w:r>
      <w:r w:rsidR="00B763FB">
        <w:t xml:space="preserve"> Financial Markets Authority is required to consider certain public interest criteria before exercising a person’s right of action.</w:t>
      </w:r>
      <w:r w:rsidR="00D629FA">
        <w:rPr>
          <w:rFonts w:ascii="ZWAdobeF" w:hAnsi="ZWAdobeF" w:cs="ZWAdobeF"/>
          <w:color w:val="auto"/>
          <w:sz w:val="2"/>
          <w:szCs w:val="2"/>
        </w:rPr>
        <w:t>88F</w:t>
      </w:r>
      <w:r w:rsidR="0049638A">
        <w:rPr>
          <w:rFonts w:ascii="ZWAdobeF" w:hAnsi="ZWAdobeF" w:cs="ZWAdobeF"/>
          <w:color w:val="auto"/>
          <w:sz w:val="2"/>
          <w:szCs w:val="2"/>
        </w:rPr>
        <w:t>88F</w:t>
      </w:r>
      <w:r w:rsidR="000D4978">
        <w:rPr>
          <w:rFonts w:ascii="ZWAdobeF" w:hAnsi="ZWAdobeF" w:cs="ZWAdobeF"/>
          <w:color w:val="auto"/>
          <w:sz w:val="2"/>
          <w:szCs w:val="2"/>
        </w:rPr>
        <w:t>88F</w:t>
      </w:r>
      <w:r w:rsidR="00B763FB">
        <w:rPr>
          <w:rStyle w:val="FootnoteReference"/>
        </w:rPr>
        <w:footnoteReference w:id="90"/>
      </w:r>
      <w:r w:rsidR="00B763FB">
        <w:t xml:space="preserve"> This is reflected in our draft provision.</w:t>
      </w:r>
      <w:r w:rsidR="00D629FA">
        <w:rPr>
          <w:rFonts w:ascii="ZWAdobeF" w:hAnsi="ZWAdobeF" w:cs="ZWAdobeF"/>
          <w:color w:val="auto"/>
          <w:sz w:val="2"/>
          <w:szCs w:val="2"/>
        </w:rPr>
        <w:t>89F</w:t>
      </w:r>
      <w:r w:rsidR="0049638A">
        <w:rPr>
          <w:rFonts w:ascii="ZWAdobeF" w:hAnsi="ZWAdobeF" w:cs="ZWAdobeF"/>
          <w:color w:val="auto"/>
          <w:sz w:val="2"/>
          <w:szCs w:val="2"/>
        </w:rPr>
        <w:t>89F</w:t>
      </w:r>
      <w:r w:rsidR="000D4978">
        <w:rPr>
          <w:rFonts w:ascii="ZWAdobeF" w:hAnsi="ZWAdobeF" w:cs="ZWAdobeF"/>
          <w:color w:val="auto"/>
          <w:sz w:val="2"/>
          <w:szCs w:val="2"/>
        </w:rPr>
        <w:t>89F</w:t>
      </w:r>
      <w:r w:rsidR="00B763FB">
        <w:rPr>
          <w:rStyle w:val="FootnoteReference"/>
        </w:rPr>
        <w:footnoteReference w:id="91"/>
      </w:r>
      <w:r w:rsidR="00B763FB">
        <w:t xml:space="preserve">   </w:t>
      </w:r>
    </w:p>
    <w:p w14:paraId="4A111925" w14:textId="77777777" w:rsidR="00B763FB" w:rsidRDefault="00B763FB" w:rsidP="00B61BDA">
      <w:pPr>
        <w:pStyle w:val="Heading3"/>
        <w:keepLines/>
        <w:spacing w:before="40" w:after="0"/>
      </w:pPr>
      <w:r>
        <w:t xml:space="preserve">There should be at least one representative plaintiff for every defendant </w:t>
      </w:r>
    </w:p>
    <w:p w14:paraId="0CFE8706" w14:textId="4BE74329" w:rsidR="00B763FB" w:rsidRDefault="00BD5C95" w:rsidP="00932E49">
      <w:pPr>
        <w:pStyle w:val="BodyText"/>
      </w:pPr>
      <w:r>
        <w:rPr>
          <w:rFonts w:ascii="ZWAdobeF" w:hAnsi="ZWAdobeF" w:cs="ZWAdobeF"/>
          <w:color w:val="auto"/>
          <w:sz w:val="2"/>
          <w:szCs w:val="2"/>
        </w:rPr>
        <w:t>20B</w:t>
      </w:r>
      <w:r w:rsidR="0049638A">
        <w:rPr>
          <w:rFonts w:ascii="ZWAdobeF" w:hAnsi="ZWAdobeF" w:cs="ZWAdobeF"/>
          <w:color w:val="auto"/>
          <w:sz w:val="2"/>
          <w:szCs w:val="2"/>
        </w:rPr>
        <w:t>20B</w:t>
      </w:r>
      <w:r w:rsidR="00D629FA">
        <w:rPr>
          <w:rFonts w:ascii="ZWAdobeF" w:hAnsi="ZWAdobeF" w:cs="ZWAdobeF"/>
          <w:color w:val="auto"/>
          <w:sz w:val="2"/>
          <w:szCs w:val="2"/>
        </w:rPr>
        <w:t>20B</w:t>
      </w:r>
      <w:r w:rsidR="00B763FB">
        <w:t>In some cases, a class action will be brought against more than one defendant. This raises the issue of whether the class members and each representative plaintiff must have a claim against all defendants. This is an issue that courts have had to grapple with in other jurisdictions and we think it is desirable for a class actions regime to provide clarity on the issue.</w:t>
      </w:r>
      <w:r w:rsidR="00D629FA">
        <w:rPr>
          <w:rFonts w:ascii="ZWAdobeF" w:hAnsi="ZWAdobeF" w:cs="ZWAdobeF"/>
          <w:color w:val="auto"/>
          <w:sz w:val="2"/>
          <w:szCs w:val="2"/>
        </w:rPr>
        <w:t>90F</w:t>
      </w:r>
      <w:r w:rsidR="0049638A">
        <w:rPr>
          <w:rFonts w:ascii="ZWAdobeF" w:hAnsi="ZWAdobeF" w:cs="ZWAdobeF"/>
          <w:color w:val="auto"/>
          <w:sz w:val="2"/>
          <w:szCs w:val="2"/>
        </w:rPr>
        <w:t>90F</w:t>
      </w:r>
      <w:r w:rsidR="000D4978">
        <w:rPr>
          <w:rFonts w:ascii="ZWAdobeF" w:hAnsi="ZWAdobeF" w:cs="ZWAdobeF"/>
          <w:color w:val="auto"/>
          <w:sz w:val="2"/>
          <w:szCs w:val="2"/>
        </w:rPr>
        <w:t>90F</w:t>
      </w:r>
      <w:r w:rsidR="00B763FB">
        <w:rPr>
          <w:rStyle w:val="FootnoteReference"/>
        </w:rPr>
        <w:footnoteReference w:id="92"/>
      </w:r>
      <w:r w:rsidR="00B763FB">
        <w:t xml:space="preserve"> </w:t>
      </w:r>
    </w:p>
    <w:p w14:paraId="1B8E97D8" w14:textId="0404EC8C" w:rsidR="00B763FB" w:rsidRDefault="00BD5C95" w:rsidP="00932E49">
      <w:pPr>
        <w:pStyle w:val="BodyText"/>
      </w:pPr>
      <w:r>
        <w:rPr>
          <w:rFonts w:ascii="ZWAdobeF" w:hAnsi="ZWAdobeF" w:cs="ZWAdobeF"/>
          <w:color w:val="auto"/>
          <w:sz w:val="2"/>
          <w:szCs w:val="2"/>
        </w:rPr>
        <w:lastRenderedPageBreak/>
        <w:t>21B</w:t>
      </w:r>
      <w:r w:rsidR="0049638A">
        <w:rPr>
          <w:rFonts w:ascii="ZWAdobeF" w:hAnsi="ZWAdobeF" w:cs="ZWAdobeF"/>
          <w:color w:val="auto"/>
          <w:sz w:val="2"/>
          <w:szCs w:val="2"/>
        </w:rPr>
        <w:t>21B</w:t>
      </w:r>
      <w:r w:rsidR="00D629FA">
        <w:rPr>
          <w:rFonts w:ascii="ZWAdobeF" w:hAnsi="ZWAdobeF" w:cs="ZWAdobeF"/>
          <w:color w:val="auto"/>
          <w:sz w:val="2"/>
          <w:szCs w:val="2"/>
        </w:rPr>
        <w:t>21B</w:t>
      </w:r>
      <w:r w:rsidR="00B763FB">
        <w:t>There are several potential approaches to standing in cases where a class action is brought against multiple defendants:</w:t>
      </w:r>
    </w:p>
    <w:p w14:paraId="486408D1" w14:textId="79210D37" w:rsidR="00B763FB" w:rsidRDefault="00BD5C95" w:rsidP="003E2524">
      <w:pPr>
        <w:pStyle w:val="BodyTextnonum"/>
        <w:numPr>
          <w:ilvl w:val="3"/>
          <w:numId w:val="34"/>
        </w:numPr>
      </w:pPr>
      <w:r>
        <w:rPr>
          <w:rFonts w:ascii="ZWAdobeF" w:hAnsi="ZWAdobeF" w:cs="ZWAdobeF"/>
          <w:color w:val="auto"/>
          <w:sz w:val="2"/>
          <w:szCs w:val="2"/>
        </w:rPr>
        <w:t>593B</w:t>
      </w:r>
      <w:r w:rsidR="0049638A">
        <w:rPr>
          <w:rFonts w:ascii="ZWAdobeF" w:hAnsi="ZWAdobeF" w:cs="ZWAdobeF"/>
          <w:color w:val="auto"/>
          <w:sz w:val="2"/>
          <w:szCs w:val="2"/>
        </w:rPr>
        <w:t>593B</w:t>
      </w:r>
      <w:r w:rsidR="00D629FA">
        <w:rPr>
          <w:rFonts w:ascii="ZWAdobeF" w:hAnsi="ZWAdobeF" w:cs="ZWAdobeF"/>
          <w:color w:val="auto"/>
          <w:sz w:val="2"/>
          <w:szCs w:val="2"/>
        </w:rPr>
        <w:t>593B</w:t>
      </w:r>
      <w:r w:rsidR="00B763FB">
        <w:t xml:space="preserve">Each representative plaintiff and each class member must have a claim against each defendant. This is the strictest approach. </w:t>
      </w:r>
    </w:p>
    <w:p w14:paraId="40B3217A" w14:textId="0C88DA08" w:rsidR="00B763FB" w:rsidRDefault="00BD5C95" w:rsidP="003E2524">
      <w:pPr>
        <w:pStyle w:val="BodyTextnonum"/>
        <w:numPr>
          <w:ilvl w:val="3"/>
          <w:numId w:val="34"/>
        </w:numPr>
      </w:pPr>
      <w:r>
        <w:rPr>
          <w:rFonts w:ascii="ZWAdobeF" w:hAnsi="ZWAdobeF" w:cs="ZWAdobeF"/>
          <w:color w:val="auto"/>
          <w:sz w:val="2"/>
          <w:szCs w:val="2"/>
        </w:rPr>
        <w:t>594B</w:t>
      </w:r>
      <w:r w:rsidR="0049638A">
        <w:rPr>
          <w:rFonts w:ascii="ZWAdobeF" w:hAnsi="ZWAdobeF" w:cs="ZWAdobeF"/>
          <w:color w:val="auto"/>
          <w:sz w:val="2"/>
          <w:szCs w:val="2"/>
        </w:rPr>
        <w:t>594B</w:t>
      </w:r>
      <w:r w:rsidR="00D629FA">
        <w:rPr>
          <w:rFonts w:ascii="ZWAdobeF" w:hAnsi="ZWAdobeF" w:cs="ZWAdobeF"/>
          <w:color w:val="auto"/>
          <w:sz w:val="2"/>
          <w:szCs w:val="2"/>
        </w:rPr>
        <w:t>594B</w:t>
      </w:r>
      <w:r w:rsidR="00B763FB">
        <w:t xml:space="preserve">Each representative plaintiff must have a claim against each defendant. However, it is not necessary for each class member to have a claim against each defendant. </w:t>
      </w:r>
    </w:p>
    <w:p w14:paraId="33182036" w14:textId="6377F898" w:rsidR="00B763FB" w:rsidRDefault="00BD5C95" w:rsidP="003E2524">
      <w:pPr>
        <w:pStyle w:val="BodyTextnonum"/>
        <w:numPr>
          <w:ilvl w:val="3"/>
          <w:numId w:val="34"/>
        </w:numPr>
      </w:pPr>
      <w:r>
        <w:rPr>
          <w:rFonts w:ascii="ZWAdobeF" w:hAnsi="ZWAdobeF" w:cs="ZWAdobeF"/>
          <w:color w:val="auto"/>
          <w:sz w:val="2"/>
          <w:szCs w:val="2"/>
        </w:rPr>
        <w:t>595B</w:t>
      </w:r>
      <w:r w:rsidR="0049638A">
        <w:rPr>
          <w:rFonts w:ascii="ZWAdobeF" w:hAnsi="ZWAdobeF" w:cs="ZWAdobeF"/>
          <w:color w:val="auto"/>
          <w:sz w:val="2"/>
          <w:szCs w:val="2"/>
        </w:rPr>
        <w:t>595B</w:t>
      </w:r>
      <w:r w:rsidR="00D629FA">
        <w:rPr>
          <w:rFonts w:ascii="ZWAdobeF" w:hAnsi="ZWAdobeF" w:cs="ZWAdobeF"/>
          <w:color w:val="auto"/>
          <w:sz w:val="2"/>
          <w:szCs w:val="2"/>
        </w:rPr>
        <w:t>595B</w:t>
      </w:r>
      <w:r w:rsidR="00B763FB">
        <w:t>At least one representative plaintiff must have a claim against all defendants. It is not necessary for each class member to have a claim against each defendant.</w:t>
      </w:r>
    </w:p>
    <w:p w14:paraId="3F9877C2" w14:textId="4BA3BC34" w:rsidR="00B763FB" w:rsidRDefault="00BD5C95" w:rsidP="003E2524">
      <w:pPr>
        <w:pStyle w:val="BodyTextnonum"/>
        <w:numPr>
          <w:ilvl w:val="3"/>
          <w:numId w:val="34"/>
        </w:numPr>
      </w:pPr>
      <w:r>
        <w:rPr>
          <w:rFonts w:ascii="ZWAdobeF" w:hAnsi="ZWAdobeF" w:cs="ZWAdobeF"/>
          <w:color w:val="auto"/>
          <w:sz w:val="2"/>
          <w:szCs w:val="2"/>
        </w:rPr>
        <w:t>596B</w:t>
      </w:r>
      <w:r w:rsidR="0049638A">
        <w:rPr>
          <w:rFonts w:ascii="ZWAdobeF" w:hAnsi="ZWAdobeF" w:cs="ZWAdobeF"/>
          <w:color w:val="auto"/>
          <w:sz w:val="2"/>
          <w:szCs w:val="2"/>
        </w:rPr>
        <w:t>596B</w:t>
      </w:r>
      <w:r w:rsidR="00D629FA">
        <w:rPr>
          <w:rFonts w:ascii="ZWAdobeF" w:hAnsi="ZWAdobeF" w:cs="ZWAdobeF"/>
          <w:color w:val="auto"/>
          <w:sz w:val="2"/>
          <w:szCs w:val="2"/>
        </w:rPr>
        <w:t>596B</w:t>
      </w:r>
      <w:r w:rsidR="00B763FB">
        <w:t>For every defendant, there must be a representative plaintiff with a claim against it. However, it is not necessary to have a representative plaintiff with a claim against all defendants.</w:t>
      </w:r>
    </w:p>
    <w:p w14:paraId="57371389" w14:textId="419D53C6" w:rsidR="00B763FB" w:rsidRDefault="00BD5C95" w:rsidP="003E2524">
      <w:pPr>
        <w:pStyle w:val="BodyTextnonum"/>
        <w:numPr>
          <w:ilvl w:val="3"/>
          <w:numId w:val="34"/>
        </w:numPr>
      </w:pPr>
      <w:r>
        <w:rPr>
          <w:rFonts w:ascii="ZWAdobeF" w:hAnsi="ZWAdobeF" w:cs="ZWAdobeF"/>
          <w:color w:val="auto"/>
          <w:sz w:val="2"/>
          <w:szCs w:val="2"/>
        </w:rPr>
        <w:t>597B</w:t>
      </w:r>
      <w:r w:rsidR="0049638A">
        <w:rPr>
          <w:rFonts w:ascii="ZWAdobeF" w:hAnsi="ZWAdobeF" w:cs="ZWAdobeF"/>
          <w:color w:val="auto"/>
          <w:sz w:val="2"/>
          <w:szCs w:val="2"/>
        </w:rPr>
        <w:t>597B</w:t>
      </w:r>
      <w:r w:rsidR="00D629FA">
        <w:rPr>
          <w:rFonts w:ascii="ZWAdobeF" w:hAnsi="ZWAdobeF" w:cs="ZWAdobeF"/>
          <w:color w:val="auto"/>
          <w:sz w:val="2"/>
          <w:szCs w:val="2"/>
        </w:rPr>
        <w:t>597B</w:t>
      </w:r>
      <w:r w:rsidR="00B763FB">
        <w:t xml:space="preserve">It is not necessary for each defendant to have a representative plaintiff with a claim against it. For each defendant, there must be at least one class member with a claim against them. This is the most liberal approach. </w:t>
      </w:r>
    </w:p>
    <w:p w14:paraId="76F5423D" w14:textId="6B0889DA" w:rsidR="00B763FB" w:rsidRDefault="00BD5C95" w:rsidP="00932E49">
      <w:pPr>
        <w:pStyle w:val="BodyText"/>
      </w:pPr>
      <w:r>
        <w:rPr>
          <w:rFonts w:ascii="ZWAdobeF" w:hAnsi="ZWAdobeF" w:cs="ZWAdobeF"/>
          <w:color w:val="auto"/>
          <w:sz w:val="2"/>
          <w:szCs w:val="2"/>
        </w:rPr>
        <w:t>22B</w:t>
      </w:r>
      <w:r w:rsidR="0049638A">
        <w:rPr>
          <w:rFonts w:ascii="ZWAdobeF" w:hAnsi="ZWAdobeF" w:cs="ZWAdobeF"/>
          <w:color w:val="auto"/>
          <w:sz w:val="2"/>
          <w:szCs w:val="2"/>
        </w:rPr>
        <w:t>22B</w:t>
      </w:r>
      <w:r w:rsidR="00D629FA">
        <w:rPr>
          <w:rFonts w:ascii="ZWAdobeF" w:hAnsi="ZWAdobeF" w:cs="ZWAdobeF"/>
          <w:color w:val="auto"/>
          <w:sz w:val="2"/>
          <w:szCs w:val="2"/>
        </w:rPr>
        <w:t>22B</w:t>
      </w:r>
      <w:r w:rsidR="00B763FB">
        <w:t>We consider the approach set out in</w:t>
      </w:r>
      <w:r w:rsidR="00716371">
        <w:t xml:space="preserve"> (d)</w:t>
      </w:r>
      <w:r w:rsidR="00B763FB">
        <w:t xml:space="preserve"> is appropriate. We do not think it should be necessary for class members or representative plaintiffs to have a claim against every defendant. We think that could be too restrictive and could prevent a class action in situations where it may be an efficient way of dealing with multiple claims. There may be scenarios where it would be very unlikely for a claimant to have a claim against more than one defendant, such as a case against multiple councils or associated businesses that operate in different parts of the country.  </w:t>
      </w:r>
    </w:p>
    <w:p w14:paraId="39FB0556" w14:textId="529CF8FB" w:rsidR="00B763FB" w:rsidRDefault="00BD5C95" w:rsidP="00932E49">
      <w:pPr>
        <w:pStyle w:val="BodyText"/>
      </w:pPr>
      <w:r>
        <w:rPr>
          <w:rFonts w:ascii="ZWAdobeF" w:hAnsi="ZWAdobeF" w:cs="ZWAdobeF"/>
          <w:color w:val="auto"/>
          <w:sz w:val="2"/>
          <w:szCs w:val="2"/>
        </w:rPr>
        <w:t>23B</w:t>
      </w:r>
      <w:r w:rsidR="0049638A">
        <w:rPr>
          <w:rFonts w:ascii="ZWAdobeF" w:hAnsi="ZWAdobeF" w:cs="ZWAdobeF"/>
          <w:color w:val="auto"/>
          <w:sz w:val="2"/>
          <w:szCs w:val="2"/>
        </w:rPr>
        <w:t>23B</w:t>
      </w:r>
      <w:r w:rsidR="00D629FA">
        <w:rPr>
          <w:rFonts w:ascii="ZWAdobeF" w:hAnsi="ZWAdobeF" w:cs="ZWAdobeF"/>
          <w:color w:val="auto"/>
          <w:sz w:val="2"/>
          <w:szCs w:val="2"/>
        </w:rPr>
        <w:t>23B</w:t>
      </w:r>
      <w:r w:rsidR="00B763FB">
        <w:t xml:space="preserve">However, we think that for each defendant, there should be a representative plaintiff with a claim against them. When an opt-out class action is brought, a defendant faces significant uncertainty about the claim against them due to the unknown size of the class. We think having at least one named plaintiff will help to provide some clarity to a defendant about the </w:t>
      </w:r>
      <w:r w:rsidR="00392612">
        <w:t xml:space="preserve">claim </w:t>
      </w:r>
      <w:r w:rsidR="00B763FB">
        <w:t>brought against them</w:t>
      </w:r>
      <w:r w:rsidR="003A3124">
        <w:t xml:space="preserve"> and will also enable a defendant </w:t>
      </w:r>
      <w:r w:rsidR="00B763FB">
        <w:t xml:space="preserve">to obtain discovery from a named party. </w:t>
      </w:r>
      <w:r w:rsidR="00454DCD">
        <w:t>In addition, t</w:t>
      </w:r>
      <w:r w:rsidR="00B763FB">
        <w:t xml:space="preserve">he interests of all class members are likely to be better represented when there is at least one representative plaintiff with a claim against each defendant. </w:t>
      </w:r>
    </w:p>
    <w:p w14:paraId="6E0892B9" w14:textId="020862DA" w:rsidR="00B763FB" w:rsidRDefault="00BD5C95" w:rsidP="00932E49">
      <w:pPr>
        <w:pStyle w:val="BodyText"/>
      </w:pPr>
      <w:r>
        <w:rPr>
          <w:rFonts w:ascii="ZWAdobeF" w:hAnsi="ZWAdobeF" w:cs="ZWAdobeF"/>
          <w:color w:val="auto"/>
          <w:sz w:val="2"/>
          <w:szCs w:val="2"/>
        </w:rPr>
        <w:t>24B</w:t>
      </w:r>
      <w:r w:rsidR="0049638A">
        <w:rPr>
          <w:rFonts w:ascii="ZWAdobeF" w:hAnsi="ZWAdobeF" w:cs="ZWAdobeF"/>
          <w:color w:val="auto"/>
          <w:sz w:val="2"/>
          <w:szCs w:val="2"/>
        </w:rPr>
        <w:t>24B</w:t>
      </w:r>
      <w:r w:rsidR="00D629FA">
        <w:rPr>
          <w:rFonts w:ascii="ZWAdobeF" w:hAnsi="ZWAdobeF" w:cs="ZWAdobeF"/>
          <w:color w:val="auto"/>
          <w:sz w:val="2"/>
          <w:szCs w:val="2"/>
        </w:rPr>
        <w:t>24B</w:t>
      </w:r>
      <w:r w:rsidR="00B763FB">
        <w:t>We think there should be at least two class members with a claim against each defendant, to align with our proposed commencement requirements.</w:t>
      </w:r>
      <w:r w:rsidR="00D629FA">
        <w:rPr>
          <w:rFonts w:ascii="ZWAdobeF" w:hAnsi="ZWAdobeF" w:cs="ZWAdobeF"/>
          <w:color w:val="auto"/>
          <w:sz w:val="2"/>
          <w:szCs w:val="2"/>
        </w:rPr>
        <w:t>91F</w:t>
      </w:r>
      <w:r w:rsidR="0049638A">
        <w:rPr>
          <w:rFonts w:ascii="ZWAdobeF" w:hAnsi="ZWAdobeF" w:cs="ZWAdobeF"/>
          <w:color w:val="auto"/>
          <w:sz w:val="2"/>
          <w:szCs w:val="2"/>
        </w:rPr>
        <w:t>91F</w:t>
      </w:r>
      <w:r w:rsidR="000D4978">
        <w:rPr>
          <w:rFonts w:ascii="ZWAdobeF" w:hAnsi="ZWAdobeF" w:cs="ZWAdobeF"/>
          <w:color w:val="auto"/>
          <w:sz w:val="2"/>
          <w:szCs w:val="2"/>
        </w:rPr>
        <w:t>91F</w:t>
      </w:r>
      <w:r w:rsidR="003A3124">
        <w:rPr>
          <w:rStyle w:val="FootnoteReference"/>
        </w:rPr>
        <w:footnoteReference w:id="93"/>
      </w:r>
      <w:r w:rsidR="00B763FB">
        <w:t xml:space="preserve"> There must </w:t>
      </w:r>
      <w:r w:rsidR="00D261E6">
        <w:t xml:space="preserve">also </w:t>
      </w:r>
      <w:r w:rsidR="00B763FB">
        <w:t xml:space="preserve">be a common issue that applies to all class member claims, even if there are different defendants. </w:t>
      </w:r>
    </w:p>
    <w:p w14:paraId="491B3C65" w14:textId="77777777" w:rsidR="00763BB5" w:rsidRDefault="00763BB5">
      <w:pPr>
        <w:widowControl w:val="0"/>
        <w:spacing w:after="200" w:line="276" w:lineRule="auto"/>
        <w:rPr>
          <w:rFonts w:ascii="Metropolis" w:hAnsi="Metropolis"/>
          <w:b/>
          <w:color w:val="73AB6E"/>
          <w:sz w:val="22"/>
        </w:rPr>
      </w:pPr>
      <w:r>
        <w:br w:type="page"/>
      </w:r>
    </w:p>
    <w:p w14:paraId="59F1C548" w14:textId="41FDB363" w:rsidR="00B763FB" w:rsidRDefault="00763BB5" w:rsidP="0016640A">
      <w:pPr>
        <w:pStyle w:val="Heading3"/>
      </w:pPr>
      <w:r w:rsidRPr="00731D5E">
        <w:rPr>
          <w:noProof/>
          <w:sz w:val="16"/>
          <w:szCs w:val="20"/>
        </w:rPr>
        <w:lastRenderedPageBreak/>
        <mc:AlternateContent>
          <mc:Choice Requires="wps">
            <w:drawing>
              <wp:anchor distT="0" distB="0" distL="114300" distR="114300" simplePos="0" relativeHeight="251651105" behindDoc="1" locked="0" layoutInCell="1" allowOverlap="1" wp14:anchorId="633B9ACC" wp14:editId="7E26B05A">
                <wp:simplePos x="0" y="0"/>
                <wp:positionH relativeFrom="column">
                  <wp:posOffset>-3810</wp:posOffset>
                </wp:positionH>
                <wp:positionV relativeFrom="page">
                  <wp:posOffset>981074</wp:posOffset>
                </wp:positionV>
                <wp:extent cx="5760085" cy="9001125"/>
                <wp:effectExtent l="0" t="0" r="0" b="9525"/>
                <wp:wrapNone/>
                <wp:docPr id="2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900112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1B40BE0" id="Freeform 54" o:spid="_x0000_s1026" style="position:absolute;margin-left:-.3pt;margin-top:77.25pt;width:453.55pt;height:708.75pt;z-index:-25166537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" path="m,l9354,r,7809l,7809,,e" fillcolor="#edf2ea" stroked="f">
                <v:path arrowok="t" o:connecttype="custom" o:connectlocs="0,1152660;5760085,1152660;5760085,10153785;0,10153785;0,1152660" o:connectangles="0,0,0,0,0"/>
                <w10:wrap anchory="page"/>
              </v:shape>
            </w:pict>
          </mc:Fallback>
        </mc:AlternateContent>
      </w:r>
      <w:r w:rsidR="00B763FB">
        <w:t xml:space="preserve">Draft commencement provisions   </w:t>
      </w:r>
    </w:p>
    <w:p w14:paraId="19269543" w14:textId="77777777" w:rsidR="00763BB5" w:rsidRPr="00763BB5" w:rsidRDefault="00763BB5" w:rsidP="00763BB5">
      <w:pPr>
        <w:pStyle w:val="BodyTextIndent2"/>
        <w:rPr>
          <w:sz w:val="2"/>
          <w:szCs w:val="2"/>
          <w:lang w:val="en-US" w:bidi="en-US"/>
        </w:rPr>
      </w:pPr>
    </w:p>
    <w:p w14:paraId="41060CAA" w14:textId="6793827B" w:rsidR="00CD31F0" w:rsidRPr="0016640A" w:rsidRDefault="00BD5C95" w:rsidP="00B73434">
      <w:pPr>
        <w:pStyle w:val="BodyTextIndent2"/>
        <w:widowControl w:val="0"/>
        <w:numPr>
          <w:ilvl w:val="0"/>
          <w:numId w:val="55"/>
        </w:numPr>
        <w:tabs>
          <w:tab w:val="left" w:pos="905"/>
        </w:tabs>
        <w:autoSpaceDE w:val="0"/>
        <w:autoSpaceDN w:val="0"/>
        <w:spacing w:before="214"/>
        <w:ind w:hanging="601"/>
        <w:outlineLvl w:val="2"/>
        <w:rPr>
          <w:rFonts w:ascii="Times New Roman" w:hAnsi="Times New Roman"/>
          <w:b/>
          <w:sz w:val="23"/>
          <w:szCs w:val="23"/>
          <w:lang w:val="en-US" w:bidi="en-US"/>
        </w:rPr>
      </w:pPr>
      <w:r>
        <w:rPr>
          <w:rFonts w:ascii="ZWAdobeF" w:hAnsi="ZWAdobeF" w:cs="ZWAdobeF"/>
          <w:color w:val="auto"/>
          <w:sz w:val="2"/>
          <w:szCs w:val="2"/>
          <w:lang w:val="en-US" w:bidi="en-US"/>
        </w:rPr>
        <w:t>934B</w:t>
      </w:r>
      <w:r w:rsidR="0049638A">
        <w:rPr>
          <w:rFonts w:ascii="ZWAdobeF" w:hAnsi="ZWAdobeF" w:cs="ZWAdobeF"/>
          <w:color w:val="auto"/>
          <w:sz w:val="2"/>
          <w:szCs w:val="2"/>
          <w:lang w:val="en-US" w:bidi="en-US"/>
        </w:rPr>
        <w:t>934B</w:t>
      </w:r>
      <w:r w:rsidR="00D629FA">
        <w:rPr>
          <w:rFonts w:ascii="ZWAdobeF" w:hAnsi="ZWAdobeF" w:cs="ZWAdobeF"/>
          <w:color w:val="auto"/>
          <w:sz w:val="2"/>
          <w:szCs w:val="2"/>
          <w:lang w:val="en-US" w:bidi="en-US"/>
        </w:rPr>
        <w:t>934B</w:t>
      </w:r>
      <w:r w:rsidR="00CD31F0" w:rsidRPr="0016640A">
        <w:rPr>
          <w:rFonts w:ascii="Times New Roman" w:hAnsi="Times New Roman"/>
          <w:b/>
          <w:sz w:val="23"/>
          <w:szCs w:val="23"/>
          <w:lang w:val="en-US" w:bidi="en-US"/>
        </w:rPr>
        <w:t>Commencement of class</w:t>
      </w:r>
      <w:r w:rsidR="00CD31F0" w:rsidRPr="0016640A">
        <w:rPr>
          <w:rFonts w:ascii="Times New Roman" w:hAnsi="Times New Roman"/>
          <w:b/>
          <w:spacing w:val="-2"/>
          <w:sz w:val="23"/>
          <w:szCs w:val="23"/>
          <w:lang w:val="en-US" w:bidi="en-US"/>
        </w:rPr>
        <w:t xml:space="preserve"> </w:t>
      </w:r>
      <w:r w:rsidR="00CD31F0" w:rsidRPr="0016640A">
        <w:rPr>
          <w:rFonts w:ascii="Times New Roman" w:hAnsi="Times New Roman"/>
          <w:b/>
          <w:sz w:val="23"/>
          <w:szCs w:val="23"/>
          <w:lang w:val="en-US" w:bidi="en-US"/>
        </w:rPr>
        <w:t>action</w:t>
      </w:r>
    </w:p>
    <w:p w14:paraId="2020A6E8" w14:textId="2DCB33EB" w:rsidR="00CD31F0" w:rsidRPr="00CD31F0" w:rsidRDefault="00BD5C95" w:rsidP="00B73434">
      <w:pPr>
        <w:widowControl w:val="0"/>
        <w:numPr>
          <w:ilvl w:val="0"/>
          <w:numId w:val="54"/>
        </w:numPr>
        <w:tabs>
          <w:tab w:val="left" w:pos="905"/>
        </w:tabs>
        <w:autoSpaceDE w:val="0"/>
        <w:autoSpaceDN w:val="0"/>
        <w:spacing w:before="91"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1018B</w:t>
      </w:r>
      <w:r w:rsidR="0049638A">
        <w:rPr>
          <w:rFonts w:ascii="ZWAdobeF" w:hAnsi="ZWAdobeF" w:cs="ZWAdobeF"/>
          <w:color w:val="auto"/>
          <w:sz w:val="2"/>
          <w:szCs w:val="2"/>
          <w:lang w:val="en-US" w:bidi="en-US"/>
        </w:rPr>
        <w:t>1018B</w:t>
      </w:r>
      <w:r w:rsidR="00D629FA">
        <w:rPr>
          <w:rFonts w:ascii="ZWAdobeF" w:hAnsi="ZWAdobeF" w:cs="ZWAdobeF"/>
          <w:color w:val="auto"/>
          <w:sz w:val="2"/>
          <w:szCs w:val="2"/>
          <w:lang w:val="en-US" w:bidi="en-US"/>
        </w:rPr>
        <w:t>1018B</w:t>
      </w:r>
      <w:r w:rsidR="00CD31F0" w:rsidRPr="00CD31F0">
        <w:rPr>
          <w:rFonts w:ascii="Times New Roman" w:hAnsi="Times New Roman"/>
          <w:sz w:val="23"/>
          <w:lang w:val="en-US" w:bidi="en-US"/>
        </w:rPr>
        <w:t>A person may commence a class action proceeding against 1 or more defendants in the High Court as a representative</w:t>
      </w:r>
      <w:r w:rsidR="00CD31F0" w:rsidRPr="00CD31F0">
        <w:rPr>
          <w:rFonts w:ascii="Times New Roman" w:hAnsi="Times New Roman"/>
          <w:spacing w:val="-3"/>
          <w:sz w:val="23"/>
          <w:lang w:val="en-US" w:bidi="en-US"/>
        </w:rPr>
        <w:t xml:space="preserve"> </w:t>
      </w:r>
      <w:r w:rsidR="00CD31F0" w:rsidRPr="00CD31F0">
        <w:rPr>
          <w:rFonts w:ascii="Times New Roman" w:hAnsi="Times New Roman"/>
          <w:sz w:val="23"/>
          <w:lang w:val="en-US" w:bidi="en-US"/>
        </w:rPr>
        <w:t>plaintiff—</w:t>
      </w:r>
    </w:p>
    <w:p w14:paraId="1FAFE142" w14:textId="0EDC202E" w:rsidR="00CD31F0" w:rsidRPr="00CD31F0" w:rsidRDefault="00BD5C95" w:rsidP="00B73434">
      <w:pPr>
        <w:widowControl w:val="0"/>
        <w:numPr>
          <w:ilvl w:val="1"/>
          <w:numId w:val="54"/>
        </w:numPr>
        <w:tabs>
          <w:tab w:val="left" w:pos="1505"/>
        </w:tabs>
        <w:autoSpaceDE w:val="0"/>
        <w:autoSpaceDN w:val="0"/>
        <w:spacing w:before="82"/>
        <w:ind w:hanging="601"/>
        <w:jc w:val="both"/>
        <w:rPr>
          <w:rFonts w:ascii="Times New Roman" w:hAnsi="Times New Roman"/>
          <w:sz w:val="23"/>
          <w:lang w:val="en-US" w:bidi="en-US"/>
        </w:rPr>
      </w:pPr>
      <w:r>
        <w:rPr>
          <w:rFonts w:ascii="ZWAdobeF" w:hAnsi="ZWAdobeF" w:cs="ZWAdobeF"/>
          <w:color w:val="auto"/>
          <w:sz w:val="2"/>
          <w:szCs w:val="2"/>
          <w:lang w:val="en-US" w:bidi="en-US"/>
        </w:rPr>
        <w:t>1019B</w:t>
      </w:r>
      <w:r w:rsidR="0049638A">
        <w:rPr>
          <w:rFonts w:ascii="ZWAdobeF" w:hAnsi="ZWAdobeF" w:cs="ZWAdobeF"/>
          <w:color w:val="auto"/>
          <w:sz w:val="2"/>
          <w:szCs w:val="2"/>
          <w:lang w:val="en-US" w:bidi="en-US"/>
        </w:rPr>
        <w:t>1019B</w:t>
      </w:r>
      <w:r w:rsidR="00D629FA">
        <w:rPr>
          <w:rFonts w:ascii="ZWAdobeF" w:hAnsi="ZWAdobeF" w:cs="ZWAdobeF"/>
          <w:color w:val="auto"/>
          <w:sz w:val="2"/>
          <w:szCs w:val="2"/>
          <w:lang w:val="en-US" w:bidi="en-US"/>
        </w:rPr>
        <w:t>1019B</w:t>
      </w:r>
      <w:r w:rsidR="00CD31F0" w:rsidRPr="00CD31F0">
        <w:rPr>
          <w:rFonts w:ascii="Times New Roman" w:hAnsi="Times New Roman"/>
          <w:sz w:val="23"/>
          <w:lang w:val="en-US" w:bidi="en-US"/>
        </w:rPr>
        <w:t>on behalf of themselves and 2 or more other persons; and</w:t>
      </w:r>
    </w:p>
    <w:p w14:paraId="396165B0" w14:textId="1D317EDA" w:rsidR="00CD31F0" w:rsidRPr="00CD31F0" w:rsidRDefault="00BD5C95" w:rsidP="00B73434">
      <w:pPr>
        <w:widowControl w:val="0"/>
        <w:numPr>
          <w:ilvl w:val="1"/>
          <w:numId w:val="54"/>
        </w:numPr>
        <w:tabs>
          <w:tab w:val="left" w:pos="1505"/>
        </w:tabs>
        <w:autoSpaceDE w:val="0"/>
        <w:autoSpaceDN w:val="0"/>
        <w:spacing w:before="9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1020B</w:t>
      </w:r>
      <w:r w:rsidR="0049638A">
        <w:rPr>
          <w:rFonts w:ascii="ZWAdobeF" w:hAnsi="ZWAdobeF" w:cs="ZWAdobeF"/>
          <w:color w:val="auto"/>
          <w:sz w:val="2"/>
          <w:szCs w:val="2"/>
          <w:lang w:val="en-US" w:bidi="en-US"/>
        </w:rPr>
        <w:t>1020B</w:t>
      </w:r>
      <w:r w:rsidR="00D629FA">
        <w:rPr>
          <w:rFonts w:ascii="ZWAdobeF" w:hAnsi="ZWAdobeF" w:cs="ZWAdobeF"/>
          <w:color w:val="auto"/>
          <w:sz w:val="2"/>
          <w:szCs w:val="2"/>
          <w:lang w:val="en-US" w:bidi="en-US"/>
        </w:rPr>
        <w:t>1020B</w:t>
      </w:r>
      <w:r w:rsidR="00CD31F0" w:rsidRPr="00CD31F0">
        <w:rPr>
          <w:rFonts w:ascii="Times New Roman" w:hAnsi="Times New Roman"/>
          <w:sz w:val="23"/>
          <w:lang w:val="en-US" w:bidi="en-US"/>
        </w:rPr>
        <w:t>if their claim and the claims of the other persons all raise a common issue.</w:t>
      </w:r>
    </w:p>
    <w:p w14:paraId="6886DA11" w14:textId="174DC2A9" w:rsidR="00CD31F0" w:rsidRPr="00CD31F0" w:rsidRDefault="00BD5C95" w:rsidP="00B73434">
      <w:pPr>
        <w:widowControl w:val="0"/>
        <w:numPr>
          <w:ilvl w:val="0"/>
          <w:numId w:val="54"/>
        </w:numPr>
        <w:tabs>
          <w:tab w:val="left" w:pos="905"/>
        </w:tabs>
        <w:autoSpaceDE w:val="0"/>
        <w:autoSpaceDN w:val="0"/>
        <w:spacing w:before="82" w:line="242" w:lineRule="auto"/>
        <w:ind w:right="301" w:hanging="601"/>
        <w:jc w:val="both"/>
        <w:rPr>
          <w:rFonts w:ascii="Times New Roman" w:hAnsi="Times New Roman"/>
          <w:sz w:val="23"/>
          <w:lang w:val="en-US" w:bidi="en-US"/>
        </w:rPr>
      </w:pPr>
      <w:r>
        <w:rPr>
          <w:rFonts w:ascii="ZWAdobeF" w:hAnsi="ZWAdobeF" w:cs="ZWAdobeF"/>
          <w:color w:val="auto"/>
          <w:sz w:val="2"/>
          <w:szCs w:val="2"/>
          <w:lang w:val="en-US" w:bidi="en-US"/>
        </w:rPr>
        <w:t>1021B</w:t>
      </w:r>
      <w:r w:rsidR="0049638A">
        <w:rPr>
          <w:rFonts w:ascii="ZWAdobeF" w:hAnsi="ZWAdobeF" w:cs="ZWAdobeF"/>
          <w:color w:val="auto"/>
          <w:sz w:val="2"/>
          <w:szCs w:val="2"/>
          <w:lang w:val="en-US" w:bidi="en-US"/>
        </w:rPr>
        <w:t>1021B</w:t>
      </w:r>
      <w:r w:rsidR="00D629FA">
        <w:rPr>
          <w:rFonts w:ascii="ZWAdobeF" w:hAnsi="ZWAdobeF" w:cs="ZWAdobeF"/>
          <w:color w:val="auto"/>
          <w:sz w:val="2"/>
          <w:szCs w:val="2"/>
          <w:lang w:val="en-US" w:bidi="en-US"/>
        </w:rPr>
        <w:t>1021B</w:t>
      </w:r>
      <w:r w:rsidR="00CD31F0" w:rsidRPr="00CD31F0">
        <w:rPr>
          <w:rFonts w:ascii="Times New Roman" w:hAnsi="Times New Roman"/>
          <w:sz w:val="23"/>
          <w:lang w:val="en-US" w:bidi="en-US"/>
        </w:rPr>
        <w:t xml:space="preserve">A proceeding under </w:t>
      </w:r>
      <w:r w:rsidR="00CD31F0" w:rsidRPr="00CD31F0">
        <w:rPr>
          <w:rFonts w:ascii="Arial Black" w:hAnsi="Arial Black"/>
          <w:sz w:val="19"/>
          <w:lang w:val="en-US" w:bidi="en-US"/>
        </w:rPr>
        <w:t xml:space="preserve">subsection (1) </w:t>
      </w:r>
      <w:r w:rsidR="00CD31F0" w:rsidRPr="00CD31F0">
        <w:rPr>
          <w:rFonts w:ascii="Times New Roman" w:hAnsi="Times New Roman"/>
          <w:sz w:val="23"/>
          <w:lang w:val="en-US" w:bidi="en-US"/>
        </w:rPr>
        <w:t>may be commenced by more than 1 representative</w:t>
      </w:r>
      <w:r w:rsidR="00CD31F0" w:rsidRPr="00CD31F0">
        <w:rPr>
          <w:rFonts w:ascii="Times New Roman" w:hAnsi="Times New Roman"/>
          <w:spacing w:val="-1"/>
          <w:sz w:val="23"/>
          <w:lang w:val="en-US" w:bidi="en-US"/>
        </w:rPr>
        <w:t xml:space="preserve"> </w:t>
      </w:r>
      <w:r w:rsidR="00CD31F0" w:rsidRPr="00CD31F0">
        <w:rPr>
          <w:rFonts w:ascii="Times New Roman" w:hAnsi="Times New Roman"/>
          <w:sz w:val="23"/>
          <w:lang w:val="en-US" w:bidi="en-US"/>
        </w:rPr>
        <w:t>plaintiff.</w:t>
      </w:r>
      <w:r w:rsidR="001D5ACE" w:rsidRPr="001D5ACE">
        <w:rPr>
          <w:noProof/>
        </w:rPr>
        <w:t xml:space="preserve"> </w:t>
      </w:r>
    </w:p>
    <w:p w14:paraId="1868A2CF" w14:textId="193B6992" w:rsidR="00CD31F0" w:rsidRPr="00CD31F0" w:rsidRDefault="00BD5C95" w:rsidP="00B73434">
      <w:pPr>
        <w:widowControl w:val="0"/>
        <w:numPr>
          <w:ilvl w:val="0"/>
          <w:numId w:val="54"/>
        </w:numPr>
        <w:tabs>
          <w:tab w:val="left" w:pos="905"/>
        </w:tabs>
        <w:autoSpaceDE w:val="0"/>
        <w:autoSpaceDN w:val="0"/>
        <w:spacing w:before="88"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1022B</w:t>
      </w:r>
      <w:r w:rsidR="0049638A">
        <w:rPr>
          <w:rFonts w:ascii="ZWAdobeF" w:hAnsi="ZWAdobeF" w:cs="ZWAdobeF"/>
          <w:color w:val="auto"/>
          <w:sz w:val="2"/>
          <w:szCs w:val="2"/>
          <w:lang w:val="en-US" w:bidi="en-US"/>
        </w:rPr>
        <w:t>1022B</w:t>
      </w:r>
      <w:r w:rsidR="00D629FA">
        <w:rPr>
          <w:rFonts w:ascii="ZWAdobeF" w:hAnsi="ZWAdobeF" w:cs="ZWAdobeF"/>
          <w:color w:val="auto"/>
          <w:sz w:val="2"/>
          <w:szCs w:val="2"/>
          <w:lang w:val="en-US" w:bidi="en-US"/>
        </w:rPr>
        <w:t>1022B</w:t>
      </w:r>
      <w:r w:rsidR="00CD31F0" w:rsidRPr="00CD31F0">
        <w:rPr>
          <w:rFonts w:ascii="Times New Roman" w:hAnsi="Times New Roman"/>
          <w:sz w:val="23"/>
          <w:lang w:val="en-US" w:bidi="en-US"/>
        </w:rPr>
        <w:t xml:space="preserve">A State entity that has the power under another Act (the </w:t>
      </w:r>
      <w:r w:rsidR="00CD31F0" w:rsidRPr="00CD31F0">
        <w:rPr>
          <w:rFonts w:ascii="Times New Roman" w:hAnsi="Times New Roman"/>
          <w:b/>
          <w:sz w:val="23"/>
          <w:lang w:val="en-US" w:bidi="en-US"/>
        </w:rPr>
        <w:t>empowering Act</w:t>
      </w:r>
      <w:r w:rsidR="00CD31F0" w:rsidRPr="00CD31F0">
        <w:rPr>
          <w:rFonts w:ascii="Times New Roman" w:hAnsi="Times New Roman"/>
          <w:sz w:val="23"/>
          <w:lang w:val="en-US" w:bidi="en-US"/>
        </w:rPr>
        <w:t>) to bring proceedings on behalf of 2 or more persons may commence a class action proceeding against 1 or more defendants in the High Court as a representative plaintiff—</w:t>
      </w:r>
    </w:p>
    <w:p w14:paraId="013A9082" w14:textId="4FF586A6" w:rsidR="00CD31F0" w:rsidRPr="00CD31F0" w:rsidRDefault="00BD5C95" w:rsidP="00B73434">
      <w:pPr>
        <w:widowControl w:val="0"/>
        <w:numPr>
          <w:ilvl w:val="1"/>
          <w:numId w:val="54"/>
        </w:numPr>
        <w:tabs>
          <w:tab w:val="left" w:pos="1505"/>
        </w:tabs>
        <w:autoSpaceDE w:val="0"/>
        <w:autoSpaceDN w:val="0"/>
        <w:spacing w:before="84"/>
        <w:ind w:hanging="601"/>
        <w:jc w:val="both"/>
        <w:rPr>
          <w:rFonts w:ascii="Times New Roman" w:hAnsi="Times New Roman"/>
          <w:sz w:val="23"/>
          <w:lang w:val="en-US" w:bidi="en-US"/>
        </w:rPr>
      </w:pPr>
      <w:r>
        <w:rPr>
          <w:rFonts w:ascii="ZWAdobeF" w:hAnsi="ZWAdobeF" w:cs="ZWAdobeF"/>
          <w:color w:val="auto"/>
          <w:sz w:val="2"/>
          <w:szCs w:val="2"/>
          <w:lang w:val="en-US" w:bidi="en-US"/>
        </w:rPr>
        <w:t>1023B</w:t>
      </w:r>
      <w:r w:rsidR="0049638A">
        <w:rPr>
          <w:rFonts w:ascii="ZWAdobeF" w:hAnsi="ZWAdobeF" w:cs="ZWAdobeF"/>
          <w:color w:val="auto"/>
          <w:sz w:val="2"/>
          <w:szCs w:val="2"/>
          <w:lang w:val="en-US" w:bidi="en-US"/>
        </w:rPr>
        <w:t>1023B</w:t>
      </w:r>
      <w:r w:rsidR="00D629FA">
        <w:rPr>
          <w:rFonts w:ascii="ZWAdobeF" w:hAnsi="ZWAdobeF" w:cs="ZWAdobeF"/>
          <w:color w:val="auto"/>
          <w:sz w:val="2"/>
          <w:szCs w:val="2"/>
          <w:lang w:val="en-US" w:bidi="en-US"/>
        </w:rPr>
        <w:t>1023B</w:t>
      </w:r>
      <w:r w:rsidR="00CD31F0" w:rsidRPr="00CD31F0">
        <w:rPr>
          <w:rFonts w:ascii="Times New Roman" w:hAnsi="Times New Roman"/>
          <w:sz w:val="23"/>
          <w:lang w:val="en-US" w:bidi="en-US"/>
        </w:rPr>
        <w:t>on behalf of 2 or more persons; and</w:t>
      </w:r>
    </w:p>
    <w:p w14:paraId="3EC66C45" w14:textId="13C38C99" w:rsidR="00CD31F0" w:rsidRPr="00CD31F0" w:rsidRDefault="00BD5C95" w:rsidP="00B73434">
      <w:pPr>
        <w:widowControl w:val="0"/>
        <w:numPr>
          <w:ilvl w:val="1"/>
          <w:numId w:val="54"/>
        </w:numPr>
        <w:tabs>
          <w:tab w:val="left" w:pos="1505"/>
        </w:tabs>
        <w:autoSpaceDE w:val="0"/>
        <w:autoSpaceDN w:val="0"/>
        <w:spacing w:before="92"/>
        <w:ind w:hanging="601"/>
        <w:jc w:val="both"/>
        <w:rPr>
          <w:rFonts w:ascii="Times New Roman" w:hAnsi="Times New Roman"/>
          <w:sz w:val="23"/>
          <w:lang w:val="en-US" w:bidi="en-US"/>
        </w:rPr>
      </w:pPr>
      <w:r>
        <w:rPr>
          <w:rFonts w:ascii="ZWAdobeF" w:hAnsi="ZWAdobeF" w:cs="ZWAdobeF"/>
          <w:color w:val="auto"/>
          <w:sz w:val="2"/>
          <w:szCs w:val="2"/>
          <w:lang w:val="en-US" w:bidi="en-US"/>
        </w:rPr>
        <w:t>1024B</w:t>
      </w:r>
      <w:r w:rsidR="0049638A">
        <w:rPr>
          <w:rFonts w:ascii="ZWAdobeF" w:hAnsi="ZWAdobeF" w:cs="ZWAdobeF"/>
          <w:color w:val="auto"/>
          <w:sz w:val="2"/>
          <w:szCs w:val="2"/>
          <w:lang w:val="en-US" w:bidi="en-US"/>
        </w:rPr>
        <w:t>1024B</w:t>
      </w:r>
      <w:r w:rsidR="00D629FA">
        <w:rPr>
          <w:rFonts w:ascii="ZWAdobeF" w:hAnsi="ZWAdobeF" w:cs="ZWAdobeF"/>
          <w:color w:val="auto"/>
          <w:sz w:val="2"/>
          <w:szCs w:val="2"/>
          <w:lang w:val="en-US" w:bidi="en-US"/>
        </w:rPr>
        <w:t>1024B</w:t>
      </w:r>
      <w:r w:rsidR="00CD31F0" w:rsidRPr="00CD31F0">
        <w:rPr>
          <w:rFonts w:ascii="Times New Roman" w:hAnsi="Times New Roman"/>
          <w:sz w:val="23"/>
          <w:lang w:val="en-US" w:bidi="en-US"/>
        </w:rPr>
        <w:t>if the claims of those persons all raise a common issue.</w:t>
      </w:r>
    </w:p>
    <w:p w14:paraId="5D3470E0" w14:textId="7B9EBCF2" w:rsidR="00CD31F0" w:rsidRPr="00CD31F0" w:rsidRDefault="00BD5C95" w:rsidP="00B73434">
      <w:pPr>
        <w:widowControl w:val="0"/>
        <w:numPr>
          <w:ilvl w:val="0"/>
          <w:numId w:val="54"/>
        </w:numPr>
        <w:tabs>
          <w:tab w:val="left" w:pos="905"/>
        </w:tabs>
        <w:autoSpaceDE w:val="0"/>
        <w:autoSpaceDN w:val="0"/>
        <w:spacing w:before="91" w:line="242" w:lineRule="auto"/>
        <w:ind w:right="302" w:hanging="601"/>
        <w:jc w:val="both"/>
        <w:rPr>
          <w:rFonts w:ascii="Times New Roman" w:hAnsi="Times New Roman"/>
          <w:sz w:val="23"/>
          <w:lang w:val="en-US" w:bidi="en-US"/>
        </w:rPr>
      </w:pPr>
      <w:r>
        <w:rPr>
          <w:rFonts w:ascii="ZWAdobeF" w:hAnsi="ZWAdobeF" w:cs="ZWAdobeF"/>
          <w:color w:val="auto"/>
          <w:sz w:val="2"/>
          <w:szCs w:val="2"/>
          <w:lang w:val="en-US" w:bidi="en-US"/>
        </w:rPr>
        <w:t>1025B</w:t>
      </w:r>
      <w:r w:rsidR="0049638A">
        <w:rPr>
          <w:rFonts w:ascii="ZWAdobeF" w:hAnsi="ZWAdobeF" w:cs="ZWAdobeF"/>
          <w:color w:val="auto"/>
          <w:sz w:val="2"/>
          <w:szCs w:val="2"/>
          <w:lang w:val="en-US" w:bidi="en-US"/>
        </w:rPr>
        <w:t>1025B</w:t>
      </w:r>
      <w:r w:rsidR="00D629FA">
        <w:rPr>
          <w:rFonts w:ascii="ZWAdobeF" w:hAnsi="ZWAdobeF" w:cs="ZWAdobeF"/>
          <w:color w:val="auto"/>
          <w:sz w:val="2"/>
          <w:szCs w:val="2"/>
          <w:lang w:val="en-US" w:bidi="en-US"/>
        </w:rPr>
        <w:t>1025B</w:t>
      </w:r>
      <w:r w:rsidR="00CD31F0" w:rsidRPr="00CD31F0">
        <w:rPr>
          <w:rFonts w:ascii="Times New Roman" w:hAnsi="Times New Roman"/>
          <w:sz w:val="23"/>
          <w:lang w:val="en-US" w:bidi="en-US"/>
        </w:rPr>
        <w:t xml:space="preserve">The commencement of a proceeding under </w:t>
      </w:r>
      <w:r w:rsidR="00CD31F0" w:rsidRPr="00CD31F0">
        <w:rPr>
          <w:rFonts w:ascii="Arial Black" w:hAnsi="Times New Roman"/>
          <w:sz w:val="19"/>
          <w:lang w:val="en-US" w:bidi="en-US"/>
        </w:rPr>
        <w:t xml:space="preserve">subsection (3) </w:t>
      </w:r>
      <w:r w:rsidR="00CD31F0" w:rsidRPr="00CD31F0">
        <w:rPr>
          <w:rFonts w:ascii="Times New Roman" w:hAnsi="Times New Roman"/>
          <w:sz w:val="23"/>
          <w:lang w:val="en-US" w:bidi="en-US"/>
        </w:rPr>
        <w:t>is subject to any limits or requirements in the empowering</w:t>
      </w:r>
      <w:r w:rsidR="00CD31F0" w:rsidRPr="00CD31F0">
        <w:rPr>
          <w:rFonts w:ascii="Times New Roman" w:hAnsi="Times New Roman"/>
          <w:spacing w:val="-1"/>
          <w:sz w:val="23"/>
          <w:lang w:val="en-US" w:bidi="en-US"/>
        </w:rPr>
        <w:t xml:space="preserve"> </w:t>
      </w:r>
      <w:r w:rsidR="00CD31F0" w:rsidRPr="00CD31F0">
        <w:rPr>
          <w:rFonts w:ascii="Times New Roman" w:hAnsi="Times New Roman"/>
          <w:sz w:val="23"/>
          <w:lang w:val="en-US" w:bidi="en-US"/>
        </w:rPr>
        <w:t>Act.</w:t>
      </w:r>
    </w:p>
    <w:p w14:paraId="24E1EE81" w14:textId="1071DFAD" w:rsidR="00F002F4" w:rsidRPr="00000060" w:rsidRDefault="00BD5C95" w:rsidP="00B73434">
      <w:pPr>
        <w:widowControl w:val="0"/>
        <w:numPr>
          <w:ilvl w:val="0"/>
          <w:numId w:val="54"/>
        </w:numPr>
        <w:tabs>
          <w:tab w:val="left" w:pos="905"/>
          <w:tab w:val="left" w:pos="905"/>
        </w:tabs>
        <w:autoSpaceDE w:val="0"/>
        <w:autoSpaceDN w:val="0"/>
        <w:spacing w:before="89"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1026B</w:t>
      </w:r>
      <w:r w:rsidR="0049638A">
        <w:rPr>
          <w:rFonts w:ascii="ZWAdobeF" w:hAnsi="ZWAdobeF" w:cs="ZWAdobeF"/>
          <w:color w:val="auto"/>
          <w:sz w:val="2"/>
          <w:szCs w:val="2"/>
          <w:lang w:val="en-US" w:bidi="en-US"/>
        </w:rPr>
        <w:t>1026B</w:t>
      </w:r>
      <w:r w:rsidR="00D629FA">
        <w:rPr>
          <w:rFonts w:ascii="ZWAdobeF" w:hAnsi="ZWAdobeF" w:cs="ZWAdobeF"/>
          <w:color w:val="auto"/>
          <w:sz w:val="2"/>
          <w:szCs w:val="2"/>
          <w:lang w:val="en-US" w:bidi="en-US"/>
        </w:rPr>
        <w:t>1026B</w:t>
      </w:r>
      <w:r w:rsidR="00CD31F0" w:rsidRPr="00CD31F0">
        <w:rPr>
          <w:rFonts w:ascii="Times New Roman" w:hAnsi="Times New Roman"/>
          <w:sz w:val="23"/>
          <w:lang w:val="en-US" w:bidi="en-US"/>
        </w:rPr>
        <w:t xml:space="preserve">In this section, </w:t>
      </w:r>
      <w:r w:rsidR="00CD31F0" w:rsidRPr="00CD31F0">
        <w:rPr>
          <w:rFonts w:ascii="Times New Roman" w:hAnsi="Times New Roman"/>
          <w:b/>
          <w:sz w:val="23"/>
          <w:lang w:val="en-US" w:bidi="en-US"/>
        </w:rPr>
        <w:t xml:space="preserve">common issue </w:t>
      </w:r>
      <w:r w:rsidR="00CD31F0" w:rsidRPr="00CD31F0">
        <w:rPr>
          <w:rFonts w:ascii="Times New Roman" w:hAnsi="Times New Roman"/>
          <w:sz w:val="23"/>
          <w:lang w:val="en-US" w:bidi="en-US"/>
        </w:rPr>
        <w:t>means a common issue of fact or law of significance to the resolution of each person’s</w:t>
      </w:r>
      <w:r w:rsidR="00CD31F0" w:rsidRPr="00CD31F0">
        <w:rPr>
          <w:rFonts w:ascii="Times New Roman" w:hAnsi="Times New Roman"/>
          <w:spacing w:val="-3"/>
          <w:sz w:val="23"/>
          <w:lang w:val="en-US" w:bidi="en-US"/>
        </w:rPr>
        <w:t xml:space="preserve"> </w:t>
      </w:r>
      <w:r w:rsidR="00CD31F0" w:rsidRPr="00CD31F0">
        <w:rPr>
          <w:rFonts w:ascii="Times New Roman" w:hAnsi="Times New Roman"/>
          <w:sz w:val="23"/>
          <w:lang w:val="en-US" w:bidi="en-US"/>
        </w:rPr>
        <w:t>claim.</w:t>
      </w:r>
      <w:bookmarkStart w:id="45" w:name="_bookmark2"/>
      <w:bookmarkEnd w:id="45"/>
    </w:p>
    <w:p w14:paraId="57C90F72" w14:textId="31CFEADD" w:rsidR="00CD31F0" w:rsidRPr="00CD31F0" w:rsidRDefault="00BD5C95" w:rsidP="00B73434">
      <w:pPr>
        <w:widowControl w:val="0"/>
        <w:numPr>
          <w:ilvl w:val="0"/>
          <w:numId w:val="55"/>
        </w:numPr>
        <w:tabs>
          <w:tab w:val="left" w:pos="904"/>
          <w:tab w:val="left" w:pos="905"/>
        </w:tabs>
        <w:autoSpaceDE w:val="0"/>
        <w:autoSpaceDN w:val="0"/>
        <w:spacing w:before="202"/>
        <w:ind w:hanging="601"/>
        <w:outlineLvl w:val="2"/>
        <w:rPr>
          <w:rFonts w:ascii="Times New Roman" w:hAnsi="Times New Roman"/>
          <w:b/>
          <w:sz w:val="23"/>
          <w:szCs w:val="23"/>
          <w:lang w:val="en-US" w:bidi="en-US"/>
        </w:rPr>
      </w:pPr>
      <w:r>
        <w:rPr>
          <w:rFonts w:ascii="ZWAdobeF" w:hAnsi="ZWAdobeF" w:cs="ZWAdobeF"/>
          <w:color w:val="auto"/>
          <w:sz w:val="2"/>
          <w:szCs w:val="2"/>
          <w:lang w:val="en-US" w:bidi="en-US"/>
        </w:rPr>
        <w:t>1027B</w:t>
      </w:r>
      <w:r w:rsidR="0049638A">
        <w:rPr>
          <w:rFonts w:ascii="ZWAdobeF" w:hAnsi="ZWAdobeF" w:cs="ZWAdobeF"/>
          <w:color w:val="auto"/>
          <w:sz w:val="2"/>
          <w:szCs w:val="2"/>
          <w:lang w:val="en-US" w:bidi="en-US"/>
        </w:rPr>
        <w:t>1027B</w:t>
      </w:r>
      <w:r w:rsidR="00D629FA">
        <w:rPr>
          <w:rFonts w:ascii="ZWAdobeF" w:hAnsi="ZWAdobeF" w:cs="ZWAdobeF"/>
          <w:color w:val="auto"/>
          <w:sz w:val="2"/>
          <w:szCs w:val="2"/>
          <w:lang w:val="en-US" w:bidi="en-US"/>
        </w:rPr>
        <w:t>1027B</w:t>
      </w:r>
      <w:r w:rsidR="00CD31F0" w:rsidRPr="00CD31F0">
        <w:rPr>
          <w:rFonts w:ascii="Times New Roman" w:hAnsi="Times New Roman"/>
          <w:b/>
          <w:sz w:val="23"/>
          <w:szCs w:val="23"/>
          <w:lang w:val="en-US" w:bidi="en-US"/>
        </w:rPr>
        <w:t>Multiple</w:t>
      </w:r>
      <w:r w:rsidR="00CD31F0" w:rsidRPr="00CD31F0">
        <w:rPr>
          <w:rFonts w:ascii="Times New Roman" w:hAnsi="Times New Roman"/>
          <w:b/>
          <w:spacing w:val="-1"/>
          <w:sz w:val="23"/>
          <w:szCs w:val="23"/>
          <w:lang w:val="en-US" w:bidi="en-US"/>
        </w:rPr>
        <w:t xml:space="preserve"> </w:t>
      </w:r>
      <w:r w:rsidR="00CD31F0" w:rsidRPr="00CD31F0">
        <w:rPr>
          <w:rFonts w:ascii="Times New Roman" w:hAnsi="Times New Roman"/>
          <w:b/>
          <w:sz w:val="23"/>
          <w:szCs w:val="23"/>
          <w:lang w:val="en-US" w:bidi="en-US"/>
        </w:rPr>
        <w:t>defendants</w:t>
      </w:r>
    </w:p>
    <w:p w14:paraId="57628026" w14:textId="12ADD4F8" w:rsidR="00CD31F0" w:rsidRPr="00CD31F0" w:rsidRDefault="00BD5C95" w:rsidP="00B73434">
      <w:pPr>
        <w:widowControl w:val="0"/>
        <w:numPr>
          <w:ilvl w:val="0"/>
          <w:numId w:val="53"/>
        </w:numPr>
        <w:tabs>
          <w:tab w:val="left" w:pos="904"/>
          <w:tab w:val="left" w:pos="905"/>
        </w:tabs>
        <w:autoSpaceDE w:val="0"/>
        <w:autoSpaceDN w:val="0"/>
        <w:spacing w:before="91" w:line="242" w:lineRule="auto"/>
        <w:ind w:right="301" w:hanging="601"/>
        <w:rPr>
          <w:rFonts w:ascii="Times New Roman" w:hAnsi="Times New Roman"/>
          <w:sz w:val="23"/>
          <w:lang w:val="en-US" w:bidi="en-US"/>
        </w:rPr>
      </w:pPr>
      <w:r>
        <w:rPr>
          <w:rFonts w:ascii="ZWAdobeF" w:hAnsi="ZWAdobeF" w:cs="ZWAdobeF"/>
          <w:color w:val="auto"/>
          <w:sz w:val="2"/>
          <w:szCs w:val="2"/>
          <w:lang w:val="en-US" w:bidi="en-US"/>
        </w:rPr>
        <w:t>1028B</w:t>
      </w:r>
      <w:r w:rsidR="0049638A">
        <w:rPr>
          <w:rFonts w:ascii="ZWAdobeF" w:hAnsi="ZWAdobeF" w:cs="ZWAdobeF"/>
          <w:color w:val="auto"/>
          <w:sz w:val="2"/>
          <w:szCs w:val="2"/>
          <w:lang w:val="en-US" w:bidi="en-US"/>
        </w:rPr>
        <w:t>1028B</w:t>
      </w:r>
      <w:r w:rsidR="00D629FA">
        <w:rPr>
          <w:rFonts w:ascii="ZWAdobeF" w:hAnsi="ZWAdobeF" w:cs="ZWAdobeF"/>
          <w:color w:val="auto"/>
          <w:sz w:val="2"/>
          <w:szCs w:val="2"/>
          <w:lang w:val="en-US" w:bidi="en-US"/>
        </w:rPr>
        <w:t>1028B</w:t>
      </w:r>
      <w:r w:rsidR="00CD31F0" w:rsidRPr="00CD31F0">
        <w:rPr>
          <w:rFonts w:ascii="Times New Roman" w:hAnsi="Times New Roman"/>
          <w:sz w:val="23"/>
          <w:lang w:val="en-US" w:bidi="en-US"/>
        </w:rPr>
        <w:t xml:space="preserve">If a class action proceeding is commenced under </w:t>
      </w:r>
      <w:r w:rsidR="00CD31F0" w:rsidRPr="00CD31F0">
        <w:rPr>
          <w:rFonts w:ascii="Arial Black" w:hAnsi="Arial Black"/>
          <w:sz w:val="19"/>
          <w:lang w:val="en-US" w:bidi="en-US"/>
        </w:rPr>
        <w:t xml:space="preserve">section 1(1) </w:t>
      </w:r>
      <w:r w:rsidR="00CD31F0" w:rsidRPr="00CD31F0">
        <w:rPr>
          <w:rFonts w:ascii="Times New Roman" w:hAnsi="Times New Roman"/>
          <w:sz w:val="23"/>
          <w:lang w:val="en-US" w:bidi="en-US"/>
        </w:rPr>
        <w:t>against more than 1</w:t>
      </w:r>
      <w:r w:rsidR="00CD31F0" w:rsidRPr="00CD31F0">
        <w:rPr>
          <w:rFonts w:ascii="Times New Roman" w:hAnsi="Times New Roman"/>
          <w:spacing w:val="-1"/>
          <w:sz w:val="23"/>
          <w:lang w:val="en-US" w:bidi="en-US"/>
        </w:rPr>
        <w:t xml:space="preserve"> </w:t>
      </w:r>
      <w:r w:rsidR="00CD31F0" w:rsidRPr="00CD31F0">
        <w:rPr>
          <w:rFonts w:ascii="Times New Roman" w:hAnsi="Times New Roman"/>
          <w:sz w:val="23"/>
          <w:lang w:val="en-US" w:bidi="en-US"/>
        </w:rPr>
        <w:t>defendant,—</w:t>
      </w:r>
    </w:p>
    <w:p w14:paraId="78DB15AE" w14:textId="6AFD4E32" w:rsidR="00CD31F0" w:rsidRPr="00CD31F0" w:rsidRDefault="00BD5C95" w:rsidP="00B73434">
      <w:pPr>
        <w:widowControl w:val="0"/>
        <w:numPr>
          <w:ilvl w:val="1"/>
          <w:numId w:val="53"/>
        </w:numPr>
        <w:tabs>
          <w:tab w:val="left" w:pos="1504"/>
          <w:tab w:val="left" w:pos="1505"/>
        </w:tabs>
        <w:autoSpaceDE w:val="0"/>
        <w:autoSpaceDN w:val="0"/>
        <w:spacing w:before="89" w:line="249" w:lineRule="auto"/>
        <w:ind w:right="301"/>
        <w:rPr>
          <w:rFonts w:ascii="Times New Roman" w:hAnsi="Times New Roman"/>
          <w:sz w:val="23"/>
          <w:lang w:val="en-US" w:bidi="en-US"/>
        </w:rPr>
      </w:pPr>
      <w:r>
        <w:rPr>
          <w:rFonts w:ascii="ZWAdobeF" w:hAnsi="ZWAdobeF" w:cs="ZWAdobeF"/>
          <w:color w:val="auto"/>
          <w:sz w:val="2"/>
          <w:szCs w:val="2"/>
          <w:lang w:val="en-US" w:bidi="en-US"/>
        </w:rPr>
        <w:t>1029B</w:t>
      </w:r>
      <w:r w:rsidR="0049638A">
        <w:rPr>
          <w:rFonts w:ascii="ZWAdobeF" w:hAnsi="ZWAdobeF" w:cs="ZWAdobeF"/>
          <w:color w:val="auto"/>
          <w:sz w:val="2"/>
          <w:szCs w:val="2"/>
          <w:lang w:val="en-US" w:bidi="en-US"/>
        </w:rPr>
        <w:t>1029B</w:t>
      </w:r>
      <w:r w:rsidR="00D629FA">
        <w:rPr>
          <w:rFonts w:ascii="ZWAdobeF" w:hAnsi="ZWAdobeF" w:cs="ZWAdobeF"/>
          <w:color w:val="auto"/>
          <w:sz w:val="2"/>
          <w:szCs w:val="2"/>
          <w:lang w:val="en-US" w:bidi="en-US"/>
        </w:rPr>
        <w:t>1029B</w:t>
      </w:r>
      <w:r w:rsidR="00CD31F0" w:rsidRPr="00CD31F0">
        <w:rPr>
          <w:rFonts w:ascii="Times New Roman" w:hAnsi="Times New Roman"/>
          <w:sz w:val="23"/>
          <w:lang w:val="en-US" w:bidi="en-US"/>
        </w:rPr>
        <w:t>for each defendant there must be a representative plaintiff and at least 2 other persons with a claim against that</w:t>
      </w:r>
      <w:r w:rsidR="00CD31F0" w:rsidRPr="00CD31F0">
        <w:rPr>
          <w:rFonts w:ascii="Times New Roman" w:hAnsi="Times New Roman"/>
          <w:spacing w:val="-2"/>
          <w:sz w:val="23"/>
          <w:lang w:val="en-US" w:bidi="en-US"/>
        </w:rPr>
        <w:t xml:space="preserve"> </w:t>
      </w:r>
      <w:r w:rsidR="00CD31F0" w:rsidRPr="00CD31F0">
        <w:rPr>
          <w:rFonts w:ascii="Times New Roman" w:hAnsi="Times New Roman"/>
          <w:sz w:val="23"/>
          <w:lang w:val="en-US" w:bidi="en-US"/>
        </w:rPr>
        <w:t>defendant:</w:t>
      </w:r>
    </w:p>
    <w:p w14:paraId="07DBB94A" w14:textId="7A460366" w:rsidR="00CD31F0" w:rsidRPr="00CD31F0" w:rsidRDefault="00BD5C95" w:rsidP="00B73434">
      <w:pPr>
        <w:widowControl w:val="0"/>
        <w:numPr>
          <w:ilvl w:val="1"/>
          <w:numId w:val="53"/>
        </w:numPr>
        <w:tabs>
          <w:tab w:val="left" w:pos="1504"/>
          <w:tab w:val="left" w:pos="1505"/>
        </w:tabs>
        <w:autoSpaceDE w:val="0"/>
        <w:autoSpaceDN w:val="0"/>
        <w:spacing w:before="82" w:line="249" w:lineRule="auto"/>
        <w:ind w:right="299" w:hanging="601"/>
        <w:rPr>
          <w:rFonts w:ascii="Times New Roman" w:hAnsi="Times New Roman"/>
          <w:sz w:val="23"/>
          <w:lang w:val="en-US" w:bidi="en-US"/>
        </w:rPr>
      </w:pPr>
      <w:r>
        <w:rPr>
          <w:rFonts w:ascii="ZWAdobeF" w:hAnsi="ZWAdobeF" w:cs="ZWAdobeF"/>
          <w:color w:val="auto"/>
          <w:sz w:val="2"/>
          <w:szCs w:val="2"/>
          <w:lang w:val="en-US" w:bidi="en-US"/>
        </w:rPr>
        <w:t>1030B</w:t>
      </w:r>
      <w:r w:rsidR="0049638A">
        <w:rPr>
          <w:rFonts w:ascii="ZWAdobeF" w:hAnsi="ZWAdobeF" w:cs="ZWAdobeF"/>
          <w:color w:val="auto"/>
          <w:sz w:val="2"/>
          <w:szCs w:val="2"/>
          <w:lang w:val="en-US" w:bidi="en-US"/>
        </w:rPr>
        <w:t>1030B</w:t>
      </w:r>
      <w:r w:rsidR="00D629FA">
        <w:rPr>
          <w:rFonts w:ascii="ZWAdobeF" w:hAnsi="ZWAdobeF" w:cs="ZWAdobeF"/>
          <w:color w:val="auto"/>
          <w:sz w:val="2"/>
          <w:szCs w:val="2"/>
          <w:lang w:val="en-US" w:bidi="en-US"/>
        </w:rPr>
        <w:t>1030B</w:t>
      </w:r>
      <w:r w:rsidR="00CD31F0" w:rsidRPr="00CD31F0">
        <w:rPr>
          <w:rFonts w:ascii="Times New Roman" w:hAnsi="Times New Roman"/>
          <w:sz w:val="23"/>
          <w:lang w:val="en-US" w:bidi="en-US"/>
        </w:rPr>
        <w:t xml:space="preserve">if there are 2 or more representative plaintiffs, it is not necessary </w:t>
      </w:r>
      <w:r w:rsidR="00CD31F0" w:rsidRPr="00CD31F0">
        <w:rPr>
          <w:rFonts w:ascii="Times New Roman" w:hAnsi="Times New Roman"/>
          <w:spacing w:val="-4"/>
          <w:sz w:val="23"/>
          <w:lang w:val="en-US" w:bidi="en-US"/>
        </w:rPr>
        <w:t>for</w:t>
      </w:r>
      <w:r w:rsidR="00CD31F0" w:rsidRPr="00CD31F0">
        <w:rPr>
          <w:rFonts w:ascii="Times New Roman" w:hAnsi="Times New Roman"/>
          <w:spacing w:val="49"/>
          <w:sz w:val="23"/>
          <w:lang w:val="en-US" w:bidi="en-US"/>
        </w:rPr>
        <w:t xml:space="preserve"> </w:t>
      </w:r>
      <w:r w:rsidR="00CD31F0" w:rsidRPr="00CD31F0">
        <w:rPr>
          <w:rFonts w:ascii="Times New Roman" w:hAnsi="Times New Roman"/>
          <w:sz w:val="23"/>
          <w:lang w:val="en-US" w:bidi="en-US"/>
        </w:rPr>
        <w:t>each representative plaintiff to have a claim against all of the</w:t>
      </w:r>
      <w:r w:rsidR="00CD31F0" w:rsidRPr="00CD31F0">
        <w:rPr>
          <w:rFonts w:ascii="Times New Roman" w:hAnsi="Times New Roman"/>
          <w:spacing w:val="-5"/>
          <w:sz w:val="23"/>
          <w:lang w:val="en-US" w:bidi="en-US"/>
        </w:rPr>
        <w:t xml:space="preserve"> </w:t>
      </w:r>
      <w:r w:rsidR="00CD31F0" w:rsidRPr="00CD31F0">
        <w:rPr>
          <w:rFonts w:ascii="Times New Roman" w:hAnsi="Times New Roman"/>
          <w:sz w:val="23"/>
          <w:lang w:val="en-US" w:bidi="en-US"/>
        </w:rPr>
        <w:t>defendants:</w:t>
      </w:r>
    </w:p>
    <w:p w14:paraId="135FEFC7" w14:textId="1085DB98" w:rsidR="00CD31F0" w:rsidRPr="00CD31F0" w:rsidRDefault="00BD5C95" w:rsidP="00B73434">
      <w:pPr>
        <w:widowControl w:val="0"/>
        <w:numPr>
          <w:ilvl w:val="1"/>
          <w:numId w:val="53"/>
        </w:numPr>
        <w:tabs>
          <w:tab w:val="left" w:pos="1504"/>
          <w:tab w:val="left" w:pos="1505"/>
        </w:tabs>
        <w:autoSpaceDE w:val="0"/>
        <w:autoSpaceDN w:val="0"/>
        <w:spacing w:before="82" w:line="249" w:lineRule="auto"/>
        <w:ind w:right="300" w:hanging="601"/>
        <w:rPr>
          <w:rFonts w:ascii="Times New Roman" w:hAnsi="Times New Roman"/>
          <w:sz w:val="23"/>
          <w:lang w:val="en-US" w:bidi="en-US"/>
        </w:rPr>
      </w:pPr>
      <w:r>
        <w:rPr>
          <w:rFonts w:ascii="ZWAdobeF" w:hAnsi="ZWAdobeF" w:cs="ZWAdobeF"/>
          <w:color w:val="auto"/>
          <w:sz w:val="2"/>
          <w:szCs w:val="2"/>
          <w:lang w:val="en-US" w:bidi="en-US"/>
        </w:rPr>
        <w:t>1031B</w:t>
      </w:r>
      <w:r w:rsidR="0049638A">
        <w:rPr>
          <w:rFonts w:ascii="ZWAdobeF" w:hAnsi="ZWAdobeF" w:cs="ZWAdobeF"/>
          <w:color w:val="auto"/>
          <w:sz w:val="2"/>
          <w:szCs w:val="2"/>
          <w:lang w:val="en-US" w:bidi="en-US"/>
        </w:rPr>
        <w:t>1031B</w:t>
      </w:r>
      <w:r w:rsidR="00D629FA">
        <w:rPr>
          <w:rFonts w:ascii="ZWAdobeF" w:hAnsi="ZWAdobeF" w:cs="ZWAdobeF"/>
          <w:color w:val="auto"/>
          <w:sz w:val="2"/>
          <w:szCs w:val="2"/>
          <w:lang w:val="en-US" w:bidi="en-US"/>
        </w:rPr>
        <w:t>1031B</w:t>
      </w:r>
      <w:r w:rsidR="00CD31F0" w:rsidRPr="00CD31F0">
        <w:rPr>
          <w:rFonts w:ascii="Times New Roman" w:hAnsi="Times New Roman"/>
          <w:sz w:val="23"/>
          <w:lang w:val="en-US" w:bidi="en-US"/>
        </w:rPr>
        <w:t xml:space="preserve">it is not necessary for each person on whose behalf the proceeding </w:t>
      </w:r>
      <w:r w:rsidR="00CD31F0" w:rsidRPr="00CD31F0">
        <w:rPr>
          <w:rFonts w:ascii="Times New Roman" w:hAnsi="Times New Roman"/>
          <w:spacing w:val="-6"/>
          <w:sz w:val="23"/>
          <w:lang w:val="en-US" w:bidi="en-US"/>
        </w:rPr>
        <w:t xml:space="preserve">is </w:t>
      </w:r>
      <w:r w:rsidR="00CD31F0" w:rsidRPr="00CD31F0">
        <w:rPr>
          <w:rFonts w:ascii="Times New Roman" w:hAnsi="Times New Roman"/>
          <w:sz w:val="23"/>
          <w:lang w:val="en-US" w:bidi="en-US"/>
        </w:rPr>
        <w:t>commenced to have a claim against all of the defendants.</w:t>
      </w:r>
    </w:p>
    <w:p w14:paraId="627E58FE" w14:textId="79000327" w:rsidR="00CD31F0" w:rsidRPr="00CD31F0" w:rsidRDefault="00BD5C95" w:rsidP="00B73434">
      <w:pPr>
        <w:widowControl w:val="0"/>
        <w:numPr>
          <w:ilvl w:val="0"/>
          <w:numId w:val="53"/>
        </w:numPr>
        <w:tabs>
          <w:tab w:val="left" w:pos="904"/>
          <w:tab w:val="left" w:pos="905"/>
        </w:tabs>
        <w:autoSpaceDE w:val="0"/>
        <w:autoSpaceDN w:val="0"/>
        <w:spacing w:before="81" w:line="242" w:lineRule="auto"/>
        <w:ind w:right="301"/>
        <w:rPr>
          <w:rFonts w:ascii="Times New Roman" w:hAnsi="Times New Roman"/>
          <w:sz w:val="23"/>
          <w:lang w:val="en-US" w:bidi="en-US"/>
        </w:rPr>
      </w:pPr>
      <w:r>
        <w:rPr>
          <w:rFonts w:ascii="ZWAdobeF" w:hAnsi="ZWAdobeF" w:cs="ZWAdobeF"/>
          <w:color w:val="auto"/>
          <w:sz w:val="2"/>
          <w:szCs w:val="2"/>
          <w:lang w:val="en-US" w:bidi="en-US"/>
        </w:rPr>
        <w:t>1032B</w:t>
      </w:r>
      <w:r w:rsidR="0049638A">
        <w:rPr>
          <w:rFonts w:ascii="ZWAdobeF" w:hAnsi="ZWAdobeF" w:cs="ZWAdobeF"/>
          <w:color w:val="auto"/>
          <w:sz w:val="2"/>
          <w:szCs w:val="2"/>
          <w:lang w:val="en-US" w:bidi="en-US"/>
        </w:rPr>
        <w:t>1032B</w:t>
      </w:r>
      <w:r w:rsidR="00D629FA">
        <w:rPr>
          <w:rFonts w:ascii="ZWAdobeF" w:hAnsi="ZWAdobeF" w:cs="ZWAdobeF"/>
          <w:color w:val="auto"/>
          <w:sz w:val="2"/>
          <w:szCs w:val="2"/>
          <w:lang w:val="en-US" w:bidi="en-US"/>
        </w:rPr>
        <w:t>1032B</w:t>
      </w:r>
      <w:r w:rsidR="00CD31F0" w:rsidRPr="00CD31F0">
        <w:rPr>
          <w:rFonts w:ascii="Times New Roman" w:hAnsi="Times New Roman"/>
          <w:sz w:val="23"/>
          <w:lang w:val="en-US" w:bidi="en-US"/>
        </w:rPr>
        <w:t xml:space="preserve">If a class action proceeding is commenced under </w:t>
      </w:r>
      <w:r w:rsidR="00CD31F0" w:rsidRPr="00CD31F0">
        <w:rPr>
          <w:rFonts w:ascii="Arial Black" w:hAnsi="Arial Black"/>
          <w:sz w:val="19"/>
          <w:lang w:val="en-US" w:bidi="en-US"/>
        </w:rPr>
        <w:t xml:space="preserve">section 1(3) </w:t>
      </w:r>
      <w:r w:rsidR="00CD31F0" w:rsidRPr="00CD31F0">
        <w:rPr>
          <w:rFonts w:ascii="Times New Roman" w:hAnsi="Times New Roman"/>
          <w:sz w:val="23"/>
          <w:lang w:val="en-US" w:bidi="en-US"/>
        </w:rPr>
        <w:t>against more than 1</w:t>
      </w:r>
      <w:r w:rsidR="00CD31F0" w:rsidRPr="00CD31F0">
        <w:rPr>
          <w:rFonts w:ascii="Times New Roman" w:hAnsi="Times New Roman"/>
          <w:spacing w:val="-1"/>
          <w:sz w:val="23"/>
          <w:lang w:val="en-US" w:bidi="en-US"/>
        </w:rPr>
        <w:t xml:space="preserve"> </w:t>
      </w:r>
      <w:r w:rsidR="00CD31F0" w:rsidRPr="00CD31F0">
        <w:rPr>
          <w:rFonts w:ascii="Times New Roman" w:hAnsi="Times New Roman"/>
          <w:sz w:val="23"/>
          <w:lang w:val="en-US" w:bidi="en-US"/>
        </w:rPr>
        <w:t>defendant,—</w:t>
      </w:r>
    </w:p>
    <w:p w14:paraId="2428EEDA" w14:textId="1D2D96D4" w:rsidR="00CD31F0" w:rsidRPr="00CD31F0" w:rsidRDefault="00BD5C95" w:rsidP="00B73434">
      <w:pPr>
        <w:widowControl w:val="0"/>
        <w:numPr>
          <w:ilvl w:val="1"/>
          <w:numId w:val="53"/>
        </w:numPr>
        <w:tabs>
          <w:tab w:val="left" w:pos="1504"/>
          <w:tab w:val="left" w:pos="1505"/>
        </w:tabs>
        <w:autoSpaceDE w:val="0"/>
        <w:autoSpaceDN w:val="0"/>
        <w:spacing w:before="89" w:line="249" w:lineRule="auto"/>
        <w:ind w:right="299"/>
        <w:rPr>
          <w:rFonts w:ascii="Times New Roman" w:hAnsi="Times New Roman"/>
          <w:sz w:val="23"/>
          <w:lang w:val="en-US" w:bidi="en-US"/>
        </w:rPr>
      </w:pPr>
      <w:r>
        <w:rPr>
          <w:rFonts w:ascii="ZWAdobeF" w:hAnsi="ZWAdobeF" w:cs="ZWAdobeF"/>
          <w:color w:val="auto"/>
          <w:sz w:val="2"/>
          <w:szCs w:val="2"/>
          <w:lang w:val="en-US" w:bidi="en-US"/>
        </w:rPr>
        <w:t>1033B</w:t>
      </w:r>
      <w:r w:rsidR="0049638A">
        <w:rPr>
          <w:rFonts w:ascii="ZWAdobeF" w:hAnsi="ZWAdobeF" w:cs="ZWAdobeF"/>
          <w:color w:val="auto"/>
          <w:sz w:val="2"/>
          <w:szCs w:val="2"/>
          <w:lang w:val="en-US" w:bidi="en-US"/>
        </w:rPr>
        <w:t>1033B</w:t>
      </w:r>
      <w:r w:rsidR="00D629FA">
        <w:rPr>
          <w:rFonts w:ascii="ZWAdobeF" w:hAnsi="ZWAdobeF" w:cs="ZWAdobeF"/>
          <w:color w:val="auto"/>
          <w:sz w:val="2"/>
          <w:szCs w:val="2"/>
          <w:lang w:val="en-US" w:bidi="en-US"/>
        </w:rPr>
        <w:t>1033B</w:t>
      </w:r>
      <w:r w:rsidR="00CD31F0" w:rsidRPr="00CD31F0">
        <w:rPr>
          <w:rFonts w:ascii="Times New Roman" w:hAnsi="Times New Roman"/>
          <w:sz w:val="23"/>
          <w:lang w:val="en-US" w:bidi="en-US"/>
        </w:rPr>
        <w:t>for each defendant there must be at least 2 persons with a claim against that defendant:</w:t>
      </w:r>
    </w:p>
    <w:p w14:paraId="515FEE39" w14:textId="45710DDC" w:rsidR="00CD31F0" w:rsidRPr="00CD31F0" w:rsidRDefault="00BD5C95" w:rsidP="00B73434">
      <w:pPr>
        <w:widowControl w:val="0"/>
        <w:numPr>
          <w:ilvl w:val="1"/>
          <w:numId w:val="53"/>
        </w:numPr>
        <w:tabs>
          <w:tab w:val="left" w:pos="1504"/>
          <w:tab w:val="left" w:pos="1505"/>
        </w:tabs>
        <w:autoSpaceDE w:val="0"/>
        <w:autoSpaceDN w:val="0"/>
        <w:spacing w:before="82" w:line="249" w:lineRule="auto"/>
        <w:ind w:right="300" w:hanging="601"/>
        <w:rPr>
          <w:rFonts w:ascii="Times New Roman" w:hAnsi="Times New Roman"/>
          <w:sz w:val="23"/>
          <w:lang w:val="en-US" w:bidi="en-US"/>
        </w:rPr>
      </w:pPr>
      <w:r>
        <w:rPr>
          <w:rFonts w:ascii="ZWAdobeF" w:hAnsi="ZWAdobeF" w:cs="ZWAdobeF"/>
          <w:color w:val="auto"/>
          <w:sz w:val="2"/>
          <w:szCs w:val="2"/>
          <w:lang w:val="en-US" w:bidi="en-US"/>
        </w:rPr>
        <w:t>1034B</w:t>
      </w:r>
      <w:r w:rsidR="0049638A">
        <w:rPr>
          <w:rFonts w:ascii="ZWAdobeF" w:hAnsi="ZWAdobeF" w:cs="ZWAdobeF"/>
          <w:color w:val="auto"/>
          <w:sz w:val="2"/>
          <w:szCs w:val="2"/>
          <w:lang w:val="en-US" w:bidi="en-US"/>
        </w:rPr>
        <w:t>1034B</w:t>
      </w:r>
      <w:r w:rsidR="00D629FA">
        <w:rPr>
          <w:rFonts w:ascii="ZWAdobeF" w:hAnsi="ZWAdobeF" w:cs="ZWAdobeF"/>
          <w:color w:val="auto"/>
          <w:sz w:val="2"/>
          <w:szCs w:val="2"/>
          <w:lang w:val="en-US" w:bidi="en-US"/>
        </w:rPr>
        <w:t>1034B</w:t>
      </w:r>
      <w:r w:rsidR="00CD31F0" w:rsidRPr="00CD31F0">
        <w:rPr>
          <w:rFonts w:ascii="Times New Roman" w:hAnsi="Times New Roman"/>
          <w:sz w:val="23"/>
          <w:lang w:val="en-US" w:bidi="en-US"/>
        </w:rPr>
        <w:t xml:space="preserve">it is not necessary for each person on whose behalf the proceeding </w:t>
      </w:r>
      <w:r w:rsidR="00CD31F0" w:rsidRPr="00CD31F0">
        <w:rPr>
          <w:rFonts w:ascii="Times New Roman" w:hAnsi="Times New Roman"/>
          <w:spacing w:val="-6"/>
          <w:sz w:val="23"/>
          <w:lang w:val="en-US" w:bidi="en-US"/>
        </w:rPr>
        <w:t xml:space="preserve">is </w:t>
      </w:r>
      <w:r w:rsidR="00CD31F0" w:rsidRPr="00CD31F0">
        <w:rPr>
          <w:rFonts w:ascii="Times New Roman" w:hAnsi="Times New Roman"/>
          <w:sz w:val="23"/>
          <w:lang w:val="en-US" w:bidi="en-US"/>
        </w:rPr>
        <w:t>commenced to have a claim against all of the defendants.</w:t>
      </w:r>
    </w:p>
    <w:p w14:paraId="6842D00E" w14:textId="006F35D6" w:rsidR="00CD31F0" w:rsidRPr="00CD31F0" w:rsidRDefault="00BD5C95" w:rsidP="00B73434">
      <w:pPr>
        <w:widowControl w:val="0"/>
        <w:numPr>
          <w:ilvl w:val="0"/>
          <w:numId w:val="55"/>
        </w:numPr>
        <w:tabs>
          <w:tab w:val="left" w:pos="904"/>
          <w:tab w:val="left" w:pos="905"/>
        </w:tabs>
        <w:autoSpaceDE w:val="0"/>
        <w:autoSpaceDN w:val="0"/>
        <w:spacing w:before="202"/>
        <w:ind w:hanging="601"/>
        <w:outlineLvl w:val="2"/>
        <w:rPr>
          <w:rFonts w:ascii="Times New Roman" w:hAnsi="Times New Roman"/>
          <w:b/>
          <w:sz w:val="23"/>
          <w:szCs w:val="23"/>
          <w:lang w:val="en-US" w:bidi="en-US"/>
        </w:rPr>
      </w:pPr>
      <w:bookmarkStart w:id="46" w:name="_bookmark3"/>
      <w:bookmarkEnd w:id="46"/>
      <w:r>
        <w:rPr>
          <w:rFonts w:ascii="ZWAdobeF" w:hAnsi="ZWAdobeF" w:cs="ZWAdobeF"/>
          <w:color w:val="auto"/>
          <w:sz w:val="2"/>
          <w:szCs w:val="2"/>
          <w:lang w:val="en-US" w:bidi="en-US"/>
        </w:rPr>
        <w:t>1035B</w:t>
      </w:r>
      <w:r w:rsidR="0049638A">
        <w:rPr>
          <w:rFonts w:ascii="ZWAdobeF" w:hAnsi="ZWAdobeF" w:cs="ZWAdobeF"/>
          <w:color w:val="auto"/>
          <w:sz w:val="2"/>
          <w:szCs w:val="2"/>
          <w:lang w:val="en-US" w:bidi="en-US"/>
        </w:rPr>
        <w:t>1035B</w:t>
      </w:r>
      <w:r w:rsidR="00D629FA">
        <w:rPr>
          <w:rFonts w:ascii="ZWAdobeF" w:hAnsi="ZWAdobeF" w:cs="ZWAdobeF"/>
          <w:color w:val="auto"/>
          <w:sz w:val="2"/>
          <w:szCs w:val="2"/>
          <w:lang w:val="en-US" w:bidi="en-US"/>
        </w:rPr>
        <w:t>1035B</w:t>
      </w:r>
      <w:r w:rsidR="00CD31F0" w:rsidRPr="00CD31F0">
        <w:rPr>
          <w:rFonts w:ascii="Times New Roman" w:hAnsi="Times New Roman"/>
          <w:b/>
          <w:sz w:val="23"/>
          <w:szCs w:val="23"/>
          <w:lang w:val="en-US" w:bidi="en-US"/>
        </w:rPr>
        <w:t>Application for class</w:t>
      </w:r>
      <w:r w:rsidR="00CD31F0" w:rsidRPr="00CD31F0">
        <w:rPr>
          <w:rFonts w:ascii="Times New Roman" w:hAnsi="Times New Roman"/>
          <w:b/>
          <w:spacing w:val="-2"/>
          <w:sz w:val="23"/>
          <w:szCs w:val="23"/>
          <w:lang w:val="en-US" w:bidi="en-US"/>
        </w:rPr>
        <w:t xml:space="preserve"> </w:t>
      </w:r>
      <w:r w:rsidR="00CD31F0" w:rsidRPr="00CD31F0">
        <w:rPr>
          <w:rFonts w:ascii="Times New Roman" w:hAnsi="Times New Roman"/>
          <w:b/>
          <w:sz w:val="23"/>
          <w:szCs w:val="23"/>
          <w:lang w:val="en-US" w:bidi="en-US"/>
        </w:rPr>
        <w:t>action</w:t>
      </w:r>
    </w:p>
    <w:p w14:paraId="663490A3" w14:textId="205BE50F" w:rsidR="00CD31F0" w:rsidRDefault="00BD5C95" w:rsidP="00CD31F0">
      <w:pPr>
        <w:widowControl w:val="0"/>
        <w:autoSpaceDE w:val="0"/>
        <w:autoSpaceDN w:val="0"/>
        <w:spacing w:before="91" w:line="249" w:lineRule="auto"/>
        <w:ind w:left="904" w:right="78"/>
        <w:rPr>
          <w:rFonts w:ascii="Times New Roman" w:hAnsi="Times New Roman"/>
          <w:sz w:val="23"/>
          <w:szCs w:val="23"/>
          <w:lang w:val="en-US" w:bidi="en-US"/>
        </w:rPr>
      </w:pPr>
      <w:r>
        <w:rPr>
          <w:rFonts w:ascii="ZWAdobeF" w:hAnsi="ZWAdobeF" w:cs="ZWAdobeF"/>
          <w:color w:val="auto"/>
          <w:sz w:val="2"/>
          <w:szCs w:val="2"/>
          <w:lang w:val="en-US" w:bidi="en-US"/>
        </w:rPr>
        <w:t>1036B</w:t>
      </w:r>
      <w:r w:rsidR="0049638A">
        <w:rPr>
          <w:rFonts w:ascii="ZWAdobeF" w:hAnsi="ZWAdobeF" w:cs="ZWAdobeF"/>
          <w:color w:val="auto"/>
          <w:sz w:val="2"/>
          <w:szCs w:val="2"/>
          <w:lang w:val="en-US" w:bidi="en-US"/>
        </w:rPr>
        <w:t>1036B</w:t>
      </w:r>
      <w:r w:rsidR="00D629FA">
        <w:rPr>
          <w:rFonts w:ascii="ZWAdobeF" w:hAnsi="ZWAdobeF" w:cs="ZWAdobeF"/>
          <w:color w:val="auto"/>
          <w:sz w:val="2"/>
          <w:szCs w:val="2"/>
          <w:lang w:val="en-US" w:bidi="en-US"/>
        </w:rPr>
        <w:t>1036B</w:t>
      </w:r>
      <w:r w:rsidR="00CD31F0" w:rsidRPr="00CD31F0">
        <w:rPr>
          <w:rFonts w:ascii="Times New Roman" w:hAnsi="Times New Roman"/>
          <w:sz w:val="23"/>
          <w:szCs w:val="23"/>
          <w:lang w:val="en-US" w:bidi="en-US"/>
        </w:rPr>
        <w:t>When a class action is commenced it must be accompanied by an application for—</w:t>
      </w:r>
    </w:p>
    <w:p w14:paraId="15CA65A4" w14:textId="4EAEBB7F" w:rsidR="00F002F4" w:rsidRPr="00F002F4" w:rsidRDefault="00BD5C95" w:rsidP="00B73434">
      <w:pPr>
        <w:widowControl w:val="0"/>
        <w:numPr>
          <w:ilvl w:val="1"/>
          <w:numId w:val="55"/>
        </w:numPr>
        <w:tabs>
          <w:tab w:val="left" w:pos="1504"/>
          <w:tab w:val="left" w:pos="1505"/>
        </w:tabs>
        <w:autoSpaceDE w:val="0"/>
        <w:autoSpaceDN w:val="0"/>
        <w:spacing w:before="90"/>
        <w:ind w:hanging="601"/>
        <w:rPr>
          <w:rFonts w:ascii="Times New Roman" w:hAnsi="Times New Roman"/>
          <w:sz w:val="23"/>
          <w:lang w:val="en-US" w:bidi="en-US"/>
        </w:rPr>
      </w:pPr>
      <w:r>
        <w:rPr>
          <w:rFonts w:ascii="ZWAdobeF" w:hAnsi="ZWAdobeF" w:cs="ZWAdobeF"/>
          <w:color w:val="auto"/>
          <w:sz w:val="2"/>
          <w:szCs w:val="2"/>
          <w:lang w:val="en-US" w:bidi="en-US"/>
        </w:rPr>
        <w:t>1037B</w:t>
      </w:r>
      <w:r w:rsidR="0049638A">
        <w:rPr>
          <w:rFonts w:ascii="ZWAdobeF" w:hAnsi="ZWAdobeF" w:cs="ZWAdobeF"/>
          <w:color w:val="auto"/>
          <w:sz w:val="2"/>
          <w:szCs w:val="2"/>
          <w:lang w:val="en-US" w:bidi="en-US"/>
        </w:rPr>
        <w:t>1037B</w:t>
      </w:r>
      <w:r w:rsidR="00D629FA">
        <w:rPr>
          <w:rFonts w:ascii="ZWAdobeF" w:hAnsi="ZWAdobeF" w:cs="ZWAdobeF"/>
          <w:color w:val="auto"/>
          <w:sz w:val="2"/>
          <w:szCs w:val="2"/>
          <w:lang w:val="en-US" w:bidi="en-US"/>
        </w:rPr>
        <w:t>1037B</w:t>
      </w:r>
      <w:r w:rsidR="00F002F4" w:rsidRPr="00F002F4">
        <w:rPr>
          <w:rFonts w:ascii="Times New Roman" w:hAnsi="Times New Roman"/>
          <w:sz w:val="23"/>
          <w:lang w:val="en-US" w:bidi="en-US"/>
        </w:rPr>
        <w:t>an order certifying the proceeding as a class action proceeding; and</w:t>
      </w:r>
    </w:p>
    <w:p w14:paraId="10A9F62F" w14:textId="78D2EBD8" w:rsidR="00F002F4" w:rsidRPr="00F002F4" w:rsidRDefault="00BD5C95" w:rsidP="00B73434">
      <w:pPr>
        <w:widowControl w:val="0"/>
        <w:numPr>
          <w:ilvl w:val="1"/>
          <w:numId w:val="55"/>
        </w:numPr>
        <w:tabs>
          <w:tab w:val="left" w:pos="1505"/>
        </w:tabs>
        <w:autoSpaceDE w:val="0"/>
        <w:autoSpaceDN w:val="0"/>
        <w:spacing w:before="92" w:line="249" w:lineRule="auto"/>
        <w:ind w:right="300" w:hanging="601"/>
        <w:jc w:val="both"/>
        <w:rPr>
          <w:rFonts w:ascii="Times New Roman" w:hAnsi="Times New Roman"/>
          <w:sz w:val="23"/>
          <w:lang w:val="en-US" w:bidi="en-US"/>
        </w:rPr>
      </w:pPr>
      <w:r>
        <w:rPr>
          <w:rFonts w:ascii="ZWAdobeF" w:hAnsi="ZWAdobeF" w:cs="ZWAdobeF"/>
          <w:color w:val="auto"/>
          <w:sz w:val="2"/>
          <w:szCs w:val="2"/>
          <w:lang w:val="en-US" w:bidi="en-US"/>
        </w:rPr>
        <w:t>1038B</w:t>
      </w:r>
      <w:r w:rsidR="0049638A">
        <w:rPr>
          <w:rFonts w:ascii="ZWAdobeF" w:hAnsi="ZWAdobeF" w:cs="ZWAdobeF"/>
          <w:color w:val="auto"/>
          <w:sz w:val="2"/>
          <w:szCs w:val="2"/>
          <w:lang w:val="en-US" w:bidi="en-US"/>
        </w:rPr>
        <w:t>1038B</w:t>
      </w:r>
      <w:r w:rsidR="00D629FA">
        <w:rPr>
          <w:rFonts w:ascii="ZWAdobeF" w:hAnsi="ZWAdobeF" w:cs="ZWAdobeF"/>
          <w:color w:val="auto"/>
          <w:sz w:val="2"/>
          <w:szCs w:val="2"/>
          <w:lang w:val="en-US" w:bidi="en-US"/>
        </w:rPr>
        <w:t>1038B</w:t>
      </w:r>
      <w:r w:rsidR="00F002F4" w:rsidRPr="00F002F4">
        <w:rPr>
          <w:rFonts w:ascii="Times New Roman" w:hAnsi="Times New Roman"/>
          <w:sz w:val="23"/>
          <w:lang w:val="en-US" w:bidi="en-US"/>
        </w:rPr>
        <w:t>an order appointing 1 or more representative plaintiffs for the proceeding.</w:t>
      </w:r>
    </w:p>
    <w:p w14:paraId="33FE70E3" w14:textId="4AC791D6" w:rsidR="00275E1C" w:rsidRDefault="00275E1C" w:rsidP="002511E2">
      <w:pPr>
        <w:pStyle w:val="BodyText"/>
        <w:numPr>
          <w:ilvl w:val="0"/>
          <w:numId w:val="0"/>
        </w:numPr>
        <w:ind w:left="113"/>
      </w:pPr>
    </w:p>
    <w:p w14:paraId="6623F9D8" w14:textId="0770F8F9" w:rsidR="00932E49" w:rsidRDefault="006F4F34" w:rsidP="00E449F6">
      <w:pPr>
        <w:pStyle w:val="QuestionBox"/>
      </w:pPr>
      <w:r>
        <w:rPr>
          <w:noProof/>
        </w:rPr>
        <w:lastRenderedPageBreak/>
        <mc:AlternateContent>
          <mc:Choice Requires="wpg">
            <w:drawing>
              <wp:anchor distT="0" distB="0" distL="114300" distR="114300" simplePos="0" relativeHeight="251651114" behindDoc="1" locked="0" layoutInCell="1" allowOverlap="1" wp14:anchorId="0A1CBAFC" wp14:editId="486C3BC6">
                <wp:simplePos x="0" y="0"/>
                <wp:positionH relativeFrom="column">
                  <wp:posOffset>10795</wp:posOffset>
                </wp:positionH>
                <wp:positionV relativeFrom="paragraph">
                  <wp:posOffset>-20763</wp:posOffset>
                </wp:positionV>
                <wp:extent cx="5760085" cy="1063625"/>
                <wp:effectExtent l="0" t="0" r="0" b="3175"/>
                <wp:wrapNone/>
                <wp:docPr id="764517953" name="Group 764517953"/>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76451795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601B6D" w14:textId="77777777" w:rsidR="00A55F53" w:rsidRDefault="00A55F53" w:rsidP="0012477A">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55" name="Group 53"/>
                        <wpg:cNvGrpSpPr>
                          <a:grpSpLocks/>
                        </wpg:cNvGrpSpPr>
                        <wpg:grpSpPr bwMode="auto">
                          <a:xfrm>
                            <a:off x="0" y="316263"/>
                            <a:ext cx="5760085" cy="810335"/>
                            <a:chOff x="1837" y="1792"/>
                            <a:chExt cx="9302" cy="8753"/>
                          </a:xfrm>
                        </wpg:grpSpPr>
                        <wps:wsp>
                          <wps:cNvPr id="764517956"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57" name="Group 764517957"/>
                        <wpg:cNvGrpSpPr/>
                        <wpg:grpSpPr>
                          <a:xfrm>
                            <a:off x="0" y="494036"/>
                            <a:ext cx="1443794" cy="252000"/>
                            <a:chOff x="-15880" y="0"/>
                            <a:chExt cx="1444379" cy="252068"/>
                          </a:xfrm>
                        </wpg:grpSpPr>
                        <wps:wsp>
                          <wps:cNvPr id="76451795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1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BF78BA" w14:textId="33737452" w:rsidR="00A55F53" w:rsidRPr="00E700FF" w:rsidRDefault="00A55F53" w:rsidP="0012477A">
                                <w:pPr>
                                  <w:pStyle w:val="BoxTitle"/>
                                  <w:spacing w:before="0" w:beforeAutospacing="0"/>
                                </w:pPr>
                                <w:r w:rsidRPr="001C1B37">
                                  <w:t>Q</w:t>
                                </w:r>
                                <w:r>
                                  <w:t>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A1CBAFC" id="Group 764517953" o:spid="_x0000_s1201" style="position:absolute;left:0;text-align:left;margin-left:.85pt;margin-top:-1.65pt;width:453.55pt;height:83.75pt;z-index:-251665366;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">
                <v:shape id="_x0000_s120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9601B6D" w14:textId="77777777" w:rsidR="00A55F53" w:rsidRDefault="00A55F53" w:rsidP="0012477A">
                        <w:pPr>
                          <w:pStyle w:val="BoxTitle"/>
                          <w:spacing w:before="0" w:beforeAutospacing="0"/>
                        </w:pPr>
                        <w:r w:rsidRPr="007F6876">
                          <w:t>QUESTION</w:t>
                        </w:r>
                      </w:p>
                    </w:txbxContent>
                  </v:textbox>
                </v:shape>
                <v:group id="Group 53" o:spid="_x0000_s1203"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">
                  <v:shape id="Freeform 54" o:spid="_x0000_s1204"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" path="m,l9354,r,7809l,7809,,e" fillcolor="#edf2ea" stroked="f">
                    <v:path arrowok="t" o:connecttype="custom" o:connectlocs="0,1121;9302,1121;9302,9874;0,9874;0,1121" o:connectangles="0,0,0,0,0"/>
                  </v:shape>
                </v:group>
                <v:group id="Group 764517957" o:spid="_x0000_s120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">
                  <v:shape id="Freeform 58" o:spid="_x0000_s120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" path="m,l1815,e" filled="f" strokecolor="#72ab6a" strokeweight=".5pt">
                    <v:path arrowok="t" o:connecttype="custom" o:connectlocs="0,0;1073495,0" o:connectangles="0,0"/>
                  </v:shape>
                  <v:shape id="Freeform 66" o:spid="_x0000_s120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FBF78BA" w14:textId="33737452" w:rsidR="00A55F53" w:rsidRPr="00E700FF" w:rsidRDefault="00A55F53" w:rsidP="0012477A">
                          <w:pPr>
                            <w:pStyle w:val="BoxTitle"/>
                            <w:spacing w:before="0" w:beforeAutospacing="0"/>
                          </w:pPr>
                          <w:r w:rsidRPr="001C1B37">
                            <w:t>Q</w:t>
                          </w:r>
                          <w:r>
                            <w:t>1</w:t>
                          </w:r>
                        </w:p>
                      </w:txbxContent>
                    </v:textbox>
                  </v:shape>
                </v:group>
              </v:group>
            </w:pict>
          </mc:Fallback>
        </mc:AlternateContent>
      </w:r>
    </w:p>
    <w:p w14:paraId="31479E19" w14:textId="77777777" w:rsidR="006F4F34" w:rsidRDefault="006F4F34" w:rsidP="00E449F6">
      <w:pPr>
        <w:pStyle w:val="QuestionBox"/>
      </w:pPr>
    </w:p>
    <w:p w14:paraId="0F22D696" w14:textId="32F84099" w:rsidR="00B763FB" w:rsidRDefault="00BD5C95" w:rsidP="00E449F6">
      <w:pPr>
        <w:pStyle w:val="QuestionBox"/>
      </w:pPr>
      <w:r>
        <w:rPr>
          <w:rFonts w:ascii="ZWAdobeF" w:hAnsi="ZWAdobeF" w:cs="ZWAdobeF"/>
          <w:color w:val="auto"/>
          <w:sz w:val="2"/>
          <w:szCs w:val="2"/>
        </w:rPr>
        <w:t>1382B</w:t>
      </w:r>
      <w:r w:rsidR="0049638A">
        <w:rPr>
          <w:rFonts w:ascii="ZWAdobeF" w:hAnsi="ZWAdobeF" w:cs="ZWAdobeF"/>
          <w:color w:val="auto"/>
          <w:sz w:val="2"/>
          <w:szCs w:val="2"/>
        </w:rPr>
        <w:t>1382B</w:t>
      </w:r>
      <w:r w:rsidR="00D629FA">
        <w:rPr>
          <w:rFonts w:ascii="ZWAdobeF" w:hAnsi="ZWAdobeF" w:cs="ZWAdobeF"/>
          <w:color w:val="auto"/>
          <w:sz w:val="2"/>
          <w:szCs w:val="2"/>
        </w:rPr>
        <w:t>1382B</w:t>
      </w:r>
      <w:r w:rsidR="00B763FB">
        <w:t xml:space="preserve">Do you agree with our draft commencement provisions? If not, how should they be amended? </w:t>
      </w:r>
    </w:p>
    <w:p w14:paraId="13FD2E9D" w14:textId="1610FF38" w:rsidR="00275E1C" w:rsidRPr="006A0F43" w:rsidRDefault="00275E1C" w:rsidP="00E449F6">
      <w:pPr>
        <w:pStyle w:val="QuestionBox"/>
      </w:pPr>
    </w:p>
    <w:p w14:paraId="0580D80F" w14:textId="5B69F3F5" w:rsidR="00CE3A23" w:rsidRDefault="00CE3A23" w:rsidP="0016640A">
      <w:pPr>
        <w:pStyle w:val="Heading2"/>
      </w:pPr>
      <w:bookmarkStart w:id="47" w:name="_Toc83895434"/>
      <w:r>
        <w:t xml:space="preserve">Certification is </w:t>
      </w:r>
      <w:r w:rsidR="00D74557">
        <w:t>desirable</w:t>
      </w:r>
      <w:bookmarkEnd w:id="47"/>
    </w:p>
    <w:p w14:paraId="3AED7B43" w14:textId="1E70B2C3" w:rsidR="00CE3A23" w:rsidRDefault="00BD5C95" w:rsidP="00CE3A23">
      <w:pPr>
        <w:pStyle w:val="BodyText"/>
        <w:tabs>
          <w:tab w:val="num" w:pos="709"/>
        </w:tabs>
      </w:pPr>
      <w:r>
        <w:rPr>
          <w:rFonts w:ascii="ZWAdobeF" w:hAnsi="ZWAdobeF" w:cs="ZWAdobeF"/>
          <w:color w:val="auto"/>
          <w:sz w:val="2"/>
          <w:szCs w:val="2"/>
        </w:rPr>
        <w:t>25B</w:t>
      </w:r>
      <w:r w:rsidR="0049638A">
        <w:rPr>
          <w:rFonts w:ascii="ZWAdobeF" w:hAnsi="ZWAdobeF" w:cs="ZWAdobeF"/>
          <w:color w:val="auto"/>
          <w:sz w:val="2"/>
          <w:szCs w:val="2"/>
        </w:rPr>
        <w:t>25B</w:t>
      </w:r>
      <w:r w:rsidR="00D629FA">
        <w:rPr>
          <w:rFonts w:ascii="ZWAdobeF" w:hAnsi="ZWAdobeF" w:cs="ZWAdobeF"/>
          <w:color w:val="auto"/>
          <w:sz w:val="2"/>
          <w:szCs w:val="2"/>
        </w:rPr>
        <w:t>25B</w:t>
      </w:r>
      <w:r w:rsidR="00CE3A23">
        <w:t xml:space="preserve">In our Issues Paper we explained that most overseas jurisdictions with class actions regimes require the court to approve the </w:t>
      </w:r>
      <w:r w:rsidR="00493D5F">
        <w:t xml:space="preserve">claims </w:t>
      </w:r>
      <w:r w:rsidR="00CE3A23">
        <w:t xml:space="preserve">proceeding </w:t>
      </w:r>
      <w:r w:rsidR="00493D5F">
        <w:t xml:space="preserve">as a </w:t>
      </w:r>
      <w:r w:rsidR="00CE3A23">
        <w:t>class action, which is generally known as certification.</w:t>
      </w:r>
      <w:r w:rsidR="00D629FA">
        <w:rPr>
          <w:rFonts w:ascii="ZWAdobeF" w:hAnsi="ZWAdobeF" w:cs="ZWAdobeF"/>
          <w:color w:val="auto"/>
          <w:sz w:val="2"/>
          <w:szCs w:val="2"/>
        </w:rPr>
        <w:t>92F</w:t>
      </w:r>
      <w:r w:rsidR="0049638A">
        <w:rPr>
          <w:rFonts w:ascii="ZWAdobeF" w:hAnsi="ZWAdobeF" w:cs="ZWAdobeF"/>
          <w:color w:val="auto"/>
          <w:sz w:val="2"/>
          <w:szCs w:val="2"/>
        </w:rPr>
        <w:t>92F</w:t>
      </w:r>
      <w:r w:rsidR="000D4978">
        <w:rPr>
          <w:rFonts w:ascii="ZWAdobeF" w:hAnsi="ZWAdobeF" w:cs="ZWAdobeF"/>
          <w:color w:val="auto"/>
          <w:sz w:val="2"/>
          <w:szCs w:val="2"/>
        </w:rPr>
        <w:t>92F</w:t>
      </w:r>
      <w:r w:rsidR="00CE3A23">
        <w:rPr>
          <w:rStyle w:val="FootnoteReference"/>
        </w:rPr>
        <w:footnoteReference w:id="94"/>
      </w:r>
      <w:r w:rsidR="00CE3A23">
        <w:t xml:space="preserve"> A notable exception is Australia, where none of the class action</w:t>
      </w:r>
      <w:r w:rsidR="00805C83">
        <w:t>s</w:t>
      </w:r>
      <w:r w:rsidR="00CE3A23">
        <w:t xml:space="preserve"> regimes have a certification requirement.</w:t>
      </w:r>
      <w:r w:rsidR="00D629FA">
        <w:rPr>
          <w:rFonts w:ascii="ZWAdobeF" w:hAnsi="ZWAdobeF" w:cs="ZWAdobeF"/>
          <w:color w:val="auto"/>
          <w:sz w:val="2"/>
          <w:szCs w:val="2"/>
        </w:rPr>
        <w:t>93F</w:t>
      </w:r>
      <w:r w:rsidR="0049638A">
        <w:rPr>
          <w:rFonts w:ascii="ZWAdobeF" w:hAnsi="ZWAdobeF" w:cs="ZWAdobeF"/>
          <w:color w:val="auto"/>
          <w:sz w:val="2"/>
          <w:szCs w:val="2"/>
        </w:rPr>
        <w:t>93F</w:t>
      </w:r>
      <w:r w:rsidR="000D4978">
        <w:rPr>
          <w:rFonts w:ascii="ZWAdobeF" w:hAnsi="ZWAdobeF" w:cs="ZWAdobeF"/>
          <w:color w:val="auto"/>
          <w:sz w:val="2"/>
          <w:szCs w:val="2"/>
        </w:rPr>
        <w:t>93F</w:t>
      </w:r>
      <w:r w:rsidR="00CE3A23">
        <w:rPr>
          <w:rStyle w:val="FootnoteReference"/>
        </w:rPr>
        <w:footnoteReference w:id="95"/>
      </w:r>
      <w:r w:rsidR="00CE3A23">
        <w:t xml:space="preserve"> Our Issues Paper summarised the advantages and disadvantages of certification and asked submitters whether a class actions regime in Aotearoa New Zealand should have a certification stage.</w:t>
      </w:r>
      <w:r w:rsidR="00D629FA">
        <w:rPr>
          <w:rFonts w:ascii="ZWAdobeF" w:hAnsi="ZWAdobeF" w:cs="ZWAdobeF"/>
          <w:color w:val="auto"/>
          <w:sz w:val="2"/>
          <w:szCs w:val="2"/>
        </w:rPr>
        <w:t>94F</w:t>
      </w:r>
      <w:r w:rsidR="0049638A">
        <w:rPr>
          <w:rFonts w:ascii="ZWAdobeF" w:hAnsi="ZWAdobeF" w:cs="ZWAdobeF"/>
          <w:color w:val="auto"/>
          <w:sz w:val="2"/>
          <w:szCs w:val="2"/>
        </w:rPr>
        <w:t>94F</w:t>
      </w:r>
      <w:r w:rsidR="000D4978">
        <w:rPr>
          <w:rFonts w:ascii="ZWAdobeF" w:hAnsi="ZWAdobeF" w:cs="ZWAdobeF"/>
          <w:color w:val="auto"/>
          <w:sz w:val="2"/>
          <w:szCs w:val="2"/>
        </w:rPr>
        <w:t>94F</w:t>
      </w:r>
      <w:r w:rsidR="00CE3A23">
        <w:rPr>
          <w:rStyle w:val="FootnoteReference"/>
        </w:rPr>
        <w:footnoteReference w:id="96"/>
      </w:r>
      <w:r w:rsidR="00CE3A23">
        <w:t xml:space="preserve"> </w:t>
      </w:r>
    </w:p>
    <w:p w14:paraId="439E7B94" w14:textId="16ABB0E3" w:rsidR="00CE3A23" w:rsidRDefault="00BD5C95" w:rsidP="00CE3A23">
      <w:pPr>
        <w:pStyle w:val="BodyText"/>
      </w:pPr>
      <w:r>
        <w:rPr>
          <w:rFonts w:ascii="ZWAdobeF" w:hAnsi="ZWAdobeF" w:cs="ZWAdobeF"/>
          <w:color w:val="auto"/>
          <w:sz w:val="2"/>
          <w:szCs w:val="2"/>
        </w:rPr>
        <w:t>26B</w:t>
      </w:r>
      <w:r w:rsidR="0049638A">
        <w:rPr>
          <w:rFonts w:ascii="ZWAdobeF" w:hAnsi="ZWAdobeF" w:cs="ZWAdobeF"/>
          <w:color w:val="auto"/>
          <w:sz w:val="2"/>
          <w:szCs w:val="2"/>
        </w:rPr>
        <w:t>26B</w:t>
      </w:r>
      <w:r w:rsidR="00D629FA">
        <w:rPr>
          <w:rFonts w:ascii="ZWAdobeF" w:hAnsi="ZWAdobeF" w:cs="ZWAdobeF"/>
          <w:color w:val="auto"/>
          <w:sz w:val="2"/>
          <w:szCs w:val="2"/>
        </w:rPr>
        <w:t>26B</w:t>
      </w:r>
      <w:r w:rsidR="00CE3A23">
        <w:t>We received 28 submissions on this question. Of these, 16 submitters supported a certification stage,</w:t>
      </w:r>
      <w:r w:rsidR="00D629FA">
        <w:rPr>
          <w:rFonts w:ascii="ZWAdobeF" w:hAnsi="ZWAdobeF" w:cs="ZWAdobeF"/>
          <w:color w:val="auto"/>
          <w:sz w:val="2"/>
          <w:szCs w:val="2"/>
        </w:rPr>
        <w:t>95F</w:t>
      </w:r>
      <w:r w:rsidR="0049638A">
        <w:rPr>
          <w:rFonts w:ascii="ZWAdobeF" w:hAnsi="ZWAdobeF" w:cs="ZWAdobeF"/>
          <w:color w:val="auto"/>
          <w:sz w:val="2"/>
          <w:szCs w:val="2"/>
        </w:rPr>
        <w:t>95F</w:t>
      </w:r>
      <w:r w:rsidR="000D4978">
        <w:rPr>
          <w:rFonts w:ascii="ZWAdobeF" w:hAnsi="ZWAdobeF" w:cs="ZWAdobeF"/>
          <w:color w:val="auto"/>
          <w:sz w:val="2"/>
          <w:szCs w:val="2"/>
        </w:rPr>
        <w:t>95F</w:t>
      </w:r>
      <w:r w:rsidR="00CE3A23">
        <w:rPr>
          <w:rStyle w:val="FootnoteReference"/>
        </w:rPr>
        <w:footnoteReference w:id="97"/>
      </w:r>
      <w:r w:rsidR="00CE3A23">
        <w:t xml:space="preserve"> eight did not favour certification,</w:t>
      </w:r>
      <w:r w:rsidR="00D629FA">
        <w:rPr>
          <w:rFonts w:ascii="ZWAdobeF" w:hAnsi="ZWAdobeF" w:cs="ZWAdobeF"/>
          <w:color w:val="auto"/>
          <w:sz w:val="2"/>
          <w:szCs w:val="2"/>
        </w:rPr>
        <w:t>96F</w:t>
      </w:r>
      <w:r w:rsidR="0049638A">
        <w:rPr>
          <w:rFonts w:ascii="ZWAdobeF" w:hAnsi="ZWAdobeF" w:cs="ZWAdobeF"/>
          <w:color w:val="auto"/>
          <w:sz w:val="2"/>
          <w:szCs w:val="2"/>
        </w:rPr>
        <w:t>96F</w:t>
      </w:r>
      <w:r w:rsidR="000D4978">
        <w:rPr>
          <w:rFonts w:ascii="ZWAdobeF" w:hAnsi="ZWAdobeF" w:cs="ZWAdobeF"/>
          <w:color w:val="auto"/>
          <w:sz w:val="2"/>
          <w:szCs w:val="2"/>
        </w:rPr>
        <w:t>96F</w:t>
      </w:r>
      <w:r w:rsidR="00CE3A23">
        <w:rPr>
          <w:rStyle w:val="FootnoteReference"/>
        </w:rPr>
        <w:footnoteReference w:id="98"/>
      </w:r>
      <w:r w:rsidR="00CE3A23">
        <w:t xml:space="preserve"> and four submitters did not indicate a clear preference.</w:t>
      </w:r>
      <w:r w:rsidR="00D629FA">
        <w:rPr>
          <w:rFonts w:ascii="ZWAdobeF" w:hAnsi="ZWAdobeF" w:cs="ZWAdobeF"/>
          <w:color w:val="auto"/>
          <w:sz w:val="2"/>
          <w:szCs w:val="2"/>
        </w:rPr>
        <w:t>97F</w:t>
      </w:r>
      <w:r w:rsidR="0049638A">
        <w:rPr>
          <w:rFonts w:ascii="ZWAdobeF" w:hAnsi="ZWAdobeF" w:cs="ZWAdobeF"/>
          <w:color w:val="auto"/>
          <w:sz w:val="2"/>
          <w:szCs w:val="2"/>
        </w:rPr>
        <w:t>97F</w:t>
      </w:r>
      <w:r w:rsidR="000D4978">
        <w:rPr>
          <w:rFonts w:ascii="ZWAdobeF" w:hAnsi="ZWAdobeF" w:cs="ZWAdobeF"/>
          <w:color w:val="auto"/>
          <w:sz w:val="2"/>
          <w:szCs w:val="2"/>
        </w:rPr>
        <w:t>97F</w:t>
      </w:r>
      <w:r w:rsidR="00CE3A23">
        <w:rPr>
          <w:rStyle w:val="FootnoteReference"/>
        </w:rPr>
        <w:footnoteReference w:id="99"/>
      </w:r>
      <w:r w:rsidR="00CE3A23">
        <w:t xml:space="preserve"> </w:t>
      </w:r>
    </w:p>
    <w:p w14:paraId="31F7A61F" w14:textId="1BB61D03" w:rsidR="00CE3A23" w:rsidRDefault="00BD5C95" w:rsidP="00CE3A23">
      <w:pPr>
        <w:pStyle w:val="BodyText"/>
      </w:pPr>
      <w:r>
        <w:rPr>
          <w:rFonts w:ascii="ZWAdobeF" w:hAnsi="ZWAdobeF" w:cs="ZWAdobeF"/>
          <w:color w:val="auto"/>
          <w:sz w:val="2"/>
          <w:szCs w:val="2"/>
        </w:rPr>
        <w:t>27B</w:t>
      </w:r>
      <w:r w:rsidR="0049638A">
        <w:rPr>
          <w:rFonts w:ascii="ZWAdobeF" w:hAnsi="ZWAdobeF" w:cs="ZWAdobeF"/>
          <w:color w:val="auto"/>
          <w:sz w:val="2"/>
          <w:szCs w:val="2"/>
        </w:rPr>
        <w:t>27B</w:t>
      </w:r>
      <w:r w:rsidR="00D629FA">
        <w:rPr>
          <w:rFonts w:ascii="ZWAdobeF" w:hAnsi="ZWAdobeF" w:cs="ZWAdobeF"/>
          <w:color w:val="auto"/>
          <w:sz w:val="2"/>
          <w:szCs w:val="2"/>
        </w:rPr>
        <w:t>27B</w:t>
      </w:r>
      <w:r w:rsidR="00CE3A23">
        <w:t>Submissions in favour of certification saw this process as having the following benefits:</w:t>
      </w:r>
    </w:p>
    <w:p w14:paraId="04ACC670" w14:textId="1CC06381" w:rsidR="00CE3A23" w:rsidRDefault="00BD5C95" w:rsidP="003E2524">
      <w:pPr>
        <w:pStyle w:val="BodyTextnonum"/>
        <w:numPr>
          <w:ilvl w:val="3"/>
          <w:numId w:val="34"/>
        </w:numPr>
      </w:pPr>
      <w:r>
        <w:rPr>
          <w:rFonts w:ascii="ZWAdobeF" w:hAnsi="ZWAdobeF" w:cs="ZWAdobeF"/>
          <w:color w:val="auto"/>
          <w:sz w:val="2"/>
          <w:szCs w:val="2"/>
        </w:rPr>
        <w:t>598B</w:t>
      </w:r>
      <w:r w:rsidR="0049638A">
        <w:rPr>
          <w:rFonts w:ascii="ZWAdobeF" w:hAnsi="ZWAdobeF" w:cs="ZWAdobeF"/>
          <w:color w:val="auto"/>
          <w:sz w:val="2"/>
          <w:szCs w:val="2"/>
        </w:rPr>
        <w:t>598B</w:t>
      </w:r>
      <w:r w:rsidR="00D629FA">
        <w:rPr>
          <w:rFonts w:ascii="ZWAdobeF" w:hAnsi="ZWAdobeF" w:cs="ZWAdobeF"/>
          <w:color w:val="auto"/>
          <w:sz w:val="2"/>
          <w:szCs w:val="2"/>
        </w:rPr>
        <w:t>598B</w:t>
      </w:r>
      <w:r w:rsidR="00CE3A23">
        <w:t>Preventing vexatious or unsuitable claims.</w:t>
      </w:r>
    </w:p>
    <w:p w14:paraId="73455BA0" w14:textId="7E9B094A" w:rsidR="00CE3A23" w:rsidRDefault="00BD5C95" w:rsidP="003E2524">
      <w:pPr>
        <w:pStyle w:val="BodyTextnonum"/>
        <w:numPr>
          <w:ilvl w:val="3"/>
          <w:numId w:val="34"/>
        </w:numPr>
      </w:pPr>
      <w:r>
        <w:rPr>
          <w:rFonts w:ascii="ZWAdobeF" w:hAnsi="ZWAdobeF" w:cs="ZWAdobeF"/>
          <w:color w:val="auto"/>
          <w:sz w:val="2"/>
          <w:szCs w:val="2"/>
        </w:rPr>
        <w:t>599B</w:t>
      </w:r>
      <w:r w:rsidR="0049638A">
        <w:rPr>
          <w:rFonts w:ascii="ZWAdobeF" w:hAnsi="ZWAdobeF" w:cs="ZWAdobeF"/>
          <w:color w:val="auto"/>
          <w:sz w:val="2"/>
          <w:szCs w:val="2"/>
        </w:rPr>
        <w:t>599B</w:t>
      </w:r>
      <w:r w:rsidR="00D629FA">
        <w:rPr>
          <w:rFonts w:ascii="ZWAdobeF" w:hAnsi="ZWAdobeF" w:cs="ZWAdobeF"/>
          <w:color w:val="auto"/>
          <w:sz w:val="2"/>
          <w:szCs w:val="2"/>
        </w:rPr>
        <w:t>599B</w:t>
      </w:r>
      <w:r w:rsidR="00CE3A23">
        <w:t>Enabling the early identification and management of issues.</w:t>
      </w:r>
    </w:p>
    <w:p w14:paraId="46D8F805" w14:textId="6912502F" w:rsidR="00CE3A23" w:rsidRDefault="00BD5C95" w:rsidP="003E2524">
      <w:pPr>
        <w:pStyle w:val="BodyTextnonum"/>
        <w:numPr>
          <w:ilvl w:val="3"/>
          <w:numId w:val="34"/>
        </w:numPr>
      </w:pPr>
      <w:r>
        <w:rPr>
          <w:rFonts w:ascii="ZWAdobeF" w:hAnsi="ZWAdobeF" w:cs="ZWAdobeF"/>
          <w:color w:val="auto"/>
          <w:sz w:val="2"/>
          <w:szCs w:val="2"/>
        </w:rPr>
        <w:t>600B</w:t>
      </w:r>
      <w:r w:rsidR="0049638A">
        <w:rPr>
          <w:rFonts w:ascii="ZWAdobeF" w:hAnsi="ZWAdobeF" w:cs="ZWAdobeF"/>
          <w:color w:val="auto"/>
          <w:sz w:val="2"/>
          <w:szCs w:val="2"/>
        </w:rPr>
        <w:t>600B</w:t>
      </w:r>
      <w:r w:rsidR="00D629FA">
        <w:rPr>
          <w:rFonts w:ascii="ZWAdobeF" w:hAnsi="ZWAdobeF" w:cs="ZWAdobeF"/>
          <w:color w:val="auto"/>
          <w:sz w:val="2"/>
          <w:szCs w:val="2"/>
        </w:rPr>
        <w:t>600B</w:t>
      </w:r>
      <w:r w:rsidR="00CE3A23">
        <w:t>Helping to proactively manage conflicts of interests.</w:t>
      </w:r>
    </w:p>
    <w:p w14:paraId="0CAFAB11" w14:textId="7CD3EC04" w:rsidR="00CE3A23" w:rsidRDefault="00BD5C95" w:rsidP="003E2524">
      <w:pPr>
        <w:pStyle w:val="BodyTextnonum"/>
        <w:numPr>
          <w:ilvl w:val="3"/>
          <w:numId w:val="34"/>
        </w:numPr>
      </w:pPr>
      <w:r>
        <w:rPr>
          <w:rFonts w:ascii="ZWAdobeF" w:hAnsi="ZWAdobeF" w:cs="ZWAdobeF"/>
          <w:color w:val="auto"/>
          <w:sz w:val="2"/>
          <w:szCs w:val="2"/>
        </w:rPr>
        <w:t>601B</w:t>
      </w:r>
      <w:r w:rsidR="0049638A">
        <w:rPr>
          <w:rFonts w:ascii="ZWAdobeF" w:hAnsi="ZWAdobeF" w:cs="ZWAdobeF"/>
          <w:color w:val="auto"/>
          <w:sz w:val="2"/>
          <w:szCs w:val="2"/>
        </w:rPr>
        <w:t>601B</w:t>
      </w:r>
      <w:r w:rsidR="00D629FA">
        <w:rPr>
          <w:rFonts w:ascii="ZWAdobeF" w:hAnsi="ZWAdobeF" w:cs="ZWAdobeF"/>
          <w:color w:val="auto"/>
          <w:sz w:val="2"/>
          <w:szCs w:val="2"/>
        </w:rPr>
        <w:t>601B</w:t>
      </w:r>
      <w:r w:rsidR="00CE3A23">
        <w:t>Providing an opportunity to manage competing class actions.</w:t>
      </w:r>
    </w:p>
    <w:p w14:paraId="4A425715" w14:textId="4489FDA1" w:rsidR="00CE3A23" w:rsidRDefault="00BD5C95" w:rsidP="003E2524">
      <w:pPr>
        <w:pStyle w:val="BodyTextnonum"/>
        <w:numPr>
          <w:ilvl w:val="3"/>
          <w:numId w:val="34"/>
        </w:numPr>
      </w:pPr>
      <w:r>
        <w:rPr>
          <w:rFonts w:ascii="ZWAdobeF" w:hAnsi="ZWAdobeF" w:cs="ZWAdobeF"/>
          <w:color w:val="auto"/>
          <w:sz w:val="2"/>
          <w:szCs w:val="2"/>
        </w:rPr>
        <w:t>602B</w:t>
      </w:r>
      <w:r w:rsidR="0049638A">
        <w:rPr>
          <w:rFonts w:ascii="ZWAdobeF" w:hAnsi="ZWAdobeF" w:cs="ZWAdobeF"/>
          <w:color w:val="auto"/>
          <w:sz w:val="2"/>
          <w:szCs w:val="2"/>
        </w:rPr>
        <w:t>602B</w:t>
      </w:r>
      <w:r w:rsidR="00D629FA">
        <w:rPr>
          <w:rFonts w:ascii="ZWAdobeF" w:hAnsi="ZWAdobeF" w:cs="ZWAdobeF"/>
          <w:color w:val="auto"/>
          <w:sz w:val="2"/>
          <w:szCs w:val="2"/>
        </w:rPr>
        <w:t>602B</w:t>
      </w:r>
      <w:r w:rsidR="00CE3A23">
        <w:t>Ensuring class members are protected, particularly in opt-out class actions.</w:t>
      </w:r>
    </w:p>
    <w:p w14:paraId="6E13AB66" w14:textId="73E5736C" w:rsidR="00CE3A23" w:rsidRDefault="00BD5C95" w:rsidP="003E2524">
      <w:pPr>
        <w:pStyle w:val="BodyTextnonum"/>
        <w:numPr>
          <w:ilvl w:val="3"/>
          <w:numId w:val="34"/>
        </w:numPr>
      </w:pPr>
      <w:r>
        <w:rPr>
          <w:rFonts w:ascii="ZWAdobeF" w:hAnsi="ZWAdobeF" w:cs="ZWAdobeF"/>
          <w:color w:val="auto"/>
          <w:sz w:val="2"/>
          <w:szCs w:val="2"/>
        </w:rPr>
        <w:t>603B</w:t>
      </w:r>
      <w:r w:rsidR="0049638A">
        <w:rPr>
          <w:rFonts w:ascii="ZWAdobeF" w:hAnsi="ZWAdobeF" w:cs="ZWAdobeF"/>
          <w:color w:val="auto"/>
          <w:sz w:val="2"/>
          <w:szCs w:val="2"/>
        </w:rPr>
        <w:t>603B</w:t>
      </w:r>
      <w:r w:rsidR="00D629FA">
        <w:rPr>
          <w:rFonts w:ascii="ZWAdobeF" w:hAnsi="ZWAdobeF" w:cs="ZWAdobeF"/>
          <w:color w:val="auto"/>
          <w:sz w:val="2"/>
          <w:szCs w:val="2"/>
        </w:rPr>
        <w:t>603B</w:t>
      </w:r>
      <w:r w:rsidR="00CE3A23">
        <w:t>Ensuring that claims are properly pleaded.</w:t>
      </w:r>
    </w:p>
    <w:p w14:paraId="03A3620B" w14:textId="4B4D69ED" w:rsidR="00CE3A23" w:rsidRDefault="00BD5C95" w:rsidP="003E2524">
      <w:pPr>
        <w:pStyle w:val="BodyTextnonum"/>
        <w:numPr>
          <w:ilvl w:val="3"/>
          <w:numId w:val="34"/>
        </w:numPr>
      </w:pPr>
      <w:r>
        <w:rPr>
          <w:rFonts w:ascii="ZWAdobeF" w:hAnsi="ZWAdobeF" w:cs="ZWAdobeF"/>
          <w:color w:val="auto"/>
          <w:sz w:val="2"/>
          <w:szCs w:val="2"/>
        </w:rPr>
        <w:t>604B</w:t>
      </w:r>
      <w:r w:rsidR="0049638A">
        <w:rPr>
          <w:rFonts w:ascii="ZWAdobeF" w:hAnsi="ZWAdobeF" w:cs="ZWAdobeF"/>
          <w:color w:val="auto"/>
          <w:sz w:val="2"/>
          <w:szCs w:val="2"/>
        </w:rPr>
        <w:t>604B</w:t>
      </w:r>
      <w:r w:rsidR="00D629FA">
        <w:rPr>
          <w:rFonts w:ascii="ZWAdobeF" w:hAnsi="ZWAdobeF" w:cs="ZWAdobeF"/>
          <w:color w:val="auto"/>
          <w:sz w:val="2"/>
          <w:szCs w:val="2"/>
        </w:rPr>
        <w:t>604B</w:t>
      </w:r>
      <w:r w:rsidR="00CE3A23">
        <w:t>Placing the onus on a plaintiff to show that a claim has been properly brought, rather than leaving it to the defendant to raise any issues.</w:t>
      </w:r>
    </w:p>
    <w:p w14:paraId="2DF4E862" w14:textId="3974A792" w:rsidR="00CE3A23" w:rsidRDefault="00BD5C95" w:rsidP="00CE3A23">
      <w:pPr>
        <w:pStyle w:val="BodyText"/>
        <w:tabs>
          <w:tab w:val="num" w:pos="709"/>
        </w:tabs>
      </w:pPr>
      <w:r>
        <w:rPr>
          <w:rFonts w:ascii="ZWAdobeF" w:hAnsi="ZWAdobeF" w:cs="ZWAdobeF"/>
          <w:color w:val="auto"/>
          <w:sz w:val="2"/>
          <w:szCs w:val="2"/>
        </w:rPr>
        <w:t>28B</w:t>
      </w:r>
      <w:r w:rsidR="0049638A">
        <w:rPr>
          <w:rFonts w:ascii="ZWAdobeF" w:hAnsi="ZWAdobeF" w:cs="ZWAdobeF"/>
          <w:color w:val="auto"/>
          <w:sz w:val="2"/>
          <w:szCs w:val="2"/>
        </w:rPr>
        <w:t>28B</w:t>
      </w:r>
      <w:r w:rsidR="00D629FA">
        <w:rPr>
          <w:rFonts w:ascii="ZWAdobeF" w:hAnsi="ZWAdobeF" w:cs="ZWAdobeF"/>
          <w:color w:val="auto"/>
          <w:sz w:val="2"/>
          <w:szCs w:val="2"/>
        </w:rPr>
        <w:t>28B</w:t>
      </w:r>
      <w:r w:rsidR="00CE3A23">
        <w:t xml:space="preserve">Key themes in submissions opposed to certification were: </w:t>
      </w:r>
    </w:p>
    <w:p w14:paraId="2783CDC5" w14:textId="0C01BB21" w:rsidR="00CE3A23" w:rsidRDefault="00BD5C95" w:rsidP="003E2524">
      <w:pPr>
        <w:pStyle w:val="BodyTextnonum"/>
        <w:numPr>
          <w:ilvl w:val="3"/>
          <w:numId w:val="34"/>
        </w:numPr>
        <w:tabs>
          <w:tab w:val="num" w:pos="709"/>
        </w:tabs>
      </w:pPr>
      <w:r>
        <w:rPr>
          <w:rFonts w:ascii="ZWAdobeF" w:hAnsi="ZWAdobeF" w:cs="ZWAdobeF"/>
          <w:color w:val="auto"/>
          <w:sz w:val="2"/>
          <w:szCs w:val="2"/>
        </w:rPr>
        <w:t>605B</w:t>
      </w:r>
      <w:r w:rsidR="0049638A">
        <w:rPr>
          <w:rFonts w:ascii="ZWAdobeF" w:hAnsi="ZWAdobeF" w:cs="ZWAdobeF"/>
          <w:color w:val="auto"/>
          <w:sz w:val="2"/>
          <w:szCs w:val="2"/>
        </w:rPr>
        <w:t>605B</w:t>
      </w:r>
      <w:r w:rsidR="00D629FA">
        <w:rPr>
          <w:rFonts w:ascii="ZWAdobeF" w:hAnsi="ZWAdobeF" w:cs="ZWAdobeF"/>
          <w:color w:val="auto"/>
          <w:sz w:val="2"/>
          <w:szCs w:val="2"/>
        </w:rPr>
        <w:t>605B</w:t>
      </w:r>
      <w:r w:rsidR="00CE3A23">
        <w:t>Certification could be cumbersome and costly and may be an unreasonable barrier to bringing meritorious claims.</w:t>
      </w:r>
    </w:p>
    <w:p w14:paraId="0679D410" w14:textId="2CA333AA" w:rsidR="00CE3A23" w:rsidRDefault="00BD5C95" w:rsidP="003E2524">
      <w:pPr>
        <w:pStyle w:val="BodyTextnonum"/>
        <w:numPr>
          <w:ilvl w:val="3"/>
          <w:numId w:val="34"/>
        </w:numPr>
        <w:tabs>
          <w:tab w:val="num" w:pos="709"/>
        </w:tabs>
      </w:pPr>
      <w:r>
        <w:rPr>
          <w:rFonts w:ascii="ZWAdobeF" w:hAnsi="ZWAdobeF" w:cs="ZWAdobeF"/>
          <w:color w:val="auto"/>
          <w:sz w:val="2"/>
          <w:szCs w:val="2"/>
        </w:rPr>
        <w:t>606B</w:t>
      </w:r>
      <w:r w:rsidR="0049638A">
        <w:rPr>
          <w:rFonts w:ascii="ZWAdobeF" w:hAnsi="ZWAdobeF" w:cs="ZWAdobeF"/>
          <w:color w:val="auto"/>
          <w:sz w:val="2"/>
          <w:szCs w:val="2"/>
        </w:rPr>
        <w:t>606B</w:t>
      </w:r>
      <w:r w:rsidR="00D629FA">
        <w:rPr>
          <w:rFonts w:ascii="ZWAdobeF" w:hAnsi="ZWAdobeF" w:cs="ZWAdobeF"/>
          <w:color w:val="auto"/>
          <w:sz w:val="2"/>
          <w:szCs w:val="2"/>
        </w:rPr>
        <w:t>606B</w:t>
      </w:r>
      <w:r w:rsidR="00CE3A23">
        <w:t>The Australian approach of having powers to discontinue a class action is preferable.</w:t>
      </w:r>
    </w:p>
    <w:p w14:paraId="0AC926F5" w14:textId="43EE6B9D" w:rsidR="00CE3A23" w:rsidRDefault="00BD5C95" w:rsidP="003E2524">
      <w:pPr>
        <w:pStyle w:val="BodyTextnonum"/>
        <w:numPr>
          <w:ilvl w:val="3"/>
          <w:numId w:val="34"/>
        </w:numPr>
        <w:tabs>
          <w:tab w:val="num" w:pos="709"/>
        </w:tabs>
      </w:pPr>
      <w:r>
        <w:rPr>
          <w:rFonts w:ascii="ZWAdobeF" w:hAnsi="ZWAdobeF" w:cs="ZWAdobeF"/>
          <w:color w:val="auto"/>
          <w:sz w:val="2"/>
          <w:szCs w:val="2"/>
        </w:rPr>
        <w:lastRenderedPageBreak/>
        <w:t>607B</w:t>
      </w:r>
      <w:r w:rsidR="0049638A">
        <w:rPr>
          <w:rFonts w:ascii="ZWAdobeF" w:hAnsi="ZWAdobeF" w:cs="ZWAdobeF"/>
          <w:color w:val="auto"/>
          <w:sz w:val="2"/>
          <w:szCs w:val="2"/>
        </w:rPr>
        <w:t>607B</w:t>
      </w:r>
      <w:r w:rsidR="00D629FA">
        <w:rPr>
          <w:rFonts w:ascii="ZWAdobeF" w:hAnsi="ZWAdobeF" w:cs="ZWAdobeF"/>
          <w:color w:val="auto"/>
          <w:sz w:val="2"/>
          <w:szCs w:val="2"/>
        </w:rPr>
        <w:t>607B</w:t>
      </w:r>
      <w:r w:rsidR="00CE3A23">
        <w:t xml:space="preserve">The risk of vexatious or meritless claims is overstated and the risk of adverse costs provides a deterrent. Defendants have alternative means of challenging meritless or vexatious claims, such as strike-out. </w:t>
      </w:r>
    </w:p>
    <w:p w14:paraId="61E840DF" w14:textId="40E59E15" w:rsidR="00CE3A23" w:rsidRDefault="00BD5C95" w:rsidP="00CE3A23">
      <w:pPr>
        <w:pStyle w:val="BodyText"/>
        <w:tabs>
          <w:tab w:val="num" w:pos="709"/>
        </w:tabs>
      </w:pPr>
      <w:r>
        <w:rPr>
          <w:rFonts w:ascii="ZWAdobeF" w:hAnsi="ZWAdobeF" w:cs="ZWAdobeF"/>
          <w:color w:val="auto"/>
          <w:sz w:val="2"/>
          <w:szCs w:val="2"/>
        </w:rPr>
        <w:t>29B</w:t>
      </w:r>
      <w:r w:rsidR="0049638A">
        <w:rPr>
          <w:rFonts w:ascii="ZWAdobeF" w:hAnsi="ZWAdobeF" w:cs="ZWAdobeF"/>
          <w:color w:val="auto"/>
          <w:sz w:val="2"/>
          <w:szCs w:val="2"/>
        </w:rPr>
        <w:t>29B</w:t>
      </w:r>
      <w:r w:rsidR="00D629FA">
        <w:rPr>
          <w:rFonts w:ascii="ZWAdobeF" w:hAnsi="ZWAdobeF" w:cs="ZWAdobeF"/>
          <w:color w:val="auto"/>
          <w:sz w:val="2"/>
          <w:szCs w:val="2"/>
        </w:rPr>
        <w:t>29B</w:t>
      </w:r>
      <w:r w:rsidR="00CE3A23">
        <w:t>Some submitters also commented that it is difficult to assess the costs and benefits of certification in the abstract as it will depend on</w:t>
      </w:r>
      <w:r w:rsidR="00CE3A23" w:rsidDel="006D7452">
        <w:t xml:space="preserve"> </w:t>
      </w:r>
      <w:r w:rsidR="00CE3A23">
        <w:t xml:space="preserve">the requirements of the certification test. </w:t>
      </w:r>
    </w:p>
    <w:p w14:paraId="260D89DF" w14:textId="2AA617A3" w:rsidR="00CE3A23" w:rsidRDefault="00BD5C95" w:rsidP="00CE3A23">
      <w:pPr>
        <w:pStyle w:val="BodyText"/>
        <w:tabs>
          <w:tab w:val="num" w:pos="709"/>
        </w:tabs>
      </w:pPr>
      <w:r>
        <w:rPr>
          <w:rFonts w:ascii="ZWAdobeF" w:hAnsi="ZWAdobeF" w:cs="ZWAdobeF"/>
          <w:color w:val="auto"/>
          <w:sz w:val="2"/>
          <w:szCs w:val="2"/>
        </w:rPr>
        <w:t>30B</w:t>
      </w:r>
      <w:r w:rsidR="0049638A">
        <w:rPr>
          <w:rFonts w:ascii="ZWAdobeF" w:hAnsi="ZWAdobeF" w:cs="ZWAdobeF"/>
          <w:color w:val="auto"/>
          <w:sz w:val="2"/>
          <w:szCs w:val="2"/>
        </w:rPr>
        <w:t>30B</w:t>
      </w:r>
      <w:r w:rsidR="00D629FA">
        <w:rPr>
          <w:rFonts w:ascii="ZWAdobeF" w:hAnsi="ZWAdobeF" w:cs="ZWAdobeF"/>
          <w:color w:val="auto"/>
          <w:sz w:val="2"/>
          <w:szCs w:val="2"/>
        </w:rPr>
        <w:t>30B</w:t>
      </w:r>
      <w:r w:rsidR="00CE3A23">
        <w:t xml:space="preserve">We have formed the view that a class actions regime should have a certification stage.  While class actions may provide improved access to justice for plaintiffs and class members, they also place a significant burden on defendants and the court system. Class actions also risk insufficient protection of class members’ interests. Many submitters highlighted the importance of the court’s supervisory jurisdiction as a way of protecting class members and saw certification as a key part of this. </w:t>
      </w:r>
    </w:p>
    <w:p w14:paraId="706F0833" w14:textId="53ADB5A7" w:rsidR="00CE3A23" w:rsidRDefault="00BD5C95" w:rsidP="00CE3A23">
      <w:pPr>
        <w:pStyle w:val="BodyText"/>
        <w:tabs>
          <w:tab w:val="num" w:pos="709"/>
        </w:tabs>
      </w:pPr>
      <w:r>
        <w:rPr>
          <w:rFonts w:ascii="ZWAdobeF" w:hAnsi="ZWAdobeF" w:cs="ZWAdobeF"/>
          <w:color w:val="auto"/>
          <w:sz w:val="2"/>
          <w:szCs w:val="2"/>
        </w:rPr>
        <w:t>31B</w:t>
      </w:r>
      <w:r w:rsidR="0049638A">
        <w:rPr>
          <w:rFonts w:ascii="ZWAdobeF" w:hAnsi="ZWAdobeF" w:cs="ZWAdobeF"/>
          <w:color w:val="auto"/>
          <w:sz w:val="2"/>
          <w:szCs w:val="2"/>
        </w:rPr>
        <w:t>31B</w:t>
      </w:r>
      <w:r w:rsidR="00D629FA">
        <w:rPr>
          <w:rFonts w:ascii="ZWAdobeF" w:hAnsi="ZWAdobeF" w:cs="ZWAdobeF"/>
          <w:color w:val="auto"/>
          <w:sz w:val="2"/>
          <w:szCs w:val="2"/>
        </w:rPr>
        <w:t>31B</w:t>
      </w:r>
      <w:r w:rsidR="00CE3A23">
        <w:t>A certification stage will also provide an early opportunity to consider issues such as whether the c</w:t>
      </w:r>
      <w:r w:rsidR="00036219">
        <w:t>ase</w:t>
      </w:r>
      <w:r w:rsidR="00CE3A23">
        <w:t xml:space="preserve"> should proceed as</w:t>
      </w:r>
      <w:r w:rsidR="00D90A8A">
        <w:t xml:space="preserve"> an</w:t>
      </w:r>
      <w:r w:rsidR="00036219">
        <w:t xml:space="preserve"> opt-in class action or an opt-out class action </w:t>
      </w:r>
      <w:r w:rsidR="00CE3A23">
        <w:t>and how competing class actions should be managed.</w:t>
      </w:r>
      <w:r w:rsidR="00D629FA">
        <w:rPr>
          <w:rFonts w:ascii="ZWAdobeF" w:hAnsi="ZWAdobeF" w:cs="ZWAdobeF"/>
          <w:color w:val="auto"/>
          <w:sz w:val="2"/>
          <w:szCs w:val="2"/>
        </w:rPr>
        <w:t>98F</w:t>
      </w:r>
      <w:r w:rsidR="0049638A">
        <w:rPr>
          <w:rFonts w:ascii="ZWAdobeF" w:hAnsi="ZWAdobeF" w:cs="ZWAdobeF"/>
          <w:color w:val="auto"/>
          <w:sz w:val="2"/>
          <w:szCs w:val="2"/>
        </w:rPr>
        <w:t>98F</w:t>
      </w:r>
      <w:r w:rsidR="000D4978">
        <w:rPr>
          <w:rFonts w:ascii="ZWAdobeF" w:hAnsi="ZWAdobeF" w:cs="ZWAdobeF"/>
          <w:color w:val="auto"/>
          <w:sz w:val="2"/>
          <w:szCs w:val="2"/>
        </w:rPr>
        <w:t>98F</w:t>
      </w:r>
      <w:r w:rsidR="00CE3A23">
        <w:rPr>
          <w:rStyle w:val="FootnoteReference"/>
        </w:rPr>
        <w:footnoteReference w:id="100"/>
      </w:r>
      <w:r w:rsidR="00CE3A23">
        <w:t xml:space="preserve"> Having to meet a certification test could deter meritless or vexatious class actions although, as we discuss below, we consider the risk of such claims to be relatively low. </w:t>
      </w:r>
    </w:p>
    <w:p w14:paraId="6E9A84B6" w14:textId="144F0817" w:rsidR="00CE3A23" w:rsidRDefault="00BD5C95" w:rsidP="00CE3A23">
      <w:pPr>
        <w:pStyle w:val="BodyText"/>
        <w:tabs>
          <w:tab w:val="num" w:pos="709"/>
        </w:tabs>
      </w:pPr>
      <w:r>
        <w:rPr>
          <w:rFonts w:ascii="ZWAdobeF" w:hAnsi="ZWAdobeF" w:cs="ZWAdobeF"/>
          <w:color w:val="auto"/>
          <w:sz w:val="2"/>
          <w:szCs w:val="2"/>
        </w:rPr>
        <w:t>32B</w:t>
      </w:r>
      <w:r w:rsidR="0049638A">
        <w:rPr>
          <w:rFonts w:ascii="ZWAdobeF" w:hAnsi="ZWAdobeF" w:cs="ZWAdobeF"/>
          <w:color w:val="auto"/>
          <w:sz w:val="2"/>
          <w:szCs w:val="2"/>
        </w:rPr>
        <w:t>32B</w:t>
      </w:r>
      <w:r w:rsidR="00D629FA">
        <w:rPr>
          <w:rFonts w:ascii="ZWAdobeF" w:hAnsi="ZWAdobeF" w:cs="ZWAdobeF"/>
          <w:color w:val="auto"/>
          <w:sz w:val="2"/>
          <w:szCs w:val="2"/>
        </w:rPr>
        <w:t>32B</w:t>
      </w:r>
      <w:r w:rsidR="00CE3A23">
        <w:t>We acknowledge the concern that certification could cause unwarranted cost and delay and make it more difficult for plaintiffs to commence proceedings. We think this will depend in large part on the requirements of the test, and we have taken this concern into account when developing our proposed certification test. We also note that in most cases under HCR 4.24, applicants must obtain an order allowing the claim to proceed as a representative action and this has not posed an insurmountable barrier.</w:t>
      </w:r>
      <w:r w:rsidR="00D629FA">
        <w:rPr>
          <w:rFonts w:ascii="ZWAdobeF" w:hAnsi="ZWAdobeF" w:cs="ZWAdobeF"/>
          <w:color w:val="auto"/>
          <w:sz w:val="2"/>
          <w:szCs w:val="2"/>
        </w:rPr>
        <w:t>99F</w:t>
      </w:r>
      <w:r w:rsidR="0049638A">
        <w:rPr>
          <w:rFonts w:ascii="ZWAdobeF" w:hAnsi="ZWAdobeF" w:cs="ZWAdobeF"/>
          <w:color w:val="auto"/>
          <w:sz w:val="2"/>
          <w:szCs w:val="2"/>
        </w:rPr>
        <w:t>99F</w:t>
      </w:r>
      <w:r w:rsidR="000D4978">
        <w:rPr>
          <w:rFonts w:ascii="ZWAdobeF" w:hAnsi="ZWAdobeF" w:cs="ZWAdobeF"/>
          <w:color w:val="auto"/>
          <w:sz w:val="2"/>
          <w:szCs w:val="2"/>
        </w:rPr>
        <w:t>99F</w:t>
      </w:r>
      <w:r w:rsidR="00CE3A23">
        <w:rPr>
          <w:rStyle w:val="FootnoteReference"/>
        </w:rPr>
        <w:footnoteReference w:id="101"/>
      </w:r>
      <w:r w:rsidR="00CE3A23">
        <w:t xml:space="preserve"> If there were no certification stage, many preliminary issues would still need to be determined and there may be significant cost and delay associated with multiple interlocutory applications.</w:t>
      </w:r>
      <w:r w:rsidR="00D629FA">
        <w:rPr>
          <w:rFonts w:ascii="ZWAdobeF" w:hAnsi="ZWAdobeF" w:cs="ZWAdobeF"/>
          <w:color w:val="auto"/>
          <w:sz w:val="2"/>
          <w:szCs w:val="2"/>
        </w:rPr>
        <w:t>100F</w:t>
      </w:r>
      <w:r w:rsidR="0049638A">
        <w:rPr>
          <w:rFonts w:ascii="ZWAdobeF" w:hAnsi="ZWAdobeF" w:cs="ZWAdobeF"/>
          <w:color w:val="auto"/>
          <w:sz w:val="2"/>
          <w:szCs w:val="2"/>
        </w:rPr>
        <w:t>100F</w:t>
      </w:r>
      <w:r w:rsidR="000D4978">
        <w:rPr>
          <w:rFonts w:ascii="ZWAdobeF" w:hAnsi="ZWAdobeF" w:cs="ZWAdobeF"/>
          <w:color w:val="auto"/>
          <w:sz w:val="2"/>
          <w:szCs w:val="2"/>
        </w:rPr>
        <w:t>100F</w:t>
      </w:r>
      <w:r w:rsidR="00CE3A23">
        <w:rPr>
          <w:rStyle w:val="FootnoteReference"/>
        </w:rPr>
        <w:footnoteReference w:id="102"/>
      </w:r>
      <w:r w:rsidR="00CE3A23">
        <w:t xml:space="preserve">   </w:t>
      </w:r>
    </w:p>
    <w:p w14:paraId="468EE9B8" w14:textId="08B699B2" w:rsidR="00B763FB" w:rsidRDefault="00B763FB" w:rsidP="0016640A">
      <w:pPr>
        <w:pStyle w:val="Heading2"/>
      </w:pPr>
      <w:bookmarkStart w:id="48" w:name="_Toc83895435"/>
      <w:r>
        <w:t xml:space="preserve">Certification </w:t>
      </w:r>
      <w:r w:rsidR="00BC5713">
        <w:t>t</w:t>
      </w:r>
      <w:r>
        <w:t>est</w:t>
      </w:r>
      <w:bookmarkEnd w:id="48"/>
    </w:p>
    <w:p w14:paraId="73A91EA4" w14:textId="301B6E99" w:rsidR="00B763FB" w:rsidRDefault="00BD5C95" w:rsidP="00932E49">
      <w:pPr>
        <w:pStyle w:val="BodyText"/>
      </w:pPr>
      <w:r>
        <w:rPr>
          <w:rFonts w:ascii="ZWAdobeF" w:hAnsi="ZWAdobeF" w:cs="ZWAdobeF"/>
          <w:color w:val="auto"/>
          <w:sz w:val="2"/>
          <w:szCs w:val="2"/>
        </w:rPr>
        <w:t>33B</w:t>
      </w:r>
      <w:r w:rsidR="0049638A">
        <w:rPr>
          <w:rFonts w:ascii="ZWAdobeF" w:hAnsi="ZWAdobeF" w:cs="ZWAdobeF"/>
          <w:color w:val="auto"/>
          <w:sz w:val="2"/>
          <w:szCs w:val="2"/>
        </w:rPr>
        <w:t>33B</w:t>
      </w:r>
      <w:r w:rsidR="00D629FA">
        <w:rPr>
          <w:rFonts w:ascii="ZWAdobeF" w:hAnsi="ZWAdobeF" w:cs="ZWAdobeF"/>
          <w:color w:val="auto"/>
          <w:sz w:val="2"/>
          <w:szCs w:val="2"/>
        </w:rPr>
        <w:t>33B</w:t>
      </w:r>
      <w:r w:rsidR="00B763FB">
        <w:t>In this section we discuss the following issues</w:t>
      </w:r>
      <w:r w:rsidR="00663082">
        <w:t xml:space="preserve"> related to certification</w:t>
      </w:r>
      <w:r w:rsidR="00B763FB">
        <w:t>:</w:t>
      </w:r>
    </w:p>
    <w:p w14:paraId="3A0981E0" w14:textId="74244FEF" w:rsidR="00B763FB" w:rsidRDefault="00BD5C95" w:rsidP="003E2524">
      <w:pPr>
        <w:pStyle w:val="BodyTextnonum"/>
        <w:numPr>
          <w:ilvl w:val="3"/>
          <w:numId w:val="34"/>
        </w:numPr>
      </w:pPr>
      <w:r>
        <w:rPr>
          <w:rFonts w:ascii="ZWAdobeF" w:hAnsi="ZWAdobeF" w:cs="ZWAdobeF"/>
          <w:color w:val="auto"/>
          <w:sz w:val="2"/>
          <w:szCs w:val="2"/>
        </w:rPr>
        <w:t>608B</w:t>
      </w:r>
      <w:r w:rsidR="0049638A">
        <w:rPr>
          <w:rFonts w:ascii="ZWAdobeF" w:hAnsi="ZWAdobeF" w:cs="ZWAdobeF"/>
          <w:color w:val="auto"/>
          <w:sz w:val="2"/>
          <w:szCs w:val="2"/>
        </w:rPr>
        <w:t>608B</w:t>
      </w:r>
      <w:r w:rsidR="00D629FA">
        <w:rPr>
          <w:rFonts w:ascii="ZWAdobeF" w:hAnsi="ZWAdobeF" w:cs="ZWAdobeF"/>
          <w:color w:val="auto"/>
          <w:sz w:val="2"/>
          <w:szCs w:val="2"/>
        </w:rPr>
        <w:t>608B</w:t>
      </w:r>
      <w:r w:rsidR="00B763FB">
        <w:t>Commonality.</w:t>
      </w:r>
    </w:p>
    <w:p w14:paraId="19C83170" w14:textId="1B6105B2" w:rsidR="00B763FB" w:rsidRDefault="00BD5C95" w:rsidP="003E2524">
      <w:pPr>
        <w:pStyle w:val="BodyTextnonum"/>
        <w:numPr>
          <w:ilvl w:val="3"/>
          <w:numId w:val="34"/>
        </w:numPr>
      </w:pPr>
      <w:r>
        <w:rPr>
          <w:rFonts w:ascii="ZWAdobeF" w:hAnsi="ZWAdobeF" w:cs="ZWAdobeF"/>
          <w:color w:val="auto"/>
          <w:sz w:val="2"/>
          <w:szCs w:val="2"/>
        </w:rPr>
        <w:t>609B</w:t>
      </w:r>
      <w:r w:rsidR="0049638A">
        <w:rPr>
          <w:rFonts w:ascii="ZWAdobeF" w:hAnsi="ZWAdobeF" w:cs="ZWAdobeF"/>
          <w:color w:val="auto"/>
          <w:sz w:val="2"/>
          <w:szCs w:val="2"/>
        </w:rPr>
        <w:t>609B</w:t>
      </w:r>
      <w:r w:rsidR="00D629FA">
        <w:rPr>
          <w:rFonts w:ascii="ZWAdobeF" w:hAnsi="ZWAdobeF" w:cs="ZWAdobeF"/>
          <w:color w:val="auto"/>
          <w:sz w:val="2"/>
          <w:szCs w:val="2"/>
        </w:rPr>
        <w:t>609B</w:t>
      </w:r>
      <w:r w:rsidR="00B763FB">
        <w:t>Whether a class action is an appropriate procedure.</w:t>
      </w:r>
    </w:p>
    <w:p w14:paraId="301D5EF8" w14:textId="20348F0F" w:rsidR="00B763FB" w:rsidRDefault="00BD5C95" w:rsidP="003E2524">
      <w:pPr>
        <w:pStyle w:val="BodyTextnonum"/>
        <w:numPr>
          <w:ilvl w:val="3"/>
          <w:numId w:val="34"/>
        </w:numPr>
      </w:pPr>
      <w:r>
        <w:rPr>
          <w:rFonts w:ascii="ZWAdobeF" w:hAnsi="ZWAdobeF" w:cs="ZWAdobeF"/>
          <w:color w:val="auto"/>
          <w:sz w:val="2"/>
          <w:szCs w:val="2"/>
        </w:rPr>
        <w:t>610B</w:t>
      </w:r>
      <w:r w:rsidR="0049638A">
        <w:rPr>
          <w:rFonts w:ascii="ZWAdobeF" w:hAnsi="ZWAdobeF" w:cs="ZWAdobeF"/>
          <w:color w:val="auto"/>
          <w:sz w:val="2"/>
          <w:szCs w:val="2"/>
        </w:rPr>
        <w:t>610B</w:t>
      </w:r>
      <w:r w:rsidR="00D629FA">
        <w:rPr>
          <w:rFonts w:ascii="ZWAdobeF" w:hAnsi="ZWAdobeF" w:cs="ZWAdobeF"/>
          <w:color w:val="auto"/>
          <w:sz w:val="2"/>
          <w:szCs w:val="2"/>
        </w:rPr>
        <w:t>610B</w:t>
      </w:r>
      <w:r w:rsidR="00B763FB">
        <w:t>Membership of the class.</w:t>
      </w:r>
    </w:p>
    <w:p w14:paraId="71D11C4B" w14:textId="071A8A34" w:rsidR="00B763FB" w:rsidRDefault="00BD5C95" w:rsidP="003E2524">
      <w:pPr>
        <w:pStyle w:val="BodyTextnonum"/>
        <w:numPr>
          <w:ilvl w:val="3"/>
          <w:numId w:val="34"/>
        </w:numPr>
      </w:pPr>
      <w:r>
        <w:rPr>
          <w:rFonts w:ascii="ZWAdobeF" w:hAnsi="ZWAdobeF" w:cs="ZWAdobeF"/>
          <w:color w:val="auto"/>
          <w:sz w:val="2"/>
          <w:szCs w:val="2"/>
        </w:rPr>
        <w:t>611B</w:t>
      </w:r>
      <w:r w:rsidR="0049638A">
        <w:rPr>
          <w:rFonts w:ascii="ZWAdobeF" w:hAnsi="ZWAdobeF" w:cs="ZWAdobeF"/>
          <w:color w:val="auto"/>
          <w:sz w:val="2"/>
          <w:szCs w:val="2"/>
        </w:rPr>
        <w:t>611B</w:t>
      </w:r>
      <w:r w:rsidR="00D629FA">
        <w:rPr>
          <w:rFonts w:ascii="ZWAdobeF" w:hAnsi="ZWAdobeF" w:cs="ZWAdobeF"/>
          <w:color w:val="auto"/>
          <w:sz w:val="2"/>
          <w:szCs w:val="2"/>
        </w:rPr>
        <w:t>611B</w:t>
      </w:r>
      <w:r w:rsidR="00B763FB">
        <w:t>Preliminary merits test or cost-benefit analysis.</w:t>
      </w:r>
    </w:p>
    <w:p w14:paraId="7E375F08" w14:textId="4D386229" w:rsidR="00B763FB" w:rsidRDefault="00BD5C95" w:rsidP="003E2524">
      <w:pPr>
        <w:pStyle w:val="BodyTextnonum"/>
        <w:numPr>
          <w:ilvl w:val="3"/>
          <w:numId w:val="34"/>
        </w:numPr>
      </w:pPr>
      <w:r>
        <w:rPr>
          <w:rFonts w:ascii="ZWAdobeF" w:hAnsi="ZWAdobeF" w:cs="ZWAdobeF"/>
          <w:color w:val="auto"/>
          <w:sz w:val="2"/>
          <w:szCs w:val="2"/>
        </w:rPr>
        <w:t>612B</w:t>
      </w:r>
      <w:r w:rsidR="0049638A">
        <w:rPr>
          <w:rFonts w:ascii="ZWAdobeF" w:hAnsi="ZWAdobeF" w:cs="ZWAdobeF"/>
          <w:color w:val="auto"/>
          <w:sz w:val="2"/>
          <w:szCs w:val="2"/>
        </w:rPr>
        <w:t>612B</w:t>
      </w:r>
      <w:r w:rsidR="00D629FA">
        <w:rPr>
          <w:rFonts w:ascii="ZWAdobeF" w:hAnsi="ZWAdobeF" w:cs="ZWAdobeF"/>
          <w:color w:val="auto"/>
          <w:sz w:val="2"/>
          <w:szCs w:val="2"/>
        </w:rPr>
        <w:t>612B</w:t>
      </w:r>
      <w:r w:rsidR="00B763FB">
        <w:t>Suitability of the representative plaintiff.</w:t>
      </w:r>
    </w:p>
    <w:p w14:paraId="2D45A46D" w14:textId="517D4121" w:rsidR="00B763FB" w:rsidRDefault="00BD5C95" w:rsidP="003E2524">
      <w:pPr>
        <w:pStyle w:val="BodyTextnonum"/>
        <w:numPr>
          <w:ilvl w:val="3"/>
          <w:numId w:val="34"/>
        </w:numPr>
      </w:pPr>
      <w:r>
        <w:rPr>
          <w:rFonts w:ascii="ZWAdobeF" w:hAnsi="ZWAdobeF" w:cs="ZWAdobeF"/>
          <w:color w:val="auto"/>
          <w:sz w:val="2"/>
          <w:szCs w:val="2"/>
        </w:rPr>
        <w:t>613B</w:t>
      </w:r>
      <w:r w:rsidR="0049638A">
        <w:rPr>
          <w:rFonts w:ascii="ZWAdobeF" w:hAnsi="ZWAdobeF" w:cs="ZWAdobeF"/>
          <w:color w:val="auto"/>
          <w:sz w:val="2"/>
          <w:szCs w:val="2"/>
        </w:rPr>
        <w:t>613B</w:t>
      </w:r>
      <w:r w:rsidR="00D629FA">
        <w:rPr>
          <w:rFonts w:ascii="ZWAdobeF" w:hAnsi="ZWAdobeF" w:cs="ZWAdobeF"/>
          <w:color w:val="auto"/>
          <w:sz w:val="2"/>
          <w:szCs w:val="2"/>
        </w:rPr>
        <w:t>613B</w:t>
      </w:r>
      <w:r w:rsidR="00B763FB">
        <w:t>Litigation plan.</w:t>
      </w:r>
    </w:p>
    <w:p w14:paraId="63C1C070" w14:textId="280E8E7E" w:rsidR="00B763FB" w:rsidRDefault="00BD5C95" w:rsidP="003E2524">
      <w:pPr>
        <w:pStyle w:val="BodyTextnonum"/>
        <w:numPr>
          <w:ilvl w:val="3"/>
          <w:numId w:val="34"/>
        </w:numPr>
      </w:pPr>
      <w:r>
        <w:rPr>
          <w:rFonts w:ascii="ZWAdobeF" w:hAnsi="ZWAdobeF" w:cs="ZWAdobeF"/>
          <w:color w:val="auto"/>
          <w:sz w:val="2"/>
          <w:szCs w:val="2"/>
        </w:rPr>
        <w:lastRenderedPageBreak/>
        <w:t>614B</w:t>
      </w:r>
      <w:r w:rsidR="0049638A">
        <w:rPr>
          <w:rFonts w:ascii="ZWAdobeF" w:hAnsi="ZWAdobeF" w:cs="ZWAdobeF"/>
          <w:color w:val="auto"/>
          <w:sz w:val="2"/>
          <w:szCs w:val="2"/>
        </w:rPr>
        <w:t>614B</w:t>
      </w:r>
      <w:r w:rsidR="00D629FA">
        <w:rPr>
          <w:rFonts w:ascii="ZWAdobeF" w:hAnsi="ZWAdobeF" w:cs="ZWAdobeF"/>
          <w:color w:val="auto"/>
          <w:sz w:val="2"/>
          <w:szCs w:val="2"/>
        </w:rPr>
        <w:t>614B</w:t>
      </w:r>
      <w:r w:rsidR="00B763FB">
        <w:t xml:space="preserve">Litigation funding and certification.  </w:t>
      </w:r>
    </w:p>
    <w:p w14:paraId="1B007689" w14:textId="7503A645" w:rsidR="00B763FB" w:rsidRDefault="00BD5C95" w:rsidP="00932E49">
      <w:pPr>
        <w:pStyle w:val="BodyText"/>
      </w:pPr>
      <w:r>
        <w:rPr>
          <w:rFonts w:ascii="ZWAdobeF" w:hAnsi="ZWAdobeF" w:cs="ZWAdobeF"/>
          <w:color w:val="auto"/>
          <w:sz w:val="2"/>
          <w:szCs w:val="2"/>
        </w:rPr>
        <w:t>34B</w:t>
      </w:r>
      <w:r w:rsidR="0049638A">
        <w:rPr>
          <w:rFonts w:ascii="ZWAdobeF" w:hAnsi="ZWAdobeF" w:cs="ZWAdobeF"/>
          <w:color w:val="auto"/>
          <w:sz w:val="2"/>
          <w:szCs w:val="2"/>
        </w:rPr>
        <w:t>34B</w:t>
      </w:r>
      <w:r w:rsidR="00D629FA">
        <w:rPr>
          <w:rFonts w:ascii="ZWAdobeF" w:hAnsi="ZWAdobeF" w:cs="ZWAdobeF"/>
          <w:color w:val="auto"/>
          <w:sz w:val="2"/>
          <w:szCs w:val="2"/>
        </w:rPr>
        <w:t>34B</w:t>
      </w:r>
      <w:r w:rsidR="00B763FB">
        <w:t xml:space="preserve">We then outline our draft certification provision.  </w:t>
      </w:r>
    </w:p>
    <w:p w14:paraId="7BD0242E" w14:textId="77777777" w:rsidR="00B763FB" w:rsidRDefault="00B763FB" w:rsidP="0016640A">
      <w:pPr>
        <w:pStyle w:val="Heading3"/>
      </w:pPr>
      <w:r>
        <w:t>Commonality</w:t>
      </w:r>
    </w:p>
    <w:p w14:paraId="7B0904AC" w14:textId="1B4655FB" w:rsidR="00B763FB" w:rsidRDefault="00BD5C95" w:rsidP="00932E49">
      <w:pPr>
        <w:pStyle w:val="BodyText"/>
      </w:pPr>
      <w:r>
        <w:rPr>
          <w:rFonts w:ascii="ZWAdobeF" w:hAnsi="ZWAdobeF" w:cs="ZWAdobeF"/>
          <w:color w:val="auto"/>
          <w:sz w:val="2"/>
          <w:szCs w:val="2"/>
        </w:rPr>
        <w:t>35B</w:t>
      </w:r>
      <w:r w:rsidR="0049638A">
        <w:rPr>
          <w:rFonts w:ascii="ZWAdobeF" w:hAnsi="ZWAdobeF" w:cs="ZWAdobeF"/>
          <w:color w:val="auto"/>
          <w:sz w:val="2"/>
          <w:szCs w:val="2"/>
        </w:rPr>
        <w:t>35B</w:t>
      </w:r>
      <w:r w:rsidR="00D629FA">
        <w:rPr>
          <w:rFonts w:ascii="ZWAdobeF" w:hAnsi="ZWAdobeF" w:cs="ZWAdobeF"/>
          <w:color w:val="auto"/>
          <w:sz w:val="2"/>
          <w:szCs w:val="2"/>
        </w:rPr>
        <w:t>35B</w:t>
      </w:r>
      <w:r w:rsidR="00B763FB">
        <w:t xml:space="preserve">Our Issues Paper explained that the advantages of a class action can only be gained if the case will resolve </w:t>
      </w:r>
      <w:r w:rsidR="001239E0">
        <w:t>a</w:t>
      </w:r>
      <w:r w:rsidR="00B763FB">
        <w:t xml:space="preserve"> common issue for a group.</w:t>
      </w:r>
      <w:r w:rsidR="00D629FA">
        <w:rPr>
          <w:rFonts w:ascii="ZWAdobeF" w:hAnsi="ZWAdobeF" w:cs="ZWAdobeF"/>
          <w:color w:val="auto"/>
          <w:sz w:val="2"/>
          <w:szCs w:val="2"/>
        </w:rPr>
        <w:t>101F</w:t>
      </w:r>
      <w:r w:rsidR="0049638A">
        <w:rPr>
          <w:rFonts w:ascii="ZWAdobeF" w:hAnsi="ZWAdobeF" w:cs="ZWAdobeF"/>
          <w:color w:val="auto"/>
          <w:sz w:val="2"/>
          <w:szCs w:val="2"/>
        </w:rPr>
        <w:t>101F</w:t>
      </w:r>
      <w:r w:rsidR="000D4978">
        <w:rPr>
          <w:rFonts w:ascii="ZWAdobeF" w:hAnsi="ZWAdobeF" w:cs="ZWAdobeF"/>
          <w:color w:val="auto"/>
          <w:sz w:val="2"/>
          <w:szCs w:val="2"/>
        </w:rPr>
        <w:t>101F</w:t>
      </w:r>
      <w:r w:rsidR="00B763FB">
        <w:rPr>
          <w:rStyle w:val="FootnoteReference"/>
        </w:rPr>
        <w:footnoteReference w:id="103"/>
      </w:r>
      <w:r w:rsidR="00B763FB">
        <w:t xml:space="preserve"> We discussed the commonality test that applies under HCR 4.24, noting that the rule requires a person to bring a claim “on behalf of, or for the benefit of, all persons with the same interest in the subject matter of a proceeding</w:t>
      </w:r>
      <w:r w:rsidR="000A6BBD">
        <w:t>”.</w:t>
      </w:r>
      <w:r w:rsidR="00D629FA">
        <w:rPr>
          <w:rFonts w:ascii="ZWAdobeF" w:hAnsi="ZWAdobeF" w:cs="ZWAdobeF"/>
          <w:color w:val="auto"/>
          <w:sz w:val="2"/>
          <w:szCs w:val="2"/>
        </w:rPr>
        <w:t>102F</w:t>
      </w:r>
      <w:r w:rsidR="0049638A">
        <w:rPr>
          <w:rFonts w:ascii="ZWAdobeF" w:hAnsi="ZWAdobeF" w:cs="ZWAdobeF"/>
          <w:color w:val="auto"/>
          <w:sz w:val="2"/>
          <w:szCs w:val="2"/>
        </w:rPr>
        <w:t>102F</w:t>
      </w:r>
      <w:r w:rsidR="000D4978">
        <w:rPr>
          <w:rFonts w:ascii="ZWAdobeF" w:hAnsi="ZWAdobeF" w:cs="ZWAdobeF"/>
          <w:color w:val="auto"/>
          <w:sz w:val="2"/>
          <w:szCs w:val="2"/>
        </w:rPr>
        <w:t>102F</w:t>
      </w:r>
      <w:r w:rsidR="00C25BD8">
        <w:rPr>
          <w:rStyle w:val="FootnoteReference"/>
        </w:rPr>
        <w:footnoteReference w:id="104"/>
      </w:r>
      <w:r w:rsidR="00B763FB">
        <w:t xml:space="preserve"> Relevant principles developed by the courts include:</w:t>
      </w:r>
    </w:p>
    <w:p w14:paraId="24054661" w14:textId="745D3EFE" w:rsidR="00B763FB" w:rsidRDefault="00BD5C95" w:rsidP="003E2524">
      <w:pPr>
        <w:pStyle w:val="BodyTextalphalist"/>
        <w:numPr>
          <w:ilvl w:val="3"/>
          <w:numId w:val="32"/>
        </w:numPr>
        <w:tabs>
          <w:tab w:val="clear" w:pos="709"/>
          <w:tab w:val="clear" w:pos="1134"/>
        </w:tabs>
        <w:spacing w:after="80"/>
      </w:pPr>
      <w:r>
        <w:rPr>
          <w:rFonts w:ascii="ZWAdobeF" w:hAnsi="ZWAdobeF" w:cs="ZWAdobeF"/>
          <w:color w:val="auto"/>
          <w:sz w:val="2"/>
          <w:szCs w:val="2"/>
        </w:rPr>
        <w:t>569B</w:t>
      </w:r>
      <w:r w:rsidR="0049638A">
        <w:rPr>
          <w:rFonts w:ascii="ZWAdobeF" w:hAnsi="ZWAdobeF" w:cs="ZWAdobeF"/>
          <w:color w:val="auto"/>
          <w:sz w:val="2"/>
          <w:szCs w:val="2"/>
        </w:rPr>
        <w:t>569B</w:t>
      </w:r>
      <w:r w:rsidR="00D629FA">
        <w:rPr>
          <w:rFonts w:ascii="ZWAdobeF" w:hAnsi="ZWAdobeF" w:cs="ZWAdobeF"/>
          <w:color w:val="auto"/>
          <w:sz w:val="2"/>
          <w:szCs w:val="2"/>
        </w:rPr>
        <w:t>569B</w:t>
      </w:r>
      <w:r w:rsidR="00B763FB">
        <w:t>The words “same interest” extend to a significant common interest in the resolution of any question of law or fact arising in the proceeding.</w:t>
      </w:r>
      <w:r w:rsidR="00D629FA">
        <w:rPr>
          <w:rFonts w:ascii="ZWAdobeF" w:hAnsi="ZWAdobeF" w:cs="ZWAdobeF"/>
          <w:color w:val="auto"/>
          <w:sz w:val="2"/>
          <w:szCs w:val="2"/>
        </w:rPr>
        <w:t>103F</w:t>
      </w:r>
      <w:r w:rsidR="0049638A">
        <w:rPr>
          <w:rFonts w:ascii="ZWAdobeF" w:hAnsi="ZWAdobeF" w:cs="ZWAdobeF"/>
          <w:color w:val="auto"/>
          <w:sz w:val="2"/>
          <w:szCs w:val="2"/>
        </w:rPr>
        <w:t>103F</w:t>
      </w:r>
      <w:r w:rsidR="000D4978">
        <w:rPr>
          <w:rFonts w:ascii="ZWAdobeF" w:hAnsi="ZWAdobeF" w:cs="ZWAdobeF"/>
          <w:color w:val="auto"/>
          <w:sz w:val="2"/>
          <w:szCs w:val="2"/>
        </w:rPr>
        <w:t>103F</w:t>
      </w:r>
      <w:r w:rsidR="00B763FB">
        <w:rPr>
          <w:rStyle w:val="FootnoteReference"/>
        </w:rPr>
        <w:footnoteReference w:id="105"/>
      </w:r>
      <w:r w:rsidR="00B763FB">
        <w:t xml:space="preserve"> </w:t>
      </w:r>
    </w:p>
    <w:p w14:paraId="7969AF82" w14:textId="38469B0C" w:rsidR="00B763FB" w:rsidRDefault="00BD5C95" w:rsidP="003E2524">
      <w:pPr>
        <w:pStyle w:val="BodyTextalphalist"/>
        <w:numPr>
          <w:ilvl w:val="3"/>
          <w:numId w:val="32"/>
        </w:numPr>
        <w:tabs>
          <w:tab w:val="clear" w:pos="709"/>
          <w:tab w:val="clear" w:pos="1134"/>
        </w:tabs>
        <w:spacing w:after="80"/>
      </w:pPr>
      <w:r>
        <w:rPr>
          <w:rFonts w:ascii="ZWAdobeF" w:hAnsi="ZWAdobeF" w:cs="ZWAdobeF"/>
          <w:color w:val="auto"/>
          <w:sz w:val="2"/>
          <w:szCs w:val="2"/>
        </w:rPr>
        <w:t>570B</w:t>
      </w:r>
      <w:r w:rsidR="0049638A">
        <w:rPr>
          <w:rFonts w:ascii="ZWAdobeF" w:hAnsi="ZWAdobeF" w:cs="ZWAdobeF"/>
          <w:color w:val="auto"/>
          <w:sz w:val="2"/>
          <w:szCs w:val="2"/>
        </w:rPr>
        <w:t>570B</w:t>
      </w:r>
      <w:r w:rsidR="00D629FA">
        <w:rPr>
          <w:rFonts w:ascii="ZWAdobeF" w:hAnsi="ZWAdobeF" w:cs="ZWAdobeF"/>
          <w:color w:val="auto"/>
          <w:sz w:val="2"/>
          <w:szCs w:val="2"/>
        </w:rPr>
        <w:t>570B</w:t>
      </w:r>
      <w:r w:rsidR="00B763FB">
        <w:t>There must be a common issue of fact or law of significance for each member of the class represented.</w:t>
      </w:r>
      <w:r w:rsidR="00D629FA">
        <w:rPr>
          <w:rFonts w:ascii="ZWAdobeF" w:hAnsi="ZWAdobeF" w:cs="ZWAdobeF"/>
          <w:color w:val="auto"/>
          <w:sz w:val="2"/>
          <w:szCs w:val="2"/>
        </w:rPr>
        <w:t>104F</w:t>
      </w:r>
      <w:r w:rsidR="0049638A">
        <w:rPr>
          <w:rFonts w:ascii="ZWAdobeF" w:hAnsi="ZWAdobeF" w:cs="ZWAdobeF"/>
          <w:color w:val="auto"/>
          <w:sz w:val="2"/>
          <w:szCs w:val="2"/>
        </w:rPr>
        <w:t>104F</w:t>
      </w:r>
      <w:r w:rsidR="000D4978">
        <w:rPr>
          <w:rFonts w:ascii="ZWAdobeF" w:hAnsi="ZWAdobeF" w:cs="ZWAdobeF"/>
          <w:color w:val="auto"/>
          <w:sz w:val="2"/>
          <w:szCs w:val="2"/>
        </w:rPr>
        <w:t>104F</w:t>
      </w:r>
      <w:r w:rsidR="00B763FB">
        <w:rPr>
          <w:rStyle w:val="FootnoteReference"/>
        </w:rPr>
        <w:footnoteReference w:id="106"/>
      </w:r>
    </w:p>
    <w:p w14:paraId="667EF7E0" w14:textId="07B6F01B" w:rsidR="00B763FB" w:rsidRDefault="00BD5C95" w:rsidP="003E2524">
      <w:pPr>
        <w:pStyle w:val="BodyTextalphalist"/>
        <w:numPr>
          <w:ilvl w:val="3"/>
          <w:numId w:val="32"/>
        </w:numPr>
        <w:tabs>
          <w:tab w:val="clear" w:pos="709"/>
          <w:tab w:val="clear" w:pos="1134"/>
        </w:tabs>
        <w:spacing w:after="80"/>
      </w:pPr>
      <w:r>
        <w:rPr>
          <w:rFonts w:ascii="ZWAdobeF" w:hAnsi="ZWAdobeF" w:cs="ZWAdobeF"/>
          <w:color w:val="auto"/>
          <w:sz w:val="2"/>
          <w:szCs w:val="2"/>
        </w:rPr>
        <w:t>571B</w:t>
      </w:r>
      <w:r w:rsidR="0049638A">
        <w:rPr>
          <w:rFonts w:ascii="ZWAdobeF" w:hAnsi="ZWAdobeF" w:cs="ZWAdobeF"/>
          <w:color w:val="auto"/>
          <w:sz w:val="2"/>
          <w:szCs w:val="2"/>
        </w:rPr>
        <w:t>571B</w:t>
      </w:r>
      <w:r w:rsidR="00D629FA">
        <w:rPr>
          <w:rFonts w:ascii="ZWAdobeF" w:hAnsi="ZWAdobeF" w:cs="ZWAdobeF"/>
          <w:color w:val="auto"/>
          <w:sz w:val="2"/>
          <w:szCs w:val="2"/>
        </w:rPr>
        <w:t>571B</w:t>
      </w:r>
      <w:r w:rsidR="00B763FB">
        <w:t>There is a sufficient community of interest if there is common interest in the “determination of some substantial issue of law or fact”.</w:t>
      </w:r>
      <w:r w:rsidR="00D629FA">
        <w:rPr>
          <w:rFonts w:ascii="ZWAdobeF" w:hAnsi="ZWAdobeF" w:cs="ZWAdobeF"/>
          <w:color w:val="auto"/>
          <w:sz w:val="2"/>
          <w:szCs w:val="2"/>
        </w:rPr>
        <w:t>105F</w:t>
      </w:r>
      <w:r w:rsidR="0049638A">
        <w:rPr>
          <w:rFonts w:ascii="ZWAdobeF" w:hAnsi="ZWAdobeF" w:cs="ZWAdobeF"/>
          <w:color w:val="auto"/>
          <w:sz w:val="2"/>
          <w:szCs w:val="2"/>
        </w:rPr>
        <w:t>105F</w:t>
      </w:r>
      <w:r w:rsidR="000D4978">
        <w:rPr>
          <w:rFonts w:ascii="ZWAdobeF" w:hAnsi="ZWAdobeF" w:cs="ZWAdobeF"/>
          <w:color w:val="auto"/>
          <w:sz w:val="2"/>
          <w:szCs w:val="2"/>
        </w:rPr>
        <w:t>105F</w:t>
      </w:r>
      <w:r w:rsidR="00B763FB">
        <w:rPr>
          <w:rStyle w:val="FootnoteReference"/>
        </w:rPr>
        <w:footnoteReference w:id="107"/>
      </w:r>
    </w:p>
    <w:p w14:paraId="2FF82AB6" w14:textId="1025FFFF" w:rsidR="00B763FB" w:rsidRDefault="00BD5C95" w:rsidP="003E2524">
      <w:pPr>
        <w:pStyle w:val="BodyTextalphalist"/>
        <w:numPr>
          <w:ilvl w:val="3"/>
          <w:numId w:val="32"/>
        </w:numPr>
        <w:tabs>
          <w:tab w:val="clear" w:pos="709"/>
          <w:tab w:val="clear" w:pos="1134"/>
        </w:tabs>
        <w:spacing w:after="80"/>
      </w:pPr>
      <w:r>
        <w:rPr>
          <w:rFonts w:ascii="ZWAdobeF" w:hAnsi="ZWAdobeF" w:cs="ZWAdobeF"/>
          <w:color w:val="auto"/>
          <w:sz w:val="2"/>
          <w:szCs w:val="2"/>
        </w:rPr>
        <w:t>572B</w:t>
      </w:r>
      <w:r w:rsidR="0049638A">
        <w:rPr>
          <w:rFonts w:ascii="ZWAdobeF" w:hAnsi="ZWAdobeF" w:cs="ZWAdobeF"/>
          <w:color w:val="auto"/>
          <w:sz w:val="2"/>
          <w:szCs w:val="2"/>
        </w:rPr>
        <w:t>572B</w:t>
      </w:r>
      <w:r w:rsidR="00D629FA">
        <w:rPr>
          <w:rFonts w:ascii="ZWAdobeF" w:hAnsi="ZWAdobeF" w:cs="ZWAdobeF"/>
          <w:color w:val="auto"/>
          <w:sz w:val="2"/>
          <w:szCs w:val="2"/>
        </w:rPr>
        <w:t>572B</w:t>
      </w:r>
      <w:r w:rsidR="00B763FB">
        <w:t>Commonality of interest is not a high threshold and a liberal or flexible approach should be taken.</w:t>
      </w:r>
      <w:r w:rsidR="00B763FB" w:rsidRPr="00CF1F53">
        <w:rPr>
          <w:rStyle w:val="FootnoteReference"/>
        </w:rPr>
        <w:t xml:space="preserve"> </w:t>
      </w:r>
      <w:r w:rsidR="00D629FA">
        <w:rPr>
          <w:rFonts w:ascii="ZWAdobeF" w:hAnsi="ZWAdobeF" w:cs="ZWAdobeF"/>
          <w:color w:val="auto"/>
          <w:sz w:val="2"/>
          <w:szCs w:val="2"/>
        </w:rPr>
        <w:t>106F</w:t>
      </w:r>
      <w:r w:rsidR="0049638A">
        <w:rPr>
          <w:rFonts w:ascii="ZWAdobeF" w:hAnsi="ZWAdobeF" w:cs="ZWAdobeF"/>
          <w:color w:val="auto"/>
          <w:sz w:val="2"/>
          <w:szCs w:val="2"/>
        </w:rPr>
        <w:t>106F</w:t>
      </w:r>
      <w:r w:rsidR="000D4978">
        <w:rPr>
          <w:rFonts w:ascii="ZWAdobeF" w:hAnsi="ZWAdobeF" w:cs="ZWAdobeF"/>
          <w:color w:val="auto"/>
          <w:sz w:val="2"/>
          <w:szCs w:val="2"/>
        </w:rPr>
        <w:t>106F</w:t>
      </w:r>
      <w:r w:rsidR="00B763FB">
        <w:rPr>
          <w:rStyle w:val="FootnoteReference"/>
        </w:rPr>
        <w:footnoteReference w:id="108"/>
      </w:r>
      <w:r w:rsidR="00B763FB">
        <w:t xml:space="preserve"> </w:t>
      </w:r>
    </w:p>
    <w:p w14:paraId="5E8B55E4" w14:textId="1CDA985B" w:rsidR="00B763FB" w:rsidRDefault="00BD5C95" w:rsidP="003E2524">
      <w:pPr>
        <w:pStyle w:val="BodyTextalphalist"/>
        <w:numPr>
          <w:ilvl w:val="3"/>
          <w:numId w:val="32"/>
        </w:numPr>
        <w:tabs>
          <w:tab w:val="clear" w:pos="709"/>
          <w:tab w:val="clear" w:pos="1134"/>
        </w:tabs>
        <w:spacing w:after="80"/>
      </w:pPr>
      <w:r>
        <w:rPr>
          <w:rFonts w:ascii="ZWAdobeF" w:hAnsi="ZWAdobeF" w:cs="ZWAdobeF"/>
          <w:color w:val="auto"/>
          <w:sz w:val="2"/>
          <w:szCs w:val="2"/>
        </w:rPr>
        <w:t>573B</w:t>
      </w:r>
      <w:r w:rsidR="0049638A">
        <w:rPr>
          <w:rFonts w:ascii="ZWAdobeF" w:hAnsi="ZWAdobeF" w:cs="ZWAdobeF"/>
          <w:color w:val="auto"/>
          <w:sz w:val="2"/>
          <w:szCs w:val="2"/>
        </w:rPr>
        <w:t>573B</w:t>
      </w:r>
      <w:r w:rsidR="00D629FA">
        <w:rPr>
          <w:rFonts w:ascii="ZWAdobeF" w:hAnsi="ZWAdobeF" w:cs="ZWAdobeF"/>
          <w:color w:val="auto"/>
          <w:sz w:val="2"/>
          <w:szCs w:val="2"/>
        </w:rPr>
        <w:t>573B</w:t>
      </w:r>
      <w:r w:rsidR="00B763FB">
        <w:t>The common question does not need to make a complete resolution of the case, or even liability, possible.</w:t>
      </w:r>
      <w:r w:rsidR="00D629FA">
        <w:rPr>
          <w:rFonts w:ascii="ZWAdobeF" w:hAnsi="ZWAdobeF" w:cs="ZWAdobeF"/>
          <w:color w:val="auto"/>
          <w:sz w:val="2"/>
          <w:szCs w:val="2"/>
        </w:rPr>
        <w:t>107F</w:t>
      </w:r>
      <w:r w:rsidR="0049638A">
        <w:rPr>
          <w:rFonts w:ascii="ZWAdobeF" w:hAnsi="ZWAdobeF" w:cs="ZWAdobeF"/>
          <w:color w:val="auto"/>
          <w:sz w:val="2"/>
          <w:szCs w:val="2"/>
        </w:rPr>
        <w:t>107F</w:t>
      </w:r>
      <w:r w:rsidR="000D4978">
        <w:rPr>
          <w:rFonts w:ascii="ZWAdobeF" w:hAnsi="ZWAdobeF" w:cs="ZWAdobeF"/>
          <w:color w:val="auto"/>
          <w:sz w:val="2"/>
          <w:szCs w:val="2"/>
        </w:rPr>
        <w:t>107F</w:t>
      </w:r>
      <w:r w:rsidR="00B763FB">
        <w:rPr>
          <w:rStyle w:val="FootnoteReference"/>
        </w:rPr>
        <w:footnoteReference w:id="109"/>
      </w:r>
    </w:p>
    <w:p w14:paraId="226AFA80" w14:textId="69E65FB9" w:rsidR="00B763FB" w:rsidRDefault="00BD5C95" w:rsidP="00932E49">
      <w:pPr>
        <w:pStyle w:val="BodyText"/>
      </w:pPr>
      <w:r>
        <w:rPr>
          <w:rFonts w:ascii="ZWAdobeF" w:hAnsi="ZWAdobeF" w:cs="ZWAdobeF"/>
          <w:color w:val="auto"/>
          <w:sz w:val="2"/>
          <w:szCs w:val="2"/>
        </w:rPr>
        <w:t>36B</w:t>
      </w:r>
      <w:r w:rsidR="0049638A">
        <w:rPr>
          <w:rFonts w:ascii="ZWAdobeF" w:hAnsi="ZWAdobeF" w:cs="ZWAdobeF"/>
          <w:color w:val="auto"/>
          <w:sz w:val="2"/>
          <w:szCs w:val="2"/>
        </w:rPr>
        <w:t>36B</w:t>
      </w:r>
      <w:r w:rsidR="00D629FA">
        <w:rPr>
          <w:rFonts w:ascii="ZWAdobeF" w:hAnsi="ZWAdobeF" w:cs="ZWAdobeF"/>
          <w:color w:val="auto"/>
          <w:sz w:val="2"/>
          <w:szCs w:val="2"/>
        </w:rPr>
        <w:t>36B</w:t>
      </w:r>
      <w:r w:rsidR="00B763FB">
        <w:t xml:space="preserve">We asked submitters what the commonality test for class actions should be </w:t>
      </w:r>
      <w:r w:rsidR="000E6490">
        <w:t xml:space="preserve">(Q 21) </w:t>
      </w:r>
      <w:r w:rsidR="00B763FB">
        <w:t xml:space="preserve">and whether the common issues </w:t>
      </w:r>
      <w:r w:rsidR="000E6490">
        <w:t xml:space="preserve">must be substantial or </w:t>
      </w:r>
      <w:r w:rsidR="00B763FB">
        <w:t>predominate (Q 22). We received 18 submissions which addressed these issues.</w:t>
      </w:r>
      <w:r w:rsidR="00D629FA">
        <w:rPr>
          <w:rFonts w:ascii="ZWAdobeF" w:hAnsi="ZWAdobeF" w:cs="ZWAdobeF"/>
          <w:color w:val="auto"/>
          <w:sz w:val="2"/>
          <w:szCs w:val="2"/>
        </w:rPr>
        <w:t>108F</w:t>
      </w:r>
      <w:r w:rsidR="0049638A">
        <w:rPr>
          <w:rFonts w:ascii="ZWAdobeF" w:hAnsi="ZWAdobeF" w:cs="ZWAdobeF"/>
          <w:color w:val="auto"/>
          <w:sz w:val="2"/>
          <w:szCs w:val="2"/>
        </w:rPr>
        <w:t>108F</w:t>
      </w:r>
      <w:r w:rsidR="000D4978">
        <w:rPr>
          <w:rFonts w:ascii="ZWAdobeF" w:hAnsi="ZWAdobeF" w:cs="ZWAdobeF"/>
          <w:color w:val="auto"/>
          <w:sz w:val="2"/>
          <w:szCs w:val="2"/>
        </w:rPr>
        <w:t>108F</w:t>
      </w:r>
      <w:r w:rsidR="00B763FB">
        <w:rPr>
          <w:rStyle w:val="FootnoteReference"/>
        </w:rPr>
        <w:footnoteReference w:id="110"/>
      </w:r>
      <w:r w:rsidR="00B763FB">
        <w:t xml:space="preserve"> There were eight submitters who supported the commonality test that applies under HCR 4.24 (or something close to it).</w:t>
      </w:r>
      <w:r w:rsidR="00D629FA">
        <w:rPr>
          <w:rFonts w:ascii="ZWAdobeF" w:hAnsi="ZWAdobeF" w:cs="ZWAdobeF"/>
          <w:color w:val="auto"/>
          <w:sz w:val="2"/>
          <w:szCs w:val="2"/>
        </w:rPr>
        <w:t>109F</w:t>
      </w:r>
      <w:r w:rsidR="0049638A">
        <w:rPr>
          <w:rFonts w:ascii="ZWAdobeF" w:hAnsi="ZWAdobeF" w:cs="ZWAdobeF"/>
          <w:color w:val="auto"/>
          <w:sz w:val="2"/>
          <w:szCs w:val="2"/>
        </w:rPr>
        <w:t>109F</w:t>
      </w:r>
      <w:r w:rsidR="000D4978">
        <w:rPr>
          <w:rFonts w:ascii="ZWAdobeF" w:hAnsi="ZWAdobeF" w:cs="ZWAdobeF"/>
          <w:color w:val="auto"/>
          <w:sz w:val="2"/>
          <w:szCs w:val="2"/>
        </w:rPr>
        <w:t>109F</w:t>
      </w:r>
      <w:r w:rsidR="00B763FB">
        <w:rPr>
          <w:rStyle w:val="FootnoteReference"/>
        </w:rPr>
        <w:footnoteReference w:id="111"/>
      </w:r>
      <w:r w:rsidR="00B763FB">
        <w:t xml:space="preserve"> There were seven submitters who supported a stricter test, with five of these submitters supporting </w:t>
      </w:r>
      <w:r w:rsidR="00B763FB">
        <w:lastRenderedPageBreak/>
        <w:t>a predominance requirement.</w:t>
      </w:r>
      <w:r w:rsidR="00D629FA">
        <w:rPr>
          <w:rFonts w:ascii="ZWAdobeF" w:hAnsi="ZWAdobeF" w:cs="ZWAdobeF"/>
          <w:color w:val="auto"/>
          <w:sz w:val="2"/>
          <w:szCs w:val="2"/>
        </w:rPr>
        <w:t>110F</w:t>
      </w:r>
      <w:r w:rsidR="0049638A">
        <w:rPr>
          <w:rFonts w:ascii="ZWAdobeF" w:hAnsi="ZWAdobeF" w:cs="ZWAdobeF"/>
          <w:color w:val="auto"/>
          <w:sz w:val="2"/>
          <w:szCs w:val="2"/>
        </w:rPr>
        <w:t>110F</w:t>
      </w:r>
      <w:r w:rsidR="000D4978">
        <w:rPr>
          <w:rFonts w:ascii="ZWAdobeF" w:hAnsi="ZWAdobeF" w:cs="ZWAdobeF"/>
          <w:color w:val="auto"/>
          <w:sz w:val="2"/>
          <w:szCs w:val="2"/>
        </w:rPr>
        <w:t>110F</w:t>
      </w:r>
      <w:r w:rsidR="00B763FB">
        <w:rPr>
          <w:rStyle w:val="FootnoteReference"/>
        </w:rPr>
        <w:footnoteReference w:id="112"/>
      </w:r>
      <w:r w:rsidR="00B763FB">
        <w:t xml:space="preserve"> Three submitters did not express a clear preference on what the test should be.</w:t>
      </w:r>
      <w:r w:rsidR="00D629FA">
        <w:rPr>
          <w:rFonts w:ascii="ZWAdobeF" w:hAnsi="ZWAdobeF" w:cs="ZWAdobeF"/>
          <w:color w:val="auto"/>
          <w:sz w:val="2"/>
          <w:szCs w:val="2"/>
        </w:rPr>
        <w:t>111F</w:t>
      </w:r>
      <w:r w:rsidR="0049638A">
        <w:rPr>
          <w:rFonts w:ascii="ZWAdobeF" w:hAnsi="ZWAdobeF" w:cs="ZWAdobeF"/>
          <w:color w:val="auto"/>
          <w:sz w:val="2"/>
          <w:szCs w:val="2"/>
        </w:rPr>
        <w:t>111F</w:t>
      </w:r>
      <w:r w:rsidR="000D4978">
        <w:rPr>
          <w:rFonts w:ascii="ZWAdobeF" w:hAnsi="ZWAdobeF" w:cs="ZWAdobeF"/>
          <w:color w:val="auto"/>
          <w:sz w:val="2"/>
          <w:szCs w:val="2"/>
        </w:rPr>
        <w:t>111F</w:t>
      </w:r>
      <w:r w:rsidR="00B763FB">
        <w:rPr>
          <w:rStyle w:val="FootnoteReference"/>
        </w:rPr>
        <w:footnoteReference w:id="113"/>
      </w:r>
      <w:r w:rsidR="00B763FB">
        <w:t xml:space="preserve"> </w:t>
      </w:r>
    </w:p>
    <w:p w14:paraId="7D18BED6" w14:textId="4804B49A" w:rsidR="00B763FB" w:rsidRDefault="00BD5C95" w:rsidP="00932E49">
      <w:pPr>
        <w:pStyle w:val="BodyText"/>
      </w:pPr>
      <w:r>
        <w:rPr>
          <w:rFonts w:ascii="ZWAdobeF" w:hAnsi="ZWAdobeF" w:cs="ZWAdobeF"/>
          <w:color w:val="auto"/>
          <w:sz w:val="2"/>
          <w:szCs w:val="2"/>
        </w:rPr>
        <w:t>37B</w:t>
      </w:r>
      <w:r w:rsidR="0049638A">
        <w:rPr>
          <w:rFonts w:ascii="ZWAdobeF" w:hAnsi="ZWAdobeF" w:cs="ZWAdobeF"/>
          <w:color w:val="auto"/>
          <w:sz w:val="2"/>
          <w:szCs w:val="2"/>
        </w:rPr>
        <w:t>37B</w:t>
      </w:r>
      <w:r w:rsidR="00D629FA">
        <w:rPr>
          <w:rFonts w:ascii="ZWAdobeF" w:hAnsi="ZWAdobeF" w:cs="ZWAdobeF"/>
          <w:color w:val="auto"/>
          <w:sz w:val="2"/>
          <w:szCs w:val="2"/>
        </w:rPr>
        <w:t>37B</w:t>
      </w:r>
      <w:r w:rsidR="00B763FB">
        <w:t xml:space="preserve">Submitters who supported the current approach pointed to the flexibility it provides. A stricter test such as predominance was not seen as consistent with access to justice or enabling efficiency. Submitters who supported a stricter test considered that the current threshold was too low. This was said to create issues such as uncertainty, a significant number of issues being left to determine at stage two, disparate claims being grouped together, and a risk of speculative claims designed to force settlement. </w:t>
      </w:r>
    </w:p>
    <w:p w14:paraId="395E1CBE" w14:textId="45F318D2" w:rsidR="00B763FB" w:rsidRDefault="00BD5C95" w:rsidP="00932E49">
      <w:pPr>
        <w:pStyle w:val="BodyText"/>
      </w:pPr>
      <w:r>
        <w:rPr>
          <w:rFonts w:ascii="ZWAdobeF" w:hAnsi="ZWAdobeF" w:cs="ZWAdobeF"/>
          <w:color w:val="auto"/>
          <w:sz w:val="2"/>
          <w:szCs w:val="2"/>
        </w:rPr>
        <w:t>38B</w:t>
      </w:r>
      <w:r w:rsidR="0049638A">
        <w:rPr>
          <w:rFonts w:ascii="ZWAdobeF" w:hAnsi="ZWAdobeF" w:cs="ZWAdobeF"/>
          <w:color w:val="auto"/>
          <w:sz w:val="2"/>
          <w:szCs w:val="2"/>
        </w:rPr>
        <w:t>38B</w:t>
      </w:r>
      <w:r w:rsidR="00D629FA">
        <w:rPr>
          <w:rFonts w:ascii="ZWAdobeF" w:hAnsi="ZWAdobeF" w:cs="ZWAdobeF"/>
          <w:color w:val="auto"/>
          <w:sz w:val="2"/>
          <w:szCs w:val="2"/>
        </w:rPr>
        <w:t>38B</w:t>
      </w:r>
      <w:r w:rsidR="00B763FB">
        <w:t>Our preferred approach to commonality is that each class member’s claim should raise a common issue of fact or law which is of significance to the resolution of each claim.</w:t>
      </w:r>
      <w:r w:rsidR="00D629FA">
        <w:rPr>
          <w:rFonts w:ascii="ZWAdobeF" w:hAnsi="ZWAdobeF" w:cs="ZWAdobeF"/>
          <w:color w:val="auto"/>
          <w:sz w:val="2"/>
          <w:szCs w:val="2"/>
        </w:rPr>
        <w:t>112F</w:t>
      </w:r>
      <w:r w:rsidR="0049638A">
        <w:rPr>
          <w:rFonts w:ascii="ZWAdobeF" w:hAnsi="ZWAdobeF" w:cs="ZWAdobeF"/>
          <w:color w:val="auto"/>
          <w:sz w:val="2"/>
          <w:szCs w:val="2"/>
        </w:rPr>
        <w:t>112F</w:t>
      </w:r>
      <w:r w:rsidR="000D4978">
        <w:rPr>
          <w:rFonts w:ascii="ZWAdobeF" w:hAnsi="ZWAdobeF" w:cs="ZWAdobeF"/>
          <w:color w:val="auto"/>
          <w:sz w:val="2"/>
          <w:szCs w:val="2"/>
        </w:rPr>
        <w:t>112F</w:t>
      </w:r>
      <w:r w:rsidR="00B763FB">
        <w:rPr>
          <w:rStyle w:val="FootnoteReference"/>
        </w:rPr>
        <w:footnoteReference w:id="114"/>
      </w:r>
      <w:r w:rsidR="00B763FB">
        <w:t xml:space="preserve">  </w:t>
      </w:r>
    </w:p>
    <w:p w14:paraId="6A816862" w14:textId="58190640" w:rsidR="00B763FB" w:rsidRDefault="00BD5C95" w:rsidP="00932E49">
      <w:pPr>
        <w:pStyle w:val="BodyText"/>
      </w:pPr>
      <w:r>
        <w:rPr>
          <w:rFonts w:ascii="ZWAdobeF" w:hAnsi="ZWAdobeF" w:cs="ZWAdobeF"/>
          <w:color w:val="auto"/>
          <w:sz w:val="2"/>
          <w:szCs w:val="2"/>
        </w:rPr>
        <w:t>39B</w:t>
      </w:r>
      <w:r w:rsidR="0049638A">
        <w:rPr>
          <w:rFonts w:ascii="ZWAdobeF" w:hAnsi="ZWAdobeF" w:cs="ZWAdobeF"/>
          <w:color w:val="auto"/>
          <w:sz w:val="2"/>
          <w:szCs w:val="2"/>
        </w:rPr>
        <w:t>39B</w:t>
      </w:r>
      <w:r w:rsidR="00D629FA">
        <w:rPr>
          <w:rFonts w:ascii="ZWAdobeF" w:hAnsi="ZWAdobeF" w:cs="ZWAdobeF"/>
          <w:color w:val="auto"/>
          <w:sz w:val="2"/>
          <w:szCs w:val="2"/>
        </w:rPr>
        <w:t>39B</w:t>
      </w:r>
      <w:r w:rsidR="00B763FB">
        <w:t xml:space="preserve">We prefer a common </w:t>
      </w:r>
      <w:r w:rsidR="00B763FB">
        <w:rPr>
          <w:i/>
          <w:iCs/>
        </w:rPr>
        <w:t xml:space="preserve">issue </w:t>
      </w:r>
      <w:r w:rsidR="00B763FB">
        <w:t xml:space="preserve">test rather than the common </w:t>
      </w:r>
      <w:r w:rsidR="00B763FB">
        <w:rPr>
          <w:i/>
          <w:iCs/>
        </w:rPr>
        <w:t xml:space="preserve">interest </w:t>
      </w:r>
      <w:r w:rsidR="00B763FB">
        <w:t>test which applies to representative actions, to help reduce possible confusion about how class membership is determined. Under the representative actions rule, it is the interest that determines the class (with the opt-in and opt-out mechanisms able to reduce the class).</w:t>
      </w:r>
      <w:r w:rsidR="00D629FA">
        <w:rPr>
          <w:rFonts w:ascii="ZWAdobeF" w:hAnsi="ZWAdobeF" w:cs="ZWAdobeF"/>
          <w:color w:val="auto"/>
          <w:sz w:val="2"/>
          <w:szCs w:val="2"/>
        </w:rPr>
        <w:t>113F</w:t>
      </w:r>
      <w:r w:rsidR="0049638A">
        <w:rPr>
          <w:rFonts w:ascii="ZWAdobeF" w:hAnsi="ZWAdobeF" w:cs="ZWAdobeF"/>
          <w:color w:val="auto"/>
          <w:sz w:val="2"/>
          <w:szCs w:val="2"/>
        </w:rPr>
        <w:t>113F</w:t>
      </w:r>
      <w:r w:rsidR="000D4978">
        <w:rPr>
          <w:rFonts w:ascii="ZWAdobeF" w:hAnsi="ZWAdobeF" w:cs="ZWAdobeF"/>
          <w:color w:val="auto"/>
          <w:sz w:val="2"/>
          <w:szCs w:val="2"/>
        </w:rPr>
        <w:t>113F</w:t>
      </w:r>
      <w:r w:rsidR="00B763FB">
        <w:rPr>
          <w:rStyle w:val="FootnoteReference"/>
        </w:rPr>
        <w:footnoteReference w:id="115"/>
      </w:r>
      <w:r w:rsidR="00B763FB">
        <w:t xml:space="preserve"> In a class action, it is the class definition (and any opt-in or opt-out mechanisms) that determines the class. We propose later in this chapter that when the court certifies a class action, it would make a certification order which includes a class definition. We also note that class action</w:t>
      </w:r>
      <w:r w:rsidR="00805C83">
        <w:t>s</w:t>
      </w:r>
      <w:r w:rsidR="00B763FB">
        <w:t xml:space="preserve"> regimes in our comparator jurisdictions use a common issue (or question) test rather than a common interest test.</w:t>
      </w:r>
      <w:r w:rsidR="00D629FA">
        <w:rPr>
          <w:rFonts w:ascii="ZWAdobeF" w:hAnsi="ZWAdobeF" w:cs="ZWAdobeF"/>
          <w:color w:val="auto"/>
          <w:sz w:val="2"/>
          <w:szCs w:val="2"/>
        </w:rPr>
        <w:t>114F</w:t>
      </w:r>
      <w:r w:rsidR="0049638A">
        <w:rPr>
          <w:rFonts w:ascii="ZWAdobeF" w:hAnsi="ZWAdobeF" w:cs="ZWAdobeF"/>
          <w:color w:val="auto"/>
          <w:sz w:val="2"/>
          <w:szCs w:val="2"/>
        </w:rPr>
        <w:t>114F</w:t>
      </w:r>
      <w:r w:rsidR="000D4978">
        <w:rPr>
          <w:rFonts w:ascii="ZWAdobeF" w:hAnsi="ZWAdobeF" w:cs="ZWAdobeF"/>
          <w:color w:val="auto"/>
          <w:sz w:val="2"/>
          <w:szCs w:val="2"/>
        </w:rPr>
        <w:t>114F</w:t>
      </w:r>
      <w:r w:rsidR="00B763FB">
        <w:rPr>
          <w:rStyle w:val="FootnoteReference"/>
        </w:rPr>
        <w:footnoteReference w:id="116"/>
      </w:r>
      <w:r w:rsidR="00B763FB">
        <w:t xml:space="preserve"> Consistency with those jurisdictions may facilitate courts being able to draw upon </w:t>
      </w:r>
      <w:r w:rsidR="006E2772">
        <w:t xml:space="preserve">that </w:t>
      </w:r>
      <w:r w:rsidR="00B763FB">
        <w:t>jurisprudence to aid interpretation of new law in Aotearoa New Zealand.</w:t>
      </w:r>
    </w:p>
    <w:p w14:paraId="018E5CC2" w14:textId="5311A156" w:rsidR="00B763FB" w:rsidRDefault="00BD5C95" w:rsidP="00932E49">
      <w:pPr>
        <w:pStyle w:val="BodyText"/>
        <w:tabs>
          <w:tab w:val="num" w:pos="1134"/>
        </w:tabs>
      </w:pPr>
      <w:r>
        <w:rPr>
          <w:rFonts w:ascii="ZWAdobeF" w:hAnsi="ZWAdobeF" w:cs="ZWAdobeF"/>
          <w:color w:val="auto"/>
          <w:sz w:val="2"/>
          <w:szCs w:val="2"/>
        </w:rPr>
        <w:t>40B</w:t>
      </w:r>
      <w:r w:rsidR="0049638A">
        <w:rPr>
          <w:rFonts w:ascii="ZWAdobeF" w:hAnsi="ZWAdobeF" w:cs="ZWAdobeF"/>
          <w:color w:val="auto"/>
          <w:sz w:val="2"/>
          <w:szCs w:val="2"/>
        </w:rPr>
        <w:t>40B</w:t>
      </w:r>
      <w:r w:rsidR="00D629FA">
        <w:rPr>
          <w:rFonts w:ascii="ZWAdobeF" w:hAnsi="ZWAdobeF" w:cs="ZWAdobeF"/>
          <w:color w:val="auto"/>
          <w:sz w:val="2"/>
          <w:szCs w:val="2"/>
        </w:rPr>
        <w:t>40B</w:t>
      </w:r>
      <w:r w:rsidR="00B763FB">
        <w:t>The benefits of a class action are unlikely to be fully realised if the common issue is not sufficiently central to the claims. For this reason, we consider that the common issue(s) must be significant to the resolution of each class member’s claim. We note that a significance requirement has been referred to in some of the case law on the commonality test in HCR 4.24.</w:t>
      </w:r>
      <w:r w:rsidR="00D629FA">
        <w:rPr>
          <w:rFonts w:ascii="ZWAdobeF" w:hAnsi="ZWAdobeF" w:cs="ZWAdobeF"/>
          <w:color w:val="auto"/>
          <w:sz w:val="2"/>
          <w:szCs w:val="2"/>
        </w:rPr>
        <w:t>115F</w:t>
      </w:r>
      <w:r w:rsidR="0049638A">
        <w:rPr>
          <w:rFonts w:ascii="ZWAdobeF" w:hAnsi="ZWAdobeF" w:cs="ZWAdobeF"/>
          <w:color w:val="auto"/>
          <w:sz w:val="2"/>
          <w:szCs w:val="2"/>
        </w:rPr>
        <w:t>115F</w:t>
      </w:r>
      <w:r w:rsidR="000D4978">
        <w:rPr>
          <w:rFonts w:ascii="ZWAdobeF" w:hAnsi="ZWAdobeF" w:cs="ZWAdobeF"/>
          <w:color w:val="auto"/>
          <w:sz w:val="2"/>
          <w:szCs w:val="2"/>
        </w:rPr>
        <w:t>115F</w:t>
      </w:r>
      <w:r w:rsidR="00B763FB">
        <w:rPr>
          <w:rStyle w:val="FootnoteReference"/>
        </w:rPr>
        <w:footnoteReference w:id="117"/>
      </w:r>
      <w:r w:rsidR="00B763FB">
        <w:t xml:space="preserve"> We prefer this over a predominance standard. In our view, requiring the common issues to predominate may frustrate the objective of access to justice by making it too hard for plaintiffs to bring class actions. It may also frustrate the objective of managing multiple claims in an efficient way, by requiring claims with common issues which do not predominate to be brought as individual proceedings or as representative actions. </w:t>
      </w:r>
    </w:p>
    <w:p w14:paraId="4D893A32" w14:textId="66674325" w:rsidR="00B763FB" w:rsidRDefault="00BD5C95" w:rsidP="00932E49">
      <w:pPr>
        <w:pStyle w:val="BodyText"/>
        <w:tabs>
          <w:tab w:val="num" w:pos="1134"/>
        </w:tabs>
      </w:pPr>
      <w:r>
        <w:rPr>
          <w:rFonts w:ascii="ZWAdobeF" w:hAnsi="ZWAdobeF" w:cs="ZWAdobeF"/>
          <w:color w:val="auto"/>
          <w:sz w:val="2"/>
          <w:szCs w:val="2"/>
        </w:rPr>
        <w:lastRenderedPageBreak/>
        <w:t>41B</w:t>
      </w:r>
      <w:r w:rsidR="0049638A">
        <w:rPr>
          <w:rFonts w:ascii="ZWAdobeF" w:hAnsi="ZWAdobeF" w:cs="ZWAdobeF"/>
          <w:color w:val="auto"/>
          <w:sz w:val="2"/>
          <w:szCs w:val="2"/>
        </w:rPr>
        <w:t>41B</w:t>
      </w:r>
      <w:r w:rsidR="00D629FA">
        <w:rPr>
          <w:rFonts w:ascii="ZWAdobeF" w:hAnsi="ZWAdobeF" w:cs="ZWAdobeF"/>
          <w:color w:val="auto"/>
          <w:sz w:val="2"/>
          <w:szCs w:val="2"/>
        </w:rPr>
        <w:t>41B</w:t>
      </w:r>
      <w:r w:rsidR="00B763FB">
        <w:t xml:space="preserve">A key concern expressed by submitters who wanted a stricter test was that class actions may be unmanageable if they have a significant number of individual issues that require consideration once the common issues are determined. We see a predominance test as a relatively blunt tool for considering the issue of manageability. Whether a </w:t>
      </w:r>
      <w:r w:rsidR="00090596">
        <w:t xml:space="preserve">subsequent hearing </w:t>
      </w:r>
      <w:r w:rsidR="00211165">
        <w:t xml:space="preserve">to consider individual issues </w:t>
      </w:r>
      <w:r w:rsidR="00B763FB">
        <w:t>would be manageable will depend on a range of factors including the size of the class and the nature and scope of the claims, as well as the extent of the common issues. We think it would be better to consider the issue of manageability as part of the court’s consideration of whether a class action is an appropriate procedure for the efficient resolution of class member</w:t>
      </w:r>
      <w:r w:rsidR="00060503">
        <w:t>s</w:t>
      </w:r>
      <w:r w:rsidR="00B763FB">
        <w:t>’ claims. One of the factors we have proposed is the extent of the issues that will need to be determined once the common issue is resolved.</w:t>
      </w:r>
      <w:r w:rsidR="00D629FA">
        <w:rPr>
          <w:rFonts w:ascii="ZWAdobeF" w:hAnsi="ZWAdobeF" w:cs="ZWAdobeF"/>
          <w:color w:val="auto"/>
          <w:sz w:val="2"/>
          <w:szCs w:val="2"/>
        </w:rPr>
        <w:t>116F</w:t>
      </w:r>
      <w:r w:rsidR="0049638A">
        <w:rPr>
          <w:rFonts w:ascii="ZWAdobeF" w:hAnsi="ZWAdobeF" w:cs="ZWAdobeF"/>
          <w:color w:val="auto"/>
          <w:sz w:val="2"/>
          <w:szCs w:val="2"/>
        </w:rPr>
        <w:t>116F</w:t>
      </w:r>
      <w:r w:rsidR="000D4978">
        <w:rPr>
          <w:rFonts w:ascii="ZWAdobeF" w:hAnsi="ZWAdobeF" w:cs="ZWAdobeF"/>
          <w:color w:val="auto"/>
          <w:sz w:val="2"/>
          <w:szCs w:val="2"/>
        </w:rPr>
        <w:t>116F</w:t>
      </w:r>
      <w:r w:rsidR="00B763FB">
        <w:rPr>
          <w:rStyle w:val="FootnoteReference"/>
        </w:rPr>
        <w:footnoteReference w:id="118"/>
      </w:r>
      <w:r w:rsidR="00ED4C09">
        <w:t xml:space="preserve"> We discuss procedures for managing individual issues in Chapter 4. </w:t>
      </w:r>
    </w:p>
    <w:p w14:paraId="248A6117" w14:textId="77777777" w:rsidR="00B763FB" w:rsidRDefault="00B763FB" w:rsidP="0016640A">
      <w:pPr>
        <w:pStyle w:val="Heading3"/>
      </w:pPr>
      <w:r>
        <w:t>Appropriate procedure</w:t>
      </w:r>
    </w:p>
    <w:p w14:paraId="6BBB74E3" w14:textId="012FC621" w:rsidR="00B763FB" w:rsidRPr="00C6784D" w:rsidRDefault="00BD5C95" w:rsidP="00932E49">
      <w:pPr>
        <w:pStyle w:val="BodyText"/>
        <w:tabs>
          <w:tab w:val="clear" w:pos="709"/>
        </w:tabs>
      </w:pPr>
      <w:r>
        <w:rPr>
          <w:rFonts w:ascii="ZWAdobeF" w:hAnsi="ZWAdobeF" w:cs="ZWAdobeF"/>
          <w:color w:val="auto"/>
          <w:sz w:val="2"/>
          <w:szCs w:val="2"/>
        </w:rPr>
        <w:t>42B</w:t>
      </w:r>
      <w:r w:rsidR="0049638A">
        <w:rPr>
          <w:rFonts w:ascii="ZWAdobeF" w:hAnsi="ZWAdobeF" w:cs="ZWAdobeF"/>
          <w:color w:val="auto"/>
          <w:sz w:val="2"/>
          <w:szCs w:val="2"/>
        </w:rPr>
        <w:t>42B</w:t>
      </w:r>
      <w:r w:rsidR="00D629FA">
        <w:rPr>
          <w:rFonts w:ascii="ZWAdobeF" w:hAnsi="ZWAdobeF" w:cs="ZWAdobeF"/>
          <w:color w:val="auto"/>
          <w:sz w:val="2"/>
          <w:szCs w:val="2"/>
        </w:rPr>
        <w:t>42B</w:t>
      </w:r>
      <w:r w:rsidR="00B763FB">
        <w:t>Our Issues Paper explained that some jurisdictions require the court to assess whether a class action is the preferable or superior means of resolving the dispute.</w:t>
      </w:r>
      <w:r w:rsidR="00D629FA">
        <w:rPr>
          <w:rFonts w:ascii="ZWAdobeF" w:hAnsi="ZWAdobeF" w:cs="ZWAdobeF"/>
          <w:color w:val="auto"/>
          <w:sz w:val="2"/>
          <w:szCs w:val="2"/>
        </w:rPr>
        <w:t>117F</w:t>
      </w:r>
      <w:r w:rsidR="0049638A">
        <w:rPr>
          <w:rFonts w:ascii="ZWAdobeF" w:hAnsi="ZWAdobeF" w:cs="ZWAdobeF"/>
          <w:color w:val="auto"/>
          <w:sz w:val="2"/>
          <w:szCs w:val="2"/>
        </w:rPr>
        <w:t>117F</w:t>
      </w:r>
      <w:r w:rsidR="000D4978">
        <w:rPr>
          <w:rFonts w:ascii="ZWAdobeF" w:hAnsi="ZWAdobeF" w:cs="ZWAdobeF"/>
          <w:color w:val="auto"/>
          <w:sz w:val="2"/>
          <w:szCs w:val="2"/>
        </w:rPr>
        <w:t>117F</w:t>
      </w:r>
      <w:r w:rsidR="00B763FB">
        <w:rPr>
          <w:rStyle w:val="FootnoteReference"/>
        </w:rPr>
        <w:footnoteReference w:id="119"/>
      </w:r>
      <w:r w:rsidR="00B763FB">
        <w:t xml:space="preserve"> We asked submitters whether such a test should apply in Aotearoa New Zealand (Q 23). We received 15 submissions on this question.</w:t>
      </w:r>
      <w:r w:rsidR="00D629FA">
        <w:rPr>
          <w:rFonts w:ascii="ZWAdobeF" w:hAnsi="ZWAdobeF" w:cs="ZWAdobeF"/>
          <w:color w:val="auto"/>
          <w:sz w:val="2"/>
          <w:szCs w:val="2"/>
        </w:rPr>
        <w:t>118F</w:t>
      </w:r>
      <w:r w:rsidR="0049638A">
        <w:rPr>
          <w:rFonts w:ascii="ZWAdobeF" w:hAnsi="ZWAdobeF" w:cs="ZWAdobeF"/>
          <w:color w:val="auto"/>
          <w:sz w:val="2"/>
          <w:szCs w:val="2"/>
        </w:rPr>
        <w:t>118F</w:t>
      </w:r>
      <w:r w:rsidR="000D4978">
        <w:rPr>
          <w:rFonts w:ascii="ZWAdobeF" w:hAnsi="ZWAdobeF" w:cs="ZWAdobeF"/>
          <w:color w:val="auto"/>
          <w:sz w:val="2"/>
          <w:szCs w:val="2"/>
        </w:rPr>
        <w:t>118F</w:t>
      </w:r>
      <w:r w:rsidR="00B763FB">
        <w:rPr>
          <w:rStyle w:val="FootnoteReference"/>
        </w:rPr>
        <w:footnoteReference w:id="120"/>
      </w:r>
      <w:r w:rsidR="00B763FB">
        <w:t xml:space="preserve"> There were six submitters who supported a preferability or superiority test.</w:t>
      </w:r>
      <w:r w:rsidR="00D629FA">
        <w:rPr>
          <w:rFonts w:ascii="ZWAdobeF" w:hAnsi="ZWAdobeF" w:cs="ZWAdobeF"/>
          <w:color w:val="auto"/>
          <w:sz w:val="2"/>
          <w:szCs w:val="2"/>
        </w:rPr>
        <w:t>119F</w:t>
      </w:r>
      <w:r w:rsidR="0049638A">
        <w:rPr>
          <w:rFonts w:ascii="ZWAdobeF" w:hAnsi="ZWAdobeF" w:cs="ZWAdobeF"/>
          <w:color w:val="auto"/>
          <w:sz w:val="2"/>
          <w:szCs w:val="2"/>
        </w:rPr>
        <w:t>119F</w:t>
      </w:r>
      <w:r w:rsidR="000D4978">
        <w:rPr>
          <w:rFonts w:ascii="ZWAdobeF" w:hAnsi="ZWAdobeF" w:cs="ZWAdobeF"/>
          <w:color w:val="auto"/>
          <w:sz w:val="2"/>
          <w:szCs w:val="2"/>
        </w:rPr>
        <w:t>119F</w:t>
      </w:r>
      <w:r w:rsidR="00B763FB">
        <w:rPr>
          <w:rStyle w:val="FootnoteReference"/>
        </w:rPr>
        <w:footnoteReference w:id="121"/>
      </w:r>
      <w:r w:rsidR="00B763FB">
        <w:t xml:space="preserve"> Six submitters were opposed to</w:t>
      </w:r>
      <w:r w:rsidR="006E2772">
        <w:t xml:space="preserve"> either </w:t>
      </w:r>
      <w:r w:rsidR="00B763FB">
        <w:t>a preferability</w:t>
      </w:r>
      <w:r w:rsidR="006E2772">
        <w:t xml:space="preserve"> or </w:t>
      </w:r>
      <w:r w:rsidR="00B763FB">
        <w:t>superiority test, with two of those submitters in favour of the court considering whether a class action was appropriate or suitable.</w:t>
      </w:r>
      <w:r w:rsidR="00D629FA">
        <w:rPr>
          <w:rFonts w:ascii="ZWAdobeF" w:hAnsi="ZWAdobeF" w:cs="ZWAdobeF"/>
          <w:color w:val="auto"/>
          <w:sz w:val="2"/>
          <w:szCs w:val="2"/>
        </w:rPr>
        <w:t>120F</w:t>
      </w:r>
      <w:r w:rsidR="0049638A">
        <w:rPr>
          <w:rFonts w:ascii="ZWAdobeF" w:hAnsi="ZWAdobeF" w:cs="ZWAdobeF"/>
          <w:color w:val="auto"/>
          <w:sz w:val="2"/>
          <w:szCs w:val="2"/>
        </w:rPr>
        <w:t>120F</w:t>
      </w:r>
      <w:r w:rsidR="000D4978">
        <w:rPr>
          <w:rFonts w:ascii="ZWAdobeF" w:hAnsi="ZWAdobeF" w:cs="ZWAdobeF"/>
          <w:color w:val="auto"/>
          <w:sz w:val="2"/>
          <w:szCs w:val="2"/>
        </w:rPr>
        <w:t>120F</w:t>
      </w:r>
      <w:r w:rsidR="00B763FB" w:rsidRPr="00C6784D">
        <w:rPr>
          <w:rStyle w:val="FootnoteReference"/>
        </w:rPr>
        <w:footnoteReference w:id="122"/>
      </w:r>
      <w:r w:rsidR="00B763FB" w:rsidRPr="00C6784D">
        <w:t xml:space="preserve"> Three submitters did not express a clear preference.</w:t>
      </w:r>
      <w:r w:rsidR="00D629FA">
        <w:rPr>
          <w:rFonts w:ascii="ZWAdobeF" w:hAnsi="ZWAdobeF" w:cs="ZWAdobeF"/>
          <w:color w:val="auto"/>
          <w:sz w:val="2"/>
          <w:szCs w:val="2"/>
        </w:rPr>
        <w:t>121F</w:t>
      </w:r>
      <w:r w:rsidR="0049638A">
        <w:rPr>
          <w:rFonts w:ascii="ZWAdobeF" w:hAnsi="ZWAdobeF" w:cs="ZWAdobeF"/>
          <w:color w:val="auto"/>
          <w:sz w:val="2"/>
          <w:szCs w:val="2"/>
        </w:rPr>
        <w:t>121F</w:t>
      </w:r>
      <w:r w:rsidR="000D4978">
        <w:rPr>
          <w:rFonts w:ascii="ZWAdobeF" w:hAnsi="ZWAdobeF" w:cs="ZWAdobeF"/>
          <w:color w:val="auto"/>
          <w:sz w:val="2"/>
          <w:szCs w:val="2"/>
        </w:rPr>
        <w:t>121F</w:t>
      </w:r>
      <w:r w:rsidR="00B763FB" w:rsidRPr="00C6784D">
        <w:rPr>
          <w:rStyle w:val="FootnoteReference"/>
        </w:rPr>
        <w:footnoteReference w:id="123"/>
      </w:r>
    </w:p>
    <w:p w14:paraId="118017E3" w14:textId="5CC62949" w:rsidR="00B763FB" w:rsidRDefault="00BD5C95" w:rsidP="00932E49">
      <w:pPr>
        <w:pStyle w:val="BodyText"/>
        <w:tabs>
          <w:tab w:val="num" w:pos="1134"/>
        </w:tabs>
      </w:pPr>
      <w:r>
        <w:rPr>
          <w:rFonts w:ascii="ZWAdobeF" w:hAnsi="ZWAdobeF" w:cs="ZWAdobeF"/>
          <w:color w:val="auto"/>
          <w:sz w:val="2"/>
          <w:szCs w:val="2"/>
        </w:rPr>
        <w:t>43B</w:t>
      </w:r>
      <w:r w:rsidR="0049638A">
        <w:rPr>
          <w:rFonts w:ascii="ZWAdobeF" w:hAnsi="ZWAdobeF" w:cs="ZWAdobeF"/>
          <w:color w:val="auto"/>
          <w:sz w:val="2"/>
          <w:szCs w:val="2"/>
        </w:rPr>
        <w:t>43B</w:t>
      </w:r>
      <w:r w:rsidR="00D629FA">
        <w:rPr>
          <w:rFonts w:ascii="ZWAdobeF" w:hAnsi="ZWAdobeF" w:cs="ZWAdobeF"/>
          <w:color w:val="auto"/>
          <w:sz w:val="2"/>
          <w:szCs w:val="2"/>
        </w:rPr>
        <w:t>43B</w:t>
      </w:r>
      <w:r w:rsidR="00B763FB">
        <w:t xml:space="preserve">In our view, a court should be able to consider whether there are other procedures for </w:t>
      </w:r>
      <w:r w:rsidR="00ED4C09">
        <w:t>resolving</w:t>
      </w:r>
      <w:r w:rsidR="003A7D87">
        <w:t xml:space="preserve"> claims </w:t>
      </w:r>
      <w:r w:rsidR="00B763FB">
        <w:t xml:space="preserve">that are clearly more suitable than a class action. For example, a class action only seeking a declaration may be better brought by a single plaintiff under the Declaratory Judgments Act 1908 </w:t>
      </w:r>
      <w:r w:rsidR="005173EE">
        <w:t xml:space="preserve">or as an application for judicial review. A </w:t>
      </w:r>
      <w:r w:rsidR="00B763FB">
        <w:t xml:space="preserve">proceeding involving a very small group may be more suitable to bring as a representative action. However, we think it would be unduly burdensome if a plaintiff had to demonstrate that a class action was preferable or superior to every alternative means of bringing a claim and this might frustrate the access to justice objective of class actions. Further, there will often be a range of ways of proceeding with a claim and we think a plaintiff should have some choice as to the procedure. </w:t>
      </w:r>
    </w:p>
    <w:p w14:paraId="7A2116D5" w14:textId="7D3D27D2" w:rsidR="00B763FB" w:rsidRDefault="00BD5C95" w:rsidP="00932E49">
      <w:pPr>
        <w:pStyle w:val="BodyText"/>
        <w:tabs>
          <w:tab w:val="num" w:pos="1134"/>
        </w:tabs>
      </w:pPr>
      <w:r>
        <w:rPr>
          <w:rFonts w:ascii="ZWAdobeF" w:hAnsi="ZWAdobeF" w:cs="ZWAdobeF"/>
          <w:color w:val="auto"/>
          <w:sz w:val="2"/>
          <w:szCs w:val="2"/>
        </w:rPr>
        <w:lastRenderedPageBreak/>
        <w:t>44B</w:t>
      </w:r>
      <w:r w:rsidR="0049638A">
        <w:rPr>
          <w:rFonts w:ascii="ZWAdobeF" w:hAnsi="ZWAdobeF" w:cs="ZWAdobeF"/>
          <w:color w:val="auto"/>
          <w:sz w:val="2"/>
          <w:szCs w:val="2"/>
        </w:rPr>
        <w:t>44B</w:t>
      </w:r>
      <w:r w:rsidR="00D629FA">
        <w:rPr>
          <w:rFonts w:ascii="ZWAdobeF" w:hAnsi="ZWAdobeF" w:cs="ZWAdobeF"/>
          <w:color w:val="auto"/>
          <w:sz w:val="2"/>
          <w:szCs w:val="2"/>
        </w:rPr>
        <w:t>44B</w:t>
      </w:r>
      <w:r w:rsidR="00B763FB">
        <w:t>Our draft certification provision would require the court to consider whether a class action is an appropriate procedure for the efficient resolution of class members’ claims.</w:t>
      </w:r>
      <w:r w:rsidR="00D629FA">
        <w:rPr>
          <w:rFonts w:ascii="ZWAdobeF" w:hAnsi="ZWAdobeF" w:cs="ZWAdobeF"/>
          <w:color w:val="auto"/>
          <w:sz w:val="2"/>
          <w:szCs w:val="2"/>
        </w:rPr>
        <w:t>122F</w:t>
      </w:r>
      <w:r w:rsidR="0049638A">
        <w:rPr>
          <w:rFonts w:ascii="ZWAdobeF" w:hAnsi="ZWAdobeF" w:cs="ZWAdobeF"/>
          <w:color w:val="auto"/>
          <w:sz w:val="2"/>
          <w:szCs w:val="2"/>
        </w:rPr>
        <w:t>122F</w:t>
      </w:r>
      <w:r w:rsidR="000D4978">
        <w:rPr>
          <w:rFonts w:ascii="ZWAdobeF" w:hAnsi="ZWAdobeF" w:cs="ZWAdobeF"/>
          <w:color w:val="auto"/>
          <w:sz w:val="2"/>
          <w:szCs w:val="2"/>
        </w:rPr>
        <w:t>122F</w:t>
      </w:r>
      <w:r w:rsidR="00B763FB">
        <w:rPr>
          <w:rStyle w:val="FootnoteReference"/>
        </w:rPr>
        <w:footnoteReference w:id="124"/>
      </w:r>
      <w:r w:rsidR="00B763FB">
        <w:t xml:space="preserve"> This would </w:t>
      </w:r>
      <w:r w:rsidR="006E2772">
        <w:t xml:space="preserve">enable </w:t>
      </w:r>
      <w:r w:rsidR="00B763FB">
        <w:t>the court to consider whether another procedure would be a more appropriate means of resolving claims without requiring the class action to be the preferable or superior procedure. We think that a court should only consider alternative procedures that a claimant has available to them and not regulatory action, which is reflected in the wording of “another procedure available to class members</w:t>
      </w:r>
      <w:r w:rsidR="000A6BBD">
        <w:t>”.</w:t>
      </w:r>
      <w:r w:rsidR="00D629FA">
        <w:rPr>
          <w:rFonts w:ascii="ZWAdobeF" w:hAnsi="ZWAdobeF" w:cs="ZWAdobeF"/>
          <w:color w:val="auto"/>
          <w:sz w:val="2"/>
          <w:szCs w:val="2"/>
        </w:rPr>
        <w:t>123F</w:t>
      </w:r>
      <w:r w:rsidR="0049638A">
        <w:rPr>
          <w:rFonts w:ascii="ZWAdobeF" w:hAnsi="ZWAdobeF" w:cs="ZWAdobeF"/>
          <w:color w:val="auto"/>
          <w:sz w:val="2"/>
          <w:szCs w:val="2"/>
        </w:rPr>
        <w:t>123F</w:t>
      </w:r>
      <w:r w:rsidR="000D4978">
        <w:rPr>
          <w:rFonts w:ascii="ZWAdobeF" w:hAnsi="ZWAdobeF" w:cs="ZWAdobeF"/>
          <w:color w:val="auto"/>
          <w:sz w:val="2"/>
          <w:szCs w:val="2"/>
        </w:rPr>
        <w:t>123F</w:t>
      </w:r>
      <w:r w:rsidR="00B763FB">
        <w:rPr>
          <w:rStyle w:val="FootnoteReference"/>
        </w:rPr>
        <w:footnoteReference w:id="125"/>
      </w:r>
    </w:p>
    <w:p w14:paraId="6275F27F" w14:textId="29460AA4" w:rsidR="00B763FB" w:rsidRDefault="00BD5C95" w:rsidP="00932E49">
      <w:pPr>
        <w:pStyle w:val="BodyText"/>
        <w:tabs>
          <w:tab w:val="num" w:pos="1134"/>
        </w:tabs>
      </w:pPr>
      <w:r>
        <w:rPr>
          <w:rFonts w:ascii="ZWAdobeF" w:hAnsi="ZWAdobeF" w:cs="ZWAdobeF"/>
          <w:color w:val="auto"/>
          <w:sz w:val="2"/>
          <w:szCs w:val="2"/>
        </w:rPr>
        <w:t>45B</w:t>
      </w:r>
      <w:r w:rsidR="0049638A">
        <w:rPr>
          <w:rFonts w:ascii="ZWAdobeF" w:hAnsi="ZWAdobeF" w:cs="ZWAdobeF"/>
          <w:color w:val="auto"/>
          <w:sz w:val="2"/>
          <w:szCs w:val="2"/>
        </w:rPr>
        <w:t>45B</w:t>
      </w:r>
      <w:r w:rsidR="00D629FA">
        <w:rPr>
          <w:rFonts w:ascii="ZWAdobeF" w:hAnsi="ZWAdobeF" w:cs="ZWAdobeF"/>
          <w:color w:val="auto"/>
          <w:sz w:val="2"/>
          <w:szCs w:val="2"/>
        </w:rPr>
        <w:t>45B</w:t>
      </w:r>
      <w:r w:rsidR="00B763FB">
        <w:t xml:space="preserve">Our proposed test would also </w:t>
      </w:r>
      <w:r w:rsidR="006E2772">
        <w:t xml:space="preserve">enable </w:t>
      </w:r>
      <w:r w:rsidR="00B763FB">
        <w:t>the court to consider factors such as the size of the class, the nature of the claims and the extent of the issues to be determined once the common issue is resolved.</w:t>
      </w:r>
      <w:r w:rsidR="00D629FA">
        <w:rPr>
          <w:rFonts w:ascii="ZWAdobeF" w:hAnsi="ZWAdobeF" w:cs="ZWAdobeF"/>
          <w:color w:val="auto"/>
          <w:sz w:val="2"/>
          <w:szCs w:val="2"/>
        </w:rPr>
        <w:t>124F</w:t>
      </w:r>
      <w:r w:rsidR="0049638A">
        <w:rPr>
          <w:rFonts w:ascii="ZWAdobeF" w:hAnsi="ZWAdobeF" w:cs="ZWAdobeF"/>
          <w:color w:val="auto"/>
          <w:sz w:val="2"/>
          <w:szCs w:val="2"/>
        </w:rPr>
        <w:t>124F</w:t>
      </w:r>
      <w:r w:rsidR="000D4978">
        <w:rPr>
          <w:rFonts w:ascii="ZWAdobeF" w:hAnsi="ZWAdobeF" w:cs="ZWAdobeF"/>
          <w:color w:val="auto"/>
          <w:sz w:val="2"/>
          <w:szCs w:val="2"/>
        </w:rPr>
        <w:t>124F</w:t>
      </w:r>
      <w:r w:rsidR="00B763FB">
        <w:rPr>
          <w:rStyle w:val="FootnoteReference"/>
        </w:rPr>
        <w:footnoteReference w:id="126"/>
      </w:r>
      <w:r w:rsidR="00B763FB">
        <w:t xml:space="preserve"> </w:t>
      </w:r>
      <w:r w:rsidR="003A7D87">
        <w:t xml:space="preserve">We also suggest the court should be able to consider </w:t>
      </w:r>
      <w:r w:rsidR="002A62A2">
        <w:t>any other factors it sees as relevant, to allow flexibility.</w:t>
      </w:r>
      <w:r w:rsidR="00D629FA">
        <w:rPr>
          <w:rFonts w:ascii="ZWAdobeF" w:hAnsi="ZWAdobeF" w:cs="ZWAdobeF"/>
          <w:color w:val="auto"/>
          <w:sz w:val="2"/>
          <w:szCs w:val="2"/>
        </w:rPr>
        <w:t>125F</w:t>
      </w:r>
      <w:r w:rsidR="0049638A">
        <w:rPr>
          <w:rFonts w:ascii="ZWAdobeF" w:hAnsi="ZWAdobeF" w:cs="ZWAdobeF"/>
          <w:color w:val="auto"/>
          <w:sz w:val="2"/>
          <w:szCs w:val="2"/>
        </w:rPr>
        <w:t>125F</w:t>
      </w:r>
      <w:r w:rsidR="000D4978">
        <w:rPr>
          <w:rFonts w:ascii="ZWAdobeF" w:hAnsi="ZWAdobeF" w:cs="ZWAdobeF"/>
          <w:color w:val="auto"/>
          <w:sz w:val="2"/>
          <w:szCs w:val="2"/>
        </w:rPr>
        <w:t>125F</w:t>
      </w:r>
      <w:r w:rsidR="002A62A2">
        <w:rPr>
          <w:rStyle w:val="FootnoteReference"/>
        </w:rPr>
        <w:footnoteReference w:id="127"/>
      </w:r>
      <w:r w:rsidR="002A62A2">
        <w:t xml:space="preserve"> </w:t>
      </w:r>
    </w:p>
    <w:p w14:paraId="61E4DB8F" w14:textId="77777777" w:rsidR="00B763FB" w:rsidRDefault="00B763FB" w:rsidP="0016640A">
      <w:pPr>
        <w:pStyle w:val="Heading3"/>
      </w:pPr>
      <w:r>
        <w:t xml:space="preserve">Membership of the class </w:t>
      </w:r>
    </w:p>
    <w:p w14:paraId="23C7EC98" w14:textId="7F130C57" w:rsidR="00B763FB" w:rsidRDefault="00BD5C95" w:rsidP="00932E49">
      <w:pPr>
        <w:pStyle w:val="BodyText"/>
      </w:pPr>
      <w:r>
        <w:rPr>
          <w:rFonts w:ascii="ZWAdobeF" w:hAnsi="ZWAdobeF" w:cs="ZWAdobeF"/>
          <w:color w:val="auto"/>
          <w:sz w:val="2"/>
          <w:szCs w:val="2"/>
        </w:rPr>
        <w:t>46B</w:t>
      </w:r>
      <w:r w:rsidR="0049638A">
        <w:rPr>
          <w:rFonts w:ascii="ZWAdobeF" w:hAnsi="ZWAdobeF" w:cs="ZWAdobeF"/>
          <w:color w:val="auto"/>
          <w:sz w:val="2"/>
          <w:szCs w:val="2"/>
        </w:rPr>
        <w:t>46B</w:t>
      </w:r>
      <w:r w:rsidR="00D629FA">
        <w:rPr>
          <w:rFonts w:ascii="ZWAdobeF" w:hAnsi="ZWAdobeF" w:cs="ZWAdobeF"/>
          <w:color w:val="auto"/>
          <w:sz w:val="2"/>
          <w:szCs w:val="2"/>
        </w:rPr>
        <w:t>46B</w:t>
      </w:r>
      <w:r w:rsidR="00B763FB">
        <w:t>Our Issues Paper discussed the advantages and disadvantages of both the opt-in and opt-out approaches to class membership.</w:t>
      </w:r>
      <w:r w:rsidR="00D629FA">
        <w:rPr>
          <w:rFonts w:ascii="ZWAdobeF" w:hAnsi="ZWAdobeF" w:cs="ZWAdobeF"/>
          <w:color w:val="auto"/>
          <w:sz w:val="2"/>
          <w:szCs w:val="2"/>
        </w:rPr>
        <w:t>126F</w:t>
      </w:r>
      <w:r w:rsidR="0049638A">
        <w:rPr>
          <w:rFonts w:ascii="ZWAdobeF" w:hAnsi="ZWAdobeF" w:cs="ZWAdobeF"/>
          <w:color w:val="auto"/>
          <w:sz w:val="2"/>
          <w:szCs w:val="2"/>
        </w:rPr>
        <w:t>126F</w:t>
      </w:r>
      <w:r w:rsidR="000D4978">
        <w:rPr>
          <w:rFonts w:ascii="ZWAdobeF" w:hAnsi="ZWAdobeF" w:cs="ZWAdobeF"/>
          <w:color w:val="auto"/>
          <w:sz w:val="2"/>
          <w:szCs w:val="2"/>
        </w:rPr>
        <w:t>126F</w:t>
      </w:r>
      <w:r w:rsidR="00B763FB">
        <w:rPr>
          <w:rStyle w:val="FootnoteReference"/>
        </w:rPr>
        <w:footnoteReference w:id="128"/>
      </w:r>
      <w:r w:rsidR="00B763FB">
        <w:t xml:space="preserve"> We asked submitters whether class membership should be determined on an opt-in basis or an opt-out basis or whether multiple approaches should be available (Q 32). If multiple approaches were available, we asked what the criteria should be and whether there should be a default approach </w:t>
      </w:r>
      <w:r w:rsidR="003A188E">
        <w:t>(</w:t>
      </w:r>
      <w:r w:rsidR="00B763FB">
        <w:t xml:space="preserve">Q 33). </w:t>
      </w:r>
    </w:p>
    <w:p w14:paraId="47CC4F6C" w14:textId="77777777" w:rsidR="00B763FB" w:rsidRDefault="00B763FB" w:rsidP="0016640A">
      <w:pPr>
        <w:pStyle w:val="Heading4"/>
      </w:pPr>
      <w:r>
        <w:t xml:space="preserve">Submissions on class membership </w:t>
      </w:r>
    </w:p>
    <w:p w14:paraId="040FB1AA" w14:textId="18CD72D9" w:rsidR="00B763FB" w:rsidRDefault="00BD5C95" w:rsidP="00932E49">
      <w:pPr>
        <w:pStyle w:val="BodyText"/>
      </w:pPr>
      <w:r>
        <w:rPr>
          <w:rFonts w:ascii="ZWAdobeF" w:hAnsi="ZWAdobeF" w:cs="ZWAdobeF"/>
          <w:color w:val="auto"/>
          <w:sz w:val="2"/>
          <w:szCs w:val="2"/>
        </w:rPr>
        <w:t>47B</w:t>
      </w:r>
      <w:r w:rsidR="0049638A">
        <w:rPr>
          <w:rFonts w:ascii="ZWAdobeF" w:hAnsi="ZWAdobeF" w:cs="ZWAdobeF"/>
          <w:color w:val="auto"/>
          <w:sz w:val="2"/>
          <w:szCs w:val="2"/>
        </w:rPr>
        <w:t>47B</w:t>
      </w:r>
      <w:r w:rsidR="00D629FA">
        <w:rPr>
          <w:rFonts w:ascii="ZWAdobeF" w:hAnsi="ZWAdobeF" w:cs="ZWAdobeF"/>
          <w:color w:val="auto"/>
          <w:sz w:val="2"/>
          <w:szCs w:val="2"/>
        </w:rPr>
        <w:t>47B</w:t>
      </w:r>
      <w:r w:rsidR="00B763FB">
        <w:t>There were 30 submissions which addressed class membership,</w:t>
      </w:r>
      <w:r w:rsidR="00D629FA">
        <w:rPr>
          <w:rFonts w:ascii="ZWAdobeF" w:hAnsi="ZWAdobeF" w:cs="ZWAdobeF"/>
          <w:color w:val="auto"/>
          <w:sz w:val="2"/>
          <w:szCs w:val="2"/>
        </w:rPr>
        <w:t>127F</w:t>
      </w:r>
      <w:r w:rsidR="0049638A">
        <w:rPr>
          <w:rFonts w:ascii="ZWAdobeF" w:hAnsi="ZWAdobeF" w:cs="ZWAdobeF"/>
          <w:color w:val="auto"/>
          <w:sz w:val="2"/>
          <w:szCs w:val="2"/>
        </w:rPr>
        <w:t>127F</w:t>
      </w:r>
      <w:r w:rsidR="000D4978">
        <w:rPr>
          <w:rFonts w:ascii="ZWAdobeF" w:hAnsi="ZWAdobeF" w:cs="ZWAdobeF"/>
          <w:color w:val="auto"/>
          <w:sz w:val="2"/>
          <w:szCs w:val="2"/>
        </w:rPr>
        <w:t>127F</w:t>
      </w:r>
      <w:r w:rsidR="00B763FB">
        <w:rPr>
          <w:rStyle w:val="FootnoteReference"/>
        </w:rPr>
        <w:footnoteReference w:id="129"/>
      </w:r>
      <w:r w:rsidR="00B763FB">
        <w:t xml:space="preserve"> with submitters favouring the following options: </w:t>
      </w:r>
    </w:p>
    <w:p w14:paraId="691F688C" w14:textId="1CBBB172" w:rsidR="00B763FB" w:rsidRDefault="00BD5C95" w:rsidP="003E2524">
      <w:pPr>
        <w:pStyle w:val="BodyTextnonum"/>
        <w:numPr>
          <w:ilvl w:val="3"/>
          <w:numId w:val="34"/>
        </w:numPr>
      </w:pPr>
      <w:r>
        <w:rPr>
          <w:rFonts w:ascii="ZWAdobeF" w:hAnsi="ZWAdobeF" w:cs="ZWAdobeF"/>
          <w:color w:val="auto"/>
          <w:sz w:val="2"/>
          <w:szCs w:val="2"/>
        </w:rPr>
        <w:t>615B</w:t>
      </w:r>
      <w:r w:rsidR="0049638A">
        <w:rPr>
          <w:rFonts w:ascii="ZWAdobeF" w:hAnsi="ZWAdobeF" w:cs="ZWAdobeF"/>
          <w:color w:val="auto"/>
          <w:sz w:val="2"/>
          <w:szCs w:val="2"/>
        </w:rPr>
        <w:t>615B</w:t>
      </w:r>
      <w:r w:rsidR="00D629FA">
        <w:rPr>
          <w:rFonts w:ascii="ZWAdobeF" w:hAnsi="ZWAdobeF" w:cs="ZWAdobeF"/>
          <w:color w:val="auto"/>
          <w:sz w:val="2"/>
          <w:szCs w:val="2"/>
        </w:rPr>
        <w:t>615B</w:t>
      </w:r>
      <w:r w:rsidR="00B763FB">
        <w:t>Four submitters supported having opt-in only.</w:t>
      </w:r>
      <w:r w:rsidR="00D629FA">
        <w:rPr>
          <w:rFonts w:ascii="ZWAdobeF" w:hAnsi="ZWAdobeF" w:cs="ZWAdobeF"/>
          <w:color w:val="auto"/>
          <w:sz w:val="2"/>
          <w:szCs w:val="2"/>
        </w:rPr>
        <w:t>128F</w:t>
      </w:r>
      <w:r w:rsidR="0049638A">
        <w:rPr>
          <w:rFonts w:ascii="ZWAdobeF" w:hAnsi="ZWAdobeF" w:cs="ZWAdobeF"/>
          <w:color w:val="auto"/>
          <w:sz w:val="2"/>
          <w:szCs w:val="2"/>
        </w:rPr>
        <w:t>128F</w:t>
      </w:r>
      <w:r w:rsidR="000D4978">
        <w:rPr>
          <w:rFonts w:ascii="ZWAdobeF" w:hAnsi="ZWAdobeF" w:cs="ZWAdobeF"/>
          <w:color w:val="auto"/>
          <w:sz w:val="2"/>
          <w:szCs w:val="2"/>
        </w:rPr>
        <w:t>128F</w:t>
      </w:r>
      <w:r w:rsidR="00B763FB">
        <w:rPr>
          <w:rStyle w:val="FootnoteReference"/>
        </w:rPr>
        <w:footnoteReference w:id="130"/>
      </w:r>
    </w:p>
    <w:p w14:paraId="74FABFFD" w14:textId="6793283F" w:rsidR="00B763FB" w:rsidRDefault="00BD5C95" w:rsidP="003E2524">
      <w:pPr>
        <w:pStyle w:val="BodyTextnonum"/>
        <w:numPr>
          <w:ilvl w:val="3"/>
          <w:numId w:val="34"/>
        </w:numPr>
      </w:pPr>
      <w:r>
        <w:rPr>
          <w:rFonts w:ascii="ZWAdobeF" w:hAnsi="ZWAdobeF" w:cs="ZWAdobeF"/>
          <w:color w:val="auto"/>
          <w:sz w:val="2"/>
          <w:szCs w:val="2"/>
        </w:rPr>
        <w:t>616B</w:t>
      </w:r>
      <w:r w:rsidR="0049638A">
        <w:rPr>
          <w:rFonts w:ascii="ZWAdobeF" w:hAnsi="ZWAdobeF" w:cs="ZWAdobeF"/>
          <w:color w:val="auto"/>
          <w:sz w:val="2"/>
          <w:szCs w:val="2"/>
        </w:rPr>
        <w:t>616B</w:t>
      </w:r>
      <w:r w:rsidR="00D629FA">
        <w:rPr>
          <w:rFonts w:ascii="ZWAdobeF" w:hAnsi="ZWAdobeF" w:cs="ZWAdobeF"/>
          <w:color w:val="auto"/>
          <w:sz w:val="2"/>
          <w:szCs w:val="2"/>
        </w:rPr>
        <w:t>616B</w:t>
      </w:r>
      <w:r w:rsidR="00B763FB">
        <w:t>Four submitters supported having opt-out only.</w:t>
      </w:r>
      <w:r w:rsidR="00D629FA">
        <w:rPr>
          <w:rFonts w:ascii="ZWAdobeF" w:hAnsi="ZWAdobeF" w:cs="ZWAdobeF"/>
          <w:color w:val="auto"/>
          <w:sz w:val="2"/>
          <w:szCs w:val="2"/>
        </w:rPr>
        <w:t>129F</w:t>
      </w:r>
      <w:r w:rsidR="0049638A">
        <w:rPr>
          <w:rFonts w:ascii="ZWAdobeF" w:hAnsi="ZWAdobeF" w:cs="ZWAdobeF"/>
          <w:color w:val="auto"/>
          <w:sz w:val="2"/>
          <w:szCs w:val="2"/>
        </w:rPr>
        <w:t>129F</w:t>
      </w:r>
      <w:r w:rsidR="000D4978">
        <w:rPr>
          <w:rFonts w:ascii="ZWAdobeF" w:hAnsi="ZWAdobeF" w:cs="ZWAdobeF"/>
          <w:color w:val="auto"/>
          <w:sz w:val="2"/>
          <w:szCs w:val="2"/>
        </w:rPr>
        <w:t>129F</w:t>
      </w:r>
      <w:r w:rsidR="00B763FB">
        <w:rPr>
          <w:rStyle w:val="FootnoteReference"/>
        </w:rPr>
        <w:footnoteReference w:id="131"/>
      </w:r>
    </w:p>
    <w:p w14:paraId="52A433C9" w14:textId="137BDDD1" w:rsidR="00B763FB" w:rsidRDefault="00BD5C95" w:rsidP="003E2524">
      <w:pPr>
        <w:pStyle w:val="BodyTextnonum"/>
        <w:numPr>
          <w:ilvl w:val="3"/>
          <w:numId w:val="34"/>
        </w:numPr>
      </w:pPr>
      <w:r>
        <w:rPr>
          <w:rFonts w:ascii="ZWAdobeF" w:hAnsi="ZWAdobeF" w:cs="ZWAdobeF"/>
          <w:color w:val="auto"/>
          <w:sz w:val="2"/>
          <w:szCs w:val="2"/>
        </w:rPr>
        <w:lastRenderedPageBreak/>
        <w:t>617B</w:t>
      </w:r>
      <w:r w:rsidR="0049638A">
        <w:rPr>
          <w:rFonts w:ascii="ZWAdobeF" w:hAnsi="ZWAdobeF" w:cs="ZWAdobeF"/>
          <w:color w:val="auto"/>
          <w:sz w:val="2"/>
          <w:szCs w:val="2"/>
        </w:rPr>
        <w:t>617B</w:t>
      </w:r>
      <w:r w:rsidR="00D629FA">
        <w:rPr>
          <w:rFonts w:ascii="ZWAdobeF" w:hAnsi="ZWAdobeF" w:cs="ZWAdobeF"/>
          <w:color w:val="auto"/>
          <w:sz w:val="2"/>
          <w:szCs w:val="2"/>
        </w:rPr>
        <w:t>617B</w:t>
      </w:r>
      <w:r w:rsidR="00B763FB">
        <w:t>Four submitters supported having opt-in as the default or preferred mechanism, with opt-out allowed in some situations.</w:t>
      </w:r>
      <w:r w:rsidR="00D629FA">
        <w:rPr>
          <w:rFonts w:ascii="ZWAdobeF" w:hAnsi="ZWAdobeF" w:cs="ZWAdobeF"/>
          <w:color w:val="auto"/>
          <w:sz w:val="2"/>
          <w:szCs w:val="2"/>
        </w:rPr>
        <w:t>130F</w:t>
      </w:r>
      <w:r w:rsidR="0049638A">
        <w:rPr>
          <w:rFonts w:ascii="ZWAdobeF" w:hAnsi="ZWAdobeF" w:cs="ZWAdobeF"/>
          <w:color w:val="auto"/>
          <w:sz w:val="2"/>
          <w:szCs w:val="2"/>
        </w:rPr>
        <w:t>130F</w:t>
      </w:r>
      <w:r w:rsidR="000D4978">
        <w:rPr>
          <w:rFonts w:ascii="ZWAdobeF" w:hAnsi="ZWAdobeF" w:cs="ZWAdobeF"/>
          <w:color w:val="auto"/>
          <w:sz w:val="2"/>
          <w:szCs w:val="2"/>
        </w:rPr>
        <w:t>130F</w:t>
      </w:r>
      <w:r w:rsidR="00B763FB">
        <w:rPr>
          <w:rStyle w:val="FootnoteReference"/>
        </w:rPr>
        <w:footnoteReference w:id="132"/>
      </w:r>
      <w:r w:rsidR="00B763FB">
        <w:t xml:space="preserve"> </w:t>
      </w:r>
    </w:p>
    <w:p w14:paraId="00638F00" w14:textId="11F9681B" w:rsidR="00B763FB" w:rsidRDefault="00BD5C95" w:rsidP="003E2524">
      <w:pPr>
        <w:pStyle w:val="BodyTextnonum"/>
        <w:numPr>
          <w:ilvl w:val="3"/>
          <w:numId w:val="34"/>
        </w:numPr>
      </w:pPr>
      <w:r>
        <w:rPr>
          <w:rFonts w:ascii="ZWAdobeF" w:hAnsi="ZWAdobeF" w:cs="ZWAdobeF"/>
          <w:color w:val="auto"/>
          <w:sz w:val="2"/>
          <w:szCs w:val="2"/>
        </w:rPr>
        <w:t>618B</w:t>
      </w:r>
      <w:r w:rsidR="0049638A">
        <w:rPr>
          <w:rFonts w:ascii="ZWAdobeF" w:hAnsi="ZWAdobeF" w:cs="ZWAdobeF"/>
          <w:color w:val="auto"/>
          <w:sz w:val="2"/>
          <w:szCs w:val="2"/>
        </w:rPr>
        <w:t>618B</w:t>
      </w:r>
      <w:r w:rsidR="00D629FA">
        <w:rPr>
          <w:rFonts w:ascii="ZWAdobeF" w:hAnsi="ZWAdobeF" w:cs="ZWAdobeF"/>
          <w:color w:val="auto"/>
          <w:sz w:val="2"/>
          <w:szCs w:val="2"/>
        </w:rPr>
        <w:t>618B</w:t>
      </w:r>
      <w:r w:rsidR="00B763FB">
        <w:t>Two submitters supported having opt-out as the default or preferred mechanism, with opt-in allowed in some situations.</w:t>
      </w:r>
      <w:r w:rsidR="00D629FA">
        <w:rPr>
          <w:rFonts w:ascii="ZWAdobeF" w:hAnsi="ZWAdobeF" w:cs="ZWAdobeF"/>
          <w:color w:val="auto"/>
          <w:sz w:val="2"/>
          <w:szCs w:val="2"/>
        </w:rPr>
        <w:t>131F</w:t>
      </w:r>
      <w:r w:rsidR="0049638A">
        <w:rPr>
          <w:rFonts w:ascii="ZWAdobeF" w:hAnsi="ZWAdobeF" w:cs="ZWAdobeF"/>
          <w:color w:val="auto"/>
          <w:sz w:val="2"/>
          <w:szCs w:val="2"/>
        </w:rPr>
        <w:t>131F</w:t>
      </w:r>
      <w:r w:rsidR="000D4978">
        <w:rPr>
          <w:rFonts w:ascii="ZWAdobeF" w:hAnsi="ZWAdobeF" w:cs="ZWAdobeF"/>
          <w:color w:val="auto"/>
          <w:sz w:val="2"/>
          <w:szCs w:val="2"/>
        </w:rPr>
        <w:t>131F</w:t>
      </w:r>
      <w:r w:rsidR="00B763FB">
        <w:rPr>
          <w:rStyle w:val="FootnoteReference"/>
        </w:rPr>
        <w:footnoteReference w:id="133"/>
      </w:r>
    </w:p>
    <w:p w14:paraId="06719279" w14:textId="281B8ABC" w:rsidR="00B763FB" w:rsidRDefault="00BD5C95" w:rsidP="003E2524">
      <w:pPr>
        <w:pStyle w:val="BodyTextnonum"/>
        <w:numPr>
          <w:ilvl w:val="3"/>
          <w:numId w:val="34"/>
        </w:numPr>
      </w:pPr>
      <w:r>
        <w:rPr>
          <w:rFonts w:ascii="ZWAdobeF" w:hAnsi="ZWAdobeF" w:cs="ZWAdobeF"/>
          <w:color w:val="auto"/>
          <w:sz w:val="2"/>
          <w:szCs w:val="2"/>
        </w:rPr>
        <w:t>619B</w:t>
      </w:r>
      <w:r w:rsidR="0049638A">
        <w:rPr>
          <w:rFonts w:ascii="ZWAdobeF" w:hAnsi="ZWAdobeF" w:cs="ZWAdobeF"/>
          <w:color w:val="auto"/>
          <w:sz w:val="2"/>
          <w:szCs w:val="2"/>
        </w:rPr>
        <w:t>619B</w:t>
      </w:r>
      <w:r w:rsidR="00D629FA">
        <w:rPr>
          <w:rFonts w:ascii="ZWAdobeF" w:hAnsi="ZWAdobeF" w:cs="ZWAdobeF"/>
          <w:color w:val="auto"/>
          <w:sz w:val="2"/>
          <w:szCs w:val="2"/>
        </w:rPr>
        <w:t>619B</w:t>
      </w:r>
      <w:r w:rsidR="00B763FB">
        <w:t>Twelve submitters supported having both opt-in and opt-out available, with no default mechanism.</w:t>
      </w:r>
      <w:r w:rsidR="00D629FA">
        <w:rPr>
          <w:rFonts w:ascii="ZWAdobeF" w:hAnsi="ZWAdobeF" w:cs="ZWAdobeF"/>
          <w:color w:val="auto"/>
          <w:sz w:val="2"/>
          <w:szCs w:val="2"/>
        </w:rPr>
        <w:t>132F</w:t>
      </w:r>
      <w:r w:rsidR="0049638A">
        <w:rPr>
          <w:rFonts w:ascii="ZWAdobeF" w:hAnsi="ZWAdobeF" w:cs="ZWAdobeF"/>
          <w:color w:val="auto"/>
          <w:sz w:val="2"/>
          <w:szCs w:val="2"/>
        </w:rPr>
        <w:t>132F</w:t>
      </w:r>
      <w:r w:rsidR="000D4978">
        <w:rPr>
          <w:rFonts w:ascii="ZWAdobeF" w:hAnsi="ZWAdobeF" w:cs="ZWAdobeF"/>
          <w:color w:val="auto"/>
          <w:sz w:val="2"/>
          <w:szCs w:val="2"/>
        </w:rPr>
        <w:t>132F</w:t>
      </w:r>
      <w:r w:rsidR="00B763FB">
        <w:rPr>
          <w:rStyle w:val="FootnoteReference"/>
        </w:rPr>
        <w:footnoteReference w:id="134"/>
      </w:r>
      <w:r w:rsidR="00B763FB">
        <w:t xml:space="preserve"> </w:t>
      </w:r>
    </w:p>
    <w:p w14:paraId="4E0CEA86" w14:textId="43A6073E" w:rsidR="00B763FB" w:rsidRDefault="00BD5C95" w:rsidP="003E2524">
      <w:pPr>
        <w:pStyle w:val="BodyTextnonum"/>
        <w:numPr>
          <w:ilvl w:val="3"/>
          <w:numId w:val="34"/>
        </w:numPr>
      </w:pPr>
      <w:r>
        <w:rPr>
          <w:rFonts w:ascii="ZWAdobeF" w:hAnsi="ZWAdobeF" w:cs="ZWAdobeF"/>
          <w:color w:val="auto"/>
          <w:sz w:val="2"/>
          <w:szCs w:val="2"/>
        </w:rPr>
        <w:t>620B</w:t>
      </w:r>
      <w:r w:rsidR="0049638A">
        <w:rPr>
          <w:rFonts w:ascii="ZWAdobeF" w:hAnsi="ZWAdobeF" w:cs="ZWAdobeF"/>
          <w:color w:val="auto"/>
          <w:sz w:val="2"/>
          <w:szCs w:val="2"/>
        </w:rPr>
        <w:t>620B</w:t>
      </w:r>
      <w:r w:rsidR="00D629FA">
        <w:rPr>
          <w:rFonts w:ascii="ZWAdobeF" w:hAnsi="ZWAdobeF" w:cs="ZWAdobeF"/>
          <w:color w:val="auto"/>
          <w:sz w:val="2"/>
          <w:szCs w:val="2"/>
        </w:rPr>
        <w:t>620B</w:t>
      </w:r>
      <w:r w:rsidR="00B763FB">
        <w:t>Five submitters also supported a universal approach being available.</w:t>
      </w:r>
      <w:r w:rsidR="00D629FA">
        <w:rPr>
          <w:rFonts w:ascii="ZWAdobeF" w:hAnsi="ZWAdobeF" w:cs="ZWAdobeF"/>
          <w:color w:val="auto"/>
          <w:sz w:val="2"/>
          <w:szCs w:val="2"/>
        </w:rPr>
        <w:t>133F</w:t>
      </w:r>
      <w:r w:rsidR="0049638A">
        <w:rPr>
          <w:rFonts w:ascii="ZWAdobeF" w:hAnsi="ZWAdobeF" w:cs="ZWAdobeF"/>
          <w:color w:val="auto"/>
          <w:sz w:val="2"/>
          <w:szCs w:val="2"/>
        </w:rPr>
        <w:t>133F</w:t>
      </w:r>
      <w:r w:rsidR="000D4978">
        <w:rPr>
          <w:rFonts w:ascii="ZWAdobeF" w:hAnsi="ZWAdobeF" w:cs="ZWAdobeF"/>
          <w:color w:val="auto"/>
          <w:sz w:val="2"/>
          <w:szCs w:val="2"/>
        </w:rPr>
        <w:t>133F</w:t>
      </w:r>
      <w:r w:rsidR="00B763FB">
        <w:rPr>
          <w:rStyle w:val="FootnoteReference"/>
        </w:rPr>
        <w:footnoteReference w:id="135"/>
      </w:r>
      <w:r w:rsidR="00B763FB">
        <w:t xml:space="preserve"> </w:t>
      </w:r>
    </w:p>
    <w:p w14:paraId="608DF23A" w14:textId="5370B129" w:rsidR="00B763FB" w:rsidRDefault="00BD5C95" w:rsidP="00932E49">
      <w:pPr>
        <w:pStyle w:val="BodyText"/>
      </w:pPr>
      <w:r>
        <w:rPr>
          <w:rFonts w:ascii="ZWAdobeF" w:hAnsi="ZWAdobeF" w:cs="ZWAdobeF"/>
          <w:color w:val="auto"/>
          <w:sz w:val="2"/>
          <w:szCs w:val="2"/>
        </w:rPr>
        <w:t>48B</w:t>
      </w:r>
      <w:r w:rsidR="0049638A">
        <w:rPr>
          <w:rFonts w:ascii="ZWAdobeF" w:hAnsi="ZWAdobeF" w:cs="ZWAdobeF"/>
          <w:color w:val="auto"/>
          <w:sz w:val="2"/>
          <w:szCs w:val="2"/>
        </w:rPr>
        <w:t>48B</w:t>
      </w:r>
      <w:r w:rsidR="00D629FA">
        <w:rPr>
          <w:rFonts w:ascii="ZWAdobeF" w:hAnsi="ZWAdobeF" w:cs="ZWAdobeF"/>
          <w:color w:val="auto"/>
          <w:sz w:val="2"/>
          <w:szCs w:val="2"/>
        </w:rPr>
        <w:t>48B</w:t>
      </w:r>
      <w:r w:rsidR="00B763FB">
        <w:t>There were several</w:t>
      </w:r>
      <w:r w:rsidR="00B763FB" w:rsidDel="00C20522">
        <w:t xml:space="preserve"> </w:t>
      </w:r>
      <w:r w:rsidR="00B763FB">
        <w:t>submissions which set out some matters to consider, without expressing a view on a preferred approach.</w:t>
      </w:r>
      <w:r w:rsidR="00D629FA">
        <w:rPr>
          <w:rFonts w:ascii="ZWAdobeF" w:hAnsi="ZWAdobeF" w:cs="ZWAdobeF"/>
          <w:color w:val="auto"/>
          <w:sz w:val="2"/>
          <w:szCs w:val="2"/>
        </w:rPr>
        <w:t>134F</w:t>
      </w:r>
      <w:r w:rsidR="0049638A">
        <w:rPr>
          <w:rFonts w:ascii="ZWAdobeF" w:hAnsi="ZWAdobeF" w:cs="ZWAdobeF"/>
          <w:color w:val="auto"/>
          <w:sz w:val="2"/>
          <w:szCs w:val="2"/>
        </w:rPr>
        <w:t>134F</w:t>
      </w:r>
      <w:r w:rsidR="000D4978">
        <w:rPr>
          <w:rFonts w:ascii="ZWAdobeF" w:hAnsi="ZWAdobeF" w:cs="ZWAdobeF"/>
          <w:color w:val="auto"/>
          <w:sz w:val="2"/>
          <w:szCs w:val="2"/>
        </w:rPr>
        <w:t>134F</w:t>
      </w:r>
      <w:r w:rsidR="00B763FB">
        <w:rPr>
          <w:rStyle w:val="FootnoteReference"/>
        </w:rPr>
        <w:footnoteReference w:id="136"/>
      </w:r>
    </w:p>
    <w:p w14:paraId="40928312" w14:textId="348325D3" w:rsidR="00B763FB" w:rsidRDefault="00BD5C95" w:rsidP="00932E49">
      <w:pPr>
        <w:pStyle w:val="BodyText"/>
      </w:pPr>
      <w:r>
        <w:rPr>
          <w:rFonts w:ascii="ZWAdobeF" w:hAnsi="ZWAdobeF" w:cs="ZWAdobeF"/>
          <w:color w:val="auto"/>
          <w:sz w:val="2"/>
          <w:szCs w:val="2"/>
        </w:rPr>
        <w:t>49B</w:t>
      </w:r>
      <w:r w:rsidR="0049638A">
        <w:rPr>
          <w:rFonts w:ascii="ZWAdobeF" w:hAnsi="ZWAdobeF" w:cs="ZWAdobeF"/>
          <w:color w:val="auto"/>
          <w:sz w:val="2"/>
          <w:szCs w:val="2"/>
        </w:rPr>
        <w:t>49B</w:t>
      </w:r>
      <w:r w:rsidR="00D629FA">
        <w:rPr>
          <w:rFonts w:ascii="ZWAdobeF" w:hAnsi="ZWAdobeF" w:cs="ZWAdobeF"/>
          <w:color w:val="auto"/>
          <w:sz w:val="2"/>
          <w:szCs w:val="2"/>
        </w:rPr>
        <w:t>49B</w:t>
      </w:r>
      <w:r w:rsidR="00B763FB">
        <w:t xml:space="preserve">Submitters who favoured opt-in noted that this mechanism was more straightforward, had been shown to work in Aotearoa New Zealand, ensured a clear class size and could ensure parties were committed to funding arrangements. These submitters also pointed to disadvantages of an opt-out approach, including high burdens on defendants, the risk of opportunistic claims and being inconsistent with traditional notions of party autonomy. Submitters who preferred an opt-out approach saw this as promoting access to justice, with some considering it could be an efficient use of court resources and could provide finality for defendants. Submitters who preferred having multiple approaches available (with no default) noted that each mechanism had advantages and disadvantages and considered it would be desirable to have flexibility to choose the most appropriate mechanism for each case.    </w:t>
      </w:r>
    </w:p>
    <w:p w14:paraId="4FBB27E0" w14:textId="6DD23689" w:rsidR="00B763FB" w:rsidRDefault="00BD5C95" w:rsidP="00932E49">
      <w:pPr>
        <w:pStyle w:val="BodyText"/>
      </w:pPr>
      <w:r>
        <w:rPr>
          <w:rFonts w:ascii="ZWAdobeF" w:hAnsi="ZWAdobeF" w:cs="ZWAdobeF"/>
          <w:color w:val="auto"/>
          <w:sz w:val="2"/>
          <w:szCs w:val="2"/>
        </w:rPr>
        <w:t>50B</w:t>
      </w:r>
      <w:r w:rsidR="0049638A">
        <w:rPr>
          <w:rFonts w:ascii="ZWAdobeF" w:hAnsi="ZWAdobeF" w:cs="ZWAdobeF"/>
          <w:color w:val="auto"/>
          <w:sz w:val="2"/>
          <w:szCs w:val="2"/>
        </w:rPr>
        <w:t>50B</w:t>
      </w:r>
      <w:r w:rsidR="00D629FA">
        <w:rPr>
          <w:rFonts w:ascii="ZWAdobeF" w:hAnsi="ZWAdobeF" w:cs="ZWAdobeF"/>
          <w:color w:val="auto"/>
          <w:sz w:val="2"/>
          <w:szCs w:val="2"/>
        </w:rPr>
        <w:t>50B</w:t>
      </w:r>
      <w:r w:rsidR="00B763FB">
        <w:t>Submitters also raised a number of consequential issues that would need to be considered depending on the mechanism chosen.</w:t>
      </w:r>
    </w:p>
    <w:p w14:paraId="59F58A26" w14:textId="77777777" w:rsidR="00B763FB" w:rsidRDefault="00B763FB" w:rsidP="0016640A">
      <w:pPr>
        <w:pStyle w:val="Heading4"/>
      </w:pPr>
      <w:r>
        <w:t>Our preferred approach to class membership</w:t>
      </w:r>
    </w:p>
    <w:p w14:paraId="3BC1C279" w14:textId="2549515B" w:rsidR="00B763FB" w:rsidRDefault="00BD5C95" w:rsidP="00932E49">
      <w:pPr>
        <w:pStyle w:val="BodyText"/>
      </w:pPr>
      <w:r>
        <w:rPr>
          <w:rFonts w:ascii="ZWAdobeF" w:hAnsi="ZWAdobeF" w:cs="ZWAdobeF"/>
          <w:color w:val="auto"/>
          <w:sz w:val="2"/>
          <w:szCs w:val="2"/>
        </w:rPr>
        <w:t>51B</w:t>
      </w:r>
      <w:r w:rsidR="0049638A">
        <w:rPr>
          <w:rFonts w:ascii="ZWAdobeF" w:hAnsi="ZWAdobeF" w:cs="ZWAdobeF"/>
          <w:color w:val="auto"/>
          <w:sz w:val="2"/>
          <w:szCs w:val="2"/>
        </w:rPr>
        <w:t>51B</w:t>
      </w:r>
      <w:r w:rsidR="00D629FA">
        <w:rPr>
          <w:rFonts w:ascii="ZWAdobeF" w:hAnsi="ZWAdobeF" w:cs="ZWAdobeF"/>
          <w:color w:val="auto"/>
          <w:sz w:val="2"/>
          <w:szCs w:val="2"/>
        </w:rPr>
        <w:t>51B</w:t>
      </w:r>
      <w:r w:rsidR="00B763FB">
        <w:t>There are advantages and disadvantages to both opt-in and opt-out approaches to class membership, which we set out in detail in our Issues Paper.</w:t>
      </w:r>
      <w:r w:rsidR="00D629FA">
        <w:rPr>
          <w:rFonts w:ascii="ZWAdobeF" w:hAnsi="ZWAdobeF" w:cs="ZWAdobeF"/>
          <w:color w:val="auto"/>
          <w:sz w:val="2"/>
          <w:szCs w:val="2"/>
        </w:rPr>
        <w:t>135F</w:t>
      </w:r>
      <w:r w:rsidR="0049638A">
        <w:rPr>
          <w:rFonts w:ascii="ZWAdobeF" w:hAnsi="ZWAdobeF" w:cs="ZWAdobeF"/>
          <w:color w:val="auto"/>
          <w:sz w:val="2"/>
          <w:szCs w:val="2"/>
        </w:rPr>
        <w:t>135F</w:t>
      </w:r>
      <w:r w:rsidR="000D4978">
        <w:rPr>
          <w:rFonts w:ascii="ZWAdobeF" w:hAnsi="ZWAdobeF" w:cs="ZWAdobeF"/>
          <w:color w:val="auto"/>
          <w:sz w:val="2"/>
          <w:szCs w:val="2"/>
        </w:rPr>
        <w:t>135F</w:t>
      </w:r>
      <w:r w:rsidR="00B763FB">
        <w:rPr>
          <w:rStyle w:val="FootnoteReference"/>
        </w:rPr>
        <w:footnoteReference w:id="137"/>
      </w:r>
      <w:r w:rsidR="00B763FB">
        <w:t xml:space="preserve"> Our preferred approach is to allow both opt-in and opt-out mechanisms for forming a class because we do not think class actions in Aotearoa New Zealand suit a “one size fits all” approach. </w:t>
      </w:r>
    </w:p>
    <w:p w14:paraId="134E80AA" w14:textId="08C2D346" w:rsidR="00B763FB" w:rsidRDefault="00BD5C95" w:rsidP="00932E49">
      <w:pPr>
        <w:pStyle w:val="BodyText"/>
      </w:pPr>
      <w:r>
        <w:rPr>
          <w:rFonts w:ascii="ZWAdobeF" w:hAnsi="ZWAdobeF" w:cs="ZWAdobeF"/>
          <w:color w:val="auto"/>
          <w:sz w:val="2"/>
          <w:szCs w:val="2"/>
        </w:rPr>
        <w:t>52B</w:t>
      </w:r>
      <w:r w:rsidR="0049638A">
        <w:rPr>
          <w:rFonts w:ascii="ZWAdobeF" w:hAnsi="ZWAdobeF" w:cs="ZWAdobeF"/>
          <w:color w:val="auto"/>
          <w:sz w:val="2"/>
          <w:szCs w:val="2"/>
        </w:rPr>
        <w:t>52B</w:t>
      </w:r>
      <w:r w:rsidR="00D629FA">
        <w:rPr>
          <w:rFonts w:ascii="ZWAdobeF" w:hAnsi="ZWAdobeF" w:cs="ZWAdobeF"/>
          <w:color w:val="auto"/>
          <w:sz w:val="2"/>
          <w:szCs w:val="2"/>
        </w:rPr>
        <w:t>52B</w:t>
      </w:r>
      <w:r w:rsidR="00B763FB">
        <w:t xml:space="preserve">We think a regime which prevents opt-out claims altogether would be very limiting and would not promote access to justice, particularly where individual claims are modest. Few submitters supported this option. This option would also be inconsistent with the </w:t>
      </w:r>
      <w:r w:rsidR="00B763FB">
        <w:lastRenderedPageBreak/>
        <w:t xml:space="preserve">Supreme Court’s decision in </w:t>
      </w:r>
      <w:r w:rsidR="00B763FB">
        <w:rPr>
          <w:i/>
          <w:iCs/>
        </w:rPr>
        <w:t xml:space="preserve">Southern Response v Ross, </w:t>
      </w:r>
      <w:r w:rsidR="00B763FB">
        <w:t>which held that opt-out representative actions should be available in Aotearoa New Zealand.</w:t>
      </w:r>
      <w:r w:rsidR="00D629FA">
        <w:rPr>
          <w:rFonts w:ascii="ZWAdobeF" w:hAnsi="ZWAdobeF" w:cs="ZWAdobeF"/>
          <w:color w:val="auto"/>
          <w:sz w:val="2"/>
          <w:szCs w:val="2"/>
        </w:rPr>
        <w:t>136F</w:t>
      </w:r>
      <w:r w:rsidR="0049638A">
        <w:rPr>
          <w:rFonts w:ascii="ZWAdobeF" w:hAnsi="ZWAdobeF" w:cs="ZWAdobeF"/>
          <w:color w:val="auto"/>
          <w:sz w:val="2"/>
          <w:szCs w:val="2"/>
        </w:rPr>
        <w:t>136F</w:t>
      </w:r>
      <w:r w:rsidR="000D4978">
        <w:rPr>
          <w:rFonts w:ascii="ZWAdobeF" w:hAnsi="ZWAdobeF" w:cs="ZWAdobeF"/>
          <w:color w:val="auto"/>
          <w:sz w:val="2"/>
          <w:szCs w:val="2"/>
        </w:rPr>
        <w:t>136F</w:t>
      </w:r>
      <w:r w:rsidR="00B763FB">
        <w:rPr>
          <w:rStyle w:val="FootnoteReference"/>
        </w:rPr>
        <w:footnoteReference w:id="138"/>
      </w:r>
      <w:r w:rsidR="00B763FB">
        <w:t xml:space="preserve">  </w:t>
      </w:r>
    </w:p>
    <w:p w14:paraId="45AAB207" w14:textId="352FD549" w:rsidR="00B763FB" w:rsidRDefault="00BD5C95" w:rsidP="00932E49">
      <w:pPr>
        <w:pStyle w:val="BodyText"/>
      </w:pPr>
      <w:r>
        <w:rPr>
          <w:rFonts w:ascii="ZWAdobeF" w:hAnsi="ZWAdobeF" w:cs="ZWAdobeF"/>
          <w:color w:val="auto"/>
          <w:sz w:val="2"/>
          <w:szCs w:val="2"/>
        </w:rPr>
        <w:t>53B</w:t>
      </w:r>
      <w:r w:rsidR="0049638A">
        <w:rPr>
          <w:rFonts w:ascii="ZWAdobeF" w:hAnsi="ZWAdobeF" w:cs="ZWAdobeF"/>
          <w:color w:val="auto"/>
          <w:sz w:val="2"/>
          <w:szCs w:val="2"/>
        </w:rPr>
        <w:t>53B</w:t>
      </w:r>
      <w:r w:rsidR="00D629FA">
        <w:rPr>
          <w:rFonts w:ascii="ZWAdobeF" w:hAnsi="ZWAdobeF" w:cs="ZWAdobeF"/>
          <w:color w:val="auto"/>
          <w:sz w:val="2"/>
          <w:szCs w:val="2"/>
        </w:rPr>
        <w:t>53B</w:t>
      </w:r>
      <w:r w:rsidR="00B763FB">
        <w:t>Equally, an option that prevents opt-in claims would remove a mechanism that may work well for certain types of case, such as claims involving a small number of high value claims or where the claims involve sensitive matters. In any case, preventing opt-in claims might simply lead to plaintiffs seeking to define the class very narrowly, such as referring to those who have signed up to a litigation funding agreement.</w:t>
      </w:r>
      <w:r w:rsidR="00D629FA">
        <w:rPr>
          <w:rFonts w:ascii="ZWAdobeF" w:hAnsi="ZWAdobeF" w:cs="ZWAdobeF"/>
          <w:color w:val="auto"/>
          <w:sz w:val="2"/>
          <w:szCs w:val="2"/>
        </w:rPr>
        <w:t>137F</w:t>
      </w:r>
      <w:r w:rsidR="0049638A">
        <w:rPr>
          <w:rFonts w:ascii="ZWAdobeF" w:hAnsi="ZWAdobeF" w:cs="ZWAdobeF"/>
          <w:color w:val="auto"/>
          <w:sz w:val="2"/>
          <w:szCs w:val="2"/>
        </w:rPr>
        <w:t>137F</w:t>
      </w:r>
      <w:r w:rsidR="000D4978">
        <w:rPr>
          <w:rFonts w:ascii="ZWAdobeF" w:hAnsi="ZWAdobeF" w:cs="ZWAdobeF"/>
          <w:color w:val="auto"/>
          <w:sz w:val="2"/>
          <w:szCs w:val="2"/>
        </w:rPr>
        <w:t>137F</w:t>
      </w:r>
      <w:r w:rsidR="00B763FB">
        <w:rPr>
          <w:rStyle w:val="FootnoteReference"/>
        </w:rPr>
        <w:footnoteReference w:id="139"/>
      </w:r>
      <w:r w:rsidR="00B763FB">
        <w:t xml:space="preserve">     </w:t>
      </w:r>
    </w:p>
    <w:p w14:paraId="407CA031" w14:textId="38411E35" w:rsidR="00B763FB" w:rsidRDefault="00BD5C95" w:rsidP="00932E49">
      <w:pPr>
        <w:pStyle w:val="BodyText"/>
      </w:pPr>
      <w:r>
        <w:rPr>
          <w:rFonts w:ascii="ZWAdobeF" w:hAnsi="ZWAdobeF" w:cs="ZWAdobeF"/>
          <w:color w:val="auto"/>
          <w:sz w:val="2"/>
          <w:szCs w:val="2"/>
        </w:rPr>
        <w:t>54B</w:t>
      </w:r>
      <w:r w:rsidR="0049638A">
        <w:rPr>
          <w:rFonts w:ascii="ZWAdobeF" w:hAnsi="ZWAdobeF" w:cs="ZWAdobeF"/>
          <w:color w:val="auto"/>
          <w:sz w:val="2"/>
          <w:szCs w:val="2"/>
        </w:rPr>
        <w:t>54B</w:t>
      </w:r>
      <w:r w:rsidR="00D629FA">
        <w:rPr>
          <w:rFonts w:ascii="ZWAdobeF" w:hAnsi="ZWAdobeF" w:cs="ZWAdobeF"/>
          <w:color w:val="auto"/>
          <w:sz w:val="2"/>
          <w:szCs w:val="2"/>
        </w:rPr>
        <w:t>54B</w:t>
      </w:r>
      <w:r w:rsidR="00B763FB">
        <w:t xml:space="preserve">We prefer a case-by-case approach rather than specifying that either opt-in or opt-out should be the default mechanism. We are not convinced that a particular mechanism is better in most cases and think it will depend on the type of class actions that are brought in Aotearoa New Zealand. While specifying opt-out as a default might be seen as promoting access to justice, few submitters supported this approach, and it could pose an additional hurdle for a plaintiff seeking to bring an opt-in class action. </w:t>
      </w:r>
    </w:p>
    <w:p w14:paraId="081A55FD" w14:textId="0716157C" w:rsidR="00B763FB" w:rsidRDefault="00BD5C95" w:rsidP="00932E49">
      <w:pPr>
        <w:pStyle w:val="BodyText"/>
      </w:pPr>
      <w:r>
        <w:rPr>
          <w:rFonts w:ascii="ZWAdobeF" w:hAnsi="ZWAdobeF" w:cs="ZWAdobeF"/>
          <w:color w:val="auto"/>
          <w:sz w:val="2"/>
          <w:szCs w:val="2"/>
        </w:rPr>
        <w:t>55B</w:t>
      </w:r>
      <w:r w:rsidR="0049638A">
        <w:rPr>
          <w:rFonts w:ascii="ZWAdobeF" w:hAnsi="ZWAdobeF" w:cs="ZWAdobeF"/>
          <w:color w:val="auto"/>
          <w:sz w:val="2"/>
          <w:szCs w:val="2"/>
        </w:rPr>
        <w:t>55B</w:t>
      </w:r>
      <w:r w:rsidR="00D629FA">
        <w:rPr>
          <w:rFonts w:ascii="ZWAdobeF" w:hAnsi="ZWAdobeF" w:cs="ZWAdobeF"/>
          <w:color w:val="auto"/>
          <w:sz w:val="2"/>
          <w:szCs w:val="2"/>
        </w:rPr>
        <w:t>55B</w:t>
      </w:r>
      <w:r w:rsidR="00B763FB">
        <w:t>We anticipate that a plaintiff’s application for certification will specify whether they seek to have class membership determined on an opt-in or opt-out basis and the reasons for this. Our draft provision on certification requires the court to consider whether the opt-in or opt-out mechanism proposed for the proceeding is an appropriate means of determining class membership in the circumstances of the case.</w:t>
      </w:r>
      <w:r w:rsidR="00D629FA">
        <w:rPr>
          <w:rFonts w:ascii="ZWAdobeF" w:hAnsi="ZWAdobeF" w:cs="ZWAdobeF"/>
          <w:color w:val="auto"/>
          <w:sz w:val="2"/>
          <w:szCs w:val="2"/>
        </w:rPr>
        <w:t>138F</w:t>
      </w:r>
      <w:r w:rsidR="0049638A">
        <w:rPr>
          <w:rFonts w:ascii="ZWAdobeF" w:hAnsi="ZWAdobeF" w:cs="ZWAdobeF"/>
          <w:color w:val="auto"/>
          <w:sz w:val="2"/>
          <w:szCs w:val="2"/>
        </w:rPr>
        <w:t>138F</w:t>
      </w:r>
      <w:r w:rsidR="000D4978">
        <w:rPr>
          <w:rFonts w:ascii="ZWAdobeF" w:hAnsi="ZWAdobeF" w:cs="ZWAdobeF"/>
          <w:color w:val="auto"/>
          <w:sz w:val="2"/>
          <w:szCs w:val="2"/>
        </w:rPr>
        <w:t>138F</w:t>
      </w:r>
      <w:r w:rsidR="00B763FB">
        <w:rPr>
          <w:rStyle w:val="FootnoteReference"/>
        </w:rPr>
        <w:footnoteReference w:id="140"/>
      </w:r>
      <w:r w:rsidR="00B763FB">
        <w:t xml:space="preserve"> </w:t>
      </w:r>
      <w:r w:rsidR="00B61DD5">
        <w:t>The plaintiff’s preferred approach will therefore be the starting point.</w:t>
      </w:r>
    </w:p>
    <w:p w14:paraId="75618ABF" w14:textId="006E1811" w:rsidR="00B763FB" w:rsidRDefault="00BD5C95" w:rsidP="00932E49">
      <w:pPr>
        <w:pStyle w:val="BodyText"/>
      </w:pPr>
      <w:r>
        <w:rPr>
          <w:rFonts w:ascii="ZWAdobeF" w:hAnsi="ZWAdobeF" w:cs="ZWAdobeF"/>
          <w:color w:val="auto"/>
          <w:sz w:val="2"/>
          <w:szCs w:val="2"/>
        </w:rPr>
        <w:t>56B</w:t>
      </w:r>
      <w:r w:rsidR="0049638A">
        <w:rPr>
          <w:rFonts w:ascii="ZWAdobeF" w:hAnsi="ZWAdobeF" w:cs="ZWAdobeF"/>
          <w:color w:val="auto"/>
          <w:sz w:val="2"/>
          <w:szCs w:val="2"/>
        </w:rPr>
        <w:t>56B</w:t>
      </w:r>
      <w:r w:rsidR="00D629FA">
        <w:rPr>
          <w:rFonts w:ascii="ZWAdobeF" w:hAnsi="ZWAdobeF" w:cs="ZWAdobeF"/>
          <w:color w:val="auto"/>
          <w:sz w:val="2"/>
          <w:szCs w:val="2"/>
        </w:rPr>
        <w:t>56B</w:t>
      </w:r>
      <w:r w:rsidR="00B763FB" w:rsidRPr="007D01AD">
        <w:t xml:space="preserve">Our </w:t>
      </w:r>
      <w:r w:rsidR="00B763FB">
        <w:t>draft</w:t>
      </w:r>
      <w:r w:rsidR="00B763FB" w:rsidRPr="007D01AD">
        <w:t xml:space="preserve"> provision does not specify criteria for the court to apply when deciding whether </w:t>
      </w:r>
      <w:r w:rsidR="00B763FB">
        <w:t>it</w:t>
      </w:r>
      <w:r w:rsidR="00B763FB" w:rsidRPr="007D01AD">
        <w:t xml:space="preserve"> is </w:t>
      </w:r>
      <w:r w:rsidR="00B763FB">
        <w:t xml:space="preserve">appropriate for class membership to be determined on the basis proposed by the representative plaintiff. We think it is preferable for the court to have broad discretion to consider the circumstances of a particular case, rather than have rigid legislative criteria. However, we think the considerations identified by the Supreme Court in </w:t>
      </w:r>
      <w:r w:rsidR="00B763FB">
        <w:rPr>
          <w:i/>
          <w:iCs/>
        </w:rPr>
        <w:t xml:space="preserve">Southern Response v Ross </w:t>
      </w:r>
      <w:r w:rsidR="00B763FB">
        <w:t xml:space="preserve">as relevant to whether an opt-in or opt-out representative action is appropriate are </w:t>
      </w:r>
      <w:r w:rsidR="003D035E">
        <w:t xml:space="preserve">also </w:t>
      </w:r>
      <w:r w:rsidR="00B763FB">
        <w:t>likely to be appropriate under a class actions regime</w:t>
      </w:r>
      <w:r w:rsidR="00747103">
        <w:t>. The</w:t>
      </w:r>
      <w:r w:rsidR="00656017">
        <w:t>se</w:t>
      </w:r>
      <w:r w:rsidR="00747103">
        <w:t xml:space="preserve"> are</w:t>
      </w:r>
      <w:r w:rsidR="00B763FB">
        <w:t xml:space="preserve">: </w:t>
      </w:r>
    </w:p>
    <w:p w14:paraId="3A14B84C" w14:textId="7542DFDB" w:rsidR="00B763FB" w:rsidRDefault="00BD5C95" w:rsidP="003E2524">
      <w:pPr>
        <w:pStyle w:val="BodyTextnonum"/>
        <w:numPr>
          <w:ilvl w:val="3"/>
          <w:numId w:val="34"/>
        </w:numPr>
      </w:pPr>
      <w:r>
        <w:rPr>
          <w:rFonts w:ascii="ZWAdobeF" w:hAnsi="ZWAdobeF" w:cs="ZWAdobeF"/>
          <w:color w:val="auto"/>
          <w:sz w:val="2"/>
          <w:szCs w:val="2"/>
        </w:rPr>
        <w:t>621B</w:t>
      </w:r>
      <w:r w:rsidR="0049638A">
        <w:rPr>
          <w:rFonts w:ascii="ZWAdobeF" w:hAnsi="ZWAdobeF" w:cs="ZWAdobeF"/>
          <w:color w:val="auto"/>
          <w:sz w:val="2"/>
          <w:szCs w:val="2"/>
        </w:rPr>
        <w:t>621B</w:t>
      </w:r>
      <w:r w:rsidR="00D629FA">
        <w:rPr>
          <w:rFonts w:ascii="ZWAdobeF" w:hAnsi="ZWAdobeF" w:cs="ZWAdobeF"/>
          <w:color w:val="auto"/>
          <w:sz w:val="2"/>
          <w:szCs w:val="2"/>
        </w:rPr>
        <w:t>621B</w:t>
      </w:r>
      <w:r w:rsidR="00B763FB">
        <w:t>In general, the court should adopt the approach proposed by the representative plaintiff unless there is good reason not to.</w:t>
      </w:r>
      <w:r w:rsidR="00D629FA">
        <w:rPr>
          <w:rFonts w:ascii="ZWAdobeF" w:hAnsi="ZWAdobeF" w:cs="ZWAdobeF"/>
          <w:color w:val="auto"/>
          <w:sz w:val="2"/>
          <w:szCs w:val="2"/>
        </w:rPr>
        <w:t>139F</w:t>
      </w:r>
      <w:r w:rsidR="0049638A">
        <w:rPr>
          <w:rFonts w:ascii="ZWAdobeF" w:hAnsi="ZWAdobeF" w:cs="ZWAdobeF"/>
          <w:color w:val="auto"/>
          <w:sz w:val="2"/>
          <w:szCs w:val="2"/>
        </w:rPr>
        <w:t>139F</w:t>
      </w:r>
      <w:r w:rsidR="000D4978">
        <w:rPr>
          <w:rFonts w:ascii="ZWAdobeF" w:hAnsi="ZWAdobeF" w:cs="ZWAdobeF"/>
          <w:color w:val="auto"/>
          <w:sz w:val="2"/>
          <w:szCs w:val="2"/>
        </w:rPr>
        <w:t>139F</w:t>
      </w:r>
      <w:r w:rsidR="00B763FB">
        <w:rPr>
          <w:rStyle w:val="FootnoteReference"/>
        </w:rPr>
        <w:footnoteReference w:id="141"/>
      </w:r>
      <w:r w:rsidR="00B763FB">
        <w:t xml:space="preserve"> </w:t>
      </w:r>
    </w:p>
    <w:p w14:paraId="47EF1FA3" w14:textId="2192BC09" w:rsidR="00B763FB" w:rsidRDefault="00BD5C95" w:rsidP="003E2524">
      <w:pPr>
        <w:pStyle w:val="BodyTextnonum"/>
        <w:numPr>
          <w:ilvl w:val="3"/>
          <w:numId w:val="34"/>
        </w:numPr>
      </w:pPr>
      <w:r>
        <w:rPr>
          <w:rFonts w:ascii="ZWAdobeF" w:hAnsi="ZWAdobeF" w:cs="ZWAdobeF"/>
          <w:color w:val="auto"/>
          <w:sz w:val="2"/>
          <w:szCs w:val="2"/>
        </w:rPr>
        <w:t>622B</w:t>
      </w:r>
      <w:r w:rsidR="0049638A">
        <w:rPr>
          <w:rFonts w:ascii="ZWAdobeF" w:hAnsi="ZWAdobeF" w:cs="ZWAdobeF"/>
          <w:color w:val="auto"/>
          <w:sz w:val="2"/>
          <w:szCs w:val="2"/>
        </w:rPr>
        <w:t>622B</w:t>
      </w:r>
      <w:r w:rsidR="00D629FA">
        <w:rPr>
          <w:rFonts w:ascii="ZWAdobeF" w:hAnsi="ZWAdobeF" w:cs="ZWAdobeF"/>
          <w:color w:val="auto"/>
          <w:sz w:val="2"/>
          <w:szCs w:val="2"/>
        </w:rPr>
        <w:t>622B</w:t>
      </w:r>
      <w:r w:rsidR="00B763FB">
        <w:t>The court should consider the relevant factors in light of what will meet the objectives of HCR 4.24 in a particular case.</w:t>
      </w:r>
      <w:r w:rsidR="00D629FA">
        <w:rPr>
          <w:rFonts w:ascii="ZWAdobeF" w:hAnsi="ZWAdobeF" w:cs="ZWAdobeF"/>
          <w:color w:val="auto"/>
          <w:sz w:val="2"/>
          <w:szCs w:val="2"/>
        </w:rPr>
        <w:t>140F</w:t>
      </w:r>
      <w:r w:rsidR="0049638A">
        <w:rPr>
          <w:rFonts w:ascii="ZWAdobeF" w:hAnsi="ZWAdobeF" w:cs="ZWAdobeF"/>
          <w:color w:val="auto"/>
          <w:sz w:val="2"/>
          <w:szCs w:val="2"/>
        </w:rPr>
        <w:t>140F</w:t>
      </w:r>
      <w:r w:rsidR="000D4978">
        <w:rPr>
          <w:rFonts w:ascii="ZWAdobeF" w:hAnsi="ZWAdobeF" w:cs="ZWAdobeF"/>
          <w:color w:val="auto"/>
          <w:sz w:val="2"/>
          <w:szCs w:val="2"/>
        </w:rPr>
        <w:t>140F</w:t>
      </w:r>
      <w:r w:rsidR="00B763FB">
        <w:rPr>
          <w:rStyle w:val="FootnoteReference"/>
        </w:rPr>
        <w:footnoteReference w:id="142"/>
      </w:r>
      <w:r w:rsidR="00B763FB">
        <w:t xml:space="preserve"> </w:t>
      </w:r>
    </w:p>
    <w:p w14:paraId="3B9D9CDD" w14:textId="15447944" w:rsidR="00B763FB" w:rsidRDefault="00BD5C95" w:rsidP="003E2524">
      <w:pPr>
        <w:pStyle w:val="BodyTextnonum"/>
        <w:numPr>
          <w:ilvl w:val="3"/>
          <w:numId w:val="34"/>
        </w:numPr>
      </w:pPr>
      <w:r>
        <w:rPr>
          <w:rFonts w:ascii="ZWAdobeF" w:hAnsi="ZWAdobeF" w:cs="ZWAdobeF"/>
          <w:color w:val="auto"/>
          <w:sz w:val="2"/>
          <w:szCs w:val="2"/>
        </w:rPr>
        <w:t>623B</w:t>
      </w:r>
      <w:r w:rsidR="0049638A">
        <w:rPr>
          <w:rFonts w:ascii="ZWAdobeF" w:hAnsi="ZWAdobeF" w:cs="ZWAdobeF"/>
          <w:color w:val="auto"/>
          <w:sz w:val="2"/>
          <w:szCs w:val="2"/>
        </w:rPr>
        <w:t>623B</w:t>
      </w:r>
      <w:r w:rsidR="00D629FA">
        <w:rPr>
          <w:rFonts w:ascii="ZWAdobeF" w:hAnsi="ZWAdobeF" w:cs="ZWAdobeF"/>
          <w:color w:val="auto"/>
          <w:sz w:val="2"/>
          <w:szCs w:val="2"/>
        </w:rPr>
        <w:t>623B</w:t>
      </w:r>
      <w:r w:rsidR="00B763FB">
        <w:t>An opt-in approach should be favoured where there is a real prospect that some class members may end up worse off or adversely affected by proceedings. This would include the potential for a counterclaim.</w:t>
      </w:r>
      <w:r w:rsidR="00D629FA">
        <w:rPr>
          <w:rFonts w:ascii="ZWAdobeF" w:hAnsi="ZWAdobeF" w:cs="ZWAdobeF"/>
          <w:color w:val="auto"/>
          <w:sz w:val="2"/>
          <w:szCs w:val="2"/>
        </w:rPr>
        <w:t>141F</w:t>
      </w:r>
      <w:r w:rsidR="0049638A">
        <w:rPr>
          <w:rFonts w:ascii="ZWAdobeF" w:hAnsi="ZWAdobeF" w:cs="ZWAdobeF"/>
          <w:color w:val="auto"/>
          <w:sz w:val="2"/>
          <w:szCs w:val="2"/>
        </w:rPr>
        <w:t>141F</w:t>
      </w:r>
      <w:r w:rsidR="000D4978">
        <w:rPr>
          <w:rFonts w:ascii="ZWAdobeF" w:hAnsi="ZWAdobeF" w:cs="ZWAdobeF"/>
          <w:color w:val="auto"/>
          <w:sz w:val="2"/>
          <w:szCs w:val="2"/>
        </w:rPr>
        <w:t>141F</w:t>
      </w:r>
      <w:r w:rsidR="00B763FB">
        <w:rPr>
          <w:rStyle w:val="FootnoteReference"/>
        </w:rPr>
        <w:footnoteReference w:id="143"/>
      </w:r>
      <w:r w:rsidR="00B763FB">
        <w:t xml:space="preserve"> </w:t>
      </w:r>
    </w:p>
    <w:p w14:paraId="28978C4C" w14:textId="7EECF0ED" w:rsidR="00B763FB" w:rsidRDefault="00BD5C95" w:rsidP="003E2524">
      <w:pPr>
        <w:pStyle w:val="BodyTextnonum"/>
        <w:numPr>
          <w:ilvl w:val="3"/>
          <w:numId w:val="34"/>
        </w:numPr>
      </w:pPr>
      <w:r>
        <w:rPr>
          <w:rFonts w:ascii="ZWAdobeF" w:hAnsi="ZWAdobeF" w:cs="ZWAdobeF"/>
          <w:color w:val="auto"/>
          <w:sz w:val="2"/>
          <w:szCs w:val="2"/>
        </w:rPr>
        <w:lastRenderedPageBreak/>
        <w:t>624B</w:t>
      </w:r>
      <w:r w:rsidR="0049638A">
        <w:rPr>
          <w:rFonts w:ascii="ZWAdobeF" w:hAnsi="ZWAdobeF" w:cs="ZWAdobeF"/>
          <w:color w:val="auto"/>
          <w:sz w:val="2"/>
          <w:szCs w:val="2"/>
        </w:rPr>
        <w:t>624B</w:t>
      </w:r>
      <w:r w:rsidR="00D629FA">
        <w:rPr>
          <w:rFonts w:ascii="ZWAdobeF" w:hAnsi="ZWAdobeF" w:cs="ZWAdobeF"/>
          <w:color w:val="auto"/>
          <w:sz w:val="2"/>
          <w:szCs w:val="2"/>
        </w:rPr>
        <w:t>624B</w:t>
      </w:r>
      <w:r w:rsidR="00B763FB">
        <w:t>An opt-in approach may be preferable where the class size is small, relative to other claims, and there is a natural community of interest. In such a case, it is likely to be easier to contact class members. However, class size will not necessarily be determinative.</w:t>
      </w:r>
      <w:r w:rsidR="00D629FA">
        <w:rPr>
          <w:rFonts w:ascii="ZWAdobeF" w:hAnsi="ZWAdobeF" w:cs="ZWAdobeF"/>
          <w:color w:val="auto"/>
          <w:sz w:val="2"/>
          <w:szCs w:val="2"/>
        </w:rPr>
        <w:t>142F</w:t>
      </w:r>
      <w:r w:rsidR="0049638A">
        <w:rPr>
          <w:rFonts w:ascii="ZWAdobeF" w:hAnsi="ZWAdobeF" w:cs="ZWAdobeF"/>
          <w:color w:val="auto"/>
          <w:sz w:val="2"/>
          <w:szCs w:val="2"/>
        </w:rPr>
        <w:t>142F</w:t>
      </w:r>
      <w:r w:rsidR="000D4978">
        <w:rPr>
          <w:rFonts w:ascii="ZWAdobeF" w:hAnsi="ZWAdobeF" w:cs="ZWAdobeF"/>
          <w:color w:val="auto"/>
          <w:sz w:val="2"/>
          <w:szCs w:val="2"/>
        </w:rPr>
        <w:t>142F</w:t>
      </w:r>
      <w:r w:rsidR="00B763FB">
        <w:rPr>
          <w:rStyle w:val="FootnoteReference"/>
        </w:rPr>
        <w:footnoteReference w:id="144"/>
      </w:r>
    </w:p>
    <w:p w14:paraId="58EE1A6C" w14:textId="62E3C262" w:rsidR="00B763FB" w:rsidRDefault="00BD5C95" w:rsidP="003E2524">
      <w:pPr>
        <w:pStyle w:val="BodyTextnonum"/>
        <w:numPr>
          <w:ilvl w:val="3"/>
          <w:numId w:val="34"/>
        </w:numPr>
      </w:pPr>
      <w:r>
        <w:rPr>
          <w:rFonts w:ascii="ZWAdobeF" w:hAnsi="ZWAdobeF" w:cs="ZWAdobeF"/>
          <w:noProof/>
          <w:color w:val="auto"/>
          <w:sz w:val="2"/>
          <w:szCs w:val="2"/>
        </w:rPr>
        <w:t>625B</w:t>
      </w:r>
      <w:r w:rsidR="0049638A">
        <w:rPr>
          <w:rFonts w:ascii="ZWAdobeF" w:hAnsi="ZWAdobeF" w:cs="ZWAdobeF"/>
          <w:noProof/>
          <w:color w:val="auto"/>
          <w:sz w:val="2"/>
          <w:szCs w:val="2"/>
        </w:rPr>
        <w:t>625B</w:t>
      </w:r>
      <w:r w:rsidR="00D629FA">
        <w:rPr>
          <w:rFonts w:ascii="ZWAdobeF" w:hAnsi="ZWAdobeF" w:cs="ZWAdobeF"/>
          <w:noProof/>
          <w:color w:val="auto"/>
          <w:sz w:val="2"/>
          <w:szCs w:val="2"/>
        </w:rPr>
        <w:t>625B</w:t>
      </w:r>
      <w:r w:rsidR="00B763FB">
        <w:rPr>
          <w:noProof/>
        </w:rPr>
        <w:t>Whether a class member’s participation is required</w:t>
      </w:r>
      <w:r w:rsidR="00B763FB">
        <w:t xml:space="preserve"> at stage two may be </w:t>
      </w:r>
      <w:r w:rsidR="00B763FB">
        <w:rPr>
          <w:noProof/>
        </w:rPr>
        <w:t xml:space="preserve">relevant to the </w:t>
      </w:r>
      <w:r w:rsidR="00B763FB">
        <w:t xml:space="preserve">approach </w:t>
      </w:r>
      <w:r w:rsidR="00B763FB">
        <w:rPr>
          <w:noProof/>
        </w:rPr>
        <w:t>to stage one. If</w:t>
      </w:r>
      <w:r w:rsidR="00B763FB">
        <w:t xml:space="preserve"> continuing an opt-out approach at stage two would lessen the benefits of the proceeding or increase any unfairness or prejudice</w:t>
      </w:r>
      <w:r w:rsidR="00B763FB">
        <w:rPr>
          <w:noProof/>
        </w:rPr>
        <w:t>, this could be a factor suggesting that opt-out is not appropriate for stage one</w:t>
      </w:r>
      <w:r w:rsidR="00B763FB" w:rsidRPr="00F86C45">
        <w:rPr>
          <w:noProof/>
        </w:rPr>
        <w:t>.</w:t>
      </w:r>
      <w:r w:rsidR="00D629FA">
        <w:rPr>
          <w:rFonts w:ascii="ZWAdobeF" w:hAnsi="ZWAdobeF" w:cs="ZWAdobeF"/>
          <w:noProof/>
          <w:color w:val="auto"/>
          <w:sz w:val="2"/>
          <w:szCs w:val="2"/>
        </w:rPr>
        <w:t>143F</w:t>
      </w:r>
      <w:r w:rsidR="0049638A">
        <w:rPr>
          <w:rFonts w:ascii="ZWAdobeF" w:hAnsi="ZWAdobeF" w:cs="ZWAdobeF"/>
          <w:noProof/>
          <w:color w:val="auto"/>
          <w:sz w:val="2"/>
          <w:szCs w:val="2"/>
        </w:rPr>
        <w:t>143F</w:t>
      </w:r>
      <w:r w:rsidR="000D4978">
        <w:rPr>
          <w:rFonts w:ascii="ZWAdobeF" w:hAnsi="ZWAdobeF" w:cs="ZWAdobeF"/>
          <w:noProof/>
          <w:color w:val="auto"/>
          <w:sz w:val="2"/>
          <w:szCs w:val="2"/>
        </w:rPr>
        <w:t>143F</w:t>
      </w:r>
      <w:r w:rsidR="00B763FB" w:rsidRPr="00F86C45">
        <w:rPr>
          <w:rStyle w:val="FootnoteReference"/>
          <w:noProof/>
        </w:rPr>
        <w:footnoteReference w:id="145"/>
      </w:r>
      <w:r w:rsidR="00B763FB" w:rsidRPr="00F86C45">
        <w:rPr>
          <w:noProof/>
        </w:rPr>
        <w:t xml:space="preserve"> </w:t>
      </w:r>
    </w:p>
    <w:p w14:paraId="417880C5" w14:textId="56A52768" w:rsidR="00B763FB" w:rsidRDefault="00BD5C95" w:rsidP="00932E49">
      <w:pPr>
        <w:pStyle w:val="BodyText"/>
      </w:pPr>
      <w:r>
        <w:rPr>
          <w:rFonts w:ascii="ZWAdobeF" w:hAnsi="ZWAdobeF" w:cs="ZWAdobeF"/>
          <w:noProof/>
          <w:color w:val="auto"/>
          <w:sz w:val="2"/>
          <w:szCs w:val="2"/>
        </w:rPr>
        <w:t>57B</w:t>
      </w:r>
      <w:r w:rsidR="0049638A">
        <w:rPr>
          <w:rFonts w:ascii="ZWAdobeF" w:hAnsi="ZWAdobeF" w:cs="ZWAdobeF"/>
          <w:noProof/>
          <w:color w:val="auto"/>
          <w:sz w:val="2"/>
          <w:szCs w:val="2"/>
        </w:rPr>
        <w:t>57B</w:t>
      </w:r>
      <w:r w:rsidR="00D629FA">
        <w:rPr>
          <w:rFonts w:ascii="ZWAdobeF" w:hAnsi="ZWAdobeF" w:cs="ZWAdobeF"/>
          <w:noProof/>
          <w:color w:val="auto"/>
          <w:sz w:val="2"/>
          <w:szCs w:val="2"/>
        </w:rPr>
        <w:t>57B</w:t>
      </w:r>
      <w:r w:rsidR="00B763FB">
        <w:rPr>
          <w:noProof/>
        </w:rPr>
        <w:t xml:space="preserve">We note the Supreme Court also said that a universal approach </w:t>
      </w:r>
      <w:r w:rsidR="00C028AA">
        <w:rPr>
          <w:noProof/>
        </w:rPr>
        <w:t xml:space="preserve">to </w:t>
      </w:r>
      <w:r w:rsidR="00FE4C17">
        <w:rPr>
          <w:noProof/>
        </w:rPr>
        <w:t xml:space="preserve">group </w:t>
      </w:r>
      <w:r w:rsidR="00C028AA">
        <w:rPr>
          <w:noProof/>
        </w:rPr>
        <w:t xml:space="preserve">membership in representative actions </w:t>
      </w:r>
      <w:r w:rsidR="00B763FB">
        <w:rPr>
          <w:noProof/>
        </w:rPr>
        <w:t>may be appropriate in some circumstances.</w:t>
      </w:r>
      <w:r w:rsidR="00D629FA">
        <w:rPr>
          <w:rFonts w:ascii="ZWAdobeF" w:hAnsi="ZWAdobeF" w:cs="ZWAdobeF"/>
          <w:noProof/>
          <w:color w:val="auto"/>
          <w:sz w:val="2"/>
          <w:szCs w:val="2"/>
        </w:rPr>
        <w:t>144F</w:t>
      </w:r>
      <w:r w:rsidR="0049638A">
        <w:rPr>
          <w:rFonts w:ascii="ZWAdobeF" w:hAnsi="ZWAdobeF" w:cs="ZWAdobeF"/>
          <w:noProof/>
          <w:color w:val="auto"/>
          <w:sz w:val="2"/>
          <w:szCs w:val="2"/>
        </w:rPr>
        <w:t>144F</w:t>
      </w:r>
      <w:r w:rsidR="000D4978">
        <w:rPr>
          <w:rFonts w:ascii="ZWAdobeF" w:hAnsi="ZWAdobeF" w:cs="ZWAdobeF"/>
          <w:noProof/>
          <w:color w:val="auto"/>
          <w:sz w:val="2"/>
          <w:szCs w:val="2"/>
        </w:rPr>
        <w:t>144F</w:t>
      </w:r>
      <w:r w:rsidR="00B763FB">
        <w:rPr>
          <w:rStyle w:val="FootnoteReference"/>
        </w:rPr>
        <w:footnoteReference w:id="146"/>
      </w:r>
      <w:r w:rsidR="00B763FB">
        <w:rPr>
          <w:noProof/>
        </w:rPr>
        <w:t xml:space="preserve"> As we discuss below, we consider it </w:t>
      </w:r>
      <w:r w:rsidR="00C028AA">
        <w:rPr>
          <w:noProof/>
        </w:rPr>
        <w:t>is</w:t>
      </w:r>
      <w:r w:rsidR="00B763FB">
        <w:rPr>
          <w:noProof/>
        </w:rPr>
        <w:t xml:space="preserve"> unnecessary to provide for universal class actions.</w:t>
      </w:r>
    </w:p>
    <w:p w14:paraId="46F0CFBF" w14:textId="6DFF57D9" w:rsidR="00B763FB" w:rsidRPr="00842813" w:rsidRDefault="00BD5C95" w:rsidP="00932E49">
      <w:pPr>
        <w:pStyle w:val="BodyText"/>
      </w:pPr>
      <w:r>
        <w:rPr>
          <w:rFonts w:ascii="ZWAdobeF" w:hAnsi="ZWAdobeF" w:cs="ZWAdobeF"/>
          <w:color w:val="auto"/>
          <w:sz w:val="2"/>
          <w:szCs w:val="2"/>
        </w:rPr>
        <w:t>58B</w:t>
      </w:r>
      <w:r w:rsidR="0049638A">
        <w:rPr>
          <w:rFonts w:ascii="ZWAdobeF" w:hAnsi="ZWAdobeF" w:cs="ZWAdobeF"/>
          <w:color w:val="auto"/>
          <w:sz w:val="2"/>
          <w:szCs w:val="2"/>
        </w:rPr>
        <w:t>58B</w:t>
      </w:r>
      <w:r w:rsidR="00D629FA">
        <w:rPr>
          <w:rFonts w:ascii="ZWAdobeF" w:hAnsi="ZWAdobeF" w:cs="ZWAdobeF"/>
          <w:color w:val="auto"/>
          <w:sz w:val="2"/>
          <w:szCs w:val="2"/>
        </w:rPr>
        <w:t>58B</w:t>
      </w:r>
      <w:r w:rsidR="00B763FB">
        <w:t xml:space="preserve">There are several other factors that we think may be relevant to the court’s consideration of whether the opt-in or opt-out approach proposed by the plaintiff is </w:t>
      </w:r>
      <w:r w:rsidR="00B763FB" w:rsidRPr="00842813">
        <w:t>appropriate:</w:t>
      </w:r>
    </w:p>
    <w:p w14:paraId="1F5EA57C" w14:textId="2660E35E" w:rsidR="00B763FB" w:rsidRDefault="00BD5C95" w:rsidP="003E2524">
      <w:pPr>
        <w:pStyle w:val="BodyTextnonum"/>
        <w:numPr>
          <w:ilvl w:val="3"/>
          <w:numId w:val="34"/>
        </w:numPr>
      </w:pPr>
      <w:r>
        <w:rPr>
          <w:rFonts w:ascii="ZWAdobeF" w:hAnsi="ZWAdobeF" w:cs="ZWAdobeF"/>
          <w:color w:val="auto"/>
          <w:sz w:val="2"/>
          <w:szCs w:val="2"/>
        </w:rPr>
        <w:t>626B</w:t>
      </w:r>
      <w:r w:rsidR="0049638A">
        <w:rPr>
          <w:rFonts w:ascii="ZWAdobeF" w:hAnsi="ZWAdobeF" w:cs="ZWAdobeF"/>
          <w:color w:val="auto"/>
          <w:sz w:val="2"/>
          <w:szCs w:val="2"/>
        </w:rPr>
        <w:t>626B</w:t>
      </w:r>
      <w:r w:rsidR="00D629FA">
        <w:rPr>
          <w:rFonts w:ascii="ZWAdobeF" w:hAnsi="ZWAdobeF" w:cs="ZWAdobeF"/>
          <w:color w:val="auto"/>
          <w:sz w:val="2"/>
          <w:szCs w:val="2"/>
        </w:rPr>
        <w:t>626B</w:t>
      </w:r>
      <w:r w:rsidR="00B763FB">
        <w:t xml:space="preserve">The subject matter of the proceeding. For example, we think opt-out is unlikely to be appropriate in a case involving sensitive matters such as allegations of abuse as it could be distressing for individuals to be included in such litigation without their consent. </w:t>
      </w:r>
    </w:p>
    <w:p w14:paraId="0CFF4A63" w14:textId="42112262" w:rsidR="00B763FB" w:rsidRDefault="00BD5C95" w:rsidP="003E2524">
      <w:pPr>
        <w:pStyle w:val="BodyTextnonum"/>
        <w:numPr>
          <w:ilvl w:val="3"/>
          <w:numId w:val="34"/>
        </w:numPr>
      </w:pPr>
      <w:r>
        <w:rPr>
          <w:rFonts w:ascii="ZWAdobeF" w:hAnsi="ZWAdobeF" w:cs="ZWAdobeF"/>
          <w:color w:val="auto"/>
          <w:sz w:val="2"/>
          <w:szCs w:val="2"/>
        </w:rPr>
        <w:t>627B</w:t>
      </w:r>
      <w:r w:rsidR="0049638A">
        <w:rPr>
          <w:rFonts w:ascii="ZWAdobeF" w:hAnsi="ZWAdobeF" w:cs="ZWAdobeF"/>
          <w:color w:val="auto"/>
          <w:sz w:val="2"/>
          <w:szCs w:val="2"/>
        </w:rPr>
        <w:t>627B</w:t>
      </w:r>
      <w:r w:rsidR="00D629FA">
        <w:rPr>
          <w:rFonts w:ascii="ZWAdobeF" w:hAnsi="ZWAdobeF" w:cs="ZWAdobeF"/>
          <w:color w:val="auto"/>
          <w:sz w:val="2"/>
          <w:szCs w:val="2"/>
        </w:rPr>
        <w:t>627B</w:t>
      </w:r>
      <w:r w:rsidR="00B763FB">
        <w:t>The size of individual claims. An opt-out class action may be particularly appropriate where individual claims are relatively small as it is unlikely that an individual would otherwise pursue their own claim.</w:t>
      </w:r>
    </w:p>
    <w:p w14:paraId="38D55E41" w14:textId="329610D9" w:rsidR="00B763FB" w:rsidRDefault="00BD5C95" w:rsidP="003E2524">
      <w:pPr>
        <w:pStyle w:val="BodyTextnonum"/>
        <w:numPr>
          <w:ilvl w:val="3"/>
          <w:numId w:val="34"/>
        </w:numPr>
      </w:pPr>
      <w:r>
        <w:rPr>
          <w:rFonts w:ascii="ZWAdobeF" w:hAnsi="ZWAdobeF" w:cs="ZWAdobeF"/>
          <w:color w:val="auto"/>
          <w:sz w:val="2"/>
          <w:szCs w:val="2"/>
        </w:rPr>
        <w:t>628B</w:t>
      </w:r>
      <w:r w:rsidR="0049638A">
        <w:rPr>
          <w:rFonts w:ascii="ZWAdobeF" w:hAnsi="ZWAdobeF" w:cs="ZWAdobeF"/>
          <w:color w:val="auto"/>
          <w:sz w:val="2"/>
          <w:szCs w:val="2"/>
        </w:rPr>
        <w:t>628B</w:t>
      </w:r>
      <w:r w:rsidR="00D629FA">
        <w:rPr>
          <w:rFonts w:ascii="ZWAdobeF" w:hAnsi="ZWAdobeF" w:cs="ZWAdobeF"/>
          <w:color w:val="auto"/>
          <w:sz w:val="2"/>
          <w:szCs w:val="2"/>
        </w:rPr>
        <w:t>628B</w:t>
      </w:r>
      <w:r w:rsidR="00B763FB">
        <w:t xml:space="preserve">Whether the defendant would be unfairly prejudiced, for example, by making it difficult for a defendant to identify any contributory claims within a limitation period. </w:t>
      </w:r>
    </w:p>
    <w:p w14:paraId="6C8DB67B" w14:textId="6B8D9B92" w:rsidR="00B763FB" w:rsidRDefault="00BD5C95" w:rsidP="003E2524">
      <w:pPr>
        <w:pStyle w:val="BodyTextnonum"/>
        <w:numPr>
          <w:ilvl w:val="3"/>
          <w:numId w:val="34"/>
        </w:numPr>
      </w:pPr>
      <w:r>
        <w:rPr>
          <w:rFonts w:ascii="ZWAdobeF" w:hAnsi="ZWAdobeF" w:cs="ZWAdobeF"/>
          <w:color w:val="auto"/>
          <w:sz w:val="2"/>
          <w:szCs w:val="2"/>
        </w:rPr>
        <w:t>629B</w:t>
      </w:r>
      <w:r w:rsidR="0049638A">
        <w:rPr>
          <w:rFonts w:ascii="ZWAdobeF" w:hAnsi="ZWAdobeF" w:cs="ZWAdobeF"/>
          <w:color w:val="auto"/>
          <w:sz w:val="2"/>
          <w:szCs w:val="2"/>
        </w:rPr>
        <w:t>629B</w:t>
      </w:r>
      <w:r w:rsidR="00D629FA">
        <w:rPr>
          <w:rFonts w:ascii="ZWAdobeF" w:hAnsi="ZWAdobeF" w:cs="ZWAdobeF"/>
          <w:color w:val="auto"/>
          <w:sz w:val="2"/>
          <w:szCs w:val="2"/>
        </w:rPr>
        <w:t>629B</w:t>
      </w:r>
      <w:r w:rsidR="00B763FB">
        <w:t xml:space="preserve">How easy or difficult it will be to notify the potential class of the proceeding. </w:t>
      </w:r>
    </w:p>
    <w:p w14:paraId="139E88D8" w14:textId="57EAF388" w:rsidR="00B763FB" w:rsidRDefault="00BD5C95" w:rsidP="00932E49">
      <w:pPr>
        <w:pStyle w:val="BodyText"/>
      </w:pPr>
      <w:r>
        <w:rPr>
          <w:rFonts w:ascii="ZWAdobeF" w:hAnsi="ZWAdobeF" w:cs="ZWAdobeF"/>
          <w:color w:val="auto"/>
          <w:sz w:val="2"/>
          <w:szCs w:val="2"/>
        </w:rPr>
        <w:t>59B</w:t>
      </w:r>
      <w:r w:rsidR="0049638A">
        <w:rPr>
          <w:rFonts w:ascii="ZWAdobeF" w:hAnsi="ZWAdobeF" w:cs="ZWAdobeF"/>
          <w:color w:val="auto"/>
          <w:sz w:val="2"/>
          <w:szCs w:val="2"/>
        </w:rPr>
        <w:t>59B</w:t>
      </w:r>
      <w:r w:rsidR="00D629FA">
        <w:rPr>
          <w:rFonts w:ascii="ZWAdobeF" w:hAnsi="ZWAdobeF" w:cs="ZWAdobeF"/>
          <w:color w:val="auto"/>
          <w:sz w:val="2"/>
          <w:szCs w:val="2"/>
        </w:rPr>
        <w:t>59B</w:t>
      </w:r>
      <w:r w:rsidR="00B763FB" w:rsidRPr="00A5706F">
        <w:t>We acknowledge that</w:t>
      </w:r>
      <w:r w:rsidR="00B763FB">
        <w:t xml:space="preserve"> our approach will </w:t>
      </w:r>
      <w:r w:rsidR="00B763FB" w:rsidRPr="00A5706F">
        <w:t xml:space="preserve">create some uncertainty because of the risk of a court declining certification </w:t>
      </w:r>
      <w:r w:rsidR="00B763FB">
        <w:t xml:space="preserve">because it does not think the proposed opt-in or opt-out approach is appropriate. However, we think this is outweighed by the benefits of allowing flexibility in approach, to suit the circumstances of different cases. As the case law develops in this area, we would expect there to be greater clarity as to the kinds of case in which opt-in or opt-out is likely to be appropriate. </w:t>
      </w:r>
    </w:p>
    <w:p w14:paraId="43F47932" w14:textId="5A8914AC" w:rsidR="00B763FB" w:rsidRDefault="00BD5C95" w:rsidP="00932E49">
      <w:pPr>
        <w:pStyle w:val="BodyText"/>
      </w:pPr>
      <w:r>
        <w:rPr>
          <w:rFonts w:ascii="ZWAdobeF" w:hAnsi="ZWAdobeF" w:cs="ZWAdobeF"/>
          <w:color w:val="auto"/>
          <w:sz w:val="2"/>
          <w:szCs w:val="2"/>
        </w:rPr>
        <w:t>60B</w:t>
      </w:r>
      <w:r w:rsidR="0049638A">
        <w:rPr>
          <w:rFonts w:ascii="ZWAdobeF" w:hAnsi="ZWAdobeF" w:cs="ZWAdobeF"/>
          <w:color w:val="auto"/>
          <w:sz w:val="2"/>
          <w:szCs w:val="2"/>
        </w:rPr>
        <w:t>60B</w:t>
      </w:r>
      <w:r w:rsidR="00D629FA">
        <w:rPr>
          <w:rFonts w:ascii="ZWAdobeF" w:hAnsi="ZWAdobeF" w:cs="ZWAdobeF"/>
          <w:color w:val="auto"/>
          <w:sz w:val="2"/>
          <w:szCs w:val="2"/>
        </w:rPr>
        <w:t>60B</w:t>
      </w:r>
      <w:r w:rsidR="00B763FB">
        <w:t>Under our proposed approach, a plaintiff would not make a separate application for</w:t>
      </w:r>
      <w:r w:rsidR="007C2F52">
        <w:t xml:space="preserve"> an order that a class action can be brought on an opt-in or opt-out basis. </w:t>
      </w:r>
      <w:r w:rsidR="00B763FB">
        <w:t xml:space="preserve">Rather, the court would either certify the proceeding on the basis proposed by the plaintiff (opt-in or opt-out) or decline certification. A plaintiff may only consider its claim to be feasible under one of these mechanisms, so we do not consider a class action should be certified on a different basis without the plaintiff’s agreement. </w:t>
      </w:r>
    </w:p>
    <w:p w14:paraId="14DA4BE2" w14:textId="2000D21B" w:rsidR="00B763FB" w:rsidRDefault="00BD5C95" w:rsidP="00932E49">
      <w:pPr>
        <w:pStyle w:val="BodyText"/>
      </w:pPr>
      <w:r>
        <w:rPr>
          <w:rFonts w:ascii="ZWAdobeF" w:hAnsi="ZWAdobeF" w:cs="ZWAdobeF"/>
          <w:color w:val="auto"/>
          <w:sz w:val="2"/>
          <w:szCs w:val="2"/>
        </w:rPr>
        <w:t>61B</w:t>
      </w:r>
      <w:r w:rsidR="0049638A">
        <w:rPr>
          <w:rFonts w:ascii="ZWAdobeF" w:hAnsi="ZWAdobeF" w:cs="ZWAdobeF"/>
          <w:color w:val="auto"/>
          <w:sz w:val="2"/>
          <w:szCs w:val="2"/>
        </w:rPr>
        <w:t>61B</w:t>
      </w:r>
      <w:r w:rsidR="00D629FA">
        <w:rPr>
          <w:rFonts w:ascii="ZWAdobeF" w:hAnsi="ZWAdobeF" w:cs="ZWAdobeF"/>
          <w:color w:val="auto"/>
          <w:sz w:val="2"/>
          <w:szCs w:val="2"/>
        </w:rPr>
        <w:t>61B</w:t>
      </w:r>
      <w:r w:rsidR="00B763FB">
        <w:t xml:space="preserve">A situation might arise where a plaintiff seeks to bring an opt-out class action but is </w:t>
      </w:r>
      <w:r w:rsidR="007C2F52">
        <w:t>prepared</w:t>
      </w:r>
      <w:r w:rsidR="00B763FB">
        <w:t xml:space="preserve"> to proceed with an opt-in class action (or vice versa) if the court is only willing to certify a class action on this basis. In</w:t>
      </w:r>
      <w:r w:rsidR="00B763FB" w:rsidDel="009D7CE8">
        <w:t xml:space="preserve"> </w:t>
      </w:r>
      <w:r w:rsidR="00B763FB">
        <w:t xml:space="preserve">this scenario, the plaintiff may wish to bring its certification application in the alternative, to avoid having to bring a fresh certification </w:t>
      </w:r>
      <w:r w:rsidR="00B763FB">
        <w:lastRenderedPageBreak/>
        <w:t xml:space="preserve">application if the original application is declined. Alternatively, a court could provide a plaintiff with an opportunity to amend its certification application if the court is likely to decline certification on the basis of the proposed approach to class membership. </w:t>
      </w:r>
    </w:p>
    <w:p w14:paraId="159DD2FA" w14:textId="18E599A6" w:rsidR="00B763FB" w:rsidRPr="00495F9B" w:rsidRDefault="00BD5C95" w:rsidP="00932E49">
      <w:pPr>
        <w:pStyle w:val="BodyText"/>
      </w:pPr>
      <w:r>
        <w:rPr>
          <w:rFonts w:ascii="ZWAdobeF" w:hAnsi="ZWAdobeF" w:cs="ZWAdobeF"/>
          <w:color w:val="auto"/>
          <w:sz w:val="2"/>
          <w:szCs w:val="2"/>
        </w:rPr>
        <w:t>62B</w:t>
      </w:r>
      <w:r w:rsidR="0049638A">
        <w:rPr>
          <w:rFonts w:ascii="ZWAdobeF" w:hAnsi="ZWAdobeF" w:cs="ZWAdobeF"/>
          <w:color w:val="auto"/>
          <w:sz w:val="2"/>
          <w:szCs w:val="2"/>
        </w:rPr>
        <w:t>62B</w:t>
      </w:r>
      <w:r w:rsidR="00D629FA">
        <w:rPr>
          <w:rFonts w:ascii="ZWAdobeF" w:hAnsi="ZWAdobeF" w:cs="ZWAdobeF"/>
          <w:color w:val="auto"/>
          <w:sz w:val="2"/>
          <w:szCs w:val="2"/>
        </w:rPr>
        <w:t>62B</w:t>
      </w:r>
      <w:r w:rsidR="00B763FB" w:rsidRPr="00495F9B">
        <w:t xml:space="preserve">Where competing class actions have been filed with respect to a dispute, the opt-in or opt-out </w:t>
      </w:r>
      <w:r w:rsidR="00B763FB">
        <w:t>basis</w:t>
      </w:r>
      <w:r w:rsidR="00B763FB" w:rsidRPr="00495F9B">
        <w:t xml:space="preserve"> proposed by the </w:t>
      </w:r>
      <w:r w:rsidR="00B763FB">
        <w:t>respective plaintiffs</w:t>
      </w:r>
      <w:r w:rsidR="00B763FB" w:rsidRPr="00495F9B">
        <w:t xml:space="preserve"> </w:t>
      </w:r>
      <w:r w:rsidR="00B763FB">
        <w:t xml:space="preserve">is likely to </w:t>
      </w:r>
      <w:r w:rsidR="00B763FB" w:rsidRPr="00495F9B">
        <w:t>be relevant</w:t>
      </w:r>
      <w:r w:rsidR="00B763FB">
        <w:t xml:space="preserve"> to the court’s consideration of how to manage</w:t>
      </w:r>
      <w:r w:rsidR="00B763FB" w:rsidRPr="00495F9B">
        <w:t xml:space="preserve"> the cases</w:t>
      </w:r>
      <w:r w:rsidR="00B763FB">
        <w:t>. Where</w:t>
      </w:r>
      <w:r w:rsidR="00B763FB" w:rsidRPr="00495F9B">
        <w:t xml:space="preserve"> there is a proposed opt-in class action and a proposed opt-out class action, the court might decide that only one meets the certification criteria because either opt-in or opt-out would be inappropriate. Alternatively, it might find that while the case could be certified on either an opt-in or an opt-out basis, </w:t>
      </w:r>
      <w:r w:rsidR="00B763FB">
        <w:t>it is relevant to consider the respective merits of opt-in and opt-out when comparing the class actions</w:t>
      </w:r>
      <w:r w:rsidR="00B763FB" w:rsidRPr="00495F9B">
        <w:t>.</w:t>
      </w:r>
      <w:r w:rsidR="00D629FA">
        <w:rPr>
          <w:rFonts w:ascii="ZWAdobeF" w:hAnsi="ZWAdobeF" w:cs="ZWAdobeF"/>
          <w:color w:val="auto"/>
          <w:sz w:val="2"/>
          <w:szCs w:val="2"/>
        </w:rPr>
        <w:t>145F</w:t>
      </w:r>
      <w:r w:rsidR="0049638A">
        <w:rPr>
          <w:rFonts w:ascii="ZWAdobeF" w:hAnsi="ZWAdobeF" w:cs="ZWAdobeF"/>
          <w:color w:val="auto"/>
          <w:sz w:val="2"/>
          <w:szCs w:val="2"/>
        </w:rPr>
        <w:t>145F</w:t>
      </w:r>
      <w:r w:rsidR="000D4978">
        <w:rPr>
          <w:rFonts w:ascii="ZWAdobeF" w:hAnsi="ZWAdobeF" w:cs="ZWAdobeF"/>
          <w:color w:val="auto"/>
          <w:sz w:val="2"/>
          <w:szCs w:val="2"/>
        </w:rPr>
        <w:t>145F</w:t>
      </w:r>
      <w:r w:rsidR="00B763FB" w:rsidRPr="00495F9B">
        <w:rPr>
          <w:rStyle w:val="FootnoteReference"/>
        </w:rPr>
        <w:footnoteReference w:id="147"/>
      </w:r>
      <w:r w:rsidR="00B763FB" w:rsidRPr="00495F9B">
        <w:t xml:space="preserve"> Another situation that could arise is where competing class actions both seek to be certified as opt-in class actions. In some circumstances, the court might consider it appropriate for both class actions to proceed (and perhaps be heard together). </w:t>
      </w:r>
      <w:r w:rsidR="00B763FB">
        <w:t>We discuss competing class actions in Chapter 2.</w:t>
      </w:r>
      <w:r w:rsidR="00B763FB" w:rsidRPr="00495F9B">
        <w:t xml:space="preserve"> </w:t>
      </w:r>
    </w:p>
    <w:p w14:paraId="62B38B4C" w14:textId="77777777" w:rsidR="00B763FB" w:rsidRDefault="00B763FB" w:rsidP="0016640A">
      <w:pPr>
        <w:pStyle w:val="Heading4"/>
      </w:pPr>
      <w:r>
        <w:t>Universal class actions</w:t>
      </w:r>
    </w:p>
    <w:p w14:paraId="1CF3D195" w14:textId="3B44391E" w:rsidR="00B763FB" w:rsidRDefault="00BD5C95" w:rsidP="00932E49">
      <w:pPr>
        <w:pStyle w:val="BodyText"/>
      </w:pPr>
      <w:r>
        <w:rPr>
          <w:rFonts w:ascii="ZWAdobeF" w:hAnsi="ZWAdobeF" w:cs="ZWAdobeF"/>
          <w:color w:val="auto"/>
          <w:sz w:val="2"/>
          <w:szCs w:val="2"/>
        </w:rPr>
        <w:t>63B</w:t>
      </w:r>
      <w:r w:rsidR="0049638A">
        <w:rPr>
          <w:rFonts w:ascii="ZWAdobeF" w:hAnsi="ZWAdobeF" w:cs="ZWAdobeF"/>
          <w:color w:val="auto"/>
          <w:sz w:val="2"/>
          <w:szCs w:val="2"/>
        </w:rPr>
        <w:t>63B</w:t>
      </w:r>
      <w:r w:rsidR="00D629FA">
        <w:rPr>
          <w:rFonts w:ascii="ZWAdobeF" w:hAnsi="ZWAdobeF" w:cs="ZWAdobeF"/>
          <w:color w:val="auto"/>
          <w:sz w:val="2"/>
          <w:szCs w:val="2"/>
        </w:rPr>
        <w:t>63B</w:t>
      </w:r>
      <w:r w:rsidR="00B763FB">
        <w:t>Our proposed certification provision does not provide for ‘universal’ or ‘compulsory’ class actions. This is a form of class action where class members do not have the ability to opt out. In the United States there are three categories of class actions where there is no requirement to provide an opportunity to opt out.</w:t>
      </w:r>
      <w:r w:rsidR="00D629FA">
        <w:rPr>
          <w:rFonts w:ascii="ZWAdobeF" w:hAnsi="ZWAdobeF" w:cs="ZWAdobeF"/>
          <w:color w:val="auto"/>
          <w:sz w:val="2"/>
          <w:szCs w:val="2"/>
        </w:rPr>
        <w:t>146F</w:t>
      </w:r>
      <w:r w:rsidR="0049638A">
        <w:rPr>
          <w:rFonts w:ascii="ZWAdobeF" w:hAnsi="ZWAdobeF" w:cs="ZWAdobeF"/>
          <w:color w:val="auto"/>
          <w:sz w:val="2"/>
          <w:szCs w:val="2"/>
        </w:rPr>
        <w:t>146F</w:t>
      </w:r>
      <w:r w:rsidR="000D4978">
        <w:rPr>
          <w:rFonts w:ascii="ZWAdobeF" w:hAnsi="ZWAdobeF" w:cs="ZWAdobeF"/>
          <w:color w:val="auto"/>
          <w:sz w:val="2"/>
          <w:szCs w:val="2"/>
        </w:rPr>
        <w:t>146F</w:t>
      </w:r>
      <w:r w:rsidR="00B763FB">
        <w:rPr>
          <w:rStyle w:val="FootnoteReference"/>
        </w:rPr>
        <w:footnoteReference w:id="148"/>
      </w:r>
      <w:r w:rsidR="00B763FB">
        <w:t xml:space="preserve"> </w:t>
      </w:r>
    </w:p>
    <w:p w14:paraId="50BBF4FB" w14:textId="0A3293B7" w:rsidR="00B763FB" w:rsidRDefault="00BD5C95" w:rsidP="00932E49">
      <w:pPr>
        <w:pStyle w:val="BodyText"/>
      </w:pPr>
      <w:r>
        <w:rPr>
          <w:rFonts w:ascii="ZWAdobeF" w:hAnsi="ZWAdobeF" w:cs="ZWAdobeF"/>
          <w:color w:val="auto"/>
          <w:sz w:val="2"/>
          <w:szCs w:val="2"/>
        </w:rPr>
        <w:t>64B</w:t>
      </w:r>
      <w:r w:rsidR="0049638A">
        <w:rPr>
          <w:rFonts w:ascii="ZWAdobeF" w:hAnsi="ZWAdobeF" w:cs="ZWAdobeF"/>
          <w:color w:val="auto"/>
          <w:sz w:val="2"/>
          <w:szCs w:val="2"/>
        </w:rPr>
        <w:t>64B</w:t>
      </w:r>
      <w:r w:rsidR="00D629FA">
        <w:rPr>
          <w:rFonts w:ascii="ZWAdobeF" w:hAnsi="ZWAdobeF" w:cs="ZWAdobeF"/>
          <w:color w:val="auto"/>
          <w:sz w:val="2"/>
          <w:szCs w:val="2"/>
        </w:rPr>
        <w:t>64B</w:t>
      </w:r>
      <w:r w:rsidR="00B763FB">
        <w:t>The first category is where there is a risk of multiple individual claims leading to incompatible standards of conduct for the defendant.</w:t>
      </w:r>
      <w:r w:rsidR="00D629FA">
        <w:rPr>
          <w:rFonts w:ascii="ZWAdobeF" w:hAnsi="ZWAdobeF" w:cs="ZWAdobeF"/>
          <w:color w:val="auto"/>
          <w:sz w:val="2"/>
          <w:szCs w:val="2"/>
        </w:rPr>
        <w:t>147F</w:t>
      </w:r>
      <w:r w:rsidR="0049638A">
        <w:rPr>
          <w:rFonts w:ascii="ZWAdobeF" w:hAnsi="ZWAdobeF" w:cs="ZWAdobeF"/>
          <w:color w:val="auto"/>
          <w:sz w:val="2"/>
          <w:szCs w:val="2"/>
        </w:rPr>
        <w:t>147F</w:t>
      </w:r>
      <w:r w:rsidR="000D4978">
        <w:rPr>
          <w:rFonts w:ascii="ZWAdobeF" w:hAnsi="ZWAdobeF" w:cs="ZWAdobeF"/>
          <w:color w:val="auto"/>
          <w:sz w:val="2"/>
          <w:szCs w:val="2"/>
        </w:rPr>
        <w:t>147F</w:t>
      </w:r>
      <w:r w:rsidR="00B763FB">
        <w:rPr>
          <w:rStyle w:val="FootnoteReference"/>
        </w:rPr>
        <w:footnoteReference w:id="149"/>
      </w:r>
      <w:r w:rsidR="00B763FB">
        <w:t xml:space="preserve"> These types of class action are relatively infrequent.</w:t>
      </w:r>
      <w:r w:rsidR="00D629FA">
        <w:rPr>
          <w:rFonts w:ascii="ZWAdobeF" w:hAnsi="ZWAdobeF" w:cs="ZWAdobeF"/>
          <w:color w:val="auto"/>
          <w:sz w:val="2"/>
          <w:szCs w:val="2"/>
        </w:rPr>
        <w:t>148F</w:t>
      </w:r>
      <w:r w:rsidR="0049638A">
        <w:rPr>
          <w:rFonts w:ascii="ZWAdobeF" w:hAnsi="ZWAdobeF" w:cs="ZWAdobeF"/>
          <w:color w:val="auto"/>
          <w:sz w:val="2"/>
          <w:szCs w:val="2"/>
        </w:rPr>
        <w:t>148F</w:t>
      </w:r>
      <w:r w:rsidR="000D4978">
        <w:rPr>
          <w:rFonts w:ascii="ZWAdobeF" w:hAnsi="ZWAdobeF" w:cs="ZWAdobeF"/>
          <w:color w:val="auto"/>
          <w:sz w:val="2"/>
          <w:szCs w:val="2"/>
        </w:rPr>
        <w:t>148F</w:t>
      </w:r>
      <w:r w:rsidR="00B763FB">
        <w:rPr>
          <w:rStyle w:val="FootnoteReference"/>
        </w:rPr>
        <w:footnoteReference w:id="150"/>
      </w:r>
      <w:r w:rsidR="00B763FB">
        <w:t xml:space="preserve"> They include cases involving statutory assessments and bond issues, cases seeking non-monetary remedies as well as damages, and cases involving pension plans.</w:t>
      </w:r>
      <w:r w:rsidR="00D629FA">
        <w:rPr>
          <w:rFonts w:ascii="ZWAdobeF" w:hAnsi="ZWAdobeF" w:cs="ZWAdobeF"/>
          <w:color w:val="auto"/>
          <w:sz w:val="2"/>
          <w:szCs w:val="2"/>
        </w:rPr>
        <w:t>149F</w:t>
      </w:r>
      <w:r w:rsidR="0049638A">
        <w:rPr>
          <w:rFonts w:ascii="ZWAdobeF" w:hAnsi="ZWAdobeF" w:cs="ZWAdobeF"/>
          <w:color w:val="auto"/>
          <w:sz w:val="2"/>
          <w:szCs w:val="2"/>
        </w:rPr>
        <w:t>149F</w:t>
      </w:r>
      <w:r w:rsidR="000D4978">
        <w:rPr>
          <w:rFonts w:ascii="ZWAdobeF" w:hAnsi="ZWAdobeF" w:cs="ZWAdobeF"/>
          <w:color w:val="auto"/>
          <w:sz w:val="2"/>
          <w:szCs w:val="2"/>
        </w:rPr>
        <w:t>149F</w:t>
      </w:r>
      <w:r w:rsidR="00B763FB">
        <w:rPr>
          <w:rStyle w:val="FootnoteReference"/>
        </w:rPr>
        <w:footnoteReference w:id="151"/>
      </w:r>
      <w:r w:rsidR="00B763FB">
        <w:t xml:space="preserve"> We anticipate that there would be few situations where this kind of class action would arise in Aotearoa New Zealand and we consider that courts could use their existing powers to ensure defendants do not face contradictory orders. </w:t>
      </w:r>
    </w:p>
    <w:p w14:paraId="55B20F55" w14:textId="70734F81" w:rsidR="00B763FB" w:rsidRDefault="00BD5C95" w:rsidP="00932E49">
      <w:pPr>
        <w:pStyle w:val="BodyText"/>
      </w:pPr>
      <w:r>
        <w:rPr>
          <w:rFonts w:ascii="ZWAdobeF" w:hAnsi="ZWAdobeF" w:cs="ZWAdobeF"/>
          <w:color w:val="auto"/>
          <w:sz w:val="2"/>
          <w:szCs w:val="2"/>
        </w:rPr>
        <w:t>65B</w:t>
      </w:r>
      <w:r w:rsidR="0049638A">
        <w:rPr>
          <w:rFonts w:ascii="ZWAdobeF" w:hAnsi="ZWAdobeF" w:cs="ZWAdobeF"/>
          <w:color w:val="auto"/>
          <w:sz w:val="2"/>
          <w:szCs w:val="2"/>
        </w:rPr>
        <w:t>65B</w:t>
      </w:r>
      <w:r w:rsidR="00D629FA">
        <w:rPr>
          <w:rFonts w:ascii="ZWAdobeF" w:hAnsi="ZWAdobeF" w:cs="ZWAdobeF"/>
          <w:color w:val="auto"/>
          <w:sz w:val="2"/>
          <w:szCs w:val="2"/>
        </w:rPr>
        <w:t>65B</w:t>
      </w:r>
      <w:r w:rsidR="00B763FB">
        <w:t>The second category is where separate decisions could practically dispose of others’ claims or impede their ability to protect their interests.</w:t>
      </w:r>
      <w:r w:rsidR="00D629FA">
        <w:rPr>
          <w:rFonts w:ascii="ZWAdobeF" w:hAnsi="ZWAdobeF" w:cs="ZWAdobeF"/>
          <w:color w:val="auto"/>
          <w:sz w:val="2"/>
          <w:szCs w:val="2"/>
        </w:rPr>
        <w:t>150F</w:t>
      </w:r>
      <w:r w:rsidR="0049638A">
        <w:rPr>
          <w:rFonts w:ascii="ZWAdobeF" w:hAnsi="ZWAdobeF" w:cs="ZWAdobeF"/>
          <w:color w:val="auto"/>
          <w:sz w:val="2"/>
          <w:szCs w:val="2"/>
        </w:rPr>
        <w:t>150F</w:t>
      </w:r>
      <w:r w:rsidR="000D4978">
        <w:rPr>
          <w:rFonts w:ascii="ZWAdobeF" w:hAnsi="ZWAdobeF" w:cs="ZWAdobeF"/>
          <w:color w:val="auto"/>
          <w:sz w:val="2"/>
          <w:szCs w:val="2"/>
        </w:rPr>
        <w:t>150F</w:t>
      </w:r>
      <w:r w:rsidR="00B763FB">
        <w:rPr>
          <w:rStyle w:val="FootnoteReference"/>
        </w:rPr>
        <w:footnoteReference w:id="152"/>
      </w:r>
      <w:r w:rsidR="00B763FB">
        <w:t xml:space="preserve"> The classic example is a ‘limited fund class action’, where many litigants have claims against a single asset which is unlikely to be sufficient to satisfy all claims.</w:t>
      </w:r>
      <w:r w:rsidR="00D629FA">
        <w:rPr>
          <w:rFonts w:ascii="ZWAdobeF" w:hAnsi="ZWAdobeF" w:cs="ZWAdobeF"/>
          <w:color w:val="auto"/>
          <w:sz w:val="2"/>
          <w:szCs w:val="2"/>
        </w:rPr>
        <w:t>151F</w:t>
      </w:r>
      <w:r w:rsidR="0049638A">
        <w:rPr>
          <w:rFonts w:ascii="ZWAdobeF" w:hAnsi="ZWAdobeF" w:cs="ZWAdobeF"/>
          <w:color w:val="auto"/>
          <w:sz w:val="2"/>
          <w:szCs w:val="2"/>
        </w:rPr>
        <w:t>151F</w:t>
      </w:r>
      <w:r w:rsidR="000D4978">
        <w:rPr>
          <w:rFonts w:ascii="ZWAdobeF" w:hAnsi="ZWAdobeF" w:cs="ZWAdobeF"/>
          <w:color w:val="auto"/>
          <w:sz w:val="2"/>
          <w:szCs w:val="2"/>
        </w:rPr>
        <w:t>151F</w:t>
      </w:r>
      <w:r w:rsidR="00B763FB">
        <w:rPr>
          <w:rStyle w:val="FootnoteReference"/>
        </w:rPr>
        <w:footnoteReference w:id="153"/>
      </w:r>
      <w:r w:rsidR="00B763FB">
        <w:t xml:space="preserve"> While individuals opting out of a class action and successfully obtaining their own judgments would reduce a defendant’s assets before a class action can proceed to judgment, we think it would be heavy handed to respond to this risk by </w:t>
      </w:r>
      <w:r w:rsidR="002C5E71">
        <w:t>rem</w:t>
      </w:r>
      <w:r w:rsidR="00F61F2B">
        <w:t>oving class members’ autonomy</w:t>
      </w:r>
      <w:r w:rsidR="00B763FB">
        <w:t xml:space="preserve">. If a defendant has limited assets, this will </w:t>
      </w:r>
      <w:r w:rsidR="00B763FB">
        <w:lastRenderedPageBreak/>
        <w:t xml:space="preserve">be a matter for a plaintiff and funder to consider when assessing the viability of a class action.  </w:t>
      </w:r>
    </w:p>
    <w:p w14:paraId="2B031B07" w14:textId="683968BD" w:rsidR="00B763FB" w:rsidRDefault="00BD5C95" w:rsidP="00932E49">
      <w:pPr>
        <w:pStyle w:val="BodyText"/>
      </w:pPr>
      <w:r>
        <w:rPr>
          <w:rFonts w:ascii="ZWAdobeF" w:hAnsi="ZWAdobeF" w:cs="ZWAdobeF"/>
          <w:color w:val="auto"/>
          <w:sz w:val="2"/>
          <w:szCs w:val="2"/>
        </w:rPr>
        <w:t>66B</w:t>
      </w:r>
      <w:r w:rsidR="0049638A">
        <w:rPr>
          <w:rFonts w:ascii="ZWAdobeF" w:hAnsi="ZWAdobeF" w:cs="ZWAdobeF"/>
          <w:color w:val="auto"/>
          <w:sz w:val="2"/>
          <w:szCs w:val="2"/>
        </w:rPr>
        <w:t>66B</w:t>
      </w:r>
      <w:r w:rsidR="00D629FA">
        <w:rPr>
          <w:rFonts w:ascii="ZWAdobeF" w:hAnsi="ZWAdobeF" w:cs="ZWAdobeF"/>
          <w:color w:val="auto"/>
          <w:sz w:val="2"/>
          <w:szCs w:val="2"/>
        </w:rPr>
        <w:t>66B</w:t>
      </w:r>
      <w:r w:rsidR="00B763FB">
        <w:t>The third category of cases is where a declaration or injunction is sought.</w:t>
      </w:r>
      <w:r w:rsidR="00D629FA">
        <w:rPr>
          <w:rFonts w:ascii="ZWAdobeF" w:hAnsi="ZWAdobeF" w:cs="ZWAdobeF"/>
          <w:color w:val="auto"/>
          <w:sz w:val="2"/>
          <w:szCs w:val="2"/>
        </w:rPr>
        <w:t>152F</w:t>
      </w:r>
      <w:r w:rsidR="0049638A">
        <w:rPr>
          <w:rFonts w:ascii="ZWAdobeF" w:hAnsi="ZWAdobeF" w:cs="ZWAdobeF"/>
          <w:color w:val="auto"/>
          <w:sz w:val="2"/>
          <w:szCs w:val="2"/>
        </w:rPr>
        <w:t>152F</w:t>
      </w:r>
      <w:r w:rsidR="000D4978">
        <w:rPr>
          <w:rFonts w:ascii="ZWAdobeF" w:hAnsi="ZWAdobeF" w:cs="ZWAdobeF"/>
          <w:color w:val="auto"/>
          <w:sz w:val="2"/>
          <w:szCs w:val="2"/>
        </w:rPr>
        <w:t>152F</w:t>
      </w:r>
      <w:r w:rsidR="00B763FB">
        <w:rPr>
          <w:rStyle w:val="FootnoteReference"/>
        </w:rPr>
        <w:footnoteReference w:id="154"/>
      </w:r>
      <w:r w:rsidR="00B763FB">
        <w:t xml:space="preserve"> This third category of case is said to be “the closest incarnation” to the English representative action rule.</w:t>
      </w:r>
      <w:r w:rsidR="00D629FA">
        <w:rPr>
          <w:rFonts w:ascii="ZWAdobeF" w:hAnsi="ZWAdobeF" w:cs="ZWAdobeF"/>
          <w:color w:val="auto"/>
          <w:sz w:val="2"/>
          <w:szCs w:val="2"/>
        </w:rPr>
        <w:t>153F</w:t>
      </w:r>
      <w:r w:rsidR="0049638A">
        <w:rPr>
          <w:rFonts w:ascii="ZWAdobeF" w:hAnsi="ZWAdobeF" w:cs="ZWAdobeF"/>
          <w:color w:val="auto"/>
          <w:sz w:val="2"/>
          <w:szCs w:val="2"/>
        </w:rPr>
        <w:t>153F</w:t>
      </w:r>
      <w:r w:rsidR="000D4978">
        <w:rPr>
          <w:rFonts w:ascii="ZWAdobeF" w:hAnsi="ZWAdobeF" w:cs="ZWAdobeF"/>
          <w:color w:val="auto"/>
          <w:sz w:val="2"/>
          <w:szCs w:val="2"/>
        </w:rPr>
        <w:t>153F</w:t>
      </w:r>
      <w:r w:rsidR="00B763FB">
        <w:rPr>
          <w:rStyle w:val="FootnoteReference"/>
        </w:rPr>
        <w:footnoteReference w:id="155"/>
      </w:r>
      <w:r w:rsidR="00B763FB">
        <w:t xml:space="preserve"> In </w:t>
      </w:r>
      <w:r w:rsidR="00B763FB">
        <w:rPr>
          <w:i/>
          <w:iCs/>
        </w:rPr>
        <w:t xml:space="preserve">Southern Response v Ross, </w:t>
      </w:r>
      <w:r w:rsidR="00B763FB">
        <w:t>the Supreme Court indicated that universal representative actions may be appropriate where the only relief sought is a declaration or injunction and the outcome will affect class members identically.</w:t>
      </w:r>
      <w:r w:rsidR="00D629FA">
        <w:rPr>
          <w:rFonts w:ascii="ZWAdobeF" w:hAnsi="ZWAdobeF" w:cs="ZWAdobeF"/>
          <w:color w:val="auto"/>
          <w:sz w:val="2"/>
          <w:szCs w:val="2"/>
        </w:rPr>
        <w:t>154F</w:t>
      </w:r>
      <w:r w:rsidR="0049638A">
        <w:rPr>
          <w:rFonts w:ascii="ZWAdobeF" w:hAnsi="ZWAdobeF" w:cs="ZWAdobeF"/>
          <w:color w:val="auto"/>
          <w:sz w:val="2"/>
          <w:szCs w:val="2"/>
        </w:rPr>
        <w:t>154F</w:t>
      </w:r>
      <w:r w:rsidR="000D4978">
        <w:rPr>
          <w:rFonts w:ascii="ZWAdobeF" w:hAnsi="ZWAdobeF" w:cs="ZWAdobeF"/>
          <w:color w:val="auto"/>
          <w:sz w:val="2"/>
          <w:szCs w:val="2"/>
        </w:rPr>
        <w:t>154F</w:t>
      </w:r>
      <w:r w:rsidR="00B763FB">
        <w:rPr>
          <w:rStyle w:val="FootnoteReference"/>
        </w:rPr>
        <w:footnoteReference w:id="156"/>
      </w:r>
      <w:r w:rsidR="00B763FB">
        <w:t xml:space="preserve"> As we have discussed earlier in this chapter, we see class actions as being a form of aggregate litigation, which will primarily be used to determine multiple claims for damages. We think that claims seeking only a declaration or injunction may be more appropriately brought as a declaratory judgment or judicial review proceeding or as a representative action.</w:t>
      </w:r>
    </w:p>
    <w:p w14:paraId="3130ABA4" w14:textId="732A1A7C" w:rsidR="00B763FB" w:rsidRDefault="00BD5C95" w:rsidP="00932E49">
      <w:pPr>
        <w:pStyle w:val="BodyText"/>
      </w:pPr>
      <w:r>
        <w:rPr>
          <w:rFonts w:ascii="ZWAdobeF" w:hAnsi="ZWAdobeF" w:cs="ZWAdobeF"/>
          <w:color w:val="auto"/>
          <w:sz w:val="2"/>
          <w:szCs w:val="2"/>
        </w:rPr>
        <w:t>67B</w:t>
      </w:r>
      <w:r w:rsidR="0049638A">
        <w:rPr>
          <w:rFonts w:ascii="ZWAdobeF" w:hAnsi="ZWAdobeF" w:cs="ZWAdobeF"/>
          <w:color w:val="auto"/>
          <w:sz w:val="2"/>
          <w:szCs w:val="2"/>
        </w:rPr>
        <w:t>67B</w:t>
      </w:r>
      <w:r w:rsidR="00D629FA">
        <w:rPr>
          <w:rFonts w:ascii="ZWAdobeF" w:hAnsi="ZWAdobeF" w:cs="ZWAdobeF"/>
          <w:color w:val="auto"/>
          <w:sz w:val="2"/>
          <w:szCs w:val="2"/>
        </w:rPr>
        <w:t>67B</w:t>
      </w:r>
      <w:r w:rsidR="002206B5">
        <w:t xml:space="preserve">We consider </w:t>
      </w:r>
      <w:r w:rsidR="00B763FB">
        <w:t xml:space="preserve">it is unnecessary to provide for universal or compulsory class actions in Aotearoa New Zealand. We think the situations in which these might be appropriate would be relatively rare and we think the individual autonomy of litigants supports giving class members an opportunity to either opt in or opt out of a class action. </w:t>
      </w:r>
    </w:p>
    <w:p w14:paraId="33359316" w14:textId="77777777" w:rsidR="00B763FB" w:rsidRDefault="00B763FB" w:rsidP="0016640A">
      <w:pPr>
        <w:pStyle w:val="Heading3"/>
      </w:pPr>
      <w:r>
        <w:t>Preliminary merits test or cost-benefit assessment</w:t>
      </w:r>
    </w:p>
    <w:p w14:paraId="29588B09" w14:textId="683D78B7" w:rsidR="00B763FB" w:rsidRPr="000E2E11" w:rsidRDefault="00BD5C95" w:rsidP="009B4731">
      <w:pPr>
        <w:pStyle w:val="BodyText"/>
      </w:pPr>
      <w:r>
        <w:rPr>
          <w:rFonts w:ascii="ZWAdobeF" w:hAnsi="ZWAdobeF" w:cs="ZWAdobeF"/>
          <w:color w:val="auto"/>
          <w:sz w:val="2"/>
          <w:szCs w:val="2"/>
        </w:rPr>
        <w:t>68B</w:t>
      </w:r>
      <w:r w:rsidR="0049638A">
        <w:rPr>
          <w:rFonts w:ascii="ZWAdobeF" w:hAnsi="ZWAdobeF" w:cs="ZWAdobeF"/>
          <w:color w:val="auto"/>
          <w:sz w:val="2"/>
          <w:szCs w:val="2"/>
        </w:rPr>
        <w:t>68B</w:t>
      </w:r>
      <w:r w:rsidR="00D629FA">
        <w:rPr>
          <w:rFonts w:ascii="ZWAdobeF" w:hAnsi="ZWAdobeF" w:cs="ZWAdobeF"/>
          <w:color w:val="auto"/>
          <w:sz w:val="2"/>
          <w:szCs w:val="2"/>
        </w:rPr>
        <w:t>68B</w:t>
      </w:r>
      <w:r w:rsidR="00B763FB">
        <w:t xml:space="preserve">In our Issues Paper we said there may be a benefit in having a preliminary merits test or a cost-benefit assessment as part of a certification test, given the burden a class action can place on the court system. However, we </w:t>
      </w:r>
      <w:r w:rsidR="00B763FB" w:rsidRPr="000E2E11">
        <w:t xml:space="preserve">also </w:t>
      </w:r>
      <w:r w:rsidR="00B763FB">
        <w:t xml:space="preserve">said burdensome preliminary tests may risk undermining the </w:t>
      </w:r>
      <w:r w:rsidR="005C561E">
        <w:t xml:space="preserve">objectives </w:t>
      </w:r>
      <w:r w:rsidR="00B763FB">
        <w:t>of class actions.</w:t>
      </w:r>
      <w:r w:rsidR="00D629FA">
        <w:rPr>
          <w:rFonts w:ascii="ZWAdobeF" w:hAnsi="ZWAdobeF" w:cs="ZWAdobeF"/>
          <w:color w:val="auto"/>
          <w:sz w:val="2"/>
          <w:szCs w:val="2"/>
        </w:rPr>
        <w:t>155F</w:t>
      </w:r>
      <w:r w:rsidR="0049638A">
        <w:rPr>
          <w:rFonts w:ascii="ZWAdobeF" w:hAnsi="ZWAdobeF" w:cs="ZWAdobeF"/>
          <w:color w:val="auto"/>
          <w:sz w:val="2"/>
          <w:szCs w:val="2"/>
        </w:rPr>
        <w:t>155F</w:t>
      </w:r>
      <w:r w:rsidR="000D4978">
        <w:rPr>
          <w:rFonts w:ascii="ZWAdobeF" w:hAnsi="ZWAdobeF" w:cs="ZWAdobeF"/>
          <w:color w:val="auto"/>
          <w:sz w:val="2"/>
          <w:szCs w:val="2"/>
        </w:rPr>
        <w:t>155F</w:t>
      </w:r>
      <w:r w:rsidR="00B763FB">
        <w:rPr>
          <w:rStyle w:val="FootnoteReference"/>
        </w:rPr>
        <w:footnoteReference w:id="157"/>
      </w:r>
      <w:r w:rsidR="00B763FB">
        <w:t xml:space="preserve"> We asked submitters whether the court should be required to conduct a preliminary merits test or cost-benefit assessment</w:t>
      </w:r>
      <w:r w:rsidR="00F96FB6">
        <w:t xml:space="preserve"> (Q 24)</w:t>
      </w:r>
      <w:r w:rsidR="00B763FB">
        <w:t>. We received 17 submissions on this question.</w:t>
      </w:r>
      <w:r w:rsidR="00D629FA">
        <w:rPr>
          <w:rFonts w:ascii="ZWAdobeF" w:hAnsi="ZWAdobeF" w:cs="ZWAdobeF"/>
          <w:color w:val="auto"/>
          <w:sz w:val="2"/>
          <w:szCs w:val="2"/>
        </w:rPr>
        <w:t>156F</w:t>
      </w:r>
      <w:r w:rsidR="0049638A">
        <w:rPr>
          <w:rFonts w:ascii="ZWAdobeF" w:hAnsi="ZWAdobeF" w:cs="ZWAdobeF"/>
          <w:color w:val="auto"/>
          <w:sz w:val="2"/>
          <w:szCs w:val="2"/>
        </w:rPr>
        <w:t>156F</w:t>
      </w:r>
      <w:r w:rsidR="000D4978">
        <w:rPr>
          <w:rFonts w:ascii="ZWAdobeF" w:hAnsi="ZWAdobeF" w:cs="ZWAdobeF"/>
          <w:color w:val="auto"/>
          <w:sz w:val="2"/>
          <w:szCs w:val="2"/>
        </w:rPr>
        <w:t>156F</w:t>
      </w:r>
      <w:r w:rsidR="00B763FB">
        <w:rPr>
          <w:rStyle w:val="FootnoteReference"/>
        </w:rPr>
        <w:footnoteReference w:id="158"/>
      </w:r>
      <w:r w:rsidR="00B763FB">
        <w:t xml:space="preserve"> </w:t>
      </w:r>
    </w:p>
    <w:p w14:paraId="44DA9C28" w14:textId="77777777" w:rsidR="00B763FB" w:rsidRDefault="00B763FB" w:rsidP="0016640A">
      <w:pPr>
        <w:pStyle w:val="Heading4"/>
      </w:pPr>
      <w:r>
        <w:t>Preliminary merits test</w:t>
      </w:r>
    </w:p>
    <w:p w14:paraId="11A573BD" w14:textId="3A2405F9" w:rsidR="00B763FB" w:rsidRDefault="00BD5C95" w:rsidP="009B4731">
      <w:pPr>
        <w:pStyle w:val="BodyText"/>
      </w:pPr>
      <w:r>
        <w:rPr>
          <w:rFonts w:ascii="ZWAdobeF" w:hAnsi="ZWAdobeF" w:cs="ZWAdobeF"/>
          <w:color w:val="auto"/>
          <w:sz w:val="2"/>
          <w:szCs w:val="2"/>
        </w:rPr>
        <w:t>69B</w:t>
      </w:r>
      <w:r w:rsidR="0049638A">
        <w:rPr>
          <w:rFonts w:ascii="ZWAdobeF" w:hAnsi="ZWAdobeF" w:cs="ZWAdobeF"/>
          <w:color w:val="auto"/>
          <w:sz w:val="2"/>
          <w:szCs w:val="2"/>
        </w:rPr>
        <w:t>69B</w:t>
      </w:r>
      <w:r w:rsidR="00D629FA">
        <w:rPr>
          <w:rFonts w:ascii="ZWAdobeF" w:hAnsi="ZWAdobeF" w:cs="ZWAdobeF"/>
          <w:color w:val="auto"/>
          <w:sz w:val="2"/>
          <w:szCs w:val="2"/>
        </w:rPr>
        <w:t>69B</w:t>
      </w:r>
      <w:r w:rsidR="00B763FB" w:rsidRPr="009B4731">
        <w:t>There</w:t>
      </w:r>
      <w:r w:rsidR="00B763FB">
        <w:t xml:space="preserve"> were seven submitters who supported a preliminary merits test,</w:t>
      </w:r>
      <w:r w:rsidR="00D629FA">
        <w:rPr>
          <w:rFonts w:ascii="ZWAdobeF" w:hAnsi="ZWAdobeF" w:cs="ZWAdobeF"/>
          <w:color w:val="auto"/>
          <w:sz w:val="2"/>
          <w:szCs w:val="2"/>
        </w:rPr>
        <w:t>157F</w:t>
      </w:r>
      <w:r w:rsidR="0049638A">
        <w:rPr>
          <w:rFonts w:ascii="ZWAdobeF" w:hAnsi="ZWAdobeF" w:cs="ZWAdobeF"/>
          <w:color w:val="auto"/>
          <w:sz w:val="2"/>
          <w:szCs w:val="2"/>
        </w:rPr>
        <w:t>157F</w:t>
      </w:r>
      <w:r w:rsidR="000D4978">
        <w:rPr>
          <w:rFonts w:ascii="ZWAdobeF" w:hAnsi="ZWAdobeF" w:cs="ZWAdobeF"/>
          <w:color w:val="auto"/>
          <w:sz w:val="2"/>
          <w:szCs w:val="2"/>
        </w:rPr>
        <w:t>157F</w:t>
      </w:r>
      <w:r w:rsidR="00B763FB">
        <w:rPr>
          <w:rStyle w:val="FootnoteReference"/>
        </w:rPr>
        <w:footnoteReference w:id="159"/>
      </w:r>
      <w:r w:rsidR="00B763FB">
        <w:t xml:space="preserve"> and nine who were opposed to such a test.</w:t>
      </w:r>
      <w:r w:rsidR="00D629FA">
        <w:rPr>
          <w:rFonts w:ascii="ZWAdobeF" w:hAnsi="ZWAdobeF" w:cs="ZWAdobeF"/>
          <w:color w:val="auto"/>
          <w:sz w:val="2"/>
          <w:szCs w:val="2"/>
        </w:rPr>
        <w:t>158F</w:t>
      </w:r>
      <w:r w:rsidR="0049638A">
        <w:rPr>
          <w:rFonts w:ascii="ZWAdobeF" w:hAnsi="ZWAdobeF" w:cs="ZWAdobeF"/>
          <w:color w:val="auto"/>
          <w:sz w:val="2"/>
          <w:szCs w:val="2"/>
        </w:rPr>
        <w:t>158F</w:t>
      </w:r>
      <w:r w:rsidR="000D4978">
        <w:rPr>
          <w:rFonts w:ascii="ZWAdobeF" w:hAnsi="ZWAdobeF" w:cs="ZWAdobeF"/>
          <w:color w:val="auto"/>
          <w:sz w:val="2"/>
          <w:szCs w:val="2"/>
        </w:rPr>
        <w:t>158F</w:t>
      </w:r>
      <w:r w:rsidR="00B763FB">
        <w:rPr>
          <w:rStyle w:val="FootnoteReference"/>
        </w:rPr>
        <w:footnoteReference w:id="160"/>
      </w:r>
      <w:r w:rsidR="00B763FB">
        <w:t xml:space="preserve"> </w:t>
      </w:r>
    </w:p>
    <w:p w14:paraId="1355DEE6" w14:textId="73DCEFA1" w:rsidR="00B763FB" w:rsidRDefault="00BD5C95" w:rsidP="009B4731">
      <w:pPr>
        <w:pStyle w:val="BodyText"/>
      </w:pPr>
      <w:r>
        <w:rPr>
          <w:rFonts w:ascii="ZWAdobeF" w:hAnsi="ZWAdobeF" w:cs="ZWAdobeF"/>
          <w:color w:val="auto"/>
          <w:sz w:val="2"/>
          <w:szCs w:val="2"/>
        </w:rPr>
        <w:t>70B</w:t>
      </w:r>
      <w:r w:rsidR="0049638A">
        <w:rPr>
          <w:rFonts w:ascii="ZWAdobeF" w:hAnsi="ZWAdobeF" w:cs="ZWAdobeF"/>
          <w:color w:val="auto"/>
          <w:sz w:val="2"/>
          <w:szCs w:val="2"/>
        </w:rPr>
        <w:t>70B</w:t>
      </w:r>
      <w:r w:rsidR="00D629FA">
        <w:rPr>
          <w:rFonts w:ascii="ZWAdobeF" w:hAnsi="ZWAdobeF" w:cs="ZWAdobeF"/>
          <w:color w:val="auto"/>
          <w:sz w:val="2"/>
          <w:szCs w:val="2"/>
        </w:rPr>
        <w:t>70B</w:t>
      </w:r>
      <w:r w:rsidR="00B763FB">
        <w:t xml:space="preserve">Those </w:t>
      </w:r>
      <w:r w:rsidR="00B763FB" w:rsidRPr="009B4731">
        <w:t>who</w:t>
      </w:r>
      <w:r w:rsidR="00B763FB">
        <w:t xml:space="preserve"> supported a preliminary merits test thought it could protect the court and defendants from wasted time and expense on meritless claims, as well as protecting the interests of class members. Submitters proposed a range of different thresholds, including “arguable case”, “good arguable case” and “real prospects of success</w:t>
      </w:r>
      <w:r w:rsidR="000A6BBD">
        <w:t>”.</w:t>
      </w:r>
      <w:r w:rsidR="00B763FB">
        <w:t xml:space="preserve"> </w:t>
      </w:r>
    </w:p>
    <w:p w14:paraId="6054CABC" w14:textId="1D7385B3" w:rsidR="00B763FB" w:rsidRDefault="00BD5C95" w:rsidP="009B4731">
      <w:pPr>
        <w:pStyle w:val="BodyText"/>
      </w:pPr>
      <w:r>
        <w:rPr>
          <w:rFonts w:ascii="ZWAdobeF" w:hAnsi="ZWAdobeF" w:cs="ZWAdobeF"/>
          <w:color w:val="auto"/>
          <w:sz w:val="2"/>
          <w:szCs w:val="2"/>
        </w:rPr>
        <w:lastRenderedPageBreak/>
        <w:t>71B</w:t>
      </w:r>
      <w:r w:rsidR="0049638A">
        <w:rPr>
          <w:rFonts w:ascii="ZWAdobeF" w:hAnsi="ZWAdobeF" w:cs="ZWAdobeF"/>
          <w:color w:val="auto"/>
          <w:sz w:val="2"/>
          <w:szCs w:val="2"/>
        </w:rPr>
        <w:t>71B</w:t>
      </w:r>
      <w:r w:rsidR="00D629FA">
        <w:rPr>
          <w:rFonts w:ascii="ZWAdobeF" w:hAnsi="ZWAdobeF" w:cs="ZWAdobeF"/>
          <w:color w:val="auto"/>
          <w:sz w:val="2"/>
          <w:szCs w:val="2"/>
        </w:rPr>
        <w:t>71B</w:t>
      </w:r>
      <w:r w:rsidR="00B763FB">
        <w:t xml:space="preserve">Many of the submitters who did not support a preliminary merits assessment pointed to existing mechanisms for filtering out meritless claims, such as the powers to strike out or seek summary judgment. Some submitters commented that litigation funders were incentivised to assess the merits of a potential case. Submitters expressed concern that it would be difficult to assess the merits of a case prior to discovery and that a preliminary merits test could cause unnecessary cost and delay.    </w:t>
      </w:r>
    </w:p>
    <w:p w14:paraId="2FF27C71" w14:textId="2EB629EF" w:rsidR="00B763FB" w:rsidRDefault="00BD5C95" w:rsidP="009B4731">
      <w:pPr>
        <w:pStyle w:val="BodyText"/>
      </w:pPr>
      <w:r>
        <w:rPr>
          <w:rFonts w:ascii="ZWAdobeF" w:hAnsi="ZWAdobeF" w:cs="ZWAdobeF"/>
          <w:color w:val="auto"/>
          <w:sz w:val="2"/>
          <w:szCs w:val="2"/>
        </w:rPr>
        <w:t>72B</w:t>
      </w:r>
      <w:r w:rsidR="0049638A">
        <w:rPr>
          <w:rFonts w:ascii="ZWAdobeF" w:hAnsi="ZWAdobeF" w:cs="ZWAdobeF"/>
          <w:color w:val="auto"/>
          <w:sz w:val="2"/>
          <w:szCs w:val="2"/>
        </w:rPr>
        <w:t>72B</w:t>
      </w:r>
      <w:r w:rsidR="00D629FA">
        <w:rPr>
          <w:rFonts w:ascii="ZWAdobeF" w:hAnsi="ZWAdobeF" w:cs="ZWAdobeF"/>
          <w:color w:val="auto"/>
          <w:sz w:val="2"/>
          <w:szCs w:val="2"/>
        </w:rPr>
        <w:t>72B</w:t>
      </w:r>
      <w:r w:rsidR="00B763FB">
        <w:t xml:space="preserve">We think the risk of meritless class actions being brought is relatively low, because of the expense of bringing a class action and the deterrent effect of adverse costs. It will also be in the interests of litigation funders to carefully assess the merits of a potential case before committing to funding it. </w:t>
      </w:r>
      <w:r w:rsidR="005C561E">
        <w:t>However, e</w:t>
      </w:r>
      <w:r w:rsidR="00B763FB">
        <w:t>ven if the risk is low, the potential effect of a meritless case is amplified in a class action because of the greater expense and time these cases take</w:t>
      </w:r>
      <w:r w:rsidR="00F96FB6">
        <w:t xml:space="preserve"> and the number of litigants affected</w:t>
      </w:r>
      <w:r w:rsidR="00B763FB">
        <w:t>. We have considered three options for preventing meritless class actions.</w:t>
      </w:r>
    </w:p>
    <w:p w14:paraId="049CD558" w14:textId="1305EAF7" w:rsidR="00B763FB" w:rsidRDefault="00BD5C95" w:rsidP="00932DB9">
      <w:pPr>
        <w:pStyle w:val="BodyTextnonum"/>
        <w:numPr>
          <w:ilvl w:val="3"/>
          <w:numId w:val="14"/>
        </w:numPr>
      </w:pPr>
      <w:r>
        <w:rPr>
          <w:rFonts w:ascii="ZWAdobeF" w:hAnsi="ZWAdobeF" w:cs="ZWAdobeF"/>
          <w:color w:val="auto"/>
          <w:sz w:val="2"/>
          <w:szCs w:val="2"/>
        </w:rPr>
        <w:t>630B</w:t>
      </w:r>
      <w:r w:rsidR="0049638A">
        <w:rPr>
          <w:rFonts w:ascii="ZWAdobeF" w:hAnsi="ZWAdobeF" w:cs="ZWAdobeF"/>
          <w:color w:val="auto"/>
          <w:sz w:val="2"/>
          <w:szCs w:val="2"/>
        </w:rPr>
        <w:t>630B</w:t>
      </w:r>
      <w:r w:rsidR="00D629FA">
        <w:rPr>
          <w:rFonts w:ascii="ZWAdobeF" w:hAnsi="ZWAdobeF" w:cs="ZWAdobeF"/>
          <w:color w:val="auto"/>
          <w:sz w:val="2"/>
          <w:szCs w:val="2"/>
        </w:rPr>
        <w:t>630B</w:t>
      </w:r>
      <w:r w:rsidR="00B763FB">
        <w:t>A certification test could have a preliminary merits assessment, which requires the court to consider whether the case is likely to be resolved in favour of the plaintiff.</w:t>
      </w:r>
      <w:r w:rsidR="00D629FA">
        <w:rPr>
          <w:rFonts w:ascii="ZWAdobeF" w:hAnsi="ZWAdobeF" w:cs="ZWAdobeF"/>
          <w:color w:val="auto"/>
          <w:sz w:val="2"/>
          <w:szCs w:val="2"/>
        </w:rPr>
        <w:t>159F</w:t>
      </w:r>
      <w:r w:rsidR="0049638A">
        <w:rPr>
          <w:rFonts w:ascii="ZWAdobeF" w:hAnsi="ZWAdobeF" w:cs="ZWAdobeF"/>
          <w:color w:val="auto"/>
          <w:sz w:val="2"/>
          <w:szCs w:val="2"/>
        </w:rPr>
        <w:t>159F</w:t>
      </w:r>
      <w:r w:rsidR="000D4978">
        <w:rPr>
          <w:rFonts w:ascii="ZWAdobeF" w:hAnsi="ZWAdobeF" w:cs="ZWAdobeF"/>
          <w:color w:val="auto"/>
          <w:sz w:val="2"/>
          <w:szCs w:val="2"/>
        </w:rPr>
        <w:t>159F</w:t>
      </w:r>
      <w:r w:rsidR="00B763FB">
        <w:rPr>
          <w:rStyle w:val="FootnoteReference"/>
        </w:rPr>
        <w:footnoteReference w:id="161"/>
      </w:r>
      <w:r w:rsidR="00B763FB">
        <w:t xml:space="preserve"> This would engage the court in reviewing the merits of the case at an early stage and this might require a significant amount of evidence to be filed in support of a certification application. </w:t>
      </w:r>
    </w:p>
    <w:p w14:paraId="0FB13FBA" w14:textId="424637E2" w:rsidR="00B763FB" w:rsidRDefault="00BD5C95" w:rsidP="00932DB9">
      <w:pPr>
        <w:pStyle w:val="BodyTextnonum"/>
        <w:numPr>
          <w:ilvl w:val="3"/>
          <w:numId w:val="14"/>
        </w:numPr>
      </w:pPr>
      <w:r>
        <w:rPr>
          <w:rFonts w:ascii="ZWAdobeF" w:hAnsi="ZWAdobeF" w:cs="ZWAdobeF"/>
          <w:color w:val="auto"/>
          <w:sz w:val="2"/>
          <w:szCs w:val="2"/>
        </w:rPr>
        <w:t>631B</w:t>
      </w:r>
      <w:r w:rsidR="0049638A">
        <w:rPr>
          <w:rFonts w:ascii="ZWAdobeF" w:hAnsi="ZWAdobeF" w:cs="ZWAdobeF"/>
          <w:color w:val="auto"/>
          <w:sz w:val="2"/>
          <w:szCs w:val="2"/>
        </w:rPr>
        <w:t>631B</w:t>
      </w:r>
      <w:r w:rsidR="00D629FA">
        <w:rPr>
          <w:rFonts w:ascii="ZWAdobeF" w:hAnsi="ZWAdobeF" w:cs="ZWAdobeF"/>
          <w:color w:val="auto"/>
          <w:sz w:val="2"/>
          <w:szCs w:val="2"/>
        </w:rPr>
        <w:t>631B</w:t>
      </w:r>
      <w:r w:rsidR="00B763FB">
        <w:t>Another option is the Canadian approach, where the certification test includes a requirement that the pleadings disclose a cause of action.</w:t>
      </w:r>
      <w:r w:rsidR="00D629FA">
        <w:rPr>
          <w:rFonts w:ascii="ZWAdobeF" w:hAnsi="ZWAdobeF" w:cs="ZWAdobeF"/>
          <w:color w:val="auto"/>
          <w:sz w:val="2"/>
          <w:szCs w:val="2"/>
        </w:rPr>
        <w:t>160F</w:t>
      </w:r>
      <w:r w:rsidR="0049638A">
        <w:rPr>
          <w:rFonts w:ascii="ZWAdobeF" w:hAnsi="ZWAdobeF" w:cs="ZWAdobeF"/>
          <w:color w:val="auto"/>
          <w:sz w:val="2"/>
          <w:szCs w:val="2"/>
        </w:rPr>
        <w:t>160F</w:t>
      </w:r>
      <w:r w:rsidR="000D4978">
        <w:rPr>
          <w:rFonts w:ascii="ZWAdobeF" w:hAnsi="ZWAdobeF" w:cs="ZWAdobeF"/>
          <w:color w:val="auto"/>
          <w:sz w:val="2"/>
          <w:szCs w:val="2"/>
        </w:rPr>
        <w:t>160F</w:t>
      </w:r>
      <w:r w:rsidR="00B763FB">
        <w:rPr>
          <w:rStyle w:val="FootnoteReference"/>
        </w:rPr>
        <w:footnoteReference w:id="162"/>
      </w:r>
      <w:r w:rsidR="00B763FB">
        <w:t xml:space="preserve"> This is not a preliminary review of the merits and it is assessed on the same standard of proof as a “motion to dismiss” (strike out application).</w:t>
      </w:r>
      <w:r w:rsidR="00D629FA">
        <w:rPr>
          <w:rFonts w:ascii="ZWAdobeF" w:hAnsi="ZWAdobeF" w:cs="ZWAdobeF"/>
          <w:color w:val="auto"/>
          <w:sz w:val="2"/>
          <w:szCs w:val="2"/>
        </w:rPr>
        <w:t>161F</w:t>
      </w:r>
      <w:r w:rsidR="0049638A">
        <w:rPr>
          <w:rFonts w:ascii="ZWAdobeF" w:hAnsi="ZWAdobeF" w:cs="ZWAdobeF"/>
          <w:color w:val="auto"/>
          <w:sz w:val="2"/>
          <w:szCs w:val="2"/>
        </w:rPr>
        <w:t>161F</w:t>
      </w:r>
      <w:r w:rsidR="000D4978">
        <w:rPr>
          <w:rFonts w:ascii="ZWAdobeF" w:hAnsi="ZWAdobeF" w:cs="ZWAdobeF"/>
          <w:color w:val="auto"/>
          <w:sz w:val="2"/>
          <w:szCs w:val="2"/>
        </w:rPr>
        <w:t>161F</w:t>
      </w:r>
      <w:r w:rsidR="00B763FB">
        <w:rPr>
          <w:rStyle w:val="FootnoteReference"/>
        </w:rPr>
        <w:footnoteReference w:id="163"/>
      </w:r>
      <w:r w:rsidR="00B763FB" w:rsidRPr="00D711F5">
        <w:t xml:space="preserve"> </w:t>
      </w:r>
      <w:r w:rsidR="00B763FB">
        <w:t>The Court of Appeal has indicated that the “provisional appraisal of the merits” test under HCR 4.24 is consistent with the Canadian approach.</w:t>
      </w:r>
      <w:r w:rsidR="00D629FA">
        <w:rPr>
          <w:rFonts w:ascii="ZWAdobeF" w:hAnsi="ZWAdobeF" w:cs="ZWAdobeF"/>
          <w:color w:val="auto"/>
          <w:sz w:val="2"/>
          <w:szCs w:val="2"/>
        </w:rPr>
        <w:t>162F</w:t>
      </w:r>
      <w:r w:rsidR="0049638A">
        <w:rPr>
          <w:rFonts w:ascii="ZWAdobeF" w:hAnsi="ZWAdobeF" w:cs="ZWAdobeF"/>
          <w:color w:val="auto"/>
          <w:sz w:val="2"/>
          <w:szCs w:val="2"/>
        </w:rPr>
        <w:t>162F</w:t>
      </w:r>
      <w:r w:rsidR="000D4978">
        <w:rPr>
          <w:rFonts w:ascii="ZWAdobeF" w:hAnsi="ZWAdobeF" w:cs="ZWAdobeF"/>
          <w:color w:val="auto"/>
          <w:sz w:val="2"/>
          <w:szCs w:val="2"/>
        </w:rPr>
        <w:t>162F</w:t>
      </w:r>
      <w:r w:rsidR="00B763FB">
        <w:rPr>
          <w:rStyle w:val="FootnoteReference"/>
        </w:rPr>
        <w:footnoteReference w:id="164"/>
      </w:r>
      <w:r w:rsidR="00B763FB">
        <w:t xml:space="preserve"> </w:t>
      </w:r>
    </w:p>
    <w:p w14:paraId="1DE6833C" w14:textId="1ADAA54E" w:rsidR="00B763FB" w:rsidRDefault="00BD5C95" w:rsidP="00932DB9">
      <w:pPr>
        <w:pStyle w:val="BodyTextnonum"/>
        <w:numPr>
          <w:ilvl w:val="3"/>
          <w:numId w:val="14"/>
        </w:numPr>
      </w:pPr>
      <w:r>
        <w:rPr>
          <w:rFonts w:ascii="ZWAdobeF" w:hAnsi="ZWAdobeF" w:cs="ZWAdobeF"/>
          <w:color w:val="auto"/>
          <w:sz w:val="2"/>
          <w:szCs w:val="2"/>
        </w:rPr>
        <w:t>632B</w:t>
      </w:r>
      <w:r w:rsidR="0049638A">
        <w:rPr>
          <w:rFonts w:ascii="ZWAdobeF" w:hAnsi="ZWAdobeF" w:cs="ZWAdobeF"/>
          <w:color w:val="auto"/>
          <w:sz w:val="2"/>
          <w:szCs w:val="2"/>
        </w:rPr>
        <w:t>632B</w:t>
      </w:r>
      <w:r w:rsidR="00D629FA">
        <w:rPr>
          <w:rFonts w:ascii="ZWAdobeF" w:hAnsi="ZWAdobeF" w:cs="ZWAdobeF"/>
          <w:color w:val="auto"/>
          <w:sz w:val="2"/>
          <w:szCs w:val="2"/>
        </w:rPr>
        <w:t>632B</w:t>
      </w:r>
      <w:r w:rsidR="00B763FB">
        <w:t>Finally, meritless class actions could be managed with existing mechanisms in the High Court Rules. If a plaintiff files a class action proceeding that is clearly an abuse of process, then the court can strike this out prior to service.</w:t>
      </w:r>
      <w:r w:rsidR="00D629FA">
        <w:rPr>
          <w:rFonts w:ascii="ZWAdobeF" w:hAnsi="ZWAdobeF" w:cs="ZWAdobeF"/>
          <w:color w:val="auto"/>
          <w:sz w:val="2"/>
          <w:szCs w:val="2"/>
        </w:rPr>
        <w:t>163F</w:t>
      </w:r>
      <w:r w:rsidR="0049638A">
        <w:rPr>
          <w:rFonts w:ascii="ZWAdobeF" w:hAnsi="ZWAdobeF" w:cs="ZWAdobeF"/>
          <w:color w:val="auto"/>
          <w:sz w:val="2"/>
          <w:szCs w:val="2"/>
        </w:rPr>
        <w:t>163F</w:t>
      </w:r>
      <w:r w:rsidR="000D4978">
        <w:rPr>
          <w:rFonts w:ascii="ZWAdobeF" w:hAnsi="ZWAdobeF" w:cs="ZWAdobeF"/>
          <w:color w:val="auto"/>
          <w:sz w:val="2"/>
          <w:szCs w:val="2"/>
        </w:rPr>
        <w:t>163F</w:t>
      </w:r>
      <w:r w:rsidR="00B763FB">
        <w:rPr>
          <w:rStyle w:val="FootnoteReference"/>
        </w:rPr>
        <w:footnoteReference w:id="165"/>
      </w:r>
      <w:r w:rsidR="00B763FB">
        <w:t xml:space="preserve"> If it appears that a claim may not disclose a reasonably arguable cause of action, then a defendant could file an application for strike-out or summary judgment. </w:t>
      </w:r>
    </w:p>
    <w:p w14:paraId="2F456545" w14:textId="3266B0FF" w:rsidR="00B763FB" w:rsidRDefault="00BD5C95" w:rsidP="009B4731">
      <w:pPr>
        <w:pStyle w:val="BodyText"/>
      </w:pPr>
      <w:r>
        <w:rPr>
          <w:rFonts w:ascii="ZWAdobeF" w:hAnsi="ZWAdobeF" w:cs="ZWAdobeF"/>
          <w:color w:val="auto"/>
          <w:sz w:val="2"/>
          <w:szCs w:val="2"/>
        </w:rPr>
        <w:t>73B</w:t>
      </w:r>
      <w:r w:rsidR="0049638A">
        <w:rPr>
          <w:rFonts w:ascii="ZWAdobeF" w:hAnsi="ZWAdobeF" w:cs="ZWAdobeF"/>
          <w:color w:val="auto"/>
          <w:sz w:val="2"/>
          <w:szCs w:val="2"/>
        </w:rPr>
        <w:t>73B</w:t>
      </w:r>
      <w:r w:rsidR="00D629FA">
        <w:rPr>
          <w:rFonts w:ascii="ZWAdobeF" w:hAnsi="ZWAdobeF" w:cs="ZWAdobeF"/>
          <w:color w:val="auto"/>
          <w:sz w:val="2"/>
          <w:szCs w:val="2"/>
        </w:rPr>
        <w:t>73B</w:t>
      </w:r>
      <w:r w:rsidR="00B763FB">
        <w:t xml:space="preserve">On balance, we prefer </w:t>
      </w:r>
      <w:r w:rsidR="00DB1504">
        <w:t xml:space="preserve">an option similar to </w:t>
      </w:r>
      <w:r w:rsidR="00B763FB">
        <w:t>(b) and propose the court must be satisfied</w:t>
      </w:r>
      <w:r w:rsidR="00E0078C">
        <w:t>, as part of the certification test, that</w:t>
      </w:r>
      <w:r w:rsidR="00B763FB">
        <w:t xml:space="preserve"> the statement of claim discloses a reasonably arguable cause of action.</w:t>
      </w:r>
      <w:r w:rsidR="00D629FA">
        <w:rPr>
          <w:rFonts w:ascii="ZWAdobeF" w:hAnsi="ZWAdobeF" w:cs="ZWAdobeF"/>
          <w:color w:val="auto"/>
          <w:sz w:val="2"/>
          <w:szCs w:val="2"/>
        </w:rPr>
        <w:t>164F</w:t>
      </w:r>
      <w:r w:rsidR="0049638A">
        <w:rPr>
          <w:rFonts w:ascii="ZWAdobeF" w:hAnsi="ZWAdobeF" w:cs="ZWAdobeF"/>
          <w:color w:val="auto"/>
          <w:sz w:val="2"/>
          <w:szCs w:val="2"/>
        </w:rPr>
        <w:t>164F</w:t>
      </w:r>
      <w:r w:rsidR="000D4978">
        <w:rPr>
          <w:rFonts w:ascii="ZWAdobeF" w:hAnsi="ZWAdobeF" w:cs="ZWAdobeF"/>
          <w:color w:val="auto"/>
          <w:sz w:val="2"/>
          <w:szCs w:val="2"/>
        </w:rPr>
        <w:t>164F</w:t>
      </w:r>
      <w:r w:rsidR="00B763FB">
        <w:rPr>
          <w:rStyle w:val="FootnoteReference"/>
        </w:rPr>
        <w:footnoteReference w:id="166"/>
      </w:r>
      <w:r w:rsidR="00B763FB">
        <w:t xml:space="preserve"> As the Court of Appeal said in a case under HCR 4.24</w:t>
      </w:r>
      <w:r w:rsidR="00B763FB" w:rsidRPr="000431F5">
        <w:rPr>
          <w:i/>
          <w:iCs/>
        </w:rPr>
        <w:t xml:space="preserve">, </w:t>
      </w:r>
      <w:r w:rsidR="00B763FB">
        <w:t xml:space="preserve">“…the Court cannot grant leave to the bringing of plainly meritless claims, and so allow those </w:t>
      </w:r>
      <w:r w:rsidR="00B763FB">
        <w:lastRenderedPageBreak/>
        <w:t>propounding the claim to invite others to join the group represented</w:t>
      </w:r>
      <w:r w:rsidR="000A6BBD">
        <w:t>”.</w:t>
      </w:r>
      <w:r w:rsidR="00D629FA">
        <w:rPr>
          <w:rFonts w:ascii="ZWAdobeF" w:hAnsi="ZWAdobeF" w:cs="ZWAdobeF"/>
          <w:color w:val="auto"/>
          <w:sz w:val="2"/>
          <w:szCs w:val="2"/>
        </w:rPr>
        <w:t>165F</w:t>
      </w:r>
      <w:r w:rsidR="0049638A">
        <w:rPr>
          <w:rFonts w:ascii="ZWAdobeF" w:hAnsi="ZWAdobeF" w:cs="ZWAdobeF"/>
          <w:color w:val="auto"/>
          <w:sz w:val="2"/>
          <w:szCs w:val="2"/>
        </w:rPr>
        <w:t>165F</w:t>
      </w:r>
      <w:r w:rsidR="000D4978">
        <w:rPr>
          <w:rFonts w:ascii="ZWAdobeF" w:hAnsi="ZWAdobeF" w:cs="ZWAdobeF"/>
          <w:color w:val="auto"/>
          <w:sz w:val="2"/>
          <w:szCs w:val="2"/>
        </w:rPr>
        <w:t>165F</w:t>
      </w:r>
      <w:r w:rsidR="00B763FB">
        <w:rPr>
          <w:rStyle w:val="FootnoteReference"/>
        </w:rPr>
        <w:footnoteReference w:id="167"/>
      </w:r>
      <w:r w:rsidR="00B763FB">
        <w:t xml:space="preserve"> We think it would be anomalous for the court to consider whether the class action would be an appropriate procedure for resolving class member clams, while being unable to consider whether there is a reasonably arguable cause of action as part of certification.</w:t>
      </w:r>
      <w:r w:rsidR="00B763FB" w:rsidDel="00FE6EF2">
        <w:t xml:space="preserve"> </w:t>
      </w:r>
      <w:r w:rsidR="00B763FB">
        <w:t xml:space="preserve">Nor do we think it would be in the interests of class members, the parties or the court to certify a class action which cannot possibly succeed. </w:t>
      </w:r>
    </w:p>
    <w:p w14:paraId="144AE50E" w14:textId="43263F4B" w:rsidR="00B763FB" w:rsidRPr="00912F4E" w:rsidRDefault="00BD5C95" w:rsidP="002E35AF">
      <w:pPr>
        <w:pStyle w:val="BodyText"/>
      </w:pPr>
      <w:r>
        <w:rPr>
          <w:rFonts w:ascii="ZWAdobeF" w:hAnsi="ZWAdobeF" w:cs="ZWAdobeF"/>
          <w:color w:val="auto"/>
          <w:sz w:val="2"/>
          <w:szCs w:val="2"/>
        </w:rPr>
        <w:t>74B</w:t>
      </w:r>
      <w:r w:rsidR="0049638A">
        <w:rPr>
          <w:rFonts w:ascii="ZWAdobeF" w:hAnsi="ZWAdobeF" w:cs="ZWAdobeF"/>
          <w:color w:val="auto"/>
          <w:sz w:val="2"/>
          <w:szCs w:val="2"/>
        </w:rPr>
        <w:t>74B</w:t>
      </w:r>
      <w:r w:rsidR="00D629FA">
        <w:rPr>
          <w:rFonts w:ascii="ZWAdobeF" w:hAnsi="ZWAdobeF" w:cs="ZWAdobeF"/>
          <w:color w:val="auto"/>
          <w:sz w:val="2"/>
          <w:szCs w:val="2"/>
        </w:rPr>
        <w:t>74B</w:t>
      </w:r>
      <w:r w:rsidR="00B763FB" w:rsidRPr="00912F4E">
        <w:t xml:space="preserve">We have deliberately used the language that applies to a strike-out application and consider that the same </w:t>
      </w:r>
      <w:r w:rsidR="00B763FB">
        <w:t>test</w:t>
      </w:r>
      <w:r w:rsidR="00B763FB" w:rsidRPr="00912F4E">
        <w:t xml:space="preserve"> should apply. </w:t>
      </w:r>
      <w:r w:rsidR="00B763FB">
        <w:t>That is,</w:t>
      </w:r>
      <w:r w:rsidR="00B763FB" w:rsidRPr="00912F4E">
        <w:t xml:space="preserve"> a court would only find this </w:t>
      </w:r>
      <w:r w:rsidR="00B763FB">
        <w:t>requirement</w:t>
      </w:r>
      <w:r w:rsidR="00B763FB" w:rsidRPr="00912F4E">
        <w:t xml:space="preserve"> of the certification test </w:t>
      </w:r>
      <w:r w:rsidR="00B763FB">
        <w:t>is</w:t>
      </w:r>
      <w:r w:rsidR="00B763FB" w:rsidRPr="00912F4E">
        <w:t xml:space="preserve"> not met </w:t>
      </w:r>
      <w:r w:rsidR="00B763FB">
        <w:t>where all</w:t>
      </w:r>
      <w:r w:rsidR="00B763FB" w:rsidRPr="00912F4E">
        <w:t xml:space="preserve"> of the causes of action </w:t>
      </w:r>
      <w:r w:rsidR="00B763FB">
        <w:t>are “so clearly untenable that they cannot possibly</w:t>
      </w:r>
      <w:r w:rsidR="00B763FB" w:rsidRPr="00912F4E">
        <w:t xml:space="preserve"> succeed</w:t>
      </w:r>
      <w:r w:rsidR="000A6BBD">
        <w:t>”.</w:t>
      </w:r>
      <w:r w:rsidR="00D629FA">
        <w:rPr>
          <w:rFonts w:ascii="ZWAdobeF" w:hAnsi="ZWAdobeF" w:cs="ZWAdobeF"/>
          <w:color w:val="auto"/>
          <w:sz w:val="2"/>
          <w:szCs w:val="2"/>
        </w:rPr>
        <w:t>166F</w:t>
      </w:r>
      <w:r w:rsidR="0049638A">
        <w:rPr>
          <w:rFonts w:ascii="ZWAdobeF" w:hAnsi="ZWAdobeF" w:cs="ZWAdobeF"/>
          <w:color w:val="auto"/>
          <w:sz w:val="2"/>
          <w:szCs w:val="2"/>
        </w:rPr>
        <w:t>166F</w:t>
      </w:r>
      <w:r w:rsidR="000D4978">
        <w:rPr>
          <w:rFonts w:ascii="ZWAdobeF" w:hAnsi="ZWAdobeF" w:cs="ZWAdobeF"/>
          <w:color w:val="auto"/>
          <w:sz w:val="2"/>
          <w:szCs w:val="2"/>
        </w:rPr>
        <w:t>166F</w:t>
      </w:r>
      <w:r w:rsidR="00B763FB" w:rsidRPr="00912F4E">
        <w:rPr>
          <w:rStyle w:val="FootnoteReference"/>
        </w:rPr>
        <w:footnoteReference w:id="168"/>
      </w:r>
      <w:r w:rsidR="00B763FB" w:rsidRPr="00912F4E">
        <w:t xml:space="preserve"> We also envisage the court’s assessment would proceed on the basis that the pleaded facts are true.</w:t>
      </w:r>
      <w:r w:rsidR="00D629FA">
        <w:rPr>
          <w:rFonts w:ascii="ZWAdobeF" w:hAnsi="ZWAdobeF" w:cs="ZWAdobeF"/>
          <w:color w:val="auto"/>
          <w:sz w:val="2"/>
          <w:szCs w:val="2"/>
        </w:rPr>
        <w:t>167F</w:t>
      </w:r>
      <w:r w:rsidR="0049638A">
        <w:rPr>
          <w:rFonts w:ascii="ZWAdobeF" w:hAnsi="ZWAdobeF" w:cs="ZWAdobeF"/>
          <w:color w:val="auto"/>
          <w:sz w:val="2"/>
          <w:szCs w:val="2"/>
        </w:rPr>
        <w:t>167F</w:t>
      </w:r>
      <w:r w:rsidR="000D4978">
        <w:rPr>
          <w:rFonts w:ascii="ZWAdobeF" w:hAnsi="ZWAdobeF" w:cs="ZWAdobeF"/>
          <w:color w:val="auto"/>
          <w:sz w:val="2"/>
          <w:szCs w:val="2"/>
        </w:rPr>
        <w:t>167F</w:t>
      </w:r>
      <w:r w:rsidR="00B763FB">
        <w:rPr>
          <w:rStyle w:val="FootnoteReference"/>
        </w:rPr>
        <w:footnoteReference w:id="169"/>
      </w:r>
    </w:p>
    <w:p w14:paraId="18420D86" w14:textId="4D7F7837" w:rsidR="00B763FB" w:rsidRDefault="00BD5C95" w:rsidP="002E35AF">
      <w:pPr>
        <w:pStyle w:val="BodyText"/>
      </w:pPr>
      <w:r>
        <w:rPr>
          <w:rFonts w:ascii="ZWAdobeF" w:hAnsi="ZWAdobeF" w:cs="ZWAdobeF"/>
          <w:color w:val="auto"/>
          <w:sz w:val="2"/>
          <w:szCs w:val="2"/>
        </w:rPr>
        <w:t>75B</w:t>
      </w:r>
      <w:r w:rsidR="0049638A">
        <w:rPr>
          <w:rFonts w:ascii="ZWAdobeF" w:hAnsi="ZWAdobeF" w:cs="ZWAdobeF"/>
          <w:color w:val="auto"/>
          <w:sz w:val="2"/>
          <w:szCs w:val="2"/>
        </w:rPr>
        <w:t>75B</w:t>
      </w:r>
      <w:r w:rsidR="00D629FA">
        <w:rPr>
          <w:rFonts w:ascii="ZWAdobeF" w:hAnsi="ZWAdobeF" w:cs="ZWAdobeF"/>
          <w:color w:val="auto"/>
          <w:sz w:val="2"/>
          <w:szCs w:val="2"/>
        </w:rPr>
        <w:t>75B</w:t>
      </w:r>
      <w:r w:rsidR="00B763FB">
        <w:t xml:space="preserve">We </w:t>
      </w:r>
      <w:r w:rsidR="00B763FB" w:rsidRPr="002E35AF">
        <w:t>prefer</w:t>
      </w:r>
      <w:r w:rsidR="00B763FB">
        <w:t xml:space="preserve"> this approach to a preliminary merits test. We do not think the court should be assessing the prospects of the plaintiff’s case at an early stage without the plaintiff having the benefit of obtaining information from the defendant through discovery and being able to present its case fully. There is also risk of every certification hearing turning into a ‘mini-trial’, with a plaintiff having to bring evidence to show the claim has sufficient prospects of success, causing considerable delay and expense.  </w:t>
      </w:r>
    </w:p>
    <w:p w14:paraId="390D9370" w14:textId="05BD62AF" w:rsidR="00B763FB" w:rsidRDefault="00BD5C95" w:rsidP="00932DB9">
      <w:pPr>
        <w:pStyle w:val="BodyText"/>
        <w:tabs>
          <w:tab w:val="num" w:pos="1134"/>
        </w:tabs>
      </w:pPr>
      <w:r>
        <w:rPr>
          <w:rFonts w:ascii="ZWAdobeF" w:hAnsi="ZWAdobeF" w:cs="ZWAdobeF"/>
          <w:color w:val="auto"/>
          <w:sz w:val="2"/>
          <w:szCs w:val="2"/>
        </w:rPr>
        <w:t>76B</w:t>
      </w:r>
      <w:r w:rsidR="0049638A">
        <w:rPr>
          <w:rFonts w:ascii="ZWAdobeF" w:hAnsi="ZWAdobeF" w:cs="ZWAdobeF"/>
          <w:color w:val="auto"/>
          <w:sz w:val="2"/>
          <w:szCs w:val="2"/>
        </w:rPr>
        <w:t>76B</w:t>
      </w:r>
      <w:r w:rsidR="00D629FA">
        <w:rPr>
          <w:rFonts w:ascii="ZWAdobeF" w:hAnsi="ZWAdobeF" w:cs="ZWAdobeF"/>
          <w:color w:val="auto"/>
          <w:sz w:val="2"/>
          <w:szCs w:val="2"/>
        </w:rPr>
        <w:t>76B</w:t>
      </w:r>
      <w:r w:rsidR="00B763FB">
        <w:t xml:space="preserve">We acknowledge that our proposal reverses the usual approach where a defendant must file an application to strike out a statement of claim that does not raise a reasonably arguable cause of action. However, we think this is justified given that a class action with no reasonably arguable cause of action will place a much greater burden on the court and the defendant than an ordinary case.   </w:t>
      </w:r>
    </w:p>
    <w:p w14:paraId="58DE0DA5" w14:textId="77777777" w:rsidR="00B763FB" w:rsidRDefault="00B763FB" w:rsidP="0016640A">
      <w:pPr>
        <w:pStyle w:val="Heading4"/>
      </w:pPr>
      <w:r>
        <w:t>Cost-benefit assessment</w:t>
      </w:r>
    </w:p>
    <w:p w14:paraId="59BE6A9A" w14:textId="7F06B5AA" w:rsidR="00B763FB" w:rsidRDefault="00BD5C95" w:rsidP="00932E49">
      <w:pPr>
        <w:pStyle w:val="BodyText"/>
        <w:tabs>
          <w:tab w:val="num" w:pos="1134"/>
        </w:tabs>
      </w:pPr>
      <w:r>
        <w:rPr>
          <w:rFonts w:ascii="ZWAdobeF" w:hAnsi="ZWAdobeF" w:cs="ZWAdobeF"/>
          <w:color w:val="auto"/>
          <w:sz w:val="2"/>
          <w:szCs w:val="2"/>
        </w:rPr>
        <w:t>77B</w:t>
      </w:r>
      <w:r w:rsidR="0049638A">
        <w:rPr>
          <w:rFonts w:ascii="ZWAdobeF" w:hAnsi="ZWAdobeF" w:cs="ZWAdobeF"/>
          <w:color w:val="auto"/>
          <w:sz w:val="2"/>
          <w:szCs w:val="2"/>
        </w:rPr>
        <w:t>77B</w:t>
      </w:r>
      <w:r w:rsidR="00D629FA">
        <w:rPr>
          <w:rFonts w:ascii="ZWAdobeF" w:hAnsi="ZWAdobeF" w:cs="ZWAdobeF"/>
          <w:color w:val="auto"/>
          <w:sz w:val="2"/>
          <w:szCs w:val="2"/>
        </w:rPr>
        <w:t>77B</w:t>
      </w:r>
      <w:r w:rsidR="00B763FB">
        <w:t>There were six submitters who supported a cost-benefit or proportionality assessment.</w:t>
      </w:r>
      <w:r w:rsidR="00D629FA">
        <w:rPr>
          <w:rFonts w:ascii="ZWAdobeF" w:hAnsi="ZWAdobeF" w:cs="ZWAdobeF"/>
          <w:color w:val="auto"/>
          <w:sz w:val="2"/>
          <w:szCs w:val="2"/>
        </w:rPr>
        <w:t>168F</w:t>
      </w:r>
      <w:r w:rsidR="0049638A">
        <w:rPr>
          <w:rFonts w:ascii="ZWAdobeF" w:hAnsi="ZWAdobeF" w:cs="ZWAdobeF"/>
          <w:color w:val="auto"/>
          <w:sz w:val="2"/>
          <w:szCs w:val="2"/>
        </w:rPr>
        <w:t>168F</w:t>
      </w:r>
      <w:r w:rsidR="000D4978">
        <w:rPr>
          <w:rFonts w:ascii="ZWAdobeF" w:hAnsi="ZWAdobeF" w:cs="ZWAdobeF"/>
          <w:color w:val="auto"/>
          <w:sz w:val="2"/>
          <w:szCs w:val="2"/>
        </w:rPr>
        <w:t>168F</w:t>
      </w:r>
      <w:r w:rsidR="00B763FB">
        <w:rPr>
          <w:rStyle w:val="FootnoteReference"/>
        </w:rPr>
        <w:footnoteReference w:id="170"/>
      </w:r>
      <w:r w:rsidR="00B763FB">
        <w:t xml:space="preserve"> Some submitters supported a relatively general proportionality assessment, while others supported a more specific test (such as whether the cost of identifying class members and distributing payments would be disproportionate). Several submitters expressed some reservations about having a cost-benefit assessment.</w:t>
      </w:r>
      <w:r w:rsidR="00D629FA">
        <w:rPr>
          <w:rFonts w:ascii="ZWAdobeF" w:hAnsi="ZWAdobeF" w:cs="ZWAdobeF"/>
          <w:color w:val="auto"/>
          <w:sz w:val="2"/>
          <w:szCs w:val="2"/>
        </w:rPr>
        <w:t>169F</w:t>
      </w:r>
      <w:r w:rsidR="0049638A">
        <w:rPr>
          <w:rFonts w:ascii="ZWAdobeF" w:hAnsi="ZWAdobeF" w:cs="ZWAdobeF"/>
          <w:color w:val="auto"/>
          <w:sz w:val="2"/>
          <w:szCs w:val="2"/>
        </w:rPr>
        <w:t>169F</w:t>
      </w:r>
      <w:r w:rsidR="000D4978">
        <w:rPr>
          <w:rFonts w:ascii="ZWAdobeF" w:hAnsi="ZWAdobeF" w:cs="ZWAdobeF"/>
          <w:color w:val="auto"/>
          <w:sz w:val="2"/>
          <w:szCs w:val="2"/>
        </w:rPr>
        <w:t>169F</w:t>
      </w:r>
      <w:r w:rsidR="00B763FB">
        <w:rPr>
          <w:rStyle w:val="FootnoteReference"/>
        </w:rPr>
        <w:footnoteReference w:id="171"/>
      </w:r>
      <w:r w:rsidR="00B763FB">
        <w:t xml:space="preserve"> For example, ensuring that important class action safeguards were not abandoned in the interests of proportionality</w:t>
      </w:r>
      <w:r w:rsidR="00657DE6">
        <w:t>.</w:t>
      </w:r>
    </w:p>
    <w:p w14:paraId="790C72DA" w14:textId="6B4E46EF" w:rsidR="00B763FB" w:rsidRDefault="00BD5C95" w:rsidP="00932E49">
      <w:pPr>
        <w:pStyle w:val="BodyText"/>
        <w:tabs>
          <w:tab w:val="num" w:pos="1134"/>
        </w:tabs>
      </w:pPr>
      <w:r>
        <w:rPr>
          <w:rFonts w:ascii="ZWAdobeF" w:hAnsi="ZWAdobeF" w:cs="ZWAdobeF"/>
          <w:color w:val="auto"/>
          <w:sz w:val="2"/>
          <w:szCs w:val="2"/>
        </w:rPr>
        <w:t>78B</w:t>
      </w:r>
      <w:r w:rsidR="0049638A">
        <w:rPr>
          <w:rFonts w:ascii="ZWAdobeF" w:hAnsi="ZWAdobeF" w:cs="ZWAdobeF"/>
          <w:color w:val="auto"/>
          <w:sz w:val="2"/>
          <w:szCs w:val="2"/>
        </w:rPr>
        <w:t>78B</w:t>
      </w:r>
      <w:r w:rsidR="00D629FA">
        <w:rPr>
          <w:rFonts w:ascii="ZWAdobeF" w:hAnsi="ZWAdobeF" w:cs="ZWAdobeF"/>
          <w:color w:val="auto"/>
          <w:sz w:val="2"/>
          <w:szCs w:val="2"/>
        </w:rPr>
        <w:t>78B</w:t>
      </w:r>
      <w:r w:rsidR="00B763FB">
        <w:t xml:space="preserve">Our draft certification provision </w:t>
      </w:r>
      <w:r w:rsidR="00657DE6">
        <w:t xml:space="preserve">would </w:t>
      </w:r>
      <w:r w:rsidR="00B8607F">
        <w:t xml:space="preserve">enable </w:t>
      </w:r>
      <w:r w:rsidR="00B763FB">
        <w:t>the court to consider whether the time and expense of a class action is proportionate to the remedies sought when assessing whether a class action is an appropriate procedure.</w:t>
      </w:r>
      <w:r w:rsidR="00D629FA">
        <w:rPr>
          <w:rFonts w:ascii="ZWAdobeF" w:hAnsi="ZWAdobeF" w:cs="ZWAdobeF"/>
          <w:color w:val="auto"/>
          <w:sz w:val="2"/>
          <w:szCs w:val="2"/>
        </w:rPr>
        <w:t>170F</w:t>
      </w:r>
      <w:r w:rsidR="0049638A">
        <w:rPr>
          <w:rFonts w:ascii="ZWAdobeF" w:hAnsi="ZWAdobeF" w:cs="ZWAdobeF"/>
          <w:color w:val="auto"/>
          <w:sz w:val="2"/>
          <w:szCs w:val="2"/>
        </w:rPr>
        <w:t>170F</w:t>
      </w:r>
      <w:r w:rsidR="000D4978">
        <w:rPr>
          <w:rFonts w:ascii="ZWAdobeF" w:hAnsi="ZWAdobeF" w:cs="ZWAdobeF"/>
          <w:color w:val="auto"/>
          <w:sz w:val="2"/>
          <w:szCs w:val="2"/>
        </w:rPr>
        <w:t>170F</w:t>
      </w:r>
      <w:r w:rsidR="00B763FB">
        <w:rPr>
          <w:rStyle w:val="FootnoteReference"/>
        </w:rPr>
        <w:footnoteReference w:id="172"/>
      </w:r>
      <w:r w:rsidR="00B763FB">
        <w:t xml:space="preserve"> We think this is consistent with the objectives of improving access to justice and manag</w:t>
      </w:r>
      <w:r w:rsidR="009A0199">
        <w:t>ing</w:t>
      </w:r>
      <w:r w:rsidR="00B763FB">
        <w:t xml:space="preserve"> multiple claims in an efficient way. As discussed in our Issues Paper, the concept of access to justice is broader than simply </w:t>
      </w:r>
      <w:r w:rsidR="00B763FB">
        <w:lastRenderedPageBreak/>
        <w:t>access to the courts and includes a substantively fair result (which in a class action, may include the amount of compensation class members receive).</w:t>
      </w:r>
      <w:r w:rsidR="00D629FA">
        <w:rPr>
          <w:rFonts w:ascii="ZWAdobeF" w:hAnsi="ZWAdobeF" w:cs="ZWAdobeF"/>
          <w:color w:val="auto"/>
          <w:sz w:val="2"/>
          <w:szCs w:val="2"/>
        </w:rPr>
        <w:t>171F</w:t>
      </w:r>
      <w:r w:rsidR="0049638A">
        <w:rPr>
          <w:rFonts w:ascii="ZWAdobeF" w:hAnsi="ZWAdobeF" w:cs="ZWAdobeF"/>
          <w:color w:val="auto"/>
          <w:sz w:val="2"/>
          <w:szCs w:val="2"/>
        </w:rPr>
        <w:t>171F</w:t>
      </w:r>
      <w:r w:rsidR="000D4978">
        <w:rPr>
          <w:rFonts w:ascii="ZWAdobeF" w:hAnsi="ZWAdobeF" w:cs="ZWAdobeF"/>
          <w:color w:val="auto"/>
          <w:sz w:val="2"/>
          <w:szCs w:val="2"/>
        </w:rPr>
        <w:t>171F</w:t>
      </w:r>
      <w:r w:rsidR="00B763FB">
        <w:rPr>
          <w:rStyle w:val="FootnoteReference"/>
        </w:rPr>
        <w:footnoteReference w:id="173"/>
      </w:r>
      <w:r w:rsidR="00B763FB">
        <w:t xml:space="preserve"> In a case where the amount sought by each claimant is modest and the costs of bringing the class action and distributing any award to class members would be high, a class action may not facilitate substantive access to justice for those class members. </w:t>
      </w:r>
    </w:p>
    <w:p w14:paraId="6D9F1E63" w14:textId="7C54FF7F" w:rsidR="00B763FB" w:rsidRDefault="00BD5C95" w:rsidP="00932E49">
      <w:pPr>
        <w:pStyle w:val="BodyText"/>
        <w:tabs>
          <w:tab w:val="num" w:pos="1134"/>
        </w:tabs>
      </w:pPr>
      <w:r>
        <w:rPr>
          <w:rFonts w:ascii="ZWAdobeF" w:hAnsi="ZWAdobeF" w:cs="ZWAdobeF"/>
          <w:color w:val="auto"/>
          <w:sz w:val="2"/>
          <w:szCs w:val="2"/>
        </w:rPr>
        <w:t>79B</w:t>
      </w:r>
      <w:r w:rsidR="0049638A">
        <w:rPr>
          <w:rFonts w:ascii="ZWAdobeF" w:hAnsi="ZWAdobeF" w:cs="ZWAdobeF"/>
          <w:color w:val="auto"/>
          <w:sz w:val="2"/>
          <w:szCs w:val="2"/>
        </w:rPr>
        <w:t>79B</w:t>
      </w:r>
      <w:r w:rsidR="00D629FA">
        <w:rPr>
          <w:rFonts w:ascii="ZWAdobeF" w:hAnsi="ZWAdobeF" w:cs="ZWAdobeF"/>
          <w:color w:val="auto"/>
          <w:sz w:val="2"/>
          <w:szCs w:val="2"/>
        </w:rPr>
        <w:t>79B</w:t>
      </w:r>
      <w:r w:rsidR="00B763FB">
        <w:t>We note that the need for proportionality in class action litigation has been recognised in other jurisdictions, given the significant cost such litigation can impose on defendants and the courts.</w:t>
      </w:r>
      <w:r w:rsidR="00D629FA">
        <w:rPr>
          <w:rFonts w:ascii="ZWAdobeF" w:hAnsi="ZWAdobeF" w:cs="ZWAdobeF"/>
          <w:color w:val="auto"/>
          <w:sz w:val="2"/>
          <w:szCs w:val="2"/>
        </w:rPr>
        <w:t>172F</w:t>
      </w:r>
      <w:r w:rsidR="0049638A">
        <w:rPr>
          <w:rFonts w:ascii="ZWAdobeF" w:hAnsi="ZWAdobeF" w:cs="ZWAdobeF"/>
          <w:color w:val="auto"/>
          <w:sz w:val="2"/>
          <w:szCs w:val="2"/>
        </w:rPr>
        <w:t>172F</w:t>
      </w:r>
      <w:r w:rsidR="000D4978">
        <w:rPr>
          <w:rFonts w:ascii="ZWAdobeF" w:hAnsi="ZWAdobeF" w:cs="ZWAdobeF"/>
          <w:color w:val="auto"/>
          <w:sz w:val="2"/>
          <w:szCs w:val="2"/>
        </w:rPr>
        <w:t>172F</w:t>
      </w:r>
      <w:r w:rsidR="00B763FB">
        <w:rPr>
          <w:rStyle w:val="FootnoteReference"/>
        </w:rPr>
        <w:footnoteReference w:id="174"/>
      </w:r>
      <w:r w:rsidR="00B763FB">
        <w:t xml:space="preserve"> The need for proportionality in civil litigation has also been discussed in Aotearoa New Zealand and the Rules Committee has proposed adding the concept of proportionality to the objective of the High Court Rules.</w:t>
      </w:r>
      <w:r w:rsidR="00D629FA">
        <w:rPr>
          <w:rFonts w:ascii="ZWAdobeF" w:hAnsi="ZWAdobeF" w:cs="ZWAdobeF"/>
          <w:color w:val="auto"/>
          <w:sz w:val="2"/>
          <w:szCs w:val="2"/>
        </w:rPr>
        <w:t>173F</w:t>
      </w:r>
      <w:r w:rsidR="0049638A">
        <w:rPr>
          <w:rFonts w:ascii="ZWAdobeF" w:hAnsi="ZWAdobeF" w:cs="ZWAdobeF"/>
          <w:color w:val="auto"/>
          <w:sz w:val="2"/>
          <w:szCs w:val="2"/>
        </w:rPr>
        <w:t>173F</w:t>
      </w:r>
      <w:r w:rsidR="000D4978">
        <w:rPr>
          <w:rFonts w:ascii="ZWAdobeF" w:hAnsi="ZWAdobeF" w:cs="ZWAdobeF"/>
          <w:color w:val="auto"/>
          <w:sz w:val="2"/>
          <w:szCs w:val="2"/>
        </w:rPr>
        <w:t>173F</w:t>
      </w:r>
      <w:r w:rsidR="00B763FB">
        <w:rPr>
          <w:rStyle w:val="FootnoteReference"/>
        </w:rPr>
        <w:footnoteReference w:id="175"/>
      </w:r>
      <w:r w:rsidR="00B763FB">
        <w:t xml:space="preserve"> </w:t>
      </w:r>
    </w:p>
    <w:p w14:paraId="0C5DAC49" w14:textId="77777777" w:rsidR="00B763FB" w:rsidRDefault="00B763FB" w:rsidP="0016640A">
      <w:pPr>
        <w:pStyle w:val="Heading3"/>
      </w:pPr>
      <w:r>
        <w:t>Representative plaintiff</w:t>
      </w:r>
    </w:p>
    <w:p w14:paraId="00A72ACA" w14:textId="5CD9A87B" w:rsidR="00B763FB" w:rsidRDefault="00BD5C95" w:rsidP="00932E49">
      <w:pPr>
        <w:pStyle w:val="BodyText"/>
      </w:pPr>
      <w:r>
        <w:rPr>
          <w:rFonts w:ascii="ZWAdobeF" w:hAnsi="ZWAdobeF" w:cs="ZWAdobeF"/>
          <w:color w:val="auto"/>
          <w:sz w:val="2"/>
          <w:szCs w:val="2"/>
        </w:rPr>
        <w:t>80B</w:t>
      </w:r>
      <w:r w:rsidR="0049638A">
        <w:rPr>
          <w:rFonts w:ascii="ZWAdobeF" w:hAnsi="ZWAdobeF" w:cs="ZWAdobeF"/>
          <w:color w:val="auto"/>
          <w:sz w:val="2"/>
          <w:szCs w:val="2"/>
        </w:rPr>
        <w:t>80B</w:t>
      </w:r>
      <w:r w:rsidR="00D629FA">
        <w:rPr>
          <w:rFonts w:ascii="ZWAdobeF" w:hAnsi="ZWAdobeF" w:cs="ZWAdobeF"/>
          <w:color w:val="auto"/>
          <w:sz w:val="2"/>
          <w:szCs w:val="2"/>
        </w:rPr>
        <w:t>80B</w:t>
      </w:r>
      <w:r w:rsidR="00B763FB">
        <w:t xml:space="preserve">In this section we discuss: </w:t>
      </w:r>
    </w:p>
    <w:p w14:paraId="282138B0" w14:textId="6CD5B04F" w:rsidR="00B763FB" w:rsidRDefault="00BD5C95" w:rsidP="003E2524">
      <w:pPr>
        <w:pStyle w:val="BodyTextnonum"/>
        <w:numPr>
          <w:ilvl w:val="3"/>
          <w:numId w:val="34"/>
        </w:numPr>
      </w:pPr>
      <w:r>
        <w:rPr>
          <w:rFonts w:ascii="ZWAdobeF" w:hAnsi="ZWAdobeF" w:cs="ZWAdobeF"/>
          <w:color w:val="auto"/>
          <w:sz w:val="2"/>
          <w:szCs w:val="2"/>
        </w:rPr>
        <w:t>633B</w:t>
      </w:r>
      <w:r w:rsidR="0049638A">
        <w:rPr>
          <w:rFonts w:ascii="ZWAdobeF" w:hAnsi="ZWAdobeF" w:cs="ZWAdobeF"/>
          <w:color w:val="auto"/>
          <w:sz w:val="2"/>
          <w:szCs w:val="2"/>
        </w:rPr>
        <w:t>633B</w:t>
      </w:r>
      <w:r w:rsidR="00D629FA">
        <w:rPr>
          <w:rFonts w:ascii="ZWAdobeF" w:hAnsi="ZWAdobeF" w:cs="ZWAdobeF"/>
          <w:color w:val="auto"/>
          <w:sz w:val="2"/>
          <w:szCs w:val="2"/>
        </w:rPr>
        <w:t>633B</w:t>
      </w:r>
      <w:r w:rsidR="00B763FB">
        <w:t>Suitability of the representative plaintiff.</w:t>
      </w:r>
    </w:p>
    <w:p w14:paraId="1D887F59" w14:textId="160C318D" w:rsidR="00B763FB" w:rsidRDefault="00BD5C95" w:rsidP="003E2524">
      <w:pPr>
        <w:pStyle w:val="BodyTextnonum"/>
        <w:numPr>
          <w:ilvl w:val="3"/>
          <w:numId w:val="34"/>
        </w:numPr>
      </w:pPr>
      <w:r>
        <w:rPr>
          <w:rFonts w:ascii="ZWAdobeF" w:hAnsi="ZWAdobeF" w:cs="ZWAdobeF"/>
          <w:color w:val="auto"/>
          <w:sz w:val="2"/>
          <w:szCs w:val="2"/>
        </w:rPr>
        <w:t>634B</w:t>
      </w:r>
      <w:r w:rsidR="0049638A">
        <w:rPr>
          <w:rFonts w:ascii="ZWAdobeF" w:hAnsi="ZWAdobeF" w:cs="ZWAdobeF"/>
          <w:color w:val="auto"/>
          <w:sz w:val="2"/>
          <w:szCs w:val="2"/>
        </w:rPr>
        <w:t>634B</w:t>
      </w:r>
      <w:r w:rsidR="00D629FA">
        <w:rPr>
          <w:rFonts w:ascii="ZWAdobeF" w:hAnsi="ZWAdobeF" w:cs="ZWAdobeF"/>
          <w:color w:val="auto"/>
          <w:sz w:val="2"/>
          <w:szCs w:val="2"/>
        </w:rPr>
        <w:t>634B</w:t>
      </w:r>
      <w:r w:rsidR="00B763FB">
        <w:t>The relevance of tikanga on representation.</w:t>
      </w:r>
    </w:p>
    <w:p w14:paraId="188A3C48" w14:textId="2BF94D03" w:rsidR="00B763FB" w:rsidRDefault="00BD5C95" w:rsidP="003E2524">
      <w:pPr>
        <w:pStyle w:val="BodyTextnonum"/>
        <w:numPr>
          <w:ilvl w:val="3"/>
          <w:numId w:val="34"/>
        </w:numPr>
      </w:pPr>
      <w:r>
        <w:rPr>
          <w:rFonts w:ascii="ZWAdobeF" w:hAnsi="ZWAdobeF" w:cs="ZWAdobeF"/>
          <w:color w:val="auto"/>
          <w:sz w:val="2"/>
          <w:szCs w:val="2"/>
        </w:rPr>
        <w:t>635B</w:t>
      </w:r>
      <w:r w:rsidR="0049638A">
        <w:rPr>
          <w:rFonts w:ascii="ZWAdobeF" w:hAnsi="ZWAdobeF" w:cs="ZWAdobeF"/>
          <w:color w:val="auto"/>
          <w:sz w:val="2"/>
          <w:szCs w:val="2"/>
        </w:rPr>
        <w:t>635B</w:t>
      </w:r>
      <w:r w:rsidR="00D629FA">
        <w:rPr>
          <w:rFonts w:ascii="ZWAdobeF" w:hAnsi="ZWAdobeF" w:cs="ZWAdobeF"/>
          <w:color w:val="auto"/>
          <w:sz w:val="2"/>
          <w:szCs w:val="2"/>
        </w:rPr>
        <w:t>635B</w:t>
      </w:r>
      <w:r w:rsidR="00B763FB">
        <w:t>Replacing a representative plaintiff and sub-class representative plaintiffs.</w:t>
      </w:r>
    </w:p>
    <w:p w14:paraId="27B9C5BC" w14:textId="77777777" w:rsidR="00E92CED" w:rsidRDefault="00E92CED" w:rsidP="0016640A">
      <w:pPr>
        <w:pStyle w:val="Heading4"/>
      </w:pPr>
      <w:r>
        <w:t xml:space="preserve">Suitability of the representative plaintiff </w:t>
      </w:r>
    </w:p>
    <w:p w14:paraId="1CE37FC3" w14:textId="3F2C3A48" w:rsidR="00E92CED" w:rsidRDefault="00BD5C95" w:rsidP="00E92CED">
      <w:pPr>
        <w:pStyle w:val="BodyText"/>
      </w:pPr>
      <w:r>
        <w:rPr>
          <w:rFonts w:ascii="ZWAdobeF" w:hAnsi="ZWAdobeF" w:cs="ZWAdobeF"/>
          <w:color w:val="auto"/>
          <w:sz w:val="2"/>
          <w:szCs w:val="2"/>
        </w:rPr>
        <w:t>81B</w:t>
      </w:r>
      <w:r w:rsidR="0049638A">
        <w:rPr>
          <w:rFonts w:ascii="ZWAdobeF" w:hAnsi="ZWAdobeF" w:cs="ZWAdobeF"/>
          <w:color w:val="auto"/>
          <w:sz w:val="2"/>
          <w:szCs w:val="2"/>
        </w:rPr>
        <w:t>81B</w:t>
      </w:r>
      <w:r w:rsidR="00D629FA">
        <w:rPr>
          <w:rFonts w:ascii="ZWAdobeF" w:hAnsi="ZWAdobeF" w:cs="ZWAdobeF"/>
          <w:color w:val="auto"/>
          <w:sz w:val="2"/>
          <w:szCs w:val="2"/>
        </w:rPr>
        <w:t>81B</w:t>
      </w:r>
      <w:r w:rsidR="00E92CED">
        <w:t xml:space="preserve">In our </w:t>
      </w:r>
      <w:r w:rsidR="00E92CED" w:rsidRPr="009859EB">
        <w:rPr>
          <w:szCs w:val="20"/>
        </w:rPr>
        <w:t>Issues</w:t>
      </w:r>
      <w:r w:rsidR="00E92CED">
        <w:t xml:space="preserve"> Paper we asked whether the court should consider the representative plaintiff’s suitability as part of the threshold legal test for a class action and, if so, what the criteria should be (Q 28).</w:t>
      </w:r>
      <w:r w:rsidR="00D629FA">
        <w:rPr>
          <w:rFonts w:ascii="ZWAdobeF" w:hAnsi="ZWAdobeF" w:cs="ZWAdobeF"/>
          <w:color w:val="auto"/>
          <w:sz w:val="2"/>
          <w:szCs w:val="2"/>
        </w:rPr>
        <w:t>174F</w:t>
      </w:r>
      <w:r w:rsidR="0049638A">
        <w:rPr>
          <w:rFonts w:ascii="ZWAdobeF" w:hAnsi="ZWAdobeF" w:cs="ZWAdobeF"/>
          <w:color w:val="auto"/>
          <w:sz w:val="2"/>
          <w:szCs w:val="2"/>
        </w:rPr>
        <w:t>174F</w:t>
      </w:r>
      <w:r w:rsidR="000D4978">
        <w:rPr>
          <w:rFonts w:ascii="ZWAdobeF" w:hAnsi="ZWAdobeF" w:cs="ZWAdobeF"/>
          <w:color w:val="auto"/>
          <w:sz w:val="2"/>
          <w:szCs w:val="2"/>
        </w:rPr>
        <w:t>174F</w:t>
      </w:r>
      <w:r w:rsidR="00E92CED">
        <w:rPr>
          <w:rStyle w:val="FootnoteReference"/>
        </w:rPr>
        <w:footnoteReference w:id="176"/>
      </w:r>
      <w:r w:rsidR="00E92CED">
        <w:t xml:space="preserve"> We received 17 submissions on this question.</w:t>
      </w:r>
      <w:r w:rsidR="00D629FA">
        <w:rPr>
          <w:rFonts w:ascii="ZWAdobeF" w:hAnsi="ZWAdobeF" w:cs="ZWAdobeF"/>
          <w:color w:val="auto"/>
          <w:sz w:val="2"/>
          <w:szCs w:val="2"/>
        </w:rPr>
        <w:t>175F</w:t>
      </w:r>
      <w:r w:rsidR="0049638A">
        <w:rPr>
          <w:rFonts w:ascii="ZWAdobeF" w:hAnsi="ZWAdobeF" w:cs="ZWAdobeF"/>
          <w:color w:val="auto"/>
          <w:sz w:val="2"/>
          <w:szCs w:val="2"/>
        </w:rPr>
        <w:t>175F</w:t>
      </w:r>
      <w:r w:rsidR="000D4978">
        <w:rPr>
          <w:rFonts w:ascii="ZWAdobeF" w:hAnsi="ZWAdobeF" w:cs="ZWAdobeF"/>
          <w:color w:val="auto"/>
          <w:sz w:val="2"/>
          <w:szCs w:val="2"/>
        </w:rPr>
        <w:t>175F</w:t>
      </w:r>
      <w:r w:rsidR="00E92CED">
        <w:rPr>
          <w:rStyle w:val="FootnoteReference"/>
        </w:rPr>
        <w:footnoteReference w:id="177"/>
      </w:r>
      <w:r w:rsidR="00E92CED">
        <w:t xml:space="preserve"> There were eight submitters who considered it was appropriate to consider the suitability of the representative plaintiff as part of a certification process.</w:t>
      </w:r>
      <w:r w:rsidR="00D629FA">
        <w:rPr>
          <w:rFonts w:ascii="ZWAdobeF" w:hAnsi="ZWAdobeF" w:cs="ZWAdobeF"/>
          <w:color w:val="auto"/>
          <w:sz w:val="2"/>
          <w:szCs w:val="2"/>
        </w:rPr>
        <w:t>176F</w:t>
      </w:r>
      <w:r w:rsidR="0049638A">
        <w:rPr>
          <w:rFonts w:ascii="ZWAdobeF" w:hAnsi="ZWAdobeF" w:cs="ZWAdobeF"/>
          <w:color w:val="auto"/>
          <w:sz w:val="2"/>
          <w:szCs w:val="2"/>
        </w:rPr>
        <w:t>176F</w:t>
      </w:r>
      <w:r w:rsidR="000D4978">
        <w:rPr>
          <w:rFonts w:ascii="ZWAdobeF" w:hAnsi="ZWAdobeF" w:cs="ZWAdobeF"/>
          <w:color w:val="auto"/>
          <w:sz w:val="2"/>
          <w:szCs w:val="2"/>
        </w:rPr>
        <w:t>176F</w:t>
      </w:r>
      <w:r w:rsidR="00E92CED">
        <w:rPr>
          <w:rStyle w:val="FootnoteReference"/>
        </w:rPr>
        <w:footnoteReference w:id="178"/>
      </w:r>
      <w:r w:rsidR="00E92CED">
        <w:t xml:space="preserve"> </w:t>
      </w:r>
      <w:r w:rsidR="00A95504">
        <w:t>Some s</w:t>
      </w:r>
      <w:r w:rsidR="00E92CED">
        <w:t>ubmitters saw this as a key means of protecting the interests of class members and defendants. Three submitters were opposed to the court considering a representative plaintiff’s suitability at the outset.</w:t>
      </w:r>
      <w:r w:rsidR="00D629FA">
        <w:rPr>
          <w:rFonts w:ascii="ZWAdobeF" w:hAnsi="ZWAdobeF" w:cs="ZWAdobeF"/>
          <w:color w:val="auto"/>
          <w:sz w:val="2"/>
          <w:szCs w:val="2"/>
        </w:rPr>
        <w:t>177F</w:t>
      </w:r>
      <w:r w:rsidR="0049638A">
        <w:rPr>
          <w:rFonts w:ascii="ZWAdobeF" w:hAnsi="ZWAdobeF" w:cs="ZWAdobeF"/>
          <w:color w:val="auto"/>
          <w:sz w:val="2"/>
          <w:szCs w:val="2"/>
        </w:rPr>
        <w:t>177F</w:t>
      </w:r>
      <w:r w:rsidR="000D4978">
        <w:rPr>
          <w:rFonts w:ascii="ZWAdobeF" w:hAnsi="ZWAdobeF" w:cs="ZWAdobeF"/>
          <w:color w:val="auto"/>
          <w:sz w:val="2"/>
          <w:szCs w:val="2"/>
        </w:rPr>
        <w:t>177F</w:t>
      </w:r>
      <w:r w:rsidR="00E92CED">
        <w:rPr>
          <w:rStyle w:val="FootnoteReference"/>
        </w:rPr>
        <w:footnoteReference w:id="179"/>
      </w:r>
      <w:r w:rsidR="00E92CED">
        <w:t xml:space="preserve"> Submitters expressed concern that it may lead to unnecessary cost and delay and deter litigants from taking on the role. A further six submitters did not express a clear position as to whether they supported the suitability of the representative plaintiff being part of a threshold legal test.</w:t>
      </w:r>
      <w:r w:rsidR="00D629FA">
        <w:rPr>
          <w:rFonts w:ascii="ZWAdobeF" w:hAnsi="ZWAdobeF" w:cs="ZWAdobeF"/>
          <w:color w:val="auto"/>
          <w:sz w:val="2"/>
          <w:szCs w:val="2"/>
        </w:rPr>
        <w:t>178F</w:t>
      </w:r>
      <w:r w:rsidR="0049638A">
        <w:rPr>
          <w:rFonts w:ascii="ZWAdobeF" w:hAnsi="ZWAdobeF" w:cs="ZWAdobeF"/>
          <w:color w:val="auto"/>
          <w:sz w:val="2"/>
          <w:szCs w:val="2"/>
        </w:rPr>
        <w:t>178F</w:t>
      </w:r>
      <w:r w:rsidR="00317AE4">
        <w:rPr>
          <w:rFonts w:ascii="ZWAdobeF" w:hAnsi="ZWAdobeF" w:cs="ZWAdobeF"/>
          <w:color w:val="auto"/>
          <w:sz w:val="2"/>
          <w:szCs w:val="2"/>
        </w:rPr>
        <w:t>178F</w:t>
      </w:r>
      <w:r w:rsidR="00E92CED">
        <w:rPr>
          <w:rStyle w:val="FootnoteReference"/>
        </w:rPr>
        <w:footnoteReference w:id="180"/>
      </w:r>
    </w:p>
    <w:p w14:paraId="5EA913BC" w14:textId="2B8D6D82" w:rsidR="00E92CED" w:rsidRDefault="00BD5C95" w:rsidP="00E92CED">
      <w:pPr>
        <w:pStyle w:val="BodyText"/>
      </w:pPr>
      <w:r>
        <w:rPr>
          <w:rFonts w:ascii="ZWAdobeF" w:hAnsi="ZWAdobeF" w:cs="ZWAdobeF"/>
          <w:color w:val="auto"/>
          <w:sz w:val="2"/>
          <w:szCs w:val="2"/>
        </w:rPr>
        <w:lastRenderedPageBreak/>
        <w:t>82B</w:t>
      </w:r>
      <w:r w:rsidR="0049638A">
        <w:rPr>
          <w:rFonts w:ascii="ZWAdobeF" w:hAnsi="ZWAdobeF" w:cs="ZWAdobeF"/>
          <w:color w:val="auto"/>
          <w:sz w:val="2"/>
          <w:szCs w:val="2"/>
        </w:rPr>
        <w:t>82B</w:t>
      </w:r>
      <w:r w:rsidR="00D629FA">
        <w:rPr>
          <w:rFonts w:ascii="ZWAdobeF" w:hAnsi="ZWAdobeF" w:cs="ZWAdobeF"/>
          <w:color w:val="auto"/>
          <w:sz w:val="2"/>
          <w:szCs w:val="2"/>
        </w:rPr>
        <w:t>82B</w:t>
      </w:r>
      <w:r w:rsidR="00E92CED">
        <w:t xml:space="preserve">Whether a person could adequately represent class members was seen as a key test for assessing the representative plaintiff’s suitability, along with assessing whether a conflict of interest exists. Some submitters supported consideration of the plaintiff’s understanding of the role and/or a plaintiff’s financial resources. Few submitters commented on whether the plaintiff’s claim must be typical of the class. </w:t>
      </w:r>
    </w:p>
    <w:p w14:paraId="17670078" w14:textId="47448ACB" w:rsidR="00E92CED" w:rsidRDefault="00BD5C95" w:rsidP="00E92CED">
      <w:pPr>
        <w:pStyle w:val="BodyText"/>
      </w:pPr>
      <w:r>
        <w:rPr>
          <w:rFonts w:ascii="ZWAdobeF" w:hAnsi="ZWAdobeF" w:cs="ZWAdobeF"/>
          <w:color w:val="auto"/>
          <w:sz w:val="2"/>
          <w:szCs w:val="2"/>
        </w:rPr>
        <w:t>83B</w:t>
      </w:r>
      <w:r w:rsidR="0049638A">
        <w:rPr>
          <w:rFonts w:ascii="ZWAdobeF" w:hAnsi="ZWAdobeF" w:cs="ZWAdobeF"/>
          <w:color w:val="auto"/>
          <w:sz w:val="2"/>
          <w:szCs w:val="2"/>
        </w:rPr>
        <w:t>83B</w:t>
      </w:r>
      <w:r w:rsidR="00D629FA">
        <w:rPr>
          <w:rFonts w:ascii="ZWAdobeF" w:hAnsi="ZWAdobeF" w:cs="ZWAdobeF"/>
          <w:color w:val="auto"/>
          <w:sz w:val="2"/>
          <w:szCs w:val="2"/>
        </w:rPr>
        <w:t>83B</w:t>
      </w:r>
      <w:r w:rsidR="00E92CED">
        <w:t xml:space="preserve">We have concluded that a court should consider the representative plaintiff’s suitability for the role as part of the certification test. The </w:t>
      </w:r>
      <w:r w:rsidR="00E92CED" w:rsidRPr="00373BC2">
        <w:t xml:space="preserve">representative plaintiff has an important role in protecting the interests of class members and </w:t>
      </w:r>
      <w:r w:rsidR="00E92CED">
        <w:t xml:space="preserve">we think the court should be satisfied that the person is able to fulfil that role. We do not think the alternative approach, of requiring a class member to apply to replace the representative plaintiff on the grounds of inadequacy, offers sufficient protection to the class or would be very efficient.  </w:t>
      </w:r>
    </w:p>
    <w:p w14:paraId="6589C805" w14:textId="7A789576" w:rsidR="00E92CED" w:rsidRDefault="00BD5C95" w:rsidP="00E92CED">
      <w:pPr>
        <w:pStyle w:val="BodyText"/>
      </w:pPr>
      <w:r>
        <w:rPr>
          <w:rFonts w:ascii="ZWAdobeF" w:hAnsi="ZWAdobeF" w:cs="ZWAdobeF"/>
          <w:color w:val="auto"/>
          <w:sz w:val="2"/>
          <w:szCs w:val="2"/>
        </w:rPr>
        <w:t>84B</w:t>
      </w:r>
      <w:r w:rsidR="0049638A">
        <w:rPr>
          <w:rFonts w:ascii="ZWAdobeF" w:hAnsi="ZWAdobeF" w:cs="ZWAdobeF"/>
          <w:color w:val="auto"/>
          <w:sz w:val="2"/>
          <w:szCs w:val="2"/>
        </w:rPr>
        <w:t>84B</w:t>
      </w:r>
      <w:r w:rsidR="00D629FA">
        <w:rPr>
          <w:rFonts w:ascii="ZWAdobeF" w:hAnsi="ZWAdobeF" w:cs="ZWAdobeF"/>
          <w:color w:val="auto"/>
          <w:sz w:val="2"/>
          <w:szCs w:val="2"/>
        </w:rPr>
        <w:t>84B</w:t>
      </w:r>
      <w:r w:rsidR="00E92CED">
        <w:t>Our draft certification provision requires the court to be satisfied there is a suitable representative plaintiff who is able to fairly and adequately represent the class.</w:t>
      </w:r>
      <w:r w:rsidR="00D629FA">
        <w:rPr>
          <w:rFonts w:ascii="ZWAdobeF" w:hAnsi="ZWAdobeF" w:cs="ZWAdobeF"/>
          <w:color w:val="auto"/>
          <w:sz w:val="2"/>
          <w:szCs w:val="2"/>
        </w:rPr>
        <w:t>179F</w:t>
      </w:r>
      <w:r w:rsidR="0049638A">
        <w:rPr>
          <w:rFonts w:ascii="ZWAdobeF" w:hAnsi="ZWAdobeF" w:cs="ZWAdobeF"/>
          <w:color w:val="auto"/>
          <w:sz w:val="2"/>
          <w:szCs w:val="2"/>
        </w:rPr>
        <w:t>179F</w:t>
      </w:r>
      <w:r w:rsidR="00317AE4">
        <w:rPr>
          <w:rFonts w:ascii="ZWAdobeF" w:hAnsi="ZWAdobeF" w:cs="ZWAdobeF"/>
          <w:color w:val="auto"/>
          <w:sz w:val="2"/>
          <w:szCs w:val="2"/>
        </w:rPr>
        <w:t>179F</w:t>
      </w:r>
      <w:r w:rsidR="00E92CED">
        <w:rPr>
          <w:rStyle w:val="FootnoteReference"/>
        </w:rPr>
        <w:footnoteReference w:id="181"/>
      </w:r>
      <w:r w:rsidR="00E92CED">
        <w:t xml:space="preserve"> Our main comparator jurisdictions refer to adequacy of representation and submitters saw this as the essential consideration. The draft provision lists several factors that a court may consider when assessing the suitability of a representative plaintiff and whether they will fairly and adequately represent the class.</w:t>
      </w:r>
      <w:r w:rsidR="00D629FA">
        <w:rPr>
          <w:rFonts w:ascii="ZWAdobeF" w:hAnsi="ZWAdobeF" w:cs="ZWAdobeF"/>
          <w:color w:val="auto"/>
          <w:sz w:val="2"/>
          <w:szCs w:val="2"/>
        </w:rPr>
        <w:t>180F</w:t>
      </w:r>
      <w:r w:rsidR="0049638A">
        <w:rPr>
          <w:rFonts w:ascii="ZWAdobeF" w:hAnsi="ZWAdobeF" w:cs="ZWAdobeF"/>
          <w:color w:val="auto"/>
          <w:sz w:val="2"/>
          <w:szCs w:val="2"/>
        </w:rPr>
        <w:t>180F</w:t>
      </w:r>
      <w:r w:rsidR="00317AE4">
        <w:rPr>
          <w:rFonts w:ascii="ZWAdobeF" w:hAnsi="ZWAdobeF" w:cs="ZWAdobeF"/>
          <w:color w:val="auto"/>
          <w:sz w:val="2"/>
          <w:szCs w:val="2"/>
        </w:rPr>
        <w:t>180F</w:t>
      </w:r>
      <w:r w:rsidR="00E92CED">
        <w:rPr>
          <w:rStyle w:val="FootnoteReference"/>
        </w:rPr>
        <w:footnoteReference w:id="182"/>
      </w:r>
      <w:r w:rsidR="00E92CED">
        <w:t xml:space="preserve"> We consider that courts should have a degree of flexibility as to what they consider when assessing the test for a representative plaintiff and so the factors we list are permissive and non-exhaustive. </w:t>
      </w:r>
    </w:p>
    <w:p w14:paraId="71CB4C25" w14:textId="5D5B8E98" w:rsidR="00E92CED" w:rsidRDefault="00BD5C95" w:rsidP="00E92CED">
      <w:pPr>
        <w:pStyle w:val="BodyText"/>
      </w:pPr>
      <w:r>
        <w:rPr>
          <w:rFonts w:ascii="ZWAdobeF" w:hAnsi="ZWAdobeF" w:cs="ZWAdobeF"/>
          <w:color w:val="auto"/>
          <w:sz w:val="2"/>
          <w:szCs w:val="2"/>
        </w:rPr>
        <w:t>85B</w:t>
      </w:r>
      <w:r w:rsidR="0049638A">
        <w:rPr>
          <w:rFonts w:ascii="ZWAdobeF" w:hAnsi="ZWAdobeF" w:cs="ZWAdobeF"/>
          <w:color w:val="auto"/>
          <w:sz w:val="2"/>
          <w:szCs w:val="2"/>
        </w:rPr>
        <w:t>85B</w:t>
      </w:r>
      <w:r w:rsidR="00D629FA">
        <w:rPr>
          <w:rFonts w:ascii="ZWAdobeF" w:hAnsi="ZWAdobeF" w:cs="ZWAdobeF"/>
          <w:color w:val="auto"/>
          <w:sz w:val="2"/>
          <w:szCs w:val="2"/>
        </w:rPr>
        <w:t>85B</w:t>
      </w:r>
      <w:r w:rsidR="00E92CED">
        <w:t>Our first factor is any conflict of interest which could prevent the person from properly fulfilling their role as representative plaintiff.</w:t>
      </w:r>
      <w:r w:rsidR="00D629FA">
        <w:rPr>
          <w:rFonts w:ascii="ZWAdobeF" w:hAnsi="ZWAdobeF" w:cs="ZWAdobeF"/>
          <w:color w:val="auto"/>
          <w:sz w:val="2"/>
          <w:szCs w:val="2"/>
        </w:rPr>
        <w:t>181F</w:t>
      </w:r>
      <w:r w:rsidR="0049638A">
        <w:rPr>
          <w:rFonts w:ascii="ZWAdobeF" w:hAnsi="ZWAdobeF" w:cs="ZWAdobeF"/>
          <w:color w:val="auto"/>
          <w:sz w:val="2"/>
          <w:szCs w:val="2"/>
        </w:rPr>
        <w:t>181F</w:t>
      </w:r>
      <w:r w:rsidR="00317AE4">
        <w:rPr>
          <w:rFonts w:ascii="ZWAdobeF" w:hAnsi="ZWAdobeF" w:cs="ZWAdobeF"/>
          <w:color w:val="auto"/>
          <w:sz w:val="2"/>
          <w:szCs w:val="2"/>
        </w:rPr>
        <w:t>181F</w:t>
      </w:r>
      <w:r w:rsidR="00E92CED">
        <w:rPr>
          <w:rStyle w:val="FootnoteReference"/>
        </w:rPr>
        <w:footnoteReference w:id="183"/>
      </w:r>
      <w:r w:rsidR="00E92CED">
        <w:t xml:space="preserve"> We acknowledge that some potential conflicts of interest may not always be apparent at an early stage of proceedings when the identity of many class members is unknown. If a conflict of interest emerged subsequent to certification, this could be a ground for replacing the representative plaintiff</w:t>
      </w:r>
      <w:r w:rsidR="00620420">
        <w:t xml:space="preserve"> or creating a sub-class</w:t>
      </w:r>
      <w:r w:rsidR="00E92CED">
        <w:t>.</w:t>
      </w:r>
      <w:r w:rsidR="00D629FA">
        <w:rPr>
          <w:rFonts w:ascii="ZWAdobeF" w:hAnsi="ZWAdobeF" w:cs="ZWAdobeF"/>
          <w:color w:val="auto"/>
          <w:sz w:val="2"/>
          <w:szCs w:val="2"/>
        </w:rPr>
        <w:t>182F</w:t>
      </w:r>
      <w:r w:rsidR="0049638A">
        <w:rPr>
          <w:rFonts w:ascii="ZWAdobeF" w:hAnsi="ZWAdobeF" w:cs="ZWAdobeF"/>
          <w:color w:val="auto"/>
          <w:sz w:val="2"/>
          <w:szCs w:val="2"/>
        </w:rPr>
        <w:t>182F</w:t>
      </w:r>
      <w:r w:rsidR="00317AE4">
        <w:rPr>
          <w:rFonts w:ascii="ZWAdobeF" w:hAnsi="ZWAdobeF" w:cs="ZWAdobeF"/>
          <w:color w:val="auto"/>
          <w:sz w:val="2"/>
          <w:szCs w:val="2"/>
        </w:rPr>
        <w:t>182F</w:t>
      </w:r>
      <w:r w:rsidR="00E92CED">
        <w:rPr>
          <w:rStyle w:val="FootnoteReference"/>
        </w:rPr>
        <w:footnoteReference w:id="184"/>
      </w:r>
      <w:r w:rsidR="00E92CED">
        <w:t xml:space="preserve"> </w:t>
      </w:r>
    </w:p>
    <w:p w14:paraId="1F35099A" w14:textId="1C7A4825" w:rsidR="00E92CED" w:rsidRDefault="00BD5C95" w:rsidP="00E92CED">
      <w:pPr>
        <w:pStyle w:val="BodyText"/>
      </w:pPr>
      <w:r>
        <w:rPr>
          <w:rFonts w:ascii="ZWAdobeF" w:hAnsi="ZWAdobeF" w:cs="ZWAdobeF"/>
          <w:color w:val="auto"/>
          <w:sz w:val="2"/>
          <w:szCs w:val="2"/>
        </w:rPr>
        <w:t>86B</w:t>
      </w:r>
      <w:r w:rsidR="0049638A">
        <w:rPr>
          <w:rFonts w:ascii="ZWAdobeF" w:hAnsi="ZWAdobeF" w:cs="ZWAdobeF"/>
          <w:color w:val="auto"/>
          <w:sz w:val="2"/>
          <w:szCs w:val="2"/>
        </w:rPr>
        <w:t>86B</w:t>
      </w:r>
      <w:r w:rsidR="00D629FA">
        <w:rPr>
          <w:rFonts w:ascii="ZWAdobeF" w:hAnsi="ZWAdobeF" w:cs="ZWAdobeF"/>
          <w:color w:val="auto"/>
          <w:sz w:val="2"/>
          <w:szCs w:val="2"/>
        </w:rPr>
        <w:t>86B</w:t>
      </w:r>
      <w:r w:rsidR="00E92CED">
        <w:t xml:space="preserve">Another relevant factor is whether the person has a general understanding of the nature of the claims and their obligations as representative plaintiff, including their liability for </w:t>
      </w:r>
      <w:r w:rsidR="00620420">
        <w:t xml:space="preserve">adverse </w:t>
      </w:r>
      <w:r w:rsidR="00E92CED">
        <w:t>costs.</w:t>
      </w:r>
      <w:r w:rsidR="00D629FA">
        <w:rPr>
          <w:rFonts w:ascii="ZWAdobeF" w:hAnsi="ZWAdobeF" w:cs="ZWAdobeF"/>
          <w:color w:val="auto"/>
          <w:sz w:val="2"/>
          <w:szCs w:val="2"/>
        </w:rPr>
        <w:t>183F</w:t>
      </w:r>
      <w:r w:rsidR="0049638A">
        <w:rPr>
          <w:rFonts w:ascii="ZWAdobeF" w:hAnsi="ZWAdobeF" w:cs="ZWAdobeF"/>
          <w:color w:val="auto"/>
          <w:sz w:val="2"/>
          <w:szCs w:val="2"/>
        </w:rPr>
        <w:t>183F</w:t>
      </w:r>
      <w:r w:rsidR="00317AE4">
        <w:rPr>
          <w:rFonts w:ascii="ZWAdobeF" w:hAnsi="ZWAdobeF" w:cs="ZWAdobeF"/>
          <w:color w:val="auto"/>
          <w:sz w:val="2"/>
          <w:szCs w:val="2"/>
        </w:rPr>
        <w:t>183F</w:t>
      </w:r>
      <w:r w:rsidR="00E92CED">
        <w:rPr>
          <w:rStyle w:val="FootnoteReference"/>
        </w:rPr>
        <w:footnoteReference w:id="185"/>
      </w:r>
      <w:r w:rsidR="00E92CED">
        <w:t xml:space="preserve"> In Chapter 3, we discuss what we think the obligations of a representative plaintiff should be. We do not think it is necessary for a plaintiff to establish that they have the financial resources to meet an adverse costs award (or have been provided with a costs indemnity). We think this can be sufficiently covered by the security for costs mechanism. However, whether the plaintiff understands their own costs obligations may be a relevant consideration. </w:t>
      </w:r>
    </w:p>
    <w:p w14:paraId="50BE0A9F" w14:textId="1A2E6EA3" w:rsidR="00E92CED" w:rsidRDefault="00BD5C95" w:rsidP="00E92CED">
      <w:pPr>
        <w:pStyle w:val="BodyText"/>
      </w:pPr>
      <w:r>
        <w:rPr>
          <w:rFonts w:ascii="ZWAdobeF" w:hAnsi="ZWAdobeF" w:cs="ZWAdobeF"/>
          <w:color w:val="auto"/>
          <w:sz w:val="2"/>
          <w:szCs w:val="2"/>
        </w:rPr>
        <w:t>87B</w:t>
      </w:r>
      <w:r w:rsidR="0049638A">
        <w:rPr>
          <w:rFonts w:ascii="ZWAdobeF" w:hAnsi="ZWAdobeF" w:cs="ZWAdobeF"/>
          <w:color w:val="auto"/>
          <w:sz w:val="2"/>
          <w:szCs w:val="2"/>
        </w:rPr>
        <w:t>87B</w:t>
      </w:r>
      <w:r w:rsidR="00D629FA">
        <w:rPr>
          <w:rFonts w:ascii="ZWAdobeF" w:hAnsi="ZWAdobeF" w:cs="ZWAdobeF"/>
          <w:color w:val="auto"/>
          <w:sz w:val="2"/>
          <w:szCs w:val="2"/>
        </w:rPr>
        <w:t>87B</w:t>
      </w:r>
      <w:r w:rsidR="00E92CED">
        <w:t>Where a person seeks to represent members of their hapū or iwi, tikanga on representation may be relevant.</w:t>
      </w:r>
      <w:r w:rsidR="00D629FA">
        <w:rPr>
          <w:rFonts w:ascii="ZWAdobeF" w:hAnsi="ZWAdobeF" w:cs="ZWAdobeF"/>
          <w:color w:val="auto"/>
          <w:sz w:val="2"/>
          <w:szCs w:val="2"/>
        </w:rPr>
        <w:t>184F</w:t>
      </w:r>
      <w:r w:rsidR="0049638A">
        <w:rPr>
          <w:rFonts w:ascii="ZWAdobeF" w:hAnsi="ZWAdobeF" w:cs="ZWAdobeF"/>
          <w:color w:val="auto"/>
          <w:sz w:val="2"/>
          <w:szCs w:val="2"/>
        </w:rPr>
        <w:t>184F</w:t>
      </w:r>
      <w:r w:rsidR="00317AE4">
        <w:rPr>
          <w:rFonts w:ascii="ZWAdobeF" w:hAnsi="ZWAdobeF" w:cs="ZWAdobeF"/>
          <w:color w:val="auto"/>
          <w:sz w:val="2"/>
          <w:szCs w:val="2"/>
        </w:rPr>
        <w:t>184F</w:t>
      </w:r>
      <w:r w:rsidR="00E92CED">
        <w:rPr>
          <w:rStyle w:val="FootnoteReference"/>
        </w:rPr>
        <w:footnoteReference w:id="186"/>
      </w:r>
      <w:r w:rsidR="00E92CED">
        <w:t xml:space="preserve"> We discuss this in the following section.</w:t>
      </w:r>
      <w:r w:rsidR="00E92CED">
        <w:tab/>
      </w:r>
    </w:p>
    <w:p w14:paraId="25AA6003" w14:textId="6486FE82" w:rsidR="00E92CED" w:rsidRDefault="00BD5C95" w:rsidP="00E92CED">
      <w:pPr>
        <w:pStyle w:val="BodyText"/>
      </w:pPr>
      <w:r>
        <w:rPr>
          <w:rFonts w:ascii="ZWAdobeF" w:hAnsi="ZWAdobeF" w:cs="ZWAdobeF"/>
          <w:color w:val="auto"/>
          <w:sz w:val="2"/>
          <w:szCs w:val="2"/>
        </w:rPr>
        <w:lastRenderedPageBreak/>
        <w:t>88B</w:t>
      </w:r>
      <w:r w:rsidR="0049638A">
        <w:rPr>
          <w:rFonts w:ascii="ZWAdobeF" w:hAnsi="ZWAdobeF" w:cs="ZWAdobeF"/>
          <w:color w:val="auto"/>
          <w:sz w:val="2"/>
          <w:szCs w:val="2"/>
        </w:rPr>
        <w:t>88B</w:t>
      </w:r>
      <w:r w:rsidR="00D629FA">
        <w:rPr>
          <w:rFonts w:ascii="ZWAdobeF" w:hAnsi="ZWAdobeF" w:cs="ZWAdobeF"/>
          <w:color w:val="auto"/>
          <w:sz w:val="2"/>
          <w:szCs w:val="2"/>
        </w:rPr>
        <w:t>88B</w:t>
      </w:r>
      <w:r w:rsidR="00E92CED">
        <w:t>We do not think that typicality needs to be specified as a factor (i.e. whether the representative plaintiff’s claim is typical of the class), as we have already proposed that a plaintiff must be a class member and that claims must have sufficient commonality. However, a court would not be prevented from taking this into account if relevant to adequacy of representation in a particular case.</w:t>
      </w:r>
    </w:p>
    <w:p w14:paraId="0A37682B" w14:textId="77777777" w:rsidR="00B763FB" w:rsidRDefault="00B763FB" w:rsidP="0016640A">
      <w:pPr>
        <w:pStyle w:val="Heading4"/>
      </w:pPr>
      <w:r>
        <w:t xml:space="preserve">Tikanga on representation </w:t>
      </w:r>
    </w:p>
    <w:p w14:paraId="0AA3F8D4" w14:textId="025729BA" w:rsidR="00B763FB" w:rsidRDefault="00BD5C95" w:rsidP="00932E49">
      <w:pPr>
        <w:pStyle w:val="BodyText"/>
      </w:pPr>
      <w:r>
        <w:rPr>
          <w:rFonts w:ascii="ZWAdobeF" w:hAnsi="ZWAdobeF" w:cs="ZWAdobeF"/>
          <w:color w:val="auto"/>
          <w:sz w:val="2"/>
          <w:szCs w:val="2"/>
        </w:rPr>
        <w:t>89B</w:t>
      </w:r>
      <w:r w:rsidR="0049638A">
        <w:rPr>
          <w:rFonts w:ascii="ZWAdobeF" w:hAnsi="ZWAdobeF" w:cs="ZWAdobeF"/>
          <w:color w:val="auto"/>
          <w:sz w:val="2"/>
          <w:szCs w:val="2"/>
        </w:rPr>
        <w:t>89B</w:t>
      </w:r>
      <w:r w:rsidR="00D629FA">
        <w:rPr>
          <w:rFonts w:ascii="ZWAdobeF" w:hAnsi="ZWAdobeF" w:cs="ZWAdobeF"/>
          <w:color w:val="auto"/>
          <w:sz w:val="2"/>
          <w:szCs w:val="2"/>
        </w:rPr>
        <w:t>89B</w:t>
      </w:r>
      <w:r w:rsidR="00B763FB">
        <w:t>In our Issues Paper, we asked submitters about the role of tikanga Māori when a person seeks to represent the interests of a whānau, hapū or iwi through a class action (Q 31). We received 10 submissions on this question.</w:t>
      </w:r>
      <w:r w:rsidR="00D629FA">
        <w:rPr>
          <w:rFonts w:ascii="ZWAdobeF" w:hAnsi="ZWAdobeF" w:cs="ZWAdobeF"/>
          <w:color w:val="auto"/>
          <w:sz w:val="2"/>
          <w:szCs w:val="2"/>
        </w:rPr>
        <w:t>185F</w:t>
      </w:r>
      <w:r w:rsidR="0049638A">
        <w:rPr>
          <w:rFonts w:ascii="ZWAdobeF" w:hAnsi="ZWAdobeF" w:cs="ZWAdobeF"/>
          <w:color w:val="auto"/>
          <w:sz w:val="2"/>
          <w:szCs w:val="2"/>
        </w:rPr>
        <w:t>185F</w:t>
      </w:r>
      <w:r w:rsidR="00317AE4">
        <w:rPr>
          <w:rFonts w:ascii="ZWAdobeF" w:hAnsi="ZWAdobeF" w:cs="ZWAdobeF"/>
          <w:color w:val="auto"/>
          <w:sz w:val="2"/>
          <w:szCs w:val="2"/>
        </w:rPr>
        <w:t>185F</w:t>
      </w:r>
      <w:r w:rsidR="00B763FB">
        <w:rPr>
          <w:rStyle w:val="FootnoteReference"/>
        </w:rPr>
        <w:footnoteReference w:id="187"/>
      </w:r>
      <w:r w:rsidR="00B763FB">
        <w:t xml:space="preserve"> Most of these submitters appeared comfortable with the court considering a representative plaintiff’s suitability in terms of tikanga Māori when the person is seeking to represent the interests of a whānau, hapū or iwi. </w:t>
      </w:r>
    </w:p>
    <w:p w14:paraId="4F8D8584" w14:textId="64E8751F" w:rsidR="00B763FB" w:rsidRDefault="00BD5C95" w:rsidP="00932E49">
      <w:pPr>
        <w:pStyle w:val="BodyText"/>
      </w:pPr>
      <w:r>
        <w:rPr>
          <w:rFonts w:ascii="ZWAdobeF" w:hAnsi="ZWAdobeF" w:cs="ZWAdobeF"/>
          <w:color w:val="auto"/>
          <w:sz w:val="2"/>
          <w:szCs w:val="2"/>
        </w:rPr>
        <w:t>90B</w:t>
      </w:r>
      <w:r w:rsidR="0049638A">
        <w:rPr>
          <w:rFonts w:ascii="ZWAdobeF" w:hAnsi="ZWAdobeF" w:cs="ZWAdobeF"/>
          <w:color w:val="auto"/>
          <w:sz w:val="2"/>
          <w:szCs w:val="2"/>
        </w:rPr>
        <w:t>90B</w:t>
      </w:r>
      <w:r w:rsidR="00D629FA">
        <w:rPr>
          <w:rFonts w:ascii="ZWAdobeF" w:hAnsi="ZWAdobeF" w:cs="ZWAdobeF"/>
          <w:color w:val="auto"/>
          <w:sz w:val="2"/>
          <w:szCs w:val="2"/>
        </w:rPr>
        <w:t>90B</w:t>
      </w:r>
      <w:r w:rsidR="00B763FB">
        <w:t>A class action will not necessarily be the best way of pursuing a claim on behalf of hapū or iwi. This is because such claims often seek redress for the collective, rather than redress for each individual member of the hapū or iwi. As we noted in our Issues Paper, rangatira and entities such as trusts can generally pursue claims on behalf of the collectives they represent.</w:t>
      </w:r>
      <w:r w:rsidR="00D629FA">
        <w:rPr>
          <w:rFonts w:ascii="ZWAdobeF" w:hAnsi="ZWAdobeF" w:cs="ZWAdobeF"/>
          <w:color w:val="auto"/>
          <w:sz w:val="2"/>
          <w:szCs w:val="2"/>
        </w:rPr>
        <w:t>186F</w:t>
      </w:r>
      <w:r w:rsidR="0049638A">
        <w:rPr>
          <w:rFonts w:ascii="ZWAdobeF" w:hAnsi="ZWAdobeF" w:cs="ZWAdobeF"/>
          <w:color w:val="auto"/>
          <w:sz w:val="2"/>
          <w:szCs w:val="2"/>
        </w:rPr>
        <w:t>186F</w:t>
      </w:r>
      <w:r w:rsidR="00317AE4">
        <w:rPr>
          <w:rFonts w:ascii="ZWAdobeF" w:hAnsi="ZWAdobeF" w:cs="ZWAdobeF"/>
          <w:color w:val="auto"/>
          <w:sz w:val="2"/>
          <w:szCs w:val="2"/>
        </w:rPr>
        <w:t>186F</w:t>
      </w:r>
      <w:r w:rsidR="00B763FB">
        <w:rPr>
          <w:rStyle w:val="FootnoteReference"/>
        </w:rPr>
        <w:footnoteReference w:id="188"/>
      </w:r>
      <w:r w:rsidR="00B763FB">
        <w:t xml:space="preserve"> The class actions mechanism is different in that it is designed to aggregate individual claims that share a common issue. The representative plaintiff is permitted to seek redress for each individual member of the class, but class members are otherwise typically unconnected to each other. </w:t>
      </w:r>
    </w:p>
    <w:p w14:paraId="0347E665" w14:textId="31359F90" w:rsidR="00B763FB" w:rsidRDefault="00BD5C95" w:rsidP="00932E49">
      <w:pPr>
        <w:pStyle w:val="BodyText"/>
      </w:pPr>
      <w:r>
        <w:rPr>
          <w:rFonts w:ascii="ZWAdobeF" w:hAnsi="ZWAdobeF" w:cs="ZWAdobeF"/>
          <w:color w:val="auto"/>
          <w:sz w:val="2"/>
          <w:szCs w:val="2"/>
        </w:rPr>
        <w:t>91B</w:t>
      </w:r>
      <w:r w:rsidR="0049638A">
        <w:rPr>
          <w:rFonts w:ascii="ZWAdobeF" w:hAnsi="ZWAdobeF" w:cs="ZWAdobeF"/>
          <w:color w:val="auto"/>
          <w:sz w:val="2"/>
          <w:szCs w:val="2"/>
        </w:rPr>
        <w:t>91B</w:t>
      </w:r>
      <w:r w:rsidR="00D629FA">
        <w:rPr>
          <w:rFonts w:ascii="ZWAdobeF" w:hAnsi="ZWAdobeF" w:cs="ZWAdobeF"/>
          <w:color w:val="auto"/>
          <w:sz w:val="2"/>
          <w:szCs w:val="2"/>
        </w:rPr>
        <w:t>91B</w:t>
      </w:r>
      <w:r w:rsidR="00B763FB">
        <w:t>Where a person does seek to use a class action to bring a claim on behalf of members of their hapū or iwi, we consider that the court should be able to consider tikanga on representation. We think this would be consistent with one of our principles for designing a class actions regime, namely to recognise and reflect tikanga Māori.</w:t>
      </w:r>
      <w:r w:rsidR="00D629FA">
        <w:rPr>
          <w:rFonts w:ascii="ZWAdobeF" w:hAnsi="ZWAdobeF" w:cs="ZWAdobeF"/>
          <w:color w:val="auto"/>
          <w:sz w:val="2"/>
          <w:szCs w:val="2"/>
        </w:rPr>
        <w:t>187F</w:t>
      </w:r>
      <w:r w:rsidR="0049638A">
        <w:rPr>
          <w:rFonts w:ascii="ZWAdobeF" w:hAnsi="ZWAdobeF" w:cs="ZWAdobeF"/>
          <w:color w:val="auto"/>
          <w:sz w:val="2"/>
          <w:szCs w:val="2"/>
        </w:rPr>
        <w:t>187F</w:t>
      </w:r>
      <w:r w:rsidR="00317AE4">
        <w:rPr>
          <w:rFonts w:ascii="ZWAdobeF" w:hAnsi="ZWAdobeF" w:cs="ZWAdobeF"/>
          <w:color w:val="auto"/>
          <w:sz w:val="2"/>
          <w:szCs w:val="2"/>
        </w:rPr>
        <w:t>187F</w:t>
      </w:r>
      <w:r w:rsidR="00B763FB">
        <w:rPr>
          <w:rStyle w:val="FootnoteReference"/>
        </w:rPr>
        <w:footnoteReference w:id="189"/>
      </w:r>
      <w:r w:rsidR="00B763FB">
        <w:t xml:space="preserve">  In our proposed provision for assessing the suitability of the representative plaintiff, one factor the court may consider is: “if they will be representing members of their hapū or iwi, the tikanga of the hapū or iwi as relevant to representation</w:t>
      </w:r>
      <w:r w:rsidR="000A6BBD">
        <w:t>”.</w:t>
      </w:r>
      <w:r w:rsidR="00D629FA">
        <w:rPr>
          <w:rFonts w:ascii="ZWAdobeF" w:hAnsi="ZWAdobeF" w:cs="ZWAdobeF"/>
          <w:color w:val="auto"/>
          <w:sz w:val="2"/>
          <w:szCs w:val="2"/>
        </w:rPr>
        <w:t>188F</w:t>
      </w:r>
      <w:r w:rsidR="0049638A">
        <w:rPr>
          <w:rFonts w:ascii="ZWAdobeF" w:hAnsi="ZWAdobeF" w:cs="ZWAdobeF"/>
          <w:color w:val="auto"/>
          <w:sz w:val="2"/>
          <w:szCs w:val="2"/>
        </w:rPr>
        <w:t>188F</w:t>
      </w:r>
      <w:r w:rsidR="00317AE4">
        <w:rPr>
          <w:rFonts w:ascii="ZWAdobeF" w:hAnsi="ZWAdobeF" w:cs="ZWAdobeF"/>
          <w:color w:val="auto"/>
          <w:sz w:val="2"/>
          <w:szCs w:val="2"/>
        </w:rPr>
        <w:t>188F</w:t>
      </w:r>
      <w:r w:rsidR="00B763FB">
        <w:rPr>
          <w:rStyle w:val="FootnoteReference"/>
        </w:rPr>
        <w:footnoteReference w:id="190"/>
      </w:r>
      <w:r w:rsidR="00B763FB">
        <w:t xml:space="preserve"> While our Issues Paper also referred to a person bringing a claim on behalf of their whānau, we have not included this concept in our draft provision. Representation issues may be less contentious within an individual whānau. In some cases it may also be difficult to establish tikanga on representation within an individual whānau. </w:t>
      </w:r>
    </w:p>
    <w:p w14:paraId="785E6CC8" w14:textId="6B720131" w:rsidR="00B763FB" w:rsidRDefault="00BD5C95" w:rsidP="00932E49">
      <w:pPr>
        <w:pStyle w:val="BodyText"/>
      </w:pPr>
      <w:r>
        <w:rPr>
          <w:rFonts w:ascii="ZWAdobeF" w:hAnsi="ZWAdobeF" w:cs="ZWAdobeF"/>
          <w:color w:val="auto"/>
          <w:sz w:val="2"/>
          <w:szCs w:val="2"/>
        </w:rPr>
        <w:t>92B</w:t>
      </w:r>
      <w:r w:rsidR="0049638A">
        <w:rPr>
          <w:rFonts w:ascii="ZWAdobeF" w:hAnsi="ZWAdobeF" w:cs="ZWAdobeF"/>
          <w:color w:val="auto"/>
          <w:sz w:val="2"/>
          <w:szCs w:val="2"/>
        </w:rPr>
        <w:t>92B</w:t>
      </w:r>
      <w:r w:rsidR="00D629FA">
        <w:rPr>
          <w:rFonts w:ascii="ZWAdobeF" w:hAnsi="ZWAdobeF" w:cs="ZWAdobeF"/>
          <w:color w:val="auto"/>
          <w:sz w:val="2"/>
          <w:szCs w:val="2"/>
        </w:rPr>
        <w:t>92B</w:t>
      </w:r>
      <w:r w:rsidR="00B763FB">
        <w:t xml:space="preserve">Our intention is that this factor should support existing tikanga regarding representation and the determination of who has responsibility for upholding collective interests. It is not intended to be an additional hurdle which makes it more difficult for Māori litigants to bring a class action. We have not made it a mandatory consideration as it may not be necessary for the court to consider this in all cases, for example, where a person is clearly recognised as having a mandate. </w:t>
      </w:r>
    </w:p>
    <w:p w14:paraId="5980286C" w14:textId="378459B3" w:rsidR="00B763FB" w:rsidRDefault="00BD5C95" w:rsidP="00932E49">
      <w:pPr>
        <w:pStyle w:val="BodyText"/>
      </w:pPr>
      <w:r>
        <w:rPr>
          <w:rFonts w:ascii="ZWAdobeF" w:hAnsi="ZWAdobeF" w:cs="ZWAdobeF"/>
          <w:color w:val="auto"/>
          <w:sz w:val="2"/>
          <w:szCs w:val="2"/>
        </w:rPr>
        <w:lastRenderedPageBreak/>
        <w:t>93B</w:t>
      </w:r>
      <w:r w:rsidR="0049638A">
        <w:rPr>
          <w:rFonts w:ascii="ZWAdobeF" w:hAnsi="ZWAdobeF" w:cs="ZWAdobeF"/>
          <w:color w:val="auto"/>
          <w:sz w:val="2"/>
          <w:szCs w:val="2"/>
        </w:rPr>
        <w:t>93B</w:t>
      </w:r>
      <w:r w:rsidR="00D629FA">
        <w:rPr>
          <w:rFonts w:ascii="ZWAdobeF" w:hAnsi="ZWAdobeF" w:cs="ZWAdobeF"/>
          <w:color w:val="auto"/>
          <w:sz w:val="2"/>
          <w:szCs w:val="2"/>
        </w:rPr>
        <w:t>93B</w:t>
      </w:r>
      <w:r w:rsidR="00B763FB">
        <w:t xml:space="preserve">We have considered whether it is appropriate to require a rangatira to demonstrate that they will be a </w:t>
      </w:r>
      <w:r w:rsidR="00B763FB" w:rsidRPr="002759F6">
        <w:t>suitable</w:t>
      </w:r>
      <w:r w:rsidR="00B763FB">
        <w:t xml:space="preserve"> representative plaintiff who will fairly and adequately represent the class, when they already have customary authority to represent their people. We think this would be appropriate because:</w:t>
      </w:r>
    </w:p>
    <w:p w14:paraId="249B9A11" w14:textId="71373439" w:rsidR="00B763FB" w:rsidRDefault="00BD5C95" w:rsidP="003E2524">
      <w:pPr>
        <w:pStyle w:val="BodyTextalphalist"/>
        <w:numPr>
          <w:ilvl w:val="3"/>
          <w:numId w:val="33"/>
        </w:numPr>
        <w:tabs>
          <w:tab w:val="clear" w:pos="709"/>
        </w:tabs>
        <w:spacing w:after="80"/>
      </w:pPr>
      <w:r>
        <w:rPr>
          <w:rFonts w:ascii="ZWAdobeF" w:hAnsi="ZWAdobeF" w:cs="ZWAdobeF"/>
          <w:color w:val="auto"/>
          <w:sz w:val="2"/>
          <w:szCs w:val="2"/>
        </w:rPr>
        <w:t>574B</w:t>
      </w:r>
      <w:r w:rsidR="0049638A">
        <w:rPr>
          <w:rFonts w:ascii="ZWAdobeF" w:hAnsi="ZWAdobeF" w:cs="ZWAdobeF"/>
          <w:color w:val="auto"/>
          <w:sz w:val="2"/>
          <w:szCs w:val="2"/>
        </w:rPr>
        <w:t>574B</w:t>
      </w:r>
      <w:r w:rsidR="00D629FA">
        <w:rPr>
          <w:rFonts w:ascii="ZWAdobeF" w:hAnsi="ZWAdobeF" w:cs="ZWAdobeF"/>
          <w:color w:val="auto"/>
          <w:sz w:val="2"/>
          <w:szCs w:val="2"/>
        </w:rPr>
        <w:t>574B</w:t>
      </w:r>
      <w:r w:rsidR="00B763FB">
        <w:t xml:space="preserve">If the rangatira </w:t>
      </w:r>
      <w:r w:rsidR="00A95504">
        <w:t xml:space="preserve">a </w:t>
      </w:r>
      <w:r w:rsidR="00B763FB">
        <w:t xml:space="preserve">becomes representative plaintiff, they will need to take on the obligations of this role, which include </w:t>
      </w:r>
      <w:r w:rsidR="00D206E0">
        <w:t xml:space="preserve">acting in </w:t>
      </w:r>
      <w:r w:rsidR="00B763FB">
        <w:t xml:space="preserve">the interests of class members who are not before the court and having </w:t>
      </w:r>
      <w:r w:rsidR="00B8607F">
        <w:t xml:space="preserve">adverse </w:t>
      </w:r>
      <w:r w:rsidR="00B763FB">
        <w:t>costs liability.</w:t>
      </w:r>
      <w:r w:rsidR="00D629FA">
        <w:rPr>
          <w:rFonts w:ascii="ZWAdobeF" w:hAnsi="ZWAdobeF" w:cs="ZWAdobeF"/>
          <w:color w:val="auto"/>
          <w:sz w:val="2"/>
          <w:szCs w:val="2"/>
        </w:rPr>
        <w:t>189F</w:t>
      </w:r>
      <w:r w:rsidR="0049638A">
        <w:rPr>
          <w:rFonts w:ascii="ZWAdobeF" w:hAnsi="ZWAdobeF" w:cs="ZWAdobeF"/>
          <w:color w:val="auto"/>
          <w:sz w:val="2"/>
          <w:szCs w:val="2"/>
        </w:rPr>
        <w:t>189F</w:t>
      </w:r>
      <w:r w:rsidR="00317AE4">
        <w:rPr>
          <w:rFonts w:ascii="ZWAdobeF" w:hAnsi="ZWAdobeF" w:cs="ZWAdobeF"/>
          <w:color w:val="auto"/>
          <w:sz w:val="2"/>
          <w:szCs w:val="2"/>
        </w:rPr>
        <w:t>189F</w:t>
      </w:r>
      <w:r w:rsidR="00D206E0">
        <w:rPr>
          <w:rStyle w:val="FootnoteReference"/>
        </w:rPr>
        <w:footnoteReference w:id="191"/>
      </w:r>
      <w:r w:rsidR="00B763FB">
        <w:t xml:space="preserve"> A suitability assessment may help to ensure the rangatira is aware of, and can plan for, costs liability.</w:t>
      </w:r>
    </w:p>
    <w:p w14:paraId="0072480F" w14:textId="781F0129" w:rsidR="00B763FB" w:rsidRDefault="00BD5C95" w:rsidP="003E2524">
      <w:pPr>
        <w:pStyle w:val="BodyTextalphalist"/>
        <w:numPr>
          <w:ilvl w:val="3"/>
          <w:numId w:val="33"/>
        </w:numPr>
        <w:tabs>
          <w:tab w:val="clear" w:pos="709"/>
        </w:tabs>
        <w:spacing w:after="80"/>
      </w:pPr>
      <w:r>
        <w:rPr>
          <w:rFonts w:ascii="ZWAdobeF" w:hAnsi="ZWAdobeF" w:cs="ZWAdobeF"/>
          <w:color w:val="auto"/>
          <w:sz w:val="2"/>
          <w:szCs w:val="2"/>
        </w:rPr>
        <w:t>575B</w:t>
      </w:r>
      <w:r w:rsidR="0049638A">
        <w:rPr>
          <w:rFonts w:ascii="ZWAdobeF" w:hAnsi="ZWAdobeF" w:cs="ZWAdobeF"/>
          <w:color w:val="auto"/>
          <w:sz w:val="2"/>
          <w:szCs w:val="2"/>
        </w:rPr>
        <w:t>575B</w:t>
      </w:r>
      <w:r w:rsidR="00D629FA">
        <w:rPr>
          <w:rFonts w:ascii="ZWAdobeF" w:hAnsi="ZWAdobeF" w:cs="ZWAdobeF"/>
          <w:color w:val="auto"/>
          <w:sz w:val="2"/>
          <w:szCs w:val="2"/>
        </w:rPr>
        <w:t>575B</w:t>
      </w:r>
      <w:r w:rsidR="00B763FB">
        <w:t>The adequacy test is flexible and is not designed to be overly onerous. It should not be difficult for a person who is a rangatira to establish they would fairly and adequately represent their people.</w:t>
      </w:r>
    </w:p>
    <w:p w14:paraId="3B431EAC" w14:textId="53A83C52" w:rsidR="00B763FB" w:rsidRDefault="00BD5C95" w:rsidP="003E2524">
      <w:pPr>
        <w:pStyle w:val="BodyTextalphalist"/>
        <w:numPr>
          <w:ilvl w:val="3"/>
          <w:numId w:val="33"/>
        </w:numPr>
        <w:tabs>
          <w:tab w:val="clear" w:pos="709"/>
        </w:tabs>
        <w:spacing w:after="80"/>
      </w:pPr>
      <w:r>
        <w:rPr>
          <w:rFonts w:ascii="ZWAdobeF" w:hAnsi="ZWAdobeF" w:cs="ZWAdobeF"/>
          <w:color w:val="auto"/>
          <w:sz w:val="2"/>
          <w:szCs w:val="2"/>
        </w:rPr>
        <w:t>576B</w:t>
      </w:r>
      <w:r w:rsidR="0049638A">
        <w:rPr>
          <w:rFonts w:ascii="ZWAdobeF" w:hAnsi="ZWAdobeF" w:cs="ZWAdobeF"/>
          <w:color w:val="auto"/>
          <w:sz w:val="2"/>
          <w:szCs w:val="2"/>
        </w:rPr>
        <w:t>576B</w:t>
      </w:r>
      <w:r w:rsidR="00D629FA">
        <w:rPr>
          <w:rFonts w:ascii="ZWAdobeF" w:hAnsi="ZWAdobeF" w:cs="ZWAdobeF"/>
          <w:color w:val="auto"/>
          <w:sz w:val="2"/>
          <w:szCs w:val="2"/>
        </w:rPr>
        <w:t>576B</w:t>
      </w:r>
      <w:r w:rsidR="00B763FB">
        <w:t xml:space="preserve">The adequacy test allows consideration of tikanga on representation. </w:t>
      </w:r>
    </w:p>
    <w:p w14:paraId="18FC814F" w14:textId="5D063EE8" w:rsidR="00B763FB" w:rsidRDefault="00BD5C95" w:rsidP="00932E49">
      <w:pPr>
        <w:pStyle w:val="BodyText"/>
      </w:pPr>
      <w:r>
        <w:rPr>
          <w:rFonts w:ascii="ZWAdobeF" w:hAnsi="ZWAdobeF" w:cs="ZWAdobeF"/>
          <w:color w:val="auto"/>
          <w:sz w:val="2"/>
          <w:szCs w:val="2"/>
        </w:rPr>
        <w:t>94B</w:t>
      </w:r>
      <w:r w:rsidR="0049638A">
        <w:rPr>
          <w:rFonts w:ascii="ZWAdobeF" w:hAnsi="ZWAdobeF" w:cs="ZWAdobeF"/>
          <w:color w:val="auto"/>
          <w:sz w:val="2"/>
          <w:szCs w:val="2"/>
        </w:rPr>
        <w:t>94B</w:t>
      </w:r>
      <w:r w:rsidR="00D629FA">
        <w:rPr>
          <w:rFonts w:ascii="ZWAdobeF" w:hAnsi="ZWAdobeF" w:cs="ZWAdobeF"/>
          <w:color w:val="auto"/>
          <w:sz w:val="2"/>
          <w:szCs w:val="2"/>
        </w:rPr>
        <w:t>94B</w:t>
      </w:r>
      <w:r w:rsidR="00B763FB">
        <w:t xml:space="preserve">We anticipate that as part of the certification process, the court could receive evidence of the iwi or hapū’s tikanga on representation and any tikanga process that has been undertaken with respect to the proposed representative plaintiff. </w:t>
      </w:r>
    </w:p>
    <w:p w14:paraId="29F963F4" w14:textId="11D3E517" w:rsidR="00B763FB" w:rsidRDefault="00BD5C95" w:rsidP="00932E49">
      <w:pPr>
        <w:pStyle w:val="BodyText"/>
      </w:pPr>
      <w:r>
        <w:rPr>
          <w:rFonts w:ascii="ZWAdobeF" w:hAnsi="ZWAdobeF" w:cs="ZWAdobeF"/>
          <w:color w:val="auto"/>
          <w:sz w:val="2"/>
          <w:szCs w:val="2"/>
        </w:rPr>
        <w:t>95B</w:t>
      </w:r>
      <w:r w:rsidR="0049638A">
        <w:rPr>
          <w:rFonts w:ascii="ZWAdobeF" w:hAnsi="ZWAdobeF" w:cs="ZWAdobeF"/>
          <w:color w:val="auto"/>
          <w:sz w:val="2"/>
          <w:szCs w:val="2"/>
        </w:rPr>
        <w:t>95B</w:t>
      </w:r>
      <w:r w:rsidR="00D629FA">
        <w:rPr>
          <w:rFonts w:ascii="ZWAdobeF" w:hAnsi="ZWAdobeF" w:cs="ZWAdobeF"/>
          <w:color w:val="auto"/>
          <w:sz w:val="2"/>
          <w:szCs w:val="2"/>
        </w:rPr>
        <w:t>95B</w:t>
      </w:r>
      <w:r w:rsidR="00CB0BA8">
        <w:t xml:space="preserve">We do not think a </w:t>
      </w:r>
      <w:r w:rsidR="00B763FB">
        <w:t xml:space="preserve">class actions regime </w:t>
      </w:r>
      <w:r w:rsidR="00CB0BA8">
        <w:t xml:space="preserve">needs to </w:t>
      </w:r>
      <w:r w:rsidR="00B763FB">
        <w:t>specify a process for the court to follow when considering tikanga on representation.</w:t>
      </w:r>
      <w:r w:rsidR="00B763FB" w:rsidRPr="00020EE6">
        <w:t xml:space="preserve"> </w:t>
      </w:r>
      <w:r w:rsidR="00B763FB">
        <w:t>Courts consider issues of tikanga on a regular basis and can appoint an expert to assist if appropriate.</w:t>
      </w:r>
      <w:r w:rsidR="00D629FA">
        <w:rPr>
          <w:rFonts w:ascii="ZWAdobeF" w:hAnsi="ZWAdobeF" w:cs="ZWAdobeF"/>
          <w:color w:val="auto"/>
          <w:sz w:val="2"/>
          <w:szCs w:val="2"/>
        </w:rPr>
        <w:t>190F</w:t>
      </w:r>
      <w:r w:rsidR="0049638A">
        <w:rPr>
          <w:rFonts w:ascii="ZWAdobeF" w:hAnsi="ZWAdobeF" w:cs="ZWAdobeF"/>
          <w:color w:val="auto"/>
          <w:sz w:val="2"/>
          <w:szCs w:val="2"/>
        </w:rPr>
        <w:t>190F</w:t>
      </w:r>
      <w:r w:rsidR="00317AE4">
        <w:rPr>
          <w:rFonts w:ascii="ZWAdobeF" w:hAnsi="ZWAdobeF" w:cs="ZWAdobeF"/>
          <w:color w:val="auto"/>
          <w:sz w:val="2"/>
          <w:szCs w:val="2"/>
        </w:rPr>
        <w:t>190F</w:t>
      </w:r>
      <w:r w:rsidR="00B763FB">
        <w:rPr>
          <w:rStyle w:val="FootnoteReference"/>
        </w:rPr>
        <w:footnoteReference w:id="192"/>
      </w:r>
      <w:r w:rsidR="00B763FB">
        <w:t xml:space="preserve"> The Māori Land Court could also advise the High Court on representation</w:t>
      </w:r>
      <w:r w:rsidR="00A95504">
        <w:t>.</w:t>
      </w:r>
      <w:r w:rsidR="00D629FA">
        <w:rPr>
          <w:rFonts w:ascii="ZWAdobeF" w:hAnsi="ZWAdobeF" w:cs="ZWAdobeF"/>
          <w:color w:val="auto"/>
          <w:sz w:val="2"/>
          <w:szCs w:val="2"/>
        </w:rPr>
        <w:t>191F</w:t>
      </w:r>
      <w:r w:rsidR="0049638A">
        <w:rPr>
          <w:rFonts w:ascii="ZWAdobeF" w:hAnsi="ZWAdobeF" w:cs="ZWAdobeF"/>
          <w:color w:val="auto"/>
          <w:sz w:val="2"/>
          <w:szCs w:val="2"/>
        </w:rPr>
        <w:t>191F</w:t>
      </w:r>
      <w:r w:rsidR="00317AE4">
        <w:rPr>
          <w:rFonts w:ascii="ZWAdobeF" w:hAnsi="ZWAdobeF" w:cs="ZWAdobeF"/>
          <w:color w:val="auto"/>
          <w:sz w:val="2"/>
          <w:szCs w:val="2"/>
        </w:rPr>
        <w:t>191F</w:t>
      </w:r>
      <w:r w:rsidR="00A95504">
        <w:rPr>
          <w:rStyle w:val="FootnoteReference"/>
        </w:rPr>
        <w:footnoteReference w:id="193"/>
      </w:r>
      <w:r w:rsidR="00B763FB">
        <w:t xml:space="preserve"> If there is a need for a more formal or specific mechanism to assist the court to consider issues of tikanga, </w:t>
      </w:r>
      <w:r w:rsidR="00CB0BA8">
        <w:t xml:space="preserve">we think </w:t>
      </w:r>
      <w:r w:rsidR="00B763FB">
        <w:t xml:space="preserve">it would be preferable to have a general provision in the High Court Rules rather than a specific process applying only to class actions. Otherwise, there is a risk of inconsistencies between class action cases and other types of case. </w:t>
      </w:r>
    </w:p>
    <w:p w14:paraId="5F7C6094" w14:textId="77777777" w:rsidR="00B763FB" w:rsidRDefault="00B763FB" w:rsidP="0016640A">
      <w:pPr>
        <w:pStyle w:val="Heading4"/>
      </w:pPr>
      <w:r>
        <w:t>Other representative plaintiff matters</w:t>
      </w:r>
    </w:p>
    <w:p w14:paraId="4191FEE8" w14:textId="0D4EA88E" w:rsidR="00B763FB" w:rsidRDefault="00BD5C95" w:rsidP="00932DB9">
      <w:pPr>
        <w:pStyle w:val="BodyText"/>
        <w:tabs>
          <w:tab w:val="num" w:pos="709"/>
        </w:tabs>
        <w:ind w:hanging="596"/>
      </w:pPr>
      <w:r>
        <w:rPr>
          <w:rFonts w:ascii="ZWAdobeF" w:hAnsi="ZWAdobeF" w:cs="ZWAdobeF"/>
          <w:color w:val="auto"/>
          <w:sz w:val="2"/>
          <w:szCs w:val="2"/>
        </w:rPr>
        <w:t>96B</w:t>
      </w:r>
      <w:r w:rsidR="0049638A">
        <w:rPr>
          <w:rFonts w:ascii="ZWAdobeF" w:hAnsi="ZWAdobeF" w:cs="ZWAdobeF"/>
          <w:color w:val="auto"/>
          <w:sz w:val="2"/>
          <w:szCs w:val="2"/>
        </w:rPr>
        <w:t>96B</w:t>
      </w:r>
      <w:r w:rsidR="00D629FA">
        <w:rPr>
          <w:rFonts w:ascii="ZWAdobeF" w:hAnsi="ZWAdobeF" w:cs="ZWAdobeF"/>
          <w:color w:val="auto"/>
          <w:sz w:val="2"/>
          <w:szCs w:val="2"/>
        </w:rPr>
        <w:t>96B</w:t>
      </w:r>
      <w:r w:rsidR="00B763FB">
        <w:t xml:space="preserve">We also consider the court should have powers to replace a representative plaintiff, for example where the person settles their individual claim or is no longer meeting the requirement that they are a suitable person who can fairly and adequately represent the class. </w:t>
      </w:r>
    </w:p>
    <w:p w14:paraId="18ECEEC3" w14:textId="5F710160" w:rsidR="00B763FB" w:rsidRDefault="00BD5C95" w:rsidP="00932DB9">
      <w:pPr>
        <w:pStyle w:val="BodyText"/>
        <w:tabs>
          <w:tab w:val="num" w:pos="709"/>
        </w:tabs>
        <w:ind w:hanging="596"/>
      </w:pPr>
      <w:r>
        <w:rPr>
          <w:rFonts w:ascii="ZWAdobeF" w:hAnsi="ZWAdobeF" w:cs="ZWAdobeF"/>
          <w:color w:val="auto"/>
          <w:sz w:val="2"/>
          <w:szCs w:val="2"/>
        </w:rPr>
        <w:t>97B</w:t>
      </w:r>
      <w:r w:rsidR="0049638A">
        <w:rPr>
          <w:rFonts w:ascii="ZWAdobeF" w:hAnsi="ZWAdobeF" w:cs="ZWAdobeF"/>
          <w:color w:val="auto"/>
          <w:sz w:val="2"/>
          <w:szCs w:val="2"/>
        </w:rPr>
        <w:t>97B</w:t>
      </w:r>
      <w:r w:rsidR="00D629FA">
        <w:rPr>
          <w:rFonts w:ascii="ZWAdobeF" w:hAnsi="ZWAdobeF" w:cs="ZWAdobeF"/>
          <w:color w:val="auto"/>
          <w:sz w:val="2"/>
          <w:szCs w:val="2"/>
        </w:rPr>
        <w:t>97B</w:t>
      </w:r>
      <w:r w:rsidR="00B763FB">
        <w:t xml:space="preserve">Later in this chapter, we suggest that sub-classes may be appropriate in some circumstances. If a sub-class is formed, then it will be necessary to appoint a sub-class representative plaintiff. In such a case, that person should have to meet the same test that applies to the representative plaintiff. </w:t>
      </w:r>
    </w:p>
    <w:p w14:paraId="54907891" w14:textId="77777777" w:rsidR="00B763FB" w:rsidRDefault="00B763FB" w:rsidP="0016640A">
      <w:pPr>
        <w:pStyle w:val="Heading3"/>
      </w:pPr>
      <w:r>
        <w:t xml:space="preserve">Litigation plan </w:t>
      </w:r>
    </w:p>
    <w:p w14:paraId="456E48B0" w14:textId="0F028B5F" w:rsidR="00B763FB" w:rsidRDefault="00BD5C95" w:rsidP="00932E49">
      <w:pPr>
        <w:pStyle w:val="BodyText"/>
      </w:pPr>
      <w:r>
        <w:rPr>
          <w:rFonts w:ascii="ZWAdobeF" w:hAnsi="ZWAdobeF" w:cs="ZWAdobeF"/>
          <w:color w:val="auto"/>
          <w:sz w:val="2"/>
          <w:szCs w:val="2"/>
        </w:rPr>
        <w:t>98B</w:t>
      </w:r>
      <w:r w:rsidR="0049638A">
        <w:rPr>
          <w:rFonts w:ascii="ZWAdobeF" w:hAnsi="ZWAdobeF" w:cs="ZWAdobeF"/>
          <w:color w:val="auto"/>
          <w:sz w:val="2"/>
          <w:szCs w:val="2"/>
        </w:rPr>
        <w:t>98B</w:t>
      </w:r>
      <w:r w:rsidR="00D629FA">
        <w:rPr>
          <w:rFonts w:ascii="ZWAdobeF" w:hAnsi="ZWAdobeF" w:cs="ZWAdobeF"/>
          <w:color w:val="auto"/>
          <w:sz w:val="2"/>
          <w:szCs w:val="2"/>
        </w:rPr>
        <w:t>98B</w:t>
      </w:r>
      <w:r w:rsidR="00B763FB">
        <w:t>Our Issues Paper noted that some jurisdictions require the representative plaintiff to have prepared a litigation plan as part of a certification test and asked whether this should be required in Aotearoa New Zealand (Q 25).</w:t>
      </w:r>
      <w:r w:rsidR="00D629FA">
        <w:rPr>
          <w:rFonts w:ascii="ZWAdobeF" w:hAnsi="ZWAdobeF" w:cs="ZWAdobeF"/>
          <w:color w:val="auto"/>
          <w:sz w:val="2"/>
          <w:szCs w:val="2"/>
        </w:rPr>
        <w:t>192F</w:t>
      </w:r>
      <w:r w:rsidR="0049638A">
        <w:rPr>
          <w:rFonts w:ascii="ZWAdobeF" w:hAnsi="ZWAdobeF" w:cs="ZWAdobeF"/>
          <w:color w:val="auto"/>
          <w:sz w:val="2"/>
          <w:szCs w:val="2"/>
        </w:rPr>
        <w:t>192F</w:t>
      </w:r>
      <w:r w:rsidR="00317AE4">
        <w:rPr>
          <w:rFonts w:ascii="ZWAdobeF" w:hAnsi="ZWAdobeF" w:cs="ZWAdobeF"/>
          <w:color w:val="auto"/>
          <w:sz w:val="2"/>
          <w:szCs w:val="2"/>
        </w:rPr>
        <w:t>192F</w:t>
      </w:r>
      <w:r w:rsidR="00B763FB">
        <w:rPr>
          <w:rStyle w:val="FootnoteReference"/>
        </w:rPr>
        <w:footnoteReference w:id="194"/>
      </w:r>
      <w:r w:rsidR="00B763FB">
        <w:t xml:space="preserve"> We received 14 submissions on this </w:t>
      </w:r>
      <w:r w:rsidR="00B763FB">
        <w:lastRenderedPageBreak/>
        <w:t>question.</w:t>
      </w:r>
      <w:r w:rsidR="00D629FA">
        <w:rPr>
          <w:rFonts w:ascii="ZWAdobeF" w:hAnsi="ZWAdobeF" w:cs="ZWAdobeF"/>
          <w:color w:val="auto"/>
          <w:sz w:val="2"/>
          <w:szCs w:val="2"/>
        </w:rPr>
        <w:t>193F</w:t>
      </w:r>
      <w:r w:rsidR="0049638A">
        <w:rPr>
          <w:rFonts w:ascii="ZWAdobeF" w:hAnsi="ZWAdobeF" w:cs="ZWAdobeF"/>
          <w:color w:val="auto"/>
          <w:sz w:val="2"/>
          <w:szCs w:val="2"/>
        </w:rPr>
        <w:t>193F</w:t>
      </w:r>
      <w:r w:rsidR="00317AE4">
        <w:rPr>
          <w:rFonts w:ascii="ZWAdobeF" w:hAnsi="ZWAdobeF" w:cs="ZWAdobeF"/>
          <w:color w:val="auto"/>
          <w:sz w:val="2"/>
          <w:szCs w:val="2"/>
        </w:rPr>
        <w:t>193F</w:t>
      </w:r>
      <w:r w:rsidR="00B763FB">
        <w:rPr>
          <w:rStyle w:val="FootnoteReference"/>
        </w:rPr>
        <w:footnoteReference w:id="195"/>
      </w:r>
      <w:r w:rsidR="00B763FB">
        <w:t xml:space="preserve"> There were four submitters who expressly said a representative plaintiff should have to provide a litigation plan as part of a certification test and two other submitters who appeared to support this.</w:t>
      </w:r>
      <w:r w:rsidR="00D629FA">
        <w:rPr>
          <w:rFonts w:ascii="ZWAdobeF" w:hAnsi="ZWAdobeF" w:cs="ZWAdobeF"/>
          <w:color w:val="auto"/>
          <w:sz w:val="2"/>
          <w:szCs w:val="2"/>
        </w:rPr>
        <w:t>194F</w:t>
      </w:r>
      <w:r w:rsidR="0049638A">
        <w:rPr>
          <w:rFonts w:ascii="ZWAdobeF" w:hAnsi="ZWAdobeF" w:cs="ZWAdobeF"/>
          <w:color w:val="auto"/>
          <w:sz w:val="2"/>
          <w:szCs w:val="2"/>
        </w:rPr>
        <w:t>194F</w:t>
      </w:r>
      <w:r w:rsidR="00317AE4">
        <w:rPr>
          <w:rFonts w:ascii="ZWAdobeF" w:hAnsi="ZWAdobeF" w:cs="ZWAdobeF"/>
          <w:color w:val="auto"/>
          <w:sz w:val="2"/>
          <w:szCs w:val="2"/>
        </w:rPr>
        <w:t>194F</w:t>
      </w:r>
      <w:r w:rsidR="00B763FB">
        <w:rPr>
          <w:rStyle w:val="FootnoteReference"/>
        </w:rPr>
        <w:footnoteReference w:id="196"/>
      </w:r>
      <w:r w:rsidR="00B763FB">
        <w:t xml:space="preserve"> Potential benefits of a litigation plan were said to include: protecting the defendant and class members from poorly-run cases, alerting the court to any issues at an early stage, allowing the parties to understand the likely scope and costs of the case, and providing the court with information necessary for certification. </w:t>
      </w:r>
    </w:p>
    <w:p w14:paraId="32E76500" w14:textId="2D2466CD" w:rsidR="00B763FB" w:rsidRDefault="00BD5C95" w:rsidP="00932E49">
      <w:pPr>
        <w:pStyle w:val="BodyText"/>
      </w:pPr>
      <w:r>
        <w:rPr>
          <w:rFonts w:ascii="ZWAdobeF" w:hAnsi="ZWAdobeF" w:cs="ZWAdobeF"/>
          <w:color w:val="auto"/>
          <w:sz w:val="2"/>
          <w:szCs w:val="2"/>
        </w:rPr>
        <w:t>99B</w:t>
      </w:r>
      <w:r w:rsidR="0049638A">
        <w:rPr>
          <w:rFonts w:ascii="ZWAdobeF" w:hAnsi="ZWAdobeF" w:cs="ZWAdobeF"/>
          <w:color w:val="auto"/>
          <w:sz w:val="2"/>
          <w:szCs w:val="2"/>
        </w:rPr>
        <w:t>99B</w:t>
      </w:r>
      <w:r w:rsidR="00D629FA">
        <w:rPr>
          <w:rFonts w:ascii="ZWAdobeF" w:hAnsi="ZWAdobeF" w:cs="ZWAdobeF"/>
          <w:color w:val="auto"/>
          <w:sz w:val="2"/>
          <w:szCs w:val="2"/>
        </w:rPr>
        <w:t>99B</w:t>
      </w:r>
      <w:r w:rsidR="00B763FB">
        <w:t>Five submitters were opposed to a litigation plan being part of a certification test.</w:t>
      </w:r>
      <w:r w:rsidR="00D629FA">
        <w:rPr>
          <w:rFonts w:ascii="ZWAdobeF" w:hAnsi="ZWAdobeF" w:cs="ZWAdobeF"/>
          <w:color w:val="auto"/>
          <w:sz w:val="2"/>
          <w:szCs w:val="2"/>
        </w:rPr>
        <w:t>195F</w:t>
      </w:r>
      <w:r w:rsidR="0049638A">
        <w:rPr>
          <w:rFonts w:ascii="ZWAdobeF" w:hAnsi="ZWAdobeF" w:cs="ZWAdobeF"/>
          <w:color w:val="auto"/>
          <w:sz w:val="2"/>
          <w:szCs w:val="2"/>
        </w:rPr>
        <w:t>195F</w:t>
      </w:r>
      <w:r w:rsidR="00317AE4">
        <w:rPr>
          <w:rFonts w:ascii="ZWAdobeF" w:hAnsi="ZWAdobeF" w:cs="ZWAdobeF"/>
          <w:color w:val="auto"/>
          <w:sz w:val="2"/>
          <w:szCs w:val="2"/>
        </w:rPr>
        <w:t>195F</w:t>
      </w:r>
      <w:r w:rsidR="00B763FB">
        <w:rPr>
          <w:rStyle w:val="FootnoteReference"/>
        </w:rPr>
        <w:footnoteReference w:id="197"/>
      </w:r>
      <w:r w:rsidR="00B763FB">
        <w:t xml:space="preserve"> Some submitters commented that it could cause delay and that it was difficult to assess how litigation would be run at an early stage. Six submitters thought case management was the appropriate way to assess how the litigation would be run, including most of the submitters who opposed a litigation plan being part of certification.</w:t>
      </w:r>
      <w:r w:rsidR="00D629FA">
        <w:rPr>
          <w:rFonts w:ascii="ZWAdobeF" w:hAnsi="ZWAdobeF" w:cs="ZWAdobeF"/>
          <w:color w:val="auto"/>
          <w:sz w:val="2"/>
          <w:szCs w:val="2"/>
        </w:rPr>
        <w:t>196F</w:t>
      </w:r>
      <w:r w:rsidR="0049638A">
        <w:rPr>
          <w:rFonts w:ascii="ZWAdobeF" w:hAnsi="ZWAdobeF" w:cs="ZWAdobeF"/>
          <w:color w:val="auto"/>
          <w:sz w:val="2"/>
          <w:szCs w:val="2"/>
        </w:rPr>
        <w:t>196F</w:t>
      </w:r>
      <w:r w:rsidR="00317AE4">
        <w:rPr>
          <w:rFonts w:ascii="ZWAdobeF" w:hAnsi="ZWAdobeF" w:cs="ZWAdobeF"/>
          <w:color w:val="auto"/>
          <w:sz w:val="2"/>
          <w:szCs w:val="2"/>
        </w:rPr>
        <w:t>196F</w:t>
      </w:r>
      <w:r w:rsidR="00B763FB">
        <w:rPr>
          <w:rStyle w:val="FootnoteReference"/>
        </w:rPr>
        <w:footnoteReference w:id="198"/>
      </w:r>
      <w:r w:rsidR="00B763FB">
        <w:t xml:space="preserve"> Three submitters did not clearly state a view on having a litigation plan as part of certification.</w:t>
      </w:r>
      <w:r w:rsidR="00D629FA">
        <w:rPr>
          <w:rFonts w:ascii="ZWAdobeF" w:hAnsi="ZWAdobeF" w:cs="ZWAdobeF"/>
          <w:color w:val="auto"/>
          <w:sz w:val="2"/>
          <w:szCs w:val="2"/>
        </w:rPr>
        <w:t>197F</w:t>
      </w:r>
      <w:r w:rsidR="0049638A">
        <w:rPr>
          <w:rFonts w:ascii="ZWAdobeF" w:hAnsi="ZWAdobeF" w:cs="ZWAdobeF"/>
          <w:color w:val="auto"/>
          <w:sz w:val="2"/>
          <w:szCs w:val="2"/>
        </w:rPr>
        <w:t>197F</w:t>
      </w:r>
      <w:r w:rsidR="00317AE4">
        <w:rPr>
          <w:rFonts w:ascii="ZWAdobeF" w:hAnsi="ZWAdobeF" w:cs="ZWAdobeF"/>
          <w:color w:val="auto"/>
          <w:sz w:val="2"/>
          <w:szCs w:val="2"/>
        </w:rPr>
        <w:t>197F</w:t>
      </w:r>
      <w:r w:rsidR="00B763FB">
        <w:rPr>
          <w:rStyle w:val="FootnoteReference"/>
        </w:rPr>
        <w:footnoteReference w:id="199"/>
      </w:r>
      <w:r w:rsidR="00B763FB">
        <w:t xml:space="preserve"> </w:t>
      </w:r>
    </w:p>
    <w:p w14:paraId="721A7B67" w14:textId="0F048CED" w:rsidR="00B763FB" w:rsidRDefault="00BD5C95" w:rsidP="00932E49">
      <w:pPr>
        <w:pStyle w:val="BodyText"/>
      </w:pPr>
      <w:r>
        <w:rPr>
          <w:rFonts w:ascii="ZWAdobeF" w:hAnsi="ZWAdobeF" w:cs="ZWAdobeF"/>
          <w:color w:val="auto"/>
          <w:sz w:val="2"/>
          <w:szCs w:val="2"/>
        </w:rPr>
        <w:t>100B</w:t>
      </w:r>
      <w:r w:rsidR="0049638A">
        <w:rPr>
          <w:rFonts w:ascii="ZWAdobeF" w:hAnsi="ZWAdobeF" w:cs="ZWAdobeF"/>
          <w:color w:val="auto"/>
          <w:sz w:val="2"/>
          <w:szCs w:val="2"/>
        </w:rPr>
        <w:t>100B</w:t>
      </w:r>
      <w:r w:rsidR="00D629FA">
        <w:rPr>
          <w:rFonts w:ascii="ZWAdobeF" w:hAnsi="ZWAdobeF" w:cs="ZWAdobeF"/>
          <w:color w:val="auto"/>
          <w:sz w:val="2"/>
          <w:szCs w:val="2"/>
        </w:rPr>
        <w:t>100B</w:t>
      </w:r>
      <w:r w:rsidR="00B763FB">
        <w:t xml:space="preserve">Ensuring that litigation is managed in an efficient way is in the interests of </w:t>
      </w:r>
      <w:r w:rsidR="0036675F">
        <w:t xml:space="preserve">parties, </w:t>
      </w:r>
      <w:r w:rsidR="00B763FB">
        <w:t xml:space="preserve">class members and the court. A plaintiff will need to provide the court with some details as to how it intends to run the litigation to enable the court to assess whether the time and cost of the class action will be proportionate to the relief sought.  However, we do not think it is necessary to require a litigation plan as part of a certification test. It may be difficult for a plaintiff to have a clear idea of how the litigation will be run at such an early stage. A mandatory litigation plan could require the court to determine too many detailed issues as part of certification, which could cause delay. If there are any significant concerns about whether the case can be efficiently run as a class action, these may be relevant to a court’s assessment of whether a class action would be an appropriate procedure for the efficient resolution of class members’ claims. </w:t>
      </w:r>
      <w:r w:rsidR="0036675F">
        <w:t>We think d</w:t>
      </w:r>
      <w:r w:rsidR="00B763FB">
        <w:t>etailed issues c</w:t>
      </w:r>
      <w:r w:rsidR="0036675F">
        <w:t>ould</w:t>
      </w:r>
      <w:r w:rsidR="00B763FB">
        <w:t xml:space="preserve"> be considered as part of case management. </w:t>
      </w:r>
    </w:p>
    <w:p w14:paraId="7CFD066A" w14:textId="77777777" w:rsidR="00B763FB" w:rsidRDefault="00B763FB" w:rsidP="00326D08">
      <w:pPr>
        <w:pStyle w:val="Heading3"/>
      </w:pPr>
      <w:r>
        <w:t xml:space="preserve">Litigation funding arrangements </w:t>
      </w:r>
    </w:p>
    <w:p w14:paraId="11EC1535" w14:textId="424FEB59" w:rsidR="00B763FB" w:rsidRPr="0034282D" w:rsidRDefault="00BD5C95" w:rsidP="00932E49">
      <w:pPr>
        <w:pStyle w:val="BodyText"/>
      </w:pPr>
      <w:r>
        <w:rPr>
          <w:rFonts w:ascii="ZWAdobeF" w:hAnsi="ZWAdobeF" w:cs="ZWAdobeF"/>
          <w:color w:val="auto"/>
          <w:sz w:val="2"/>
          <w:szCs w:val="2"/>
        </w:rPr>
        <w:t>101B</w:t>
      </w:r>
      <w:r w:rsidR="0049638A">
        <w:rPr>
          <w:rFonts w:ascii="ZWAdobeF" w:hAnsi="ZWAdobeF" w:cs="ZWAdobeF"/>
          <w:color w:val="auto"/>
          <w:sz w:val="2"/>
          <w:szCs w:val="2"/>
        </w:rPr>
        <w:t>101B</w:t>
      </w:r>
      <w:r w:rsidR="00D629FA">
        <w:rPr>
          <w:rFonts w:ascii="ZWAdobeF" w:hAnsi="ZWAdobeF" w:cs="ZWAdobeF"/>
          <w:color w:val="auto"/>
          <w:sz w:val="2"/>
          <w:szCs w:val="2"/>
        </w:rPr>
        <w:t>101B</w:t>
      </w:r>
      <w:r w:rsidR="00B763FB">
        <w:t>In the Issues Paper, we asked whether the court should consider litigation funding arrangements when a class action is commenced (Q</w:t>
      </w:r>
      <w:r w:rsidR="006033BA">
        <w:t xml:space="preserve"> </w:t>
      </w:r>
      <w:r w:rsidR="00B763FB">
        <w:t xml:space="preserve">26). We have not yet formed a view on this. If we consider this is desirable, we anticipate it would be provided for separately rather than being part of a certification test.  </w:t>
      </w:r>
    </w:p>
    <w:p w14:paraId="43DDC28E" w14:textId="77777777" w:rsidR="00FF389B" w:rsidRDefault="00FF389B">
      <w:pPr>
        <w:widowControl w:val="0"/>
        <w:spacing w:after="200" w:line="276" w:lineRule="auto"/>
        <w:rPr>
          <w:rFonts w:ascii="Metropolis" w:hAnsi="Metropolis"/>
          <w:b/>
          <w:color w:val="73AB6E"/>
          <w:sz w:val="22"/>
        </w:rPr>
      </w:pPr>
      <w:r>
        <w:br w:type="page"/>
      </w:r>
    </w:p>
    <w:p w14:paraId="74B28D8C" w14:textId="21E0B072" w:rsidR="006E2314" w:rsidRPr="006E2314" w:rsidRDefault="00C03BEA" w:rsidP="00326D08">
      <w:pPr>
        <w:pStyle w:val="Heading3"/>
      </w:pPr>
      <w:r w:rsidRPr="00326D08">
        <w:rPr>
          <w:noProof/>
          <w:sz w:val="2"/>
          <w:szCs w:val="6"/>
        </w:rPr>
        <w:lastRenderedPageBreak/>
        <mc:AlternateContent>
          <mc:Choice Requires="wps">
            <w:drawing>
              <wp:anchor distT="0" distB="0" distL="114300" distR="114300" simplePos="0" relativeHeight="251651106" behindDoc="1" locked="0" layoutInCell="1" allowOverlap="1" wp14:anchorId="241BDC5B" wp14:editId="126EC6F2">
                <wp:simplePos x="0" y="0"/>
                <wp:positionH relativeFrom="column">
                  <wp:posOffset>520</wp:posOffset>
                </wp:positionH>
                <wp:positionV relativeFrom="paragraph">
                  <wp:posOffset>291209</wp:posOffset>
                </wp:positionV>
                <wp:extent cx="5760085" cy="938151"/>
                <wp:effectExtent l="0" t="0" r="0" b="0"/>
                <wp:wrapNone/>
                <wp:docPr id="2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93815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7E51325" id="Freeform 54" o:spid="_x0000_s1026" style="position:absolute;margin-left:.05pt;margin-top:22.95pt;width:453.55pt;height:73.85pt;z-index:-2516653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" path="m,l9354,r,7809l,7809,,e" fillcolor="#edf2ea" stroked="f">
                <v:path arrowok="t" o:connecttype="custom" o:connectlocs="0,120137;5760085,120137;5760085,1058288;0,1058288;0,120137" o:connectangles="0,0,0,0,0"/>
              </v:shape>
            </w:pict>
          </mc:Fallback>
        </mc:AlternateContent>
      </w:r>
      <w:r w:rsidR="00B763FB">
        <w:t>Draft certification provision</w:t>
      </w:r>
    </w:p>
    <w:p w14:paraId="5CBE1206" w14:textId="5C805529" w:rsidR="0041250E" w:rsidRPr="0041250E" w:rsidRDefault="00BD5C95" w:rsidP="00B73434">
      <w:pPr>
        <w:widowControl w:val="0"/>
        <w:numPr>
          <w:ilvl w:val="0"/>
          <w:numId w:val="55"/>
        </w:numPr>
        <w:tabs>
          <w:tab w:val="left" w:pos="905"/>
        </w:tabs>
        <w:autoSpaceDE w:val="0"/>
        <w:autoSpaceDN w:val="0"/>
        <w:spacing w:before="202"/>
        <w:ind w:hanging="601"/>
        <w:jc w:val="both"/>
        <w:outlineLvl w:val="2"/>
        <w:rPr>
          <w:rFonts w:ascii="Times New Roman" w:hAnsi="Times New Roman"/>
          <w:b/>
          <w:sz w:val="23"/>
          <w:szCs w:val="23"/>
          <w:lang w:val="en-US" w:bidi="en-US"/>
        </w:rPr>
      </w:pPr>
      <w:r>
        <w:rPr>
          <w:rFonts w:ascii="ZWAdobeF" w:hAnsi="ZWAdobeF" w:cs="ZWAdobeF"/>
          <w:color w:val="auto"/>
          <w:sz w:val="2"/>
          <w:szCs w:val="2"/>
          <w:lang w:val="en-US" w:bidi="en-US"/>
        </w:rPr>
        <w:t>1039B</w:t>
      </w:r>
      <w:r w:rsidR="0049638A">
        <w:rPr>
          <w:rFonts w:ascii="ZWAdobeF" w:hAnsi="ZWAdobeF" w:cs="ZWAdobeF"/>
          <w:color w:val="auto"/>
          <w:sz w:val="2"/>
          <w:szCs w:val="2"/>
          <w:lang w:val="en-US" w:bidi="en-US"/>
        </w:rPr>
        <w:t>1039B</w:t>
      </w:r>
      <w:r w:rsidR="00D629FA">
        <w:rPr>
          <w:rFonts w:ascii="ZWAdobeF" w:hAnsi="ZWAdobeF" w:cs="ZWAdobeF"/>
          <w:color w:val="auto"/>
          <w:sz w:val="2"/>
          <w:szCs w:val="2"/>
          <w:lang w:val="en-US" w:bidi="en-US"/>
        </w:rPr>
        <w:t>1039B</w:t>
      </w:r>
      <w:r w:rsidR="0041250E" w:rsidRPr="0041250E">
        <w:rPr>
          <w:rFonts w:ascii="Times New Roman" w:hAnsi="Times New Roman"/>
          <w:b/>
          <w:sz w:val="23"/>
          <w:szCs w:val="23"/>
          <w:lang w:val="en-US" w:bidi="en-US"/>
        </w:rPr>
        <w:t>Certification of class</w:t>
      </w:r>
      <w:r w:rsidR="0041250E" w:rsidRPr="0041250E">
        <w:rPr>
          <w:rFonts w:ascii="Times New Roman" w:hAnsi="Times New Roman"/>
          <w:b/>
          <w:spacing w:val="-2"/>
          <w:sz w:val="23"/>
          <w:szCs w:val="23"/>
          <w:lang w:val="en-US" w:bidi="en-US"/>
        </w:rPr>
        <w:t xml:space="preserve"> </w:t>
      </w:r>
      <w:r w:rsidR="0041250E" w:rsidRPr="0041250E">
        <w:rPr>
          <w:rFonts w:ascii="Times New Roman" w:hAnsi="Times New Roman"/>
          <w:b/>
          <w:sz w:val="23"/>
          <w:szCs w:val="23"/>
          <w:lang w:val="en-US" w:bidi="en-US"/>
        </w:rPr>
        <w:t>action</w:t>
      </w:r>
    </w:p>
    <w:p w14:paraId="02C661A0" w14:textId="114D45ED" w:rsidR="0041250E" w:rsidRPr="0041250E" w:rsidRDefault="00BD5C95" w:rsidP="00B73434">
      <w:pPr>
        <w:widowControl w:val="0"/>
        <w:numPr>
          <w:ilvl w:val="0"/>
          <w:numId w:val="56"/>
        </w:numPr>
        <w:tabs>
          <w:tab w:val="left" w:pos="905"/>
        </w:tabs>
        <w:autoSpaceDE w:val="0"/>
        <w:autoSpaceDN w:val="0"/>
        <w:spacing w:before="91"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1040B</w:t>
      </w:r>
      <w:r w:rsidR="0049638A">
        <w:rPr>
          <w:rFonts w:ascii="ZWAdobeF" w:hAnsi="ZWAdobeF" w:cs="ZWAdobeF"/>
          <w:color w:val="auto"/>
          <w:sz w:val="2"/>
          <w:szCs w:val="2"/>
          <w:lang w:val="en-US" w:bidi="en-US"/>
        </w:rPr>
        <w:t>1040B</w:t>
      </w:r>
      <w:r w:rsidR="00D629FA">
        <w:rPr>
          <w:rFonts w:ascii="ZWAdobeF" w:hAnsi="ZWAdobeF" w:cs="ZWAdobeF"/>
          <w:color w:val="auto"/>
          <w:sz w:val="2"/>
          <w:szCs w:val="2"/>
          <w:lang w:val="en-US" w:bidi="en-US"/>
        </w:rPr>
        <w:t>1040B</w:t>
      </w:r>
      <w:r w:rsidR="0041250E" w:rsidRPr="0041250E">
        <w:rPr>
          <w:rFonts w:ascii="Times New Roman" w:hAnsi="Times New Roman"/>
          <w:sz w:val="23"/>
          <w:lang w:val="en-US" w:bidi="en-US"/>
        </w:rPr>
        <w:t>A court may certify a proceeding as a class action proceeding if it is satisfied that—</w:t>
      </w:r>
    </w:p>
    <w:p w14:paraId="0F9BEAC1" w14:textId="7FA252BE" w:rsidR="0041250E" w:rsidRPr="0041250E" w:rsidRDefault="00BD5C95" w:rsidP="00B73434">
      <w:pPr>
        <w:widowControl w:val="0"/>
        <w:numPr>
          <w:ilvl w:val="1"/>
          <w:numId w:val="56"/>
        </w:numPr>
        <w:tabs>
          <w:tab w:val="left" w:pos="1505"/>
        </w:tabs>
        <w:autoSpaceDE w:val="0"/>
        <w:autoSpaceDN w:val="0"/>
        <w:spacing w:before="82"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1041B</w:t>
      </w:r>
      <w:r w:rsidR="0049638A">
        <w:rPr>
          <w:rFonts w:ascii="ZWAdobeF" w:hAnsi="ZWAdobeF" w:cs="ZWAdobeF"/>
          <w:color w:val="auto"/>
          <w:sz w:val="2"/>
          <w:szCs w:val="2"/>
          <w:lang w:val="en-US" w:bidi="en-US"/>
        </w:rPr>
        <w:t>1041B</w:t>
      </w:r>
      <w:r w:rsidR="00D629FA">
        <w:rPr>
          <w:rFonts w:ascii="ZWAdobeF" w:hAnsi="ZWAdobeF" w:cs="ZWAdobeF"/>
          <w:color w:val="auto"/>
          <w:sz w:val="2"/>
          <w:szCs w:val="2"/>
          <w:lang w:val="en-US" w:bidi="en-US"/>
        </w:rPr>
        <w:t>1041B</w:t>
      </w:r>
      <w:r w:rsidR="0041250E" w:rsidRPr="0041250E">
        <w:rPr>
          <w:rFonts w:ascii="Times New Roman" w:hAnsi="Times New Roman"/>
          <w:sz w:val="23"/>
          <w:lang w:val="en-US" w:bidi="en-US"/>
        </w:rPr>
        <w:t>the statement of claim discloses a reasonably arguable cause of action; and</w:t>
      </w:r>
    </w:p>
    <w:p w14:paraId="6B89A75C" w14:textId="33167564" w:rsidR="0041250E" w:rsidRPr="0041250E" w:rsidRDefault="00FF389B" w:rsidP="00B73434">
      <w:pPr>
        <w:widowControl w:val="0"/>
        <w:numPr>
          <w:ilvl w:val="1"/>
          <w:numId w:val="56"/>
        </w:numPr>
        <w:tabs>
          <w:tab w:val="left" w:pos="1505"/>
        </w:tabs>
        <w:autoSpaceDE w:val="0"/>
        <w:autoSpaceDN w:val="0"/>
        <w:spacing w:before="82" w:line="249" w:lineRule="auto"/>
        <w:ind w:right="301" w:hanging="601"/>
        <w:jc w:val="both"/>
        <w:rPr>
          <w:rFonts w:ascii="Times New Roman" w:hAnsi="Times New Roman"/>
          <w:sz w:val="23"/>
          <w:lang w:val="en-US" w:bidi="en-US"/>
        </w:rPr>
      </w:pPr>
      <w:r w:rsidRPr="00326D08">
        <w:rPr>
          <w:noProof/>
          <w:sz w:val="2"/>
          <w:szCs w:val="6"/>
        </w:rPr>
        <mc:AlternateContent>
          <mc:Choice Requires="wps">
            <w:drawing>
              <wp:anchor distT="0" distB="0" distL="114300" distR="114300" simplePos="0" relativeHeight="251659363" behindDoc="1" locked="0" layoutInCell="1" allowOverlap="1" wp14:anchorId="70F48C8F" wp14:editId="74BF27CF">
                <wp:simplePos x="0" y="0"/>
                <wp:positionH relativeFrom="column">
                  <wp:posOffset>-11356</wp:posOffset>
                </wp:positionH>
                <wp:positionV relativeFrom="paragraph">
                  <wp:posOffset>-19446</wp:posOffset>
                </wp:positionV>
                <wp:extent cx="5760085" cy="7351156"/>
                <wp:effectExtent l="0" t="0" r="0" b="2540"/>
                <wp:wrapNone/>
                <wp:docPr id="2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735115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3C391F" id="Freeform 54" o:spid="_x0000_s1026" style="position:absolute;margin-left:-.9pt;margin-top:-1.55pt;width:453.55pt;height:578.85pt;z-index:-2516571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" path="m,l9354,r,7809l,7809,,e" fillcolor="#edf2ea" stroked="f">
                <v:path arrowok="t" o:connecttype="custom" o:connectlocs="0,941370;5760085,941370;5760085,8292526;0,8292526;0,941370" o:connectangles="0,0,0,0,0"/>
              </v:shape>
            </w:pict>
          </mc:Fallback>
        </mc:AlternateContent>
      </w:r>
      <w:r w:rsidR="00BD5C95">
        <w:rPr>
          <w:rFonts w:ascii="ZWAdobeF" w:hAnsi="ZWAdobeF" w:cs="ZWAdobeF"/>
          <w:color w:val="auto"/>
          <w:sz w:val="2"/>
          <w:szCs w:val="2"/>
          <w:lang w:val="en-US" w:bidi="en-US"/>
        </w:rPr>
        <w:t>1042B</w:t>
      </w:r>
      <w:r w:rsidR="0049638A">
        <w:rPr>
          <w:rFonts w:ascii="ZWAdobeF" w:hAnsi="ZWAdobeF" w:cs="ZWAdobeF"/>
          <w:color w:val="auto"/>
          <w:sz w:val="2"/>
          <w:szCs w:val="2"/>
          <w:lang w:val="en-US" w:bidi="en-US"/>
        </w:rPr>
        <w:t>1042B</w:t>
      </w:r>
      <w:r w:rsidR="00D629FA">
        <w:rPr>
          <w:rFonts w:ascii="ZWAdobeF" w:hAnsi="ZWAdobeF" w:cs="ZWAdobeF"/>
          <w:color w:val="auto"/>
          <w:sz w:val="2"/>
          <w:szCs w:val="2"/>
          <w:lang w:val="en-US" w:bidi="en-US"/>
        </w:rPr>
        <w:t>1042B</w:t>
      </w:r>
      <w:r w:rsidR="0041250E" w:rsidRPr="0041250E">
        <w:rPr>
          <w:rFonts w:ascii="Times New Roman" w:hAnsi="Times New Roman"/>
          <w:sz w:val="23"/>
          <w:lang w:val="en-US" w:bidi="en-US"/>
        </w:rPr>
        <w:t>the persons on whose behalf the proceeding was commenced have claims that all raise a common issue of fact or law of significance to the resolution of each claim; and</w:t>
      </w:r>
    </w:p>
    <w:p w14:paraId="1AE65C93" w14:textId="1898A59F" w:rsidR="0041250E" w:rsidRPr="0041250E" w:rsidRDefault="00BD5C95" w:rsidP="00B73434">
      <w:pPr>
        <w:widowControl w:val="0"/>
        <w:numPr>
          <w:ilvl w:val="1"/>
          <w:numId w:val="56"/>
        </w:numPr>
        <w:tabs>
          <w:tab w:val="left" w:pos="1505"/>
        </w:tabs>
        <w:autoSpaceDE w:val="0"/>
        <w:autoSpaceDN w:val="0"/>
        <w:spacing w:before="83" w:line="249" w:lineRule="auto"/>
        <w:ind w:right="301" w:hanging="601"/>
        <w:jc w:val="both"/>
        <w:rPr>
          <w:rFonts w:ascii="Times New Roman" w:hAnsi="Times New Roman"/>
          <w:sz w:val="23"/>
          <w:lang w:val="en-US" w:bidi="en-US"/>
        </w:rPr>
      </w:pPr>
      <w:r>
        <w:rPr>
          <w:rFonts w:ascii="ZWAdobeF" w:hAnsi="ZWAdobeF" w:cs="ZWAdobeF"/>
          <w:color w:val="auto"/>
          <w:sz w:val="2"/>
          <w:szCs w:val="2"/>
          <w:lang w:val="en-US" w:bidi="en-US"/>
        </w:rPr>
        <w:t>1043B</w:t>
      </w:r>
      <w:r w:rsidR="0049638A">
        <w:rPr>
          <w:rFonts w:ascii="ZWAdobeF" w:hAnsi="ZWAdobeF" w:cs="ZWAdobeF"/>
          <w:color w:val="auto"/>
          <w:sz w:val="2"/>
          <w:szCs w:val="2"/>
          <w:lang w:val="en-US" w:bidi="en-US"/>
        </w:rPr>
        <w:t>1043B</w:t>
      </w:r>
      <w:r w:rsidR="00D629FA">
        <w:rPr>
          <w:rFonts w:ascii="ZWAdobeF" w:hAnsi="ZWAdobeF" w:cs="ZWAdobeF"/>
          <w:color w:val="auto"/>
          <w:sz w:val="2"/>
          <w:szCs w:val="2"/>
          <w:lang w:val="en-US" w:bidi="en-US"/>
        </w:rPr>
        <w:t>1043B</w:t>
      </w:r>
      <w:r w:rsidR="0041250E" w:rsidRPr="0041250E">
        <w:rPr>
          <w:rFonts w:ascii="Times New Roman" w:hAnsi="Times New Roman"/>
          <w:sz w:val="23"/>
          <w:lang w:val="en-US" w:bidi="en-US"/>
        </w:rPr>
        <w:t>the 1 or more representative plaintiffs are each suitable and will fairly and adequately represent class members; and</w:t>
      </w:r>
    </w:p>
    <w:p w14:paraId="127A3977" w14:textId="353DA2BB" w:rsidR="0041250E" w:rsidRPr="0041250E" w:rsidRDefault="00BD5C95" w:rsidP="00B73434">
      <w:pPr>
        <w:widowControl w:val="0"/>
        <w:numPr>
          <w:ilvl w:val="1"/>
          <w:numId w:val="56"/>
        </w:numPr>
        <w:tabs>
          <w:tab w:val="left" w:pos="1505"/>
        </w:tabs>
        <w:autoSpaceDE w:val="0"/>
        <w:autoSpaceDN w:val="0"/>
        <w:spacing w:before="8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1044B</w:t>
      </w:r>
      <w:r w:rsidR="0049638A">
        <w:rPr>
          <w:rFonts w:ascii="ZWAdobeF" w:hAnsi="ZWAdobeF" w:cs="ZWAdobeF"/>
          <w:color w:val="auto"/>
          <w:sz w:val="2"/>
          <w:szCs w:val="2"/>
          <w:lang w:val="en-US" w:bidi="en-US"/>
        </w:rPr>
        <w:t>1044B</w:t>
      </w:r>
      <w:r w:rsidR="00D629FA">
        <w:rPr>
          <w:rFonts w:ascii="ZWAdobeF" w:hAnsi="ZWAdobeF" w:cs="ZWAdobeF"/>
          <w:color w:val="auto"/>
          <w:sz w:val="2"/>
          <w:szCs w:val="2"/>
          <w:lang w:val="en-US" w:bidi="en-US"/>
        </w:rPr>
        <w:t>1044B</w:t>
      </w:r>
      <w:r w:rsidR="0041250E" w:rsidRPr="0041250E">
        <w:rPr>
          <w:rFonts w:ascii="Times New Roman" w:hAnsi="Times New Roman"/>
          <w:sz w:val="23"/>
          <w:lang w:val="en-US" w:bidi="en-US"/>
        </w:rPr>
        <w:t>the opt-in or opt-out mechanism proposed for the proceeding is an appropriate means of determining class membership in the circumstances of the proceeding;</w:t>
      </w:r>
      <w:r w:rsidR="0041250E" w:rsidRPr="0041250E">
        <w:rPr>
          <w:rFonts w:ascii="Times New Roman" w:hAnsi="Times New Roman"/>
          <w:spacing w:val="-2"/>
          <w:sz w:val="23"/>
          <w:lang w:val="en-US" w:bidi="en-US"/>
        </w:rPr>
        <w:t xml:space="preserve"> </w:t>
      </w:r>
      <w:r w:rsidR="0041250E" w:rsidRPr="0041250E">
        <w:rPr>
          <w:rFonts w:ascii="Times New Roman" w:hAnsi="Times New Roman"/>
          <w:sz w:val="23"/>
          <w:lang w:val="en-US" w:bidi="en-US"/>
        </w:rPr>
        <w:t>and</w:t>
      </w:r>
    </w:p>
    <w:p w14:paraId="75FB3756" w14:textId="304A80D8" w:rsidR="0041250E" w:rsidRPr="0041250E" w:rsidRDefault="00BD5C95" w:rsidP="00B73434">
      <w:pPr>
        <w:widowControl w:val="0"/>
        <w:numPr>
          <w:ilvl w:val="1"/>
          <w:numId w:val="56"/>
        </w:numPr>
        <w:tabs>
          <w:tab w:val="left" w:pos="1505"/>
        </w:tabs>
        <w:autoSpaceDE w:val="0"/>
        <w:autoSpaceDN w:val="0"/>
        <w:spacing w:before="82" w:line="249" w:lineRule="auto"/>
        <w:ind w:right="299" w:hanging="601"/>
        <w:jc w:val="both"/>
        <w:rPr>
          <w:rFonts w:ascii="Times New Roman" w:hAnsi="Times New Roman"/>
          <w:sz w:val="23"/>
          <w:lang w:val="en-US" w:bidi="en-US"/>
        </w:rPr>
      </w:pPr>
      <w:r>
        <w:rPr>
          <w:rFonts w:ascii="ZWAdobeF" w:hAnsi="ZWAdobeF" w:cs="ZWAdobeF"/>
          <w:color w:val="auto"/>
          <w:sz w:val="2"/>
          <w:szCs w:val="2"/>
          <w:lang w:val="en-US" w:bidi="en-US"/>
        </w:rPr>
        <w:t>1045B</w:t>
      </w:r>
      <w:r w:rsidR="0049638A">
        <w:rPr>
          <w:rFonts w:ascii="ZWAdobeF" w:hAnsi="ZWAdobeF" w:cs="ZWAdobeF"/>
          <w:color w:val="auto"/>
          <w:sz w:val="2"/>
          <w:szCs w:val="2"/>
          <w:lang w:val="en-US" w:bidi="en-US"/>
        </w:rPr>
        <w:t>1045B</w:t>
      </w:r>
      <w:r w:rsidR="00D629FA">
        <w:rPr>
          <w:rFonts w:ascii="ZWAdobeF" w:hAnsi="ZWAdobeF" w:cs="ZWAdobeF"/>
          <w:color w:val="auto"/>
          <w:sz w:val="2"/>
          <w:szCs w:val="2"/>
          <w:lang w:val="en-US" w:bidi="en-US"/>
        </w:rPr>
        <w:t>1045B</w:t>
      </w:r>
      <w:r w:rsidR="0041250E" w:rsidRPr="0041250E">
        <w:rPr>
          <w:rFonts w:ascii="Times New Roman" w:hAnsi="Times New Roman"/>
          <w:sz w:val="23"/>
          <w:lang w:val="en-US" w:bidi="en-US"/>
        </w:rPr>
        <w:t>a class action proceeding is an appropriate procedure for the efficient resolution of the claims of class members.</w:t>
      </w:r>
    </w:p>
    <w:p w14:paraId="5869624D" w14:textId="04B16AB5" w:rsidR="00472093" w:rsidRDefault="00472093" w:rsidP="00472093">
      <w:pPr>
        <w:widowControl w:val="0"/>
        <w:tabs>
          <w:tab w:val="left" w:pos="905"/>
        </w:tabs>
        <w:autoSpaceDE w:val="0"/>
        <w:autoSpaceDN w:val="0"/>
        <w:spacing w:before="82" w:line="249" w:lineRule="auto"/>
        <w:ind w:left="904" w:right="300"/>
        <w:jc w:val="both"/>
        <w:rPr>
          <w:rFonts w:ascii="Times New Roman" w:hAnsi="Times New Roman"/>
          <w:sz w:val="23"/>
          <w:lang w:val="en-US" w:bidi="en-US"/>
        </w:rPr>
      </w:pPr>
    </w:p>
    <w:p w14:paraId="4186C56B" w14:textId="6E9048EC" w:rsidR="0041250E" w:rsidRPr="0041250E" w:rsidRDefault="00BD5C95" w:rsidP="00B73434">
      <w:pPr>
        <w:widowControl w:val="0"/>
        <w:numPr>
          <w:ilvl w:val="0"/>
          <w:numId w:val="56"/>
        </w:numPr>
        <w:tabs>
          <w:tab w:val="left" w:pos="905"/>
        </w:tabs>
        <w:autoSpaceDE w:val="0"/>
        <w:autoSpaceDN w:val="0"/>
        <w:spacing w:before="82"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1046B</w:t>
      </w:r>
      <w:r w:rsidR="0049638A">
        <w:rPr>
          <w:rFonts w:ascii="ZWAdobeF" w:hAnsi="ZWAdobeF" w:cs="ZWAdobeF"/>
          <w:color w:val="auto"/>
          <w:sz w:val="2"/>
          <w:szCs w:val="2"/>
          <w:lang w:val="en-US" w:bidi="en-US"/>
        </w:rPr>
        <w:t>1046B</w:t>
      </w:r>
      <w:r w:rsidR="00D629FA">
        <w:rPr>
          <w:rFonts w:ascii="ZWAdobeF" w:hAnsi="ZWAdobeF" w:cs="ZWAdobeF"/>
          <w:color w:val="auto"/>
          <w:sz w:val="2"/>
          <w:szCs w:val="2"/>
          <w:lang w:val="en-US" w:bidi="en-US"/>
        </w:rPr>
        <w:t>1046B</w:t>
      </w:r>
      <w:r w:rsidR="0041250E" w:rsidRPr="0041250E">
        <w:rPr>
          <w:rFonts w:ascii="Times New Roman" w:hAnsi="Times New Roman"/>
          <w:sz w:val="23"/>
          <w:lang w:val="en-US" w:bidi="en-US"/>
        </w:rPr>
        <w:t>The court may consider the following when assessing the suitability of a representative plaintiff and whether they will fairly and adequately represent class members:</w:t>
      </w:r>
    </w:p>
    <w:p w14:paraId="6A50785A" w14:textId="49BCE454" w:rsidR="0041250E" w:rsidRPr="0041250E" w:rsidRDefault="00BD5C95" w:rsidP="00B73434">
      <w:pPr>
        <w:widowControl w:val="0"/>
        <w:numPr>
          <w:ilvl w:val="1"/>
          <w:numId w:val="56"/>
        </w:numPr>
        <w:tabs>
          <w:tab w:val="left" w:pos="1504"/>
          <w:tab w:val="left" w:pos="1505"/>
        </w:tabs>
        <w:autoSpaceDE w:val="0"/>
        <w:autoSpaceDN w:val="0"/>
        <w:spacing w:before="83" w:line="249" w:lineRule="auto"/>
        <w:ind w:right="300"/>
        <w:rPr>
          <w:rFonts w:ascii="Times New Roman" w:hAnsi="Times New Roman"/>
          <w:sz w:val="23"/>
          <w:lang w:val="en-US" w:bidi="en-US"/>
        </w:rPr>
      </w:pPr>
      <w:r>
        <w:rPr>
          <w:rFonts w:ascii="ZWAdobeF" w:hAnsi="ZWAdobeF" w:cs="ZWAdobeF"/>
          <w:color w:val="auto"/>
          <w:sz w:val="2"/>
          <w:szCs w:val="2"/>
          <w:lang w:val="en-US" w:bidi="en-US"/>
        </w:rPr>
        <w:t>1047B</w:t>
      </w:r>
      <w:r w:rsidR="0049638A">
        <w:rPr>
          <w:rFonts w:ascii="ZWAdobeF" w:hAnsi="ZWAdobeF" w:cs="ZWAdobeF"/>
          <w:color w:val="auto"/>
          <w:sz w:val="2"/>
          <w:szCs w:val="2"/>
          <w:lang w:val="en-US" w:bidi="en-US"/>
        </w:rPr>
        <w:t>1047B</w:t>
      </w:r>
      <w:r w:rsidR="00D629FA">
        <w:rPr>
          <w:rFonts w:ascii="ZWAdobeF" w:hAnsi="ZWAdobeF" w:cs="ZWAdobeF"/>
          <w:color w:val="auto"/>
          <w:sz w:val="2"/>
          <w:szCs w:val="2"/>
          <w:lang w:val="en-US" w:bidi="en-US"/>
        </w:rPr>
        <w:t>1047B</w:t>
      </w:r>
      <w:r w:rsidR="0041250E" w:rsidRPr="0041250E">
        <w:rPr>
          <w:rFonts w:ascii="Times New Roman" w:hAnsi="Times New Roman"/>
          <w:sz w:val="23"/>
          <w:lang w:val="en-US" w:bidi="en-US"/>
        </w:rPr>
        <w:t>whether there is a conflict of interest that could prevent them from properly fulfilling the role as representative</w:t>
      </w:r>
      <w:r w:rsidR="0041250E" w:rsidRPr="0041250E">
        <w:rPr>
          <w:rFonts w:ascii="Times New Roman" w:hAnsi="Times New Roman"/>
          <w:spacing w:val="-1"/>
          <w:sz w:val="23"/>
          <w:lang w:val="en-US" w:bidi="en-US"/>
        </w:rPr>
        <w:t xml:space="preserve"> </w:t>
      </w:r>
      <w:r w:rsidR="0041250E" w:rsidRPr="0041250E">
        <w:rPr>
          <w:rFonts w:ascii="Times New Roman" w:hAnsi="Times New Roman"/>
          <w:sz w:val="23"/>
          <w:lang w:val="en-US" w:bidi="en-US"/>
        </w:rPr>
        <w:t>plaintiff:</w:t>
      </w:r>
    </w:p>
    <w:p w14:paraId="2C2616C6" w14:textId="403EF153" w:rsidR="0041250E" w:rsidRPr="0041250E" w:rsidRDefault="00BD5C95" w:rsidP="00B73434">
      <w:pPr>
        <w:widowControl w:val="0"/>
        <w:numPr>
          <w:ilvl w:val="1"/>
          <w:numId w:val="56"/>
        </w:numPr>
        <w:tabs>
          <w:tab w:val="left" w:pos="1504"/>
          <w:tab w:val="left" w:pos="1505"/>
        </w:tabs>
        <w:autoSpaceDE w:val="0"/>
        <w:autoSpaceDN w:val="0"/>
        <w:spacing w:before="82" w:line="249" w:lineRule="auto"/>
        <w:ind w:right="301" w:hanging="601"/>
        <w:rPr>
          <w:rFonts w:ascii="Times New Roman" w:hAnsi="Times New Roman"/>
          <w:sz w:val="23"/>
          <w:lang w:val="en-US" w:bidi="en-US"/>
        </w:rPr>
      </w:pPr>
      <w:r>
        <w:rPr>
          <w:rFonts w:ascii="ZWAdobeF" w:hAnsi="ZWAdobeF" w:cs="ZWAdobeF"/>
          <w:color w:val="auto"/>
          <w:sz w:val="2"/>
          <w:szCs w:val="2"/>
          <w:lang w:val="en-US" w:bidi="en-US"/>
        </w:rPr>
        <w:t>1048B</w:t>
      </w:r>
      <w:r w:rsidR="0049638A">
        <w:rPr>
          <w:rFonts w:ascii="ZWAdobeF" w:hAnsi="ZWAdobeF" w:cs="ZWAdobeF"/>
          <w:color w:val="auto"/>
          <w:sz w:val="2"/>
          <w:szCs w:val="2"/>
          <w:lang w:val="en-US" w:bidi="en-US"/>
        </w:rPr>
        <w:t>1048B</w:t>
      </w:r>
      <w:r w:rsidR="00D629FA">
        <w:rPr>
          <w:rFonts w:ascii="ZWAdobeF" w:hAnsi="ZWAdobeF" w:cs="ZWAdobeF"/>
          <w:color w:val="auto"/>
          <w:sz w:val="2"/>
          <w:szCs w:val="2"/>
          <w:lang w:val="en-US" w:bidi="en-US"/>
        </w:rPr>
        <w:t>1048B</w:t>
      </w:r>
      <w:r w:rsidR="0041250E" w:rsidRPr="0041250E">
        <w:rPr>
          <w:rFonts w:ascii="Times New Roman" w:hAnsi="Times New Roman"/>
          <w:sz w:val="23"/>
          <w:lang w:val="en-US" w:bidi="en-US"/>
        </w:rPr>
        <w:t>whether they have a reasonable understanding of the nature of the claims and the obligations of a representative plaintiff, including for</w:t>
      </w:r>
      <w:r w:rsidR="0041250E" w:rsidRPr="0041250E">
        <w:rPr>
          <w:rFonts w:ascii="Times New Roman" w:hAnsi="Times New Roman"/>
          <w:spacing w:val="-3"/>
          <w:sz w:val="23"/>
          <w:lang w:val="en-US" w:bidi="en-US"/>
        </w:rPr>
        <w:t xml:space="preserve"> </w:t>
      </w:r>
      <w:r w:rsidR="0041250E" w:rsidRPr="0041250E">
        <w:rPr>
          <w:rFonts w:ascii="Times New Roman" w:hAnsi="Times New Roman"/>
          <w:sz w:val="23"/>
          <w:lang w:val="en-US" w:bidi="en-US"/>
        </w:rPr>
        <w:t>costs:</w:t>
      </w:r>
    </w:p>
    <w:p w14:paraId="4C4469FE" w14:textId="780DB0A7" w:rsidR="0041250E" w:rsidRPr="0041250E" w:rsidRDefault="00BD5C95" w:rsidP="00B73434">
      <w:pPr>
        <w:widowControl w:val="0"/>
        <w:numPr>
          <w:ilvl w:val="1"/>
          <w:numId w:val="56"/>
        </w:numPr>
        <w:tabs>
          <w:tab w:val="left" w:pos="1504"/>
          <w:tab w:val="left" w:pos="1505"/>
        </w:tabs>
        <w:autoSpaceDE w:val="0"/>
        <w:autoSpaceDN w:val="0"/>
        <w:spacing w:before="82" w:line="249" w:lineRule="auto"/>
        <w:ind w:right="299" w:hanging="601"/>
        <w:rPr>
          <w:rFonts w:ascii="Times New Roman" w:hAnsi="Times New Roman"/>
          <w:sz w:val="23"/>
          <w:lang w:val="en-US" w:bidi="en-US"/>
        </w:rPr>
      </w:pPr>
      <w:r>
        <w:rPr>
          <w:rFonts w:ascii="ZWAdobeF" w:hAnsi="ZWAdobeF" w:cs="ZWAdobeF"/>
          <w:color w:val="auto"/>
          <w:sz w:val="2"/>
          <w:szCs w:val="2"/>
          <w:lang w:val="en-US" w:bidi="en-US"/>
        </w:rPr>
        <w:t>1049B</w:t>
      </w:r>
      <w:r w:rsidR="0049638A">
        <w:rPr>
          <w:rFonts w:ascii="ZWAdobeF" w:hAnsi="ZWAdobeF" w:cs="ZWAdobeF"/>
          <w:color w:val="auto"/>
          <w:sz w:val="2"/>
          <w:szCs w:val="2"/>
          <w:lang w:val="en-US" w:bidi="en-US"/>
        </w:rPr>
        <w:t>1049B</w:t>
      </w:r>
      <w:r w:rsidR="00D629FA">
        <w:rPr>
          <w:rFonts w:ascii="ZWAdobeF" w:hAnsi="ZWAdobeF" w:cs="ZWAdobeF"/>
          <w:color w:val="auto"/>
          <w:sz w:val="2"/>
          <w:szCs w:val="2"/>
          <w:lang w:val="en-US" w:bidi="en-US"/>
        </w:rPr>
        <w:t>1049B</w:t>
      </w:r>
      <w:r w:rsidR="0041250E" w:rsidRPr="0041250E">
        <w:rPr>
          <w:rFonts w:ascii="Times New Roman" w:hAnsi="Times New Roman"/>
          <w:sz w:val="23"/>
          <w:lang w:val="en-US" w:bidi="en-US"/>
        </w:rPr>
        <w:t>if they will be representing members of their hapū or iwi, the tikanga of the hapū or iwi as relevant to representation in the proceeding:</w:t>
      </w:r>
    </w:p>
    <w:p w14:paraId="1451D6B0" w14:textId="778302C1" w:rsidR="0041250E" w:rsidRPr="00326D08" w:rsidRDefault="00BD5C95" w:rsidP="00B73434">
      <w:pPr>
        <w:widowControl w:val="0"/>
        <w:numPr>
          <w:ilvl w:val="1"/>
          <w:numId w:val="56"/>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1050B</w:t>
      </w:r>
      <w:r w:rsidR="0049638A">
        <w:rPr>
          <w:rFonts w:ascii="ZWAdobeF" w:hAnsi="ZWAdobeF" w:cs="ZWAdobeF"/>
          <w:color w:val="auto"/>
          <w:sz w:val="2"/>
          <w:szCs w:val="2"/>
          <w:lang w:val="en-US" w:bidi="en-US"/>
        </w:rPr>
        <w:t>1050B</w:t>
      </w:r>
      <w:r w:rsidR="00D629FA">
        <w:rPr>
          <w:rFonts w:ascii="ZWAdobeF" w:hAnsi="ZWAdobeF" w:cs="ZWAdobeF"/>
          <w:color w:val="auto"/>
          <w:sz w:val="2"/>
          <w:szCs w:val="2"/>
          <w:lang w:val="en-US" w:bidi="en-US"/>
        </w:rPr>
        <w:t>1050B</w:t>
      </w:r>
      <w:r w:rsidR="0041250E" w:rsidRPr="0041250E">
        <w:rPr>
          <w:rFonts w:ascii="Times New Roman" w:hAnsi="Times New Roman"/>
          <w:sz w:val="23"/>
          <w:lang w:val="en-US" w:bidi="en-US"/>
        </w:rPr>
        <w:t>any other factors it considers relevant.</w:t>
      </w:r>
    </w:p>
    <w:p w14:paraId="47452929" w14:textId="70408D8B" w:rsidR="0041250E" w:rsidRPr="0041250E" w:rsidRDefault="00BD5C95" w:rsidP="00B73434">
      <w:pPr>
        <w:widowControl w:val="0"/>
        <w:numPr>
          <w:ilvl w:val="0"/>
          <w:numId w:val="56"/>
        </w:numPr>
        <w:tabs>
          <w:tab w:val="left" w:pos="905"/>
        </w:tabs>
        <w:autoSpaceDE w:val="0"/>
        <w:autoSpaceDN w:val="0"/>
        <w:spacing w:before="91"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1051B</w:t>
      </w:r>
      <w:r w:rsidR="0049638A">
        <w:rPr>
          <w:rFonts w:ascii="ZWAdobeF" w:hAnsi="ZWAdobeF" w:cs="ZWAdobeF"/>
          <w:color w:val="auto"/>
          <w:sz w:val="2"/>
          <w:szCs w:val="2"/>
          <w:lang w:val="en-US" w:bidi="en-US"/>
        </w:rPr>
        <w:t>1051B</w:t>
      </w:r>
      <w:r w:rsidR="00D629FA">
        <w:rPr>
          <w:rFonts w:ascii="ZWAdobeF" w:hAnsi="ZWAdobeF" w:cs="ZWAdobeF"/>
          <w:color w:val="auto"/>
          <w:sz w:val="2"/>
          <w:szCs w:val="2"/>
          <w:lang w:val="en-US" w:bidi="en-US"/>
        </w:rPr>
        <w:t>1051B</w:t>
      </w:r>
      <w:r w:rsidR="0041250E" w:rsidRPr="0041250E">
        <w:rPr>
          <w:rFonts w:ascii="Times New Roman" w:hAnsi="Times New Roman"/>
          <w:sz w:val="23"/>
          <w:lang w:val="en-US" w:bidi="en-US"/>
        </w:rPr>
        <w:t>The court may consider the following when assessing whether a class action proceeding is an appropriate procedure for the efficient resolution of the claims of class members:</w:t>
      </w:r>
    </w:p>
    <w:p w14:paraId="4348F0C5" w14:textId="38A36AAF" w:rsidR="0041250E" w:rsidRPr="0041250E" w:rsidRDefault="00BD5C95" w:rsidP="00B73434">
      <w:pPr>
        <w:widowControl w:val="0"/>
        <w:numPr>
          <w:ilvl w:val="1"/>
          <w:numId w:val="56"/>
        </w:numPr>
        <w:tabs>
          <w:tab w:val="left" w:pos="1505"/>
        </w:tabs>
        <w:autoSpaceDE w:val="0"/>
        <w:autoSpaceDN w:val="0"/>
        <w:spacing w:before="83"/>
        <w:ind w:hanging="601"/>
        <w:jc w:val="both"/>
        <w:rPr>
          <w:rFonts w:ascii="Times New Roman" w:hAnsi="Times New Roman"/>
          <w:sz w:val="23"/>
          <w:lang w:val="en-US" w:bidi="en-US"/>
        </w:rPr>
      </w:pPr>
      <w:r>
        <w:rPr>
          <w:rFonts w:ascii="ZWAdobeF" w:hAnsi="ZWAdobeF" w:cs="ZWAdobeF"/>
          <w:color w:val="auto"/>
          <w:sz w:val="2"/>
          <w:szCs w:val="2"/>
          <w:lang w:val="en-US" w:bidi="en-US"/>
        </w:rPr>
        <w:t>1052B</w:t>
      </w:r>
      <w:r w:rsidR="0049638A">
        <w:rPr>
          <w:rFonts w:ascii="ZWAdobeF" w:hAnsi="ZWAdobeF" w:cs="ZWAdobeF"/>
          <w:color w:val="auto"/>
          <w:sz w:val="2"/>
          <w:szCs w:val="2"/>
          <w:lang w:val="en-US" w:bidi="en-US"/>
        </w:rPr>
        <w:t>1052B</w:t>
      </w:r>
      <w:r w:rsidR="00D629FA">
        <w:rPr>
          <w:rFonts w:ascii="ZWAdobeF" w:hAnsi="ZWAdobeF" w:cs="ZWAdobeF"/>
          <w:color w:val="auto"/>
          <w:sz w:val="2"/>
          <w:szCs w:val="2"/>
          <w:lang w:val="en-US" w:bidi="en-US"/>
        </w:rPr>
        <w:t>1052B</w:t>
      </w:r>
      <w:r w:rsidR="0041250E" w:rsidRPr="0041250E">
        <w:rPr>
          <w:rFonts w:ascii="Times New Roman" w:hAnsi="Times New Roman"/>
          <w:sz w:val="23"/>
          <w:lang w:val="en-US" w:bidi="en-US"/>
        </w:rPr>
        <w:t>the number or potential number of class members:</w:t>
      </w:r>
    </w:p>
    <w:p w14:paraId="60499E77" w14:textId="2EA2DA74" w:rsidR="0041250E" w:rsidRPr="0041250E" w:rsidRDefault="00BD5C95" w:rsidP="00B73434">
      <w:pPr>
        <w:widowControl w:val="0"/>
        <w:numPr>
          <w:ilvl w:val="1"/>
          <w:numId w:val="56"/>
        </w:numPr>
        <w:tabs>
          <w:tab w:val="left" w:pos="1505"/>
        </w:tabs>
        <w:autoSpaceDE w:val="0"/>
        <w:autoSpaceDN w:val="0"/>
        <w:spacing w:before="92"/>
        <w:ind w:hanging="601"/>
        <w:jc w:val="both"/>
        <w:rPr>
          <w:rFonts w:ascii="Times New Roman" w:hAnsi="Times New Roman"/>
          <w:sz w:val="23"/>
          <w:lang w:val="en-US" w:bidi="en-US"/>
        </w:rPr>
      </w:pPr>
      <w:r>
        <w:rPr>
          <w:rFonts w:ascii="ZWAdobeF" w:hAnsi="ZWAdobeF" w:cs="ZWAdobeF"/>
          <w:color w:val="auto"/>
          <w:sz w:val="2"/>
          <w:szCs w:val="2"/>
          <w:lang w:val="en-US" w:bidi="en-US"/>
        </w:rPr>
        <w:t>1053B</w:t>
      </w:r>
      <w:r w:rsidR="0049638A">
        <w:rPr>
          <w:rFonts w:ascii="ZWAdobeF" w:hAnsi="ZWAdobeF" w:cs="ZWAdobeF"/>
          <w:color w:val="auto"/>
          <w:sz w:val="2"/>
          <w:szCs w:val="2"/>
          <w:lang w:val="en-US" w:bidi="en-US"/>
        </w:rPr>
        <w:t>1053B</w:t>
      </w:r>
      <w:r w:rsidR="00D629FA">
        <w:rPr>
          <w:rFonts w:ascii="ZWAdobeF" w:hAnsi="ZWAdobeF" w:cs="ZWAdobeF"/>
          <w:color w:val="auto"/>
          <w:sz w:val="2"/>
          <w:szCs w:val="2"/>
          <w:lang w:val="en-US" w:bidi="en-US"/>
        </w:rPr>
        <w:t>1053B</w:t>
      </w:r>
      <w:r w:rsidR="0041250E" w:rsidRPr="0041250E">
        <w:rPr>
          <w:rFonts w:ascii="Times New Roman" w:hAnsi="Times New Roman"/>
          <w:sz w:val="23"/>
          <w:lang w:val="en-US" w:bidi="en-US"/>
        </w:rPr>
        <w:t>the nature of the claims:</w:t>
      </w:r>
    </w:p>
    <w:p w14:paraId="03512076" w14:textId="788F5AFF" w:rsidR="0041250E" w:rsidRPr="0041250E" w:rsidRDefault="00BD5C95" w:rsidP="00B73434">
      <w:pPr>
        <w:widowControl w:val="0"/>
        <w:numPr>
          <w:ilvl w:val="1"/>
          <w:numId w:val="56"/>
        </w:numPr>
        <w:tabs>
          <w:tab w:val="left" w:pos="1504"/>
          <w:tab w:val="left" w:pos="1505"/>
        </w:tabs>
        <w:autoSpaceDE w:val="0"/>
        <w:autoSpaceDN w:val="0"/>
        <w:spacing w:before="91" w:line="249" w:lineRule="auto"/>
        <w:ind w:right="299"/>
        <w:rPr>
          <w:rFonts w:ascii="Times New Roman" w:hAnsi="Times New Roman"/>
          <w:sz w:val="23"/>
          <w:lang w:val="en-US" w:bidi="en-US"/>
        </w:rPr>
      </w:pPr>
      <w:r>
        <w:rPr>
          <w:rFonts w:ascii="ZWAdobeF" w:hAnsi="ZWAdobeF" w:cs="ZWAdobeF"/>
          <w:color w:val="auto"/>
          <w:sz w:val="2"/>
          <w:szCs w:val="2"/>
          <w:lang w:val="en-US" w:bidi="en-US"/>
        </w:rPr>
        <w:t>1054B</w:t>
      </w:r>
      <w:r w:rsidR="0049638A">
        <w:rPr>
          <w:rFonts w:ascii="ZWAdobeF" w:hAnsi="ZWAdobeF" w:cs="ZWAdobeF"/>
          <w:color w:val="auto"/>
          <w:sz w:val="2"/>
          <w:szCs w:val="2"/>
          <w:lang w:val="en-US" w:bidi="en-US"/>
        </w:rPr>
        <w:t>1054B</w:t>
      </w:r>
      <w:r w:rsidR="00D629FA">
        <w:rPr>
          <w:rFonts w:ascii="ZWAdobeF" w:hAnsi="ZWAdobeF" w:cs="ZWAdobeF"/>
          <w:color w:val="auto"/>
          <w:sz w:val="2"/>
          <w:szCs w:val="2"/>
          <w:lang w:val="en-US" w:bidi="en-US"/>
        </w:rPr>
        <w:t>1054B</w:t>
      </w:r>
      <w:r w:rsidR="0041250E" w:rsidRPr="0041250E">
        <w:rPr>
          <w:rFonts w:ascii="Times New Roman" w:hAnsi="Times New Roman"/>
          <w:sz w:val="23"/>
          <w:lang w:val="en-US" w:bidi="en-US"/>
        </w:rPr>
        <w:t>the extent of the other issues that will need to be determined once the common issue is resolved:</w:t>
      </w:r>
    </w:p>
    <w:p w14:paraId="5A57118D" w14:textId="10D5E3C3" w:rsidR="0041250E" w:rsidRPr="0041250E" w:rsidRDefault="00BD5C95" w:rsidP="00B73434">
      <w:pPr>
        <w:widowControl w:val="0"/>
        <w:numPr>
          <w:ilvl w:val="1"/>
          <w:numId w:val="56"/>
        </w:numPr>
        <w:tabs>
          <w:tab w:val="left" w:pos="1504"/>
          <w:tab w:val="left" w:pos="1505"/>
        </w:tabs>
        <w:autoSpaceDE w:val="0"/>
        <w:autoSpaceDN w:val="0"/>
        <w:spacing w:before="82" w:line="249" w:lineRule="auto"/>
        <w:ind w:right="300" w:hanging="601"/>
        <w:rPr>
          <w:rFonts w:ascii="Times New Roman" w:hAnsi="Times New Roman"/>
          <w:sz w:val="23"/>
          <w:lang w:val="en-US" w:bidi="en-US"/>
        </w:rPr>
      </w:pPr>
      <w:r>
        <w:rPr>
          <w:rFonts w:ascii="ZWAdobeF" w:hAnsi="ZWAdobeF" w:cs="ZWAdobeF"/>
          <w:color w:val="auto"/>
          <w:sz w:val="2"/>
          <w:szCs w:val="2"/>
          <w:lang w:val="en-US" w:bidi="en-US"/>
        </w:rPr>
        <w:t>1055B</w:t>
      </w:r>
      <w:r w:rsidR="0049638A">
        <w:rPr>
          <w:rFonts w:ascii="ZWAdobeF" w:hAnsi="ZWAdobeF" w:cs="ZWAdobeF"/>
          <w:color w:val="auto"/>
          <w:sz w:val="2"/>
          <w:szCs w:val="2"/>
          <w:lang w:val="en-US" w:bidi="en-US"/>
        </w:rPr>
        <w:t>1055B</w:t>
      </w:r>
      <w:r w:rsidR="00D629FA">
        <w:rPr>
          <w:rFonts w:ascii="ZWAdobeF" w:hAnsi="ZWAdobeF" w:cs="ZWAdobeF"/>
          <w:color w:val="auto"/>
          <w:sz w:val="2"/>
          <w:szCs w:val="2"/>
          <w:lang w:val="en-US" w:bidi="en-US"/>
        </w:rPr>
        <w:t>1055B</w:t>
      </w:r>
      <w:r w:rsidR="0041250E" w:rsidRPr="0041250E">
        <w:rPr>
          <w:rFonts w:ascii="Times New Roman" w:hAnsi="Times New Roman"/>
          <w:sz w:val="23"/>
          <w:lang w:val="en-US" w:bidi="en-US"/>
        </w:rPr>
        <w:t>whether the likely time and cost of the proceeding is proportionate to the remedies</w:t>
      </w:r>
      <w:r w:rsidR="0041250E" w:rsidRPr="0041250E">
        <w:rPr>
          <w:rFonts w:ascii="Times New Roman" w:hAnsi="Times New Roman"/>
          <w:spacing w:val="-1"/>
          <w:sz w:val="23"/>
          <w:lang w:val="en-US" w:bidi="en-US"/>
        </w:rPr>
        <w:t xml:space="preserve"> </w:t>
      </w:r>
      <w:r w:rsidR="0041250E" w:rsidRPr="0041250E">
        <w:rPr>
          <w:rFonts w:ascii="Times New Roman" w:hAnsi="Times New Roman"/>
          <w:sz w:val="23"/>
          <w:lang w:val="en-US" w:bidi="en-US"/>
        </w:rPr>
        <w:t>sought:</w:t>
      </w:r>
    </w:p>
    <w:p w14:paraId="59494163" w14:textId="692D7B08" w:rsidR="0041250E" w:rsidRDefault="00BD5C95" w:rsidP="00B73434">
      <w:pPr>
        <w:widowControl w:val="0"/>
        <w:numPr>
          <w:ilvl w:val="1"/>
          <w:numId w:val="56"/>
        </w:numPr>
        <w:tabs>
          <w:tab w:val="left" w:pos="1504"/>
          <w:tab w:val="left" w:pos="1505"/>
        </w:tabs>
        <w:autoSpaceDE w:val="0"/>
        <w:autoSpaceDN w:val="0"/>
        <w:spacing w:before="82" w:line="249" w:lineRule="auto"/>
        <w:ind w:right="299"/>
        <w:rPr>
          <w:rFonts w:ascii="Times New Roman" w:hAnsi="Times New Roman"/>
          <w:sz w:val="23"/>
          <w:lang w:val="en-US" w:bidi="en-US"/>
        </w:rPr>
      </w:pPr>
      <w:r>
        <w:rPr>
          <w:rFonts w:ascii="ZWAdobeF" w:hAnsi="ZWAdobeF" w:cs="ZWAdobeF"/>
          <w:color w:val="auto"/>
          <w:sz w:val="2"/>
          <w:szCs w:val="2"/>
          <w:lang w:val="en-US" w:bidi="en-US"/>
        </w:rPr>
        <w:t>1056B</w:t>
      </w:r>
      <w:r w:rsidR="0049638A">
        <w:rPr>
          <w:rFonts w:ascii="ZWAdobeF" w:hAnsi="ZWAdobeF" w:cs="ZWAdobeF"/>
          <w:color w:val="auto"/>
          <w:sz w:val="2"/>
          <w:szCs w:val="2"/>
          <w:lang w:val="en-US" w:bidi="en-US"/>
        </w:rPr>
        <w:t>1056B</w:t>
      </w:r>
      <w:r w:rsidR="00D629FA">
        <w:rPr>
          <w:rFonts w:ascii="ZWAdobeF" w:hAnsi="ZWAdobeF" w:cs="ZWAdobeF"/>
          <w:color w:val="auto"/>
          <w:sz w:val="2"/>
          <w:szCs w:val="2"/>
          <w:lang w:val="en-US" w:bidi="en-US"/>
        </w:rPr>
        <w:t>1056B</w:t>
      </w:r>
      <w:r w:rsidR="0041250E" w:rsidRPr="0041250E">
        <w:rPr>
          <w:rFonts w:ascii="Times New Roman" w:hAnsi="Times New Roman"/>
          <w:sz w:val="23"/>
          <w:lang w:val="en-US" w:bidi="en-US"/>
        </w:rPr>
        <w:t>whether there is another procedure available to class members that would be a more appropriate means of dealing with their</w:t>
      </w:r>
      <w:r w:rsidR="0041250E" w:rsidRPr="0041250E">
        <w:rPr>
          <w:rFonts w:ascii="Times New Roman" w:hAnsi="Times New Roman"/>
          <w:spacing w:val="-5"/>
          <w:sz w:val="23"/>
          <w:lang w:val="en-US" w:bidi="en-US"/>
        </w:rPr>
        <w:t xml:space="preserve"> </w:t>
      </w:r>
      <w:r w:rsidR="0041250E" w:rsidRPr="0041250E">
        <w:rPr>
          <w:rFonts w:ascii="Times New Roman" w:hAnsi="Times New Roman"/>
          <w:sz w:val="23"/>
          <w:lang w:val="en-US" w:bidi="en-US"/>
        </w:rPr>
        <w:t>claims:</w:t>
      </w:r>
    </w:p>
    <w:p w14:paraId="4590AD0A" w14:textId="51CAB924" w:rsidR="00D565A6" w:rsidRPr="00D565A6" w:rsidRDefault="00BD5C95" w:rsidP="00B73434">
      <w:pPr>
        <w:widowControl w:val="0"/>
        <w:numPr>
          <w:ilvl w:val="1"/>
          <w:numId w:val="56"/>
        </w:numPr>
        <w:tabs>
          <w:tab w:val="left" w:pos="1504"/>
          <w:tab w:val="left" w:pos="1505"/>
        </w:tabs>
        <w:autoSpaceDE w:val="0"/>
        <w:autoSpaceDN w:val="0"/>
        <w:spacing w:before="82" w:line="249" w:lineRule="auto"/>
        <w:ind w:right="300" w:hanging="601"/>
        <w:rPr>
          <w:rFonts w:ascii="Times New Roman" w:hAnsi="Times New Roman"/>
          <w:sz w:val="23"/>
          <w:lang w:val="en-US" w:bidi="en-US"/>
        </w:rPr>
      </w:pPr>
      <w:r>
        <w:rPr>
          <w:rFonts w:ascii="ZWAdobeF" w:hAnsi="ZWAdobeF" w:cs="ZWAdobeF"/>
          <w:color w:val="auto"/>
          <w:sz w:val="2"/>
          <w:szCs w:val="2"/>
          <w:lang w:val="en-US" w:bidi="en-US"/>
        </w:rPr>
        <w:t>1057B</w:t>
      </w:r>
      <w:r w:rsidR="0049638A">
        <w:rPr>
          <w:rFonts w:ascii="ZWAdobeF" w:hAnsi="ZWAdobeF" w:cs="ZWAdobeF"/>
          <w:color w:val="auto"/>
          <w:sz w:val="2"/>
          <w:szCs w:val="2"/>
          <w:lang w:val="en-US" w:bidi="en-US"/>
        </w:rPr>
        <w:t>1057B</w:t>
      </w:r>
      <w:r w:rsidR="00D629FA">
        <w:rPr>
          <w:rFonts w:ascii="ZWAdobeF" w:hAnsi="ZWAdobeF" w:cs="ZWAdobeF"/>
          <w:color w:val="auto"/>
          <w:sz w:val="2"/>
          <w:szCs w:val="2"/>
          <w:lang w:val="en-US" w:bidi="en-US"/>
        </w:rPr>
        <w:t>1057B</w:t>
      </w:r>
      <w:r w:rsidR="00D565A6" w:rsidRPr="00D565A6">
        <w:rPr>
          <w:rFonts w:ascii="Times New Roman" w:hAnsi="Times New Roman"/>
          <w:sz w:val="23"/>
          <w:lang w:val="en-US" w:bidi="en-US"/>
        </w:rPr>
        <w:t>any other factors it considers relevant.</w:t>
      </w:r>
    </w:p>
    <w:p w14:paraId="5C0705DC" w14:textId="77777777" w:rsidR="00E57FDD" w:rsidRPr="0041250E" w:rsidRDefault="00E57FDD" w:rsidP="00D565A6">
      <w:pPr>
        <w:widowControl w:val="0"/>
        <w:tabs>
          <w:tab w:val="left" w:pos="1504"/>
          <w:tab w:val="left" w:pos="1505"/>
        </w:tabs>
        <w:autoSpaceDE w:val="0"/>
        <w:autoSpaceDN w:val="0"/>
        <w:spacing w:before="82" w:line="249" w:lineRule="auto"/>
        <w:ind w:left="1504" w:right="299"/>
        <w:rPr>
          <w:rFonts w:ascii="Times New Roman" w:hAnsi="Times New Roman"/>
          <w:sz w:val="23"/>
          <w:lang w:val="en-US" w:bidi="en-US"/>
        </w:rPr>
      </w:pPr>
    </w:p>
    <w:p w14:paraId="6A5E6AC6" w14:textId="2D7DA3D2" w:rsidR="00FF389B" w:rsidRDefault="00FF389B">
      <w:pPr>
        <w:widowControl w:val="0"/>
        <w:spacing w:after="200" w:line="276" w:lineRule="auto"/>
        <w:rPr>
          <w:rFonts w:ascii="Times New Roman" w:hAnsi="Times New Roman"/>
          <w:sz w:val="18"/>
          <w:szCs w:val="23"/>
          <w:lang w:val="en-US" w:bidi="en-US"/>
        </w:rPr>
      </w:pPr>
      <w:r>
        <w:rPr>
          <w:rFonts w:ascii="Times New Roman" w:hAnsi="Times New Roman"/>
          <w:sz w:val="18"/>
          <w:szCs w:val="23"/>
          <w:lang w:val="en-US" w:bidi="en-US"/>
        </w:rPr>
        <w:br w:type="page"/>
      </w:r>
    </w:p>
    <w:p w14:paraId="2E04B5B6" w14:textId="6A3B0FE1" w:rsidR="005F527C" w:rsidRPr="00F653C1" w:rsidRDefault="00E249E8" w:rsidP="004975F3">
      <w:pPr>
        <w:pStyle w:val="BodyText"/>
        <w:numPr>
          <w:ilvl w:val="0"/>
          <w:numId w:val="0"/>
        </w:numPr>
        <w:ind w:left="879"/>
      </w:pPr>
      <w:r>
        <w:rPr>
          <w:noProof/>
        </w:rPr>
        <w:lastRenderedPageBreak/>
        <mc:AlternateContent>
          <mc:Choice Requires="wpg">
            <w:drawing>
              <wp:anchor distT="0" distB="0" distL="114300" distR="114300" simplePos="0" relativeHeight="251651115" behindDoc="1" locked="0" layoutInCell="1" allowOverlap="1" wp14:anchorId="4B909685" wp14:editId="1CDEE71F">
                <wp:simplePos x="0" y="0"/>
                <wp:positionH relativeFrom="column">
                  <wp:posOffset>-3810</wp:posOffset>
                </wp:positionH>
                <wp:positionV relativeFrom="paragraph">
                  <wp:posOffset>3810</wp:posOffset>
                </wp:positionV>
                <wp:extent cx="5760085" cy="1152398"/>
                <wp:effectExtent l="0" t="0" r="0" b="0"/>
                <wp:wrapNone/>
                <wp:docPr id="764518014" name="Group 764518014"/>
                <wp:cNvGraphicFramePr/>
                <a:graphic xmlns:a="http://schemas.openxmlformats.org/drawingml/2006/main">
                  <a:graphicData uri="http://schemas.microsoft.com/office/word/2010/wordprocessingGroup">
                    <wpg:wgp>
                      <wpg:cNvGrpSpPr/>
                      <wpg:grpSpPr>
                        <a:xfrm>
                          <a:off x="0" y="0"/>
                          <a:ext cx="5760085" cy="1152398"/>
                          <a:chOff x="0" y="62865"/>
                          <a:chExt cx="5760085" cy="1152515"/>
                        </a:xfrm>
                      </wpg:grpSpPr>
                      <wps:wsp>
                        <wps:cNvPr id="76451801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D83CD1" w14:textId="77777777" w:rsidR="00A55F53" w:rsidRDefault="00A55F53" w:rsidP="00E249E8">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16" name="Group 53"/>
                        <wpg:cNvGrpSpPr>
                          <a:grpSpLocks/>
                        </wpg:cNvGrpSpPr>
                        <wpg:grpSpPr bwMode="auto">
                          <a:xfrm>
                            <a:off x="0" y="316170"/>
                            <a:ext cx="5760085" cy="899210"/>
                            <a:chOff x="1837" y="1791"/>
                            <a:chExt cx="9302" cy="9713"/>
                          </a:xfrm>
                        </wpg:grpSpPr>
                        <wps:wsp>
                          <wps:cNvPr id="764518063" name="Freeform 54"/>
                          <wps:cNvSpPr>
                            <a:spLocks/>
                          </wps:cNvSpPr>
                          <wps:spPr bwMode="auto">
                            <a:xfrm>
                              <a:off x="1837" y="1791"/>
                              <a:ext cx="9302" cy="971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104" name="Group 764518104"/>
                        <wpg:cNvGrpSpPr/>
                        <wpg:grpSpPr>
                          <a:xfrm>
                            <a:off x="0" y="494036"/>
                            <a:ext cx="1443794" cy="252000"/>
                            <a:chOff x="-15880" y="0"/>
                            <a:chExt cx="1444379" cy="252068"/>
                          </a:xfrm>
                        </wpg:grpSpPr>
                        <wps:wsp>
                          <wps:cNvPr id="764518105"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10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A204F4" w14:textId="69E0FCEC" w:rsidR="00A55F53" w:rsidRPr="00E700FF" w:rsidRDefault="00A55F53" w:rsidP="00E249E8">
                                <w:pPr>
                                  <w:pStyle w:val="BoxTitle"/>
                                  <w:spacing w:before="0" w:beforeAutospacing="0"/>
                                </w:pPr>
                                <w:r w:rsidRPr="001C1B37">
                                  <w:t>Q</w:t>
                                </w:r>
                                <w: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B909685" id="Group 764518014" o:spid="_x0000_s1208" style="position:absolute;left:0;text-align:left;margin-left:-.3pt;margin-top:.3pt;width:453.55pt;height:90.75pt;z-index:-251665365;mso-height-relative:margin" coordorigin=",628" coordsize="57600,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">
                <v:shape id="_x0000_s120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DD83CD1" w14:textId="77777777" w:rsidR="00A55F53" w:rsidRDefault="00A55F53" w:rsidP="00E249E8">
                        <w:pPr>
                          <w:pStyle w:val="BoxTitle"/>
                          <w:spacing w:before="0" w:beforeAutospacing="0"/>
                        </w:pPr>
                        <w:r w:rsidRPr="007F6876">
                          <w:t>QUESTION</w:t>
                        </w:r>
                      </w:p>
                    </w:txbxContent>
                  </v:textbox>
                </v:shape>
                <v:group id="Group 53" o:spid="_x0000_s1210" style="position:absolute;top:3161;width:57600;height:8992" coordorigin="1837,1791" coordsize="9302,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">
                  <v:shape id="Freeform 54" o:spid="_x0000_s1211" style="position:absolute;left:1837;top:1791;width:9302;height:971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" path="m,l9354,r,7809l,7809,,e" fillcolor="#edf2ea" stroked="f">
                    <v:path arrowok="t" o:connecttype="custom" o:connectlocs="0,1244;9302,1244;9302,10957;0,10957;0,1244" o:connectangles="0,0,0,0,0"/>
                  </v:shape>
                </v:group>
                <v:group id="Group 764518104" o:spid="_x0000_s121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">
                  <v:shape id="Freeform 58" o:spid="_x0000_s1213"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" path="m,l1815,e" filled="f" strokecolor="#72ab6a" strokeweight=".5pt">
                    <v:path arrowok="t" o:connecttype="custom" o:connectlocs="0,0;1073495,0" o:connectangles="0,0"/>
                  </v:shape>
                  <v:shape id="Freeform 66" o:spid="_x0000_s121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BA204F4" w14:textId="69E0FCEC" w:rsidR="00A55F53" w:rsidRPr="00E700FF" w:rsidRDefault="00A55F53" w:rsidP="00E249E8">
                          <w:pPr>
                            <w:pStyle w:val="BoxTitle"/>
                            <w:spacing w:before="0" w:beforeAutospacing="0"/>
                          </w:pPr>
                          <w:r w:rsidRPr="001C1B37">
                            <w:t>Q</w:t>
                          </w:r>
                          <w:r>
                            <w:t>2</w:t>
                          </w:r>
                        </w:p>
                      </w:txbxContent>
                    </v:textbox>
                  </v:shape>
                </v:group>
              </v:group>
            </w:pict>
          </mc:Fallback>
        </mc:AlternateContent>
      </w:r>
    </w:p>
    <w:p w14:paraId="7AF176AB" w14:textId="133F3197" w:rsidR="005F527C" w:rsidRDefault="005F527C" w:rsidP="005F527C">
      <w:pPr>
        <w:pStyle w:val="QuestionBox"/>
      </w:pPr>
    </w:p>
    <w:p w14:paraId="1F02F537" w14:textId="0C952C22" w:rsidR="00B763FB" w:rsidRDefault="00BD5C95" w:rsidP="005F527C">
      <w:pPr>
        <w:pStyle w:val="QuestionBox"/>
      </w:pPr>
      <w:r>
        <w:rPr>
          <w:rFonts w:ascii="ZWAdobeF" w:hAnsi="ZWAdobeF" w:cs="ZWAdobeF"/>
          <w:color w:val="auto"/>
          <w:sz w:val="2"/>
          <w:szCs w:val="2"/>
        </w:rPr>
        <w:t>1383B</w:t>
      </w:r>
      <w:r w:rsidR="0049638A">
        <w:rPr>
          <w:rFonts w:ascii="ZWAdobeF" w:hAnsi="ZWAdobeF" w:cs="ZWAdobeF"/>
          <w:color w:val="auto"/>
          <w:sz w:val="2"/>
          <w:szCs w:val="2"/>
        </w:rPr>
        <w:t>1383B</w:t>
      </w:r>
      <w:r w:rsidR="00D629FA">
        <w:rPr>
          <w:rFonts w:ascii="ZWAdobeF" w:hAnsi="ZWAdobeF" w:cs="ZWAdobeF"/>
          <w:color w:val="auto"/>
          <w:sz w:val="2"/>
          <w:szCs w:val="2"/>
        </w:rPr>
        <w:t>1383B</w:t>
      </w:r>
      <w:r w:rsidR="00B763FB">
        <w:t xml:space="preserve">Do you agree with our draft certification provision? If not, how should it be amended? </w:t>
      </w:r>
    </w:p>
    <w:p w14:paraId="4A8E79D5" w14:textId="77777777" w:rsidR="00B5280F" w:rsidRDefault="00B5280F" w:rsidP="005F527C">
      <w:pPr>
        <w:pStyle w:val="QuestionBox"/>
      </w:pPr>
    </w:p>
    <w:p w14:paraId="4F85F7A0" w14:textId="77777777" w:rsidR="00B763FB" w:rsidRDefault="00B763FB" w:rsidP="00326D08">
      <w:pPr>
        <w:pStyle w:val="Heading2"/>
      </w:pPr>
      <w:bookmarkStart w:id="50" w:name="_Toc83895436"/>
      <w:r>
        <w:t>Additional certification matters</w:t>
      </w:r>
      <w:bookmarkEnd w:id="50"/>
    </w:p>
    <w:p w14:paraId="61799B40" w14:textId="3449C19B" w:rsidR="00B763FB" w:rsidRDefault="00BD5C95" w:rsidP="00932E49">
      <w:pPr>
        <w:pStyle w:val="BodyText"/>
      </w:pPr>
      <w:r>
        <w:rPr>
          <w:rFonts w:ascii="ZWAdobeF" w:hAnsi="ZWAdobeF" w:cs="ZWAdobeF"/>
          <w:color w:val="auto"/>
          <w:sz w:val="2"/>
          <w:szCs w:val="2"/>
        </w:rPr>
        <w:t>102B</w:t>
      </w:r>
      <w:r w:rsidR="0049638A">
        <w:rPr>
          <w:rFonts w:ascii="ZWAdobeF" w:hAnsi="ZWAdobeF" w:cs="ZWAdobeF"/>
          <w:color w:val="auto"/>
          <w:sz w:val="2"/>
          <w:szCs w:val="2"/>
        </w:rPr>
        <w:t>102B</w:t>
      </w:r>
      <w:r w:rsidR="00D629FA">
        <w:rPr>
          <w:rFonts w:ascii="ZWAdobeF" w:hAnsi="ZWAdobeF" w:cs="ZWAdobeF"/>
          <w:color w:val="auto"/>
          <w:sz w:val="2"/>
          <w:szCs w:val="2"/>
        </w:rPr>
        <w:t>102B</w:t>
      </w:r>
      <w:r w:rsidR="00B763FB">
        <w:t>In this section we briefly discuss:</w:t>
      </w:r>
    </w:p>
    <w:p w14:paraId="1145D632" w14:textId="3F8389C9" w:rsidR="00B763FB" w:rsidRDefault="00BD5C95" w:rsidP="003E2524">
      <w:pPr>
        <w:pStyle w:val="BodyTextnonum"/>
        <w:numPr>
          <w:ilvl w:val="3"/>
          <w:numId w:val="34"/>
        </w:numPr>
      </w:pPr>
      <w:r>
        <w:rPr>
          <w:rFonts w:ascii="ZWAdobeF" w:hAnsi="ZWAdobeF" w:cs="ZWAdobeF"/>
          <w:color w:val="auto"/>
          <w:sz w:val="2"/>
          <w:szCs w:val="2"/>
        </w:rPr>
        <w:t>636B</w:t>
      </w:r>
      <w:r w:rsidR="0049638A">
        <w:rPr>
          <w:rFonts w:ascii="ZWAdobeF" w:hAnsi="ZWAdobeF" w:cs="ZWAdobeF"/>
          <w:color w:val="auto"/>
          <w:sz w:val="2"/>
          <w:szCs w:val="2"/>
        </w:rPr>
        <w:t>636B</w:t>
      </w:r>
      <w:r w:rsidR="00D629FA">
        <w:rPr>
          <w:rFonts w:ascii="ZWAdobeF" w:hAnsi="ZWAdobeF" w:cs="ZWAdobeF"/>
          <w:color w:val="auto"/>
          <w:sz w:val="2"/>
          <w:szCs w:val="2"/>
        </w:rPr>
        <w:t>636B</w:t>
      </w:r>
      <w:r w:rsidR="00B763FB">
        <w:t>When sub-classes should be allowed.</w:t>
      </w:r>
    </w:p>
    <w:p w14:paraId="3F36FDE0" w14:textId="4C38F107" w:rsidR="00B763FB" w:rsidRPr="00141017" w:rsidRDefault="00BD5C95" w:rsidP="003E2524">
      <w:pPr>
        <w:pStyle w:val="BodyTextnonum"/>
        <w:numPr>
          <w:ilvl w:val="3"/>
          <w:numId w:val="34"/>
        </w:numPr>
      </w:pPr>
      <w:r>
        <w:rPr>
          <w:rFonts w:ascii="ZWAdobeF" w:hAnsi="ZWAdobeF" w:cs="ZWAdobeF"/>
          <w:color w:val="auto"/>
          <w:sz w:val="2"/>
          <w:szCs w:val="2"/>
        </w:rPr>
        <w:t>637B</w:t>
      </w:r>
      <w:r w:rsidR="0049638A">
        <w:rPr>
          <w:rFonts w:ascii="ZWAdobeF" w:hAnsi="ZWAdobeF" w:cs="ZWAdobeF"/>
          <w:color w:val="auto"/>
          <w:sz w:val="2"/>
          <w:szCs w:val="2"/>
        </w:rPr>
        <w:t>637B</w:t>
      </w:r>
      <w:r w:rsidR="00D629FA">
        <w:rPr>
          <w:rFonts w:ascii="ZWAdobeF" w:hAnsi="ZWAdobeF" w:cs="ZWAdobeF"/>
          <w:color w:val="auto"/>
          <w:sz w:val="2"/>
          <w:szCs w:val="2"/>
        </w:rPr>
        <w:t>637B</w:t>
      </w:r>
      <w:r w:rsidR="00B763FB">
        <w:t xml:space="preserve">What should be specified in a certification order. </w:t>
      </w:r>
    </w:p>
    <w:p w14:paraId="3BB65FAE" w14:textId="77777777" w:rsidR="00B763FB" w:rsidRPr="00E6745D" w:rsidRDefault="00B763FB" w:rsidP="00326D08">
      <w:pPr>
        <w:pStyle w:val="Heading3"/>
      </w:pPr>
      <w:r w:rsidRPr="00E6745D">
        <w:t>Sub-classes</w:t>
      </w:r>
    </w:p>
    <w:p w14:paraId="5E815FDD" w14:textId="1B3E9DD0" w:rsidR="00B763FB" w:rsidRPr="000927A8" w:rsidRDefault="00BD5C95" w:rsidP="00932E49">
      <w:pPr>
        <w:pStyle w:val="BodyText"/>
      </w:pPr>
      <w:r>
        <w:rPr>
          <w:rFonts w:ascii="ZWAdobeF" w:hAnsi="ZWAdobeF" w:cs="ZWAdobeF"/>
          <w:color w:val="auto"/>
          <w:sz w:val="2"/>
          <w:szCs w:val="2"/>
        </w:rPr>
        <w:t>103B</w:t>
      </w:r>
      <w:r w:rsidR="0049638A">
        <w:rPr>
          <w:rFonts w:ascii="ZWAdobeF" w:hAnsi="ZWAdobeF" w:cs="ZWAdobeF"/>
          <w:color w:val="auto"/>
          <w:sz w:val="2"/>
          <w:szCs w:val="2"/>
        </w:rPr>
        <w:t>103B</w:t>
      </w:r>
      <w:r w:rsidR="00D629FA">
        <w:rPr>
          <w:rFonts w:ascii="ZWAdobeF" w:hAnsi="ZWAdobeF" w:cs="ZWAdobeF"/>
          <w:color w:val="auto"/>
          <w:sz w:val="2"/>
          <w:szCs w:val="2"/>
        </w:rPr>
        <w:t>103B</w:t>
      </w:r>
      <w:r w:rsidR="00B763FB">
        <w:rPr>
          <w:szCs w:val="20"/>
        </w:rPr>
        <w:t xml:space="preserve">It may be necessary to have sub-classes in a class action, with groups represented by sub-class </w:t>
      </w:r>
      <w:r w:rsidR="00244E92">
        <w:rPr>
          <w:szCs w:val="20"/>
        </w:rPr>
        <w:t xml:space="preserve">representative </w:t>
      </w:r>
      <w:r w:rsidR="00B763FB">
        <w:rPr>
          <w:szCs w:val="20"/>
        </w:rPr>
        <w:t>plaintiffs.</w:t>
      </w:r>
    </w:p>
    <w:p w14:paraId="24479055" w14:textId="5902B6B2" w:rsidR="00B763FB" w:rsidRPr="00055515" w:rsidRDefault="00B763FB" w:rsidP="00932E49">
      <w:pPr>
        <w:pStyle w:val="BodyText"/>
      </w:pPr>
      <w:r>
        <w:rPr>
          <w:szCs w:val="20"/>
        </w:rPr>
        <w:t xml:space="preserve"> </w:t>
      </w:r>
      <w:r w:rsidR="00BD5C95">
        <w:rPr>
          <w:rFonts w:ascii="ZWAdobeF" w:hAnsi="ZWAdobeF" w:cs="ZWAdobeF"/>
          <w:color w:val="auto"/>
          <w:sz w:val="2"/>
          <w:szCs w:val="2"/>
        </w:rPr>
        <w:t>104B</w:t>
      </w:r>
      <w:r w:rsidR="0049638A">
        <w:rPr>
          <w:rFonts w:ascii="ZWAdobeF" w:hAnsi="ZWAdobeF" w:cs="ZWAdobeF"/>
          <w:color w:val="auto"/>
          <w:sz w:val="2"/>
          <w:szCs w:val="2"/>
        </w:rPr>
        <w:t>104B</w:t>
      </w:r>
      <w:r w:rsidR="00D629FA">
        <w:rPr>
          <w:rFonts w:ascii="ZWAdobeF" w:hAnsi="ZWAdobeF" w:cs="ZWAdobeF"/>
          <w:color w:val="auto"/>
          <w:sz w:val="2"/>
          <w:szCs w:val="2"/>
        </w:rPr>
        <w:t>104B</w:t>
      </w:r>
      <w:r>
        <w:rPr>
          <w:szCs w:val="20"/>
        </w:rPr>
        <w:t>One situation where a sub-class may be desirable is where groups of class members have conflicting interests. In the United States, sub-classes and separate legal representation may be required where there are significant conflicts of interests.</w:t>
      </w:r>
      <w:r w:rsidR="00D629FA">
        <w:rPr>
          <w:rFonts w:ascii="ZWAdobeF" w:hAnsi="ZWAdobeF" w:cs="ZWAdobeF"/>
          <w:color w:val="auto"/>
          <w:sz w:val="2"/>
          <w:szCs w:val="2"/>
        </w:rPr>
        <w:t>198F</w:t>
      </w:r>
      <w:r w:rsidR="0049638A">
        <w:rPr>
          <w:rFonts w:ascii="ZWAdobeF" w:hAnsi="ZWAdobeF" w:cs="ZWAdobeF"/>
          <w:color w:val="auto"/>
          <w:sz w:val="2"/>
          <w:szCs w:val="2"/>
        </w:rPr>
        <w:t>198F</w:t>
      </w:r>
      <w:r w:rsidR="00317AE4">
        <w:rPr>
          <w:rFonts w:ascii="ZWAdobeF" w:hAnsi="ZWAdobeF" w:cs="ZWAdobeF"/>
          <w:color w:val="auto"/>
          <w:sz w:val="2"/>
          <w:szCs w:val="2"/>
        </w:rPr>
        <w:t>198F</w:t>
      </w:r>
      <w:r>
        <w:rPr>
          <w:rStyle w:val="FootnoteReference"/>
          <w:szCs w:val="20"/>
        </w:rPr>
        <w:footnoteReference w:id="200"/>
      </w:r>
      <w:r>
        <w:rPr>
          <w:szCs w:val="20"/>
        </w:rPr>
        <w:t xml:space="preserve"> In Canada, where separate representation is necessary to protect sub-class member interests, the court cannot certify a class action unless it appoints a plaintiff to represent the sub-class.</w:t>
      </w:r>
      <w:r w:rsidR="00D629FA">
        <w:rPr>
          <w:rFonts w:ascii="ZWAdobeF" w:hAnsi="ZWAdobeF" w:cs="ZWAdobeF"/>
          <w:color w:val="auto"/>
          <w:sz w:val="2"/>
          <w:szCs w:val="2"/>
        </w:rPr>
        <w:t>199F</w:t>
      </w:r>
      <w:r w:rsidR="0049638A">
        <w:rPr>
          <w:rFonts w:ascii="ZWAdobeF" w:hAnsi="ZWAdobeF" w:cs="ZWAdobeF"/>
          <w:color w:val="auto"/>
          <w:sz w:val="2"/>
          <w:szCs w:val="2"/>
        </w:rPr>
        <w:t>199F</w:t>
      </w:r>
      <w:r w:rsidR="00317AE4">
        <w:rPr>
          <w:rFonts w:ascii="ZWAdobeF" w:hAnsi="ZWAdobeF" w:cs="ZWAdobeF"/>
          <w:color w:val="auto"/>
          <w:sz w:val="2"/>
          <w:szCs w:val="2"/>
        </w:rPr>
        <w:t>199F</w:t>
      </w:r>
      <w:r>
        <w:rPr>
          <w:rStyle w:val="FootnoteReference"/>
          <w:szCs w:val="20"/>
        </w:rPr>
        <w:footnoteReference w:id="201"/>
      </w:r>
      <w:r>
        <w:rPr>
          <w:szCs w:val="20"/>
        </w:rPr>
        <w:t xml:space="preserve"> </w:t>
      </w:r>
    </w:p>
    <w:p w14:paraId="6878C7B2" w14:textId="5827AB78" w:rsidR="00B763FB" w:rsidRPr="00D27333" w:rsidRDefault="00BD5C95" w:rsidP="00932E49">
      <w:pPr>
        <w:pStyle w:val="BodyText"/>
      </w:pPr>
      <w:r>
        <w:rPr>
          <w:rFonts w:ascii="ZWAdobeF" w:hAnsi="ZWAdobeF" w:cs="ZWAdobeF"/>
          <w:color w:val="auto"/>
          <w:sz w:val="2"/>
          <w:szCs w:val="2"/>
        </w:rPr>
        <w:t>105B</w:t>
      </w:r>
      <w:r w:rsidR="0049638A">
        <w:rPr>
          <w:rFonts w:ascii="ZWAdobeF" w:hAnsi="ZWAdobeF" w:cs="ZWAdobeF"/>
          <w:color w:val="auto"/>
          <w:sz w:val="2"/>
          <w:szCs w:val="2"/>
        </w:rPr>
        <w:t>105B</w:t>
      </w:r>
      <w:r w:rsidR="00D629FA">
        <w:rPr>
          <w:rFonts w:ascii="ZWAdobeF" w:hAnsi="ZWAdobeF" w:cs="ZWAdobeF"/>
          <w:color w:val="auto"/>
          <w:sz w:val="2"/>
          <w:szCs w:val="2"/>
        </w:rPr>
        <w:t>105B</w:t>
      </w:r>
      <w:r w:rsidR="00B763FB">
        <w:rPr>
          <w:szCs w:val="20"/>
        </w:rPr>
        <w:t>Another situation is where all class members share a common issue, but there are additional issues which are not common to all class members. In this situation, sub-class</w:t>
      </w:r>
      <w:r w:rsidR="00244E92">
        <w:rPr>
          <w:szCs w:val="20"/>
        </w:rPr>
        <w:t>es</w:t>
      </w:r>
      <w:r w:rsidR="00B763FB">
        <w:rPr>
          <w:szCs w:val="20"/>
        </w:rPr>
        <w:t xml:space="preserve"> may assist to make litigation more efficient and manageable.</w:t>
      </w:r>
      <w:r w:rsidR="00B763FB" w:rsidRPr="0017246C">
        <w:rPr>
          <w:szCs w:val="20"/>
        </w:rPr>
        <w:t xml:space="preserve"> </w:t>
      </w:r>
      <w:r w:rsidR="00B763FB">
        <w:rPr>
          <w:szCs w:val="20"/>
        </w:rPr>
        <w:t>An example of this is seen in the Australian regimes, which allow sub-groups as a technique for managing non-common issues.</w:t>
      </w:r>
      <w:r w:rsidR="00D629FA">
        <w:rPr>
          <w:rFonts w:ascii="ZWAdobeF" w:hAnsi="ZWAdobeF" w:cs="ZWAdobeF"/>
          <w:color w:val="auto"/>
          <w:sz w:val="2"/>
          <w:szCs w:val="2"/>
        </w:rPr>
        <w:t>200F</w:t>
      </w:r>
      <w:r w:rsidR="0049638A">
        <w:rPr>
          <w:rFonts w:ascii="ZWAdobeF" w:hAnsi="ZWAdobeF" w:cs="ZWAdobeF"/>
          <w:color w:val="auto"/>
          <w:sz w:val="2"/>
          <w:szCs w:val="2"/>
        </w:rPr>
        <w:t>200F</w:t>
      </w:r>
      <w:r w:rsidR="00317AE4">
        <w:rPr>
          <w:rFonts w:ascii="ZWAdobeF" w:hAnsi="ZWAdobeF" w:cs="ZWAdobeF"/>
          <w:color w:val="auto"/>
          <w:sz w:val="2"/>
          <w:szCs w:val="2"/>
        </w:rPr>
        <w:t>200F</w:t>
      </w:r>
      <w:r w:rsidR="00B763FB">
        <w:rPr>
          <w:rStyle w:val="FootnoteReference"/>
          <w:szCs w:val="20"/>
        </w:rPr>
        <w:footnoteReference w:id="202"/>
      </w:r>
      <w:r w:rsidR="00B763FB">
        <w:rPr>
          <w:szCs w:val="20"/>
        </w:rPr>
        <w:t xml:space="preserve">  </w:t>
      </w:r>
    </w:p>
    <w:p w14:paraId="7C91E80E" w14:textId="223B6AFE" w:rsidR="00B763FB" w:rsidRPr="00F00BD7" w:rsidRDefault="00BD5C95" w:rsidP="00932E49">
      <w:pPr>
        <w:pStyle w:val="BodyText"/>
      </w:pPr>
      <w:r>
        <w:rPr>
          <w:rFonts w:ascii="ZWAdobeF" w:hAnsi="ZWAdobeF" w:cs="ZWAdobeF"/>
          <w:color w:val="auto"/>
          <w:sz w:val="2"/>
          <w:szCs w:val="2"/>
        </w:rPr>
        <w:t>106B</w:t>
      </w:r>
      <w:r w:rsidR="0049638A">
        <w:rPr>
          <w:rFonts w:ascii="ZWAdobeF" w:hAnsi="ZWAdobeF" w:cs="ZWAdobeF"/>
          <w:color w:val="auto"/>
          <w:sz w:val="2"/>
          <w:szCs w:val="2"/>
        </w:rPr>
        <w:t>106B</w:t>
      </w:r>
      <w:r w:rsidR="00D629FA">
        <w:rPr>
          <w:rFonts w:ascii="ZWAdobeF" w:hAnsi="ZWAdobeF" w:cs="ZWAdobeF"/>
          <w:color w:val="auto"/>
          <w:sz w:val="2"/>
          <w:szCs w:val="2"/>
        </w:rPr>
        <w:t>106B</w:t>
      </w:r>
      <w:r w:rsidR="00B763FB">
        <w:rPr>
          <w:szCs w:val="20"/>
        </w:rPr>
        <w:t>Sub-classes could also be allowed where there is no issue common to all class members, but there are several related sub-classes. It may be more accurate to describe this as multiple classes, rather than one class with several sub-classes. Courts in the United States have taken differing views as to whether this form of sub-class is permissible.</w:t>
      </w:r>
      <w:r w:rsidR="00D629FA">
        <w:rPr>
          <w:rFonts w:ascii="ZWAdobeF" w:hAnsi="ZWAdobeF" w:cs="ZWAdobeF"/>
          <w:color w:val="auto"/>
          <w:sz w:val="2"/>
          <w:szCs w:val="2"/>
        </w:rPr>
        <w:t>201F</w:t>
      </w:r>
      <w:r w:rsidR="0049638A">
        <w:rPr>
          <w:rFonts w:ascii="ZWAdobeF" w:hAnsi="ZWAdobeF" w:cs="ZWAdobeF"/>
          <w:color w:val="auto"/>
          <w:sz w:val="2"/>
          <w:szCs w:val="2"/>
        </w:rPr>
        <w:t>201F</w:t>
      </w:r>
      <w:r w:rsidR="00317AE4">
        <w:rPr>
          <w:rFonts w:ascii="ZWAdobeF" w:hAnsi="ZWAdobeF" w:cs="ZWAdobeF"/>
          <w:color w:val="auto"/>
          <w:sz w:val="2"/>
          <w:szCs w:val="2"/>
        </w:rPr>
        <w:t>201F</w:t>
      </w:r>
      <w:r w:rsidR="00B763FB">
        <w:rPr>
          <w:rStyle w:val="FootnoteReference"/>
          <w:szCs w:val="20"/>
        </w:rPr>
        <w:footnoteReference w:id="203"/>
      </w:r>
      <w:r w:rsidR="00B763FB">
        <w:rPr>
          <w:szCs w:val="20"/>
        </w:rPr>
        <w:t xml:space="preserve"> One consequence of this approach is allowing a case to be certified in circumstances where the broader class could not be certified because of insufficient commonality.</w:t>
      </w:r>
      <w:r w:rsidR="00D629FA">
        <w:rPr>
          <w:rFonts w:ascii="ZWAdobeF" w:hAnsi="ZWAdobeF" w:cs="ZWAdobeF"/>
          <w:color w:val="auto"/>
          <w:sz w:val="2"/>
          <w:szCs w:val="2"/>
        </w:rPr>
        <w:t>202F</w:t>
      </w:r>
      <w:r w:rsidR="0049638A">
        <w:rPr>
          <w:rFonts w:ascii="ZWAdobeF" w:hAnsi="ZWAdobeF" w:cs="ZWAdobeF"/>
          <w:color w:val="auto"/>
          <w:sz w:val="2"/>
          <w:szCs w:val="2"/>
        </w:rPr>
        <w:t>202F</w:t>
      </w:r>
      <w:r w:rsidR="00317AE4">
        <w:rPr>
          <w:rFonts w:ascii="ZWAdobeF" w:hAnsi="ZWAdobeF" w:cs="ZWAdobeF"/>
          <w:color w:val="auto"/>
          <w:sz w:val="2"/>
          <w:szCs w:val="2"/>
        </w:rPr>
        <w:t>202F</w:t>
      </w:r>
      <w:r w:rsidR="00B763FB">
        <w:rPr>
          <w:rStyle w:val="FootnoteReference"/>
          <w:szCs w:val="20"/>
        </w:rPr>
        <w:footnoteReference w:id="204"/>
      </w:r>
      <w:r w:rsidR="00B763FB">
        <w:rPr>
          <w:szCs w:val="20"/>
        </w:rPr>
        <w:t xml:space="preserve"> </w:t>
      </w:r>
    </w:p>
    <w:p w14:paraId="04804C9D" w14:textId="5C845CFA" w:rsidR="00B763FB" w:rsidRPr="00A64FFD" w:rsidRDefault="00BD5C95" w:rsidP="00932E49">
      <w:pPr>
        <w:pStyle w:val="BodyText"/>
      </w:pPr>
      <w:r>
        <w:rPr>
          <w:rFonts w:ascii="ZWAdobeF" w:hAnsi="ZWAdobeF" w:cs="ZWAdobeF"/>
          <w:color w:val="auto"/>
          <w:sz w:val="2"/>
          <w:szCs w:val="2"/>
        </w:rPr>
        <w:t>107B</w:t>
      </w:r>
      <w:r w:rsidR="0049638A">
        <w:rPr>
          <w:rFonts w:ascii="ZWAdobeF" w:hAnsi="ZWAdobeF" w:cs="ZWAdobeF"/>
          <w:color w:val="auto"/>
          <w:sz w:val="2"/>
          <w:szCs w:val="2"/>
        </w:rPr>
        <w:t>107B</w:t>
      </w:r>
      <w:r w:rsidR="00D629FA">
        <w:rPr>
          <w:rFonts w:ascii="ZWAdobeF" w:hAnsi="ZWAdobeF" w:cs="ZWAdobeF"/>
          <w:color w:val="auto"/>
          <w:sz w:val="2"/>
          <w:szCs w:val="2"/>
        </w:rPr>
        <w:t>107B</w:t>
      </w:r>
      <w:r w:rsidR="00244E92">
        <w:rPr>
          <w:szCs w:val="20"/>
        </w:rPr>
        <w:t xml:space="preserve">We consider </w:t>
      </w:r>
      <w:r w:rsidR="00B763FB">
        <w:rPr>
          <w:szCs w:val="20"/>
        </w:rPr>
        <w:t xml:space="preserve">class members’ claims should be required to raise a common issue, with sub-classes used to determine additional issues or where a conflict of interest arises. We think the benefits of class actions are more able to be realised where there is a common issue </w:t>
      </w:r>
      <w:r w:rsidR="00B763FB">
        <w:rPr>
          <w:szCs w:val="20"/>
        </w:rPr>
        <w:lastRenderedPageBreak/>
        <w:t>across all of the claims. We think it would be desirable for a class actions statute to</w:t>
      </w:r>
      <w:r w:rsidR="00931802">
        <w:rPr>
          <w:szCs w:val="20"/>
        </w:rPr>
        <w:t xml:space="preserve"> </w:t>
      </w:r>
      <w:r w:rsidR="009A7AB5">
        <w:rPr>
          <w:noProof/>
        </w:rPr>
        <mc:AlternateContent>
          <mc:Choice Requires="wpg">
            <w:drawing>
              <wp:anchor distT="0" distB="0" distL="114300" distR="114300" simplePos="0" relativeHeight="251651116" behindDoc="1" locked="0" layoutInCell="1" allowOverlap="1" wp14:anchorId="5E7442B4" wp14:editId="4DDF55E1">
                <wp:simplePos x="0" y="0"/>
                <wp:positionH relativeFrom="column">
                  <wp:posOffset>-2540</wp:posOffset>
                </wp:positionH>
                <wp:positionV relativeFrom="paragraph">
                  <wp:posOffset>437623</wp:posOffset>
                </wp:positionV>
                <wp:extent cx="5760085" cy="2224582"/>
                <wp:effectExtent l="0" t="0" r="0" b="4445"/>
                <wp:wrapNone/>
                <wp:docPr id="764518107" name="Group 764518107"/>
                <wp:cNvGraphicFramePr/>
                <a:graphic xmlns:a="http://schemas.openxmlformats.org/drawingml/2006/main">
                  <a:graphicData uri="http://schemas.microsoft.com/office/word/2010/wordprocessingGroup">
                    <wpg:wgp>
                      <wpg:cNvGrpSpPr/>
                      <wpg:grpSpPr>
                        <a:xfrm>
                          <a:off x="0" y="0"/>
                          <a:ext cx="5760085" cy="2224582"/>
                          <a:chOff x="0" y="66397"/>
                          <a:chExt cx="5760085" cy="2225664"/>
                        </a:xfrm>
                      </wpg:grpSpPr>
                      <wps:wsp>
                        <wps:cNvPr id="764518108" name="Freeform 52"/>
                        <wps:cNvSpPr>
                          <a:spLocks/>
                        </wps:cNvSpPr>
                        <wps:spPr bwMode="auto">
                          <a:xfrm>
                            <a:off x="0" y="66397"/>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3E3BBD" w14:textId="77777777" w:rsidR="00A55F53" w:rsidRDefault="00A55F53" w:rsidP="00E249E8">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109" name="Group 53"/>
                        <wpg:cNvGrpSpPr>
                          <a:grpSpLocks/>
                        </wpg:cNvGrpSpPr>
                        <wpg:grpSpPr bwMode="auto">
                          <a:xfrm>
                            <a:off x="0" y="316077"/>
                            <a:ext cx="5760085" cy="1975984"/>
                            <a:chOff x="1837" y="1790"/>
                            <a:chExt cx="9302" cy="21344"/>
                          </a:xfrm>
                        </wpg:grpSpPr>
                        <wps:wsp>
                          <wps:cNvPr id="764518110" name="Freeform 54"/>
                          <wps:cNvSpPr>
                            <a:spLocks/>
                          </wps:cNvSpPr>
                          <wps:spPr bwMode="auto">
                            <a:xfrm>
                              <a:off x="1837" y="1790"/>
                              <a:ext cx="9302" cy="2134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114" name="Group 764518114"/>
                        <wpg:cNvGrpSpPr/>
                        <wpg:grpSpPr>
                          <a:xfrm>
                            <a:off x="0" y="494036"/>
                            <a:ext cx="1443794" cy="252000"/>
                            <a:chOff x="-15880" y="0"/>
                            <a:chExt cx="1444379" cy="252068"/>
                          </a:xfrm>
                        </wpg:grpSpPr>
                        <wps:wsp>
                          <wps:cNvPr id="76451811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11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8683F9" w14:textId="65099E7C" w:rsidR="00A55F53" w:rsidRPr="00E700FF" w:rsidRDefault="00A55F53" w:rsidP="00E249E8">
                                <w:pPr>
                                  <w:pStyle w:val="BoxTitle"/>
                                  <w:spacing w:before="0" w:beforeAutospacing="0"/>
                                </w:pPr>
                                <w:r w:rsidRPr="001C1B37">
                                  <w:t>Q</w:t>
                                </w:r>
                                <w: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E7442B4" id="Group 764518107" o:spid="_x0000_s1215" style="position:absolute;left:0;text-align:left;margin-left:-.2pt;margin-top:34.45pt;width:453.55pt;height:175.15pt;z-index:-251665364;mso-height-relative:margin" coordorigin=",663" coordsize="57600,2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">
                <v:shape id="_x0000_s1216" style="position:absolute;top:663;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63E3BBD" w14:textId="77777777" w:rsidR="00A55F53" w:rsidRDefault="00A55F53" w:rsidP="00E249E8">
                        <w:pPr>
                          <w:pStyle w:val="BoxTitle"/>
                          <w:spacing w:before="0" w:beforeAutospacing="0"/>
                        </w:pPr>
                        <w:r w:rsidRPr="007F6876">
                          <w:t>QUESTION</w:t>
                        </w:r>
                      </w:p>
                    </w:txbxContent>
                  </v:textbox>
                </v:shape>
                <v:group id="Group 53" o:spid="_x0000_s1217" style="position:absolute;top:3160;width:57600;height:19760" coordorigin="1837,1790" coordsize="9302,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">
                  <v:shape id="Freeform 54" o:spid="_x0000_s1218" style="position:absolute;left:1837;top:1790;width:9302;height:2134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" path="m,l9354,r,7809l,7809,,e" fillcolor="#edf2ea" stroked="f">
                    <v:path arrowok="t" o:connecttype="custom" o:connectlocs="0,2733;9302,2733;9302,24077;0,24077;0,2733" o:connectangles="0,0,0,0,0"/>
                  </v:shape>
                </v:group>
                <v:group id="Group 764518114" o:spid="_x0000_s121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">
                  <v:shape id="Freeform 58" o:spid="_x0000_s1220"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" path="m,l1815,e" filled="f" strokecolor="#72ab6a" strokeweight=".5pt">
                    <v:path arrowok="t" o:connecttype="custom" o:connectlocs="0,0;1073495,0" o:connectangles="0,0"/>
                  </v:shape>
                  <v:shape id="Freeform 66" o:spid="_x0000_s122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C8683F9" w14:textId="65099E7C" w:rsidR="00A55F53" w:rsidRPr="00E700FF" w:rsidRDefault="00A55F53" w:rsidP="00E249E8">
                          <w:pPr>
                            <w:pStyle w:val="BoxTitle"/>
                            <w:spacing w:before="0" w:beforeAutospacing="0"/>
                          </w:pPr>
                          <w:r w:rsidRPr="001C1B37">
                            <w:t>Q</w:t>
                          </w:r>
                          <w:r>
                            <w:t>3</w:t>
                          </w:r>
                        </w:p>
                      </w:txbxContent>
                    </v:textbox>
                  </v:shape>
                </v:group>
              </v:group>
            </w:pict>
          </mc:Fallback>
        </mc:AlternateContent>
      </w:r>
      <w:r w:rsidR="00931802">
        <w:rPr>
          <w:szCs w:val="20"/>
        </w:rPr>
        <w:t xml:space="preserve">provide for </w:t>
      </w:r>
      <w:r w:rsidR="00B763FB">
        <w:rPr>
          <w:szCs w:val="20"/>
        </w:rPr>
        <w:t>sub-classes.</w:t>
      </w:r>
      <w:r w:rsidR="00D629FA">
        <w:rPr>
          <w:rFonts w:ascii="ZWAdobeF" w:hAnsi="ZWAdobeF" w:cs="ZWAdobeF"/>
          <w:color w:val="auto"/>
          <w:sz w:val="2"/>
          <w:szCs w:val="2"/>
        </w:rPr>
        <w:t>203F</w:t>
      </w:r>
      <w:r w:rsidR="0049638A">
        <w:rPr>
          <w:rFonts w:ascii="ZWAdobeF" w:hAnsi="ZWAdobeF" w:cs="ZWAdobeF"/>
          <w:color w:val="auto"/>
          <w:sz w:val="2"/>
          <w:szCs w:val="2"/>
        </w:rPr>
        <w:t>203F</w:t>
      </w:r>
      <w:r w:rsidR="00317AE4">
        <w:rPr>
          <w:rFonts w:ascii="ZWAdobeF" w:hAnsi="ZWAdobeF" w:cs="ZWAdobeF"/>
          <w:color w:val="auto"/>
          <w:sz w:val="2"/>
          <w:szCs w:val="2"/>
        </w:rPr>
        <w:t>203F</w:t>
      </w:r>
      <w:r w:rsidR="00B763FB">
        <w:rPr>
          <w:rStyle w:val="FootnoteReference"/>
          <w:szCs w:val="20"/>
        </w:rPr>
        <w:footnoteReference w:id="205"/>
      </w:r>
    </w:p>
    <w:p w14:paraId="3316639E" w14:textId="45179093" w:rsidR="00B5280F" w:rsidRDefault="00B5280F" w:rsidP="009A7AB5">
      <w:pPr>
        <w:pStyle w:val="BodyText"/>
        <w:numPr>
          <w:ilvl w:val="0"/>
          <w:numId w:val="0"/>
        </w:numPr>
      </w:pPr>
    </w:p>
    <w:p w14:paraId="40695189" w14:textId="3D90EAA6" w:rsidR="00932E49" w:rsidRDefault="00932E49" w:rsidP="00B5280F">
      <w:pPr>
        <w:pStyle w:val="QuestionBox"/>
      </w:pPr>
    </w:p>
    <w:p w14:paraId="4907C953" w14:textId="4F2CDB6E" w:rsidR="00B763FB" w:rsidRPr="00AC1BA5" w:rsidRDefault="00BD5C95" w:rsidP="00B5280F">
      <w:pPr>
        <w:pStyle w:val="QuestionBox"/>
      </w:pPr>
      <w:r>
        <w:rPr>
          <w:rFonts w:ascii="ZWAdobeF" w:hAnsi="ZWAdobeF" w:cs="ZWAdobeF"/>
          <w:color w:val="auto"/>
          <w:sz w:val="2"/>
          <w:szCs w:val="2"/>
        </w:rPr>
        <w:t>1384B</w:t>
      </w:r>
      <w:r w:rsidR="0049638A">
        <w:rPr>
          <w:rFonts w:ascii="ZWAdobeF" w:hAnsi="ZWAdobeF" w:cs="ZWAdobeF"/>
          <w:color w:val="auto"/>
          <w:sz w:val="2"/>
          <w:szCs w:val="2"/>
        </w:rPr>
        <w:t>1384B</w:t>
      </w:r>
      <w:r w:rsidR="00D629FA">
        <w:rPr>
          <w:rFonts w:ascii="ZWAdobeF" w:hAnsi="ZWAdobeF" w:cs="ZWAdobeF"/>
          <w:color w:val="auto"/>
          <w:sz w:val="2"/>
          <w:szCs w:val="2"/>
        </w:rPr>
        <w:t>1384B</w:t>
      </w:r>
      <w:r w:rsidR="00B763FB">
        <w:t>When should sub-classes be allowed? For example:</w:t>
      </w:r>
    </w:p>
    <w:p w14:paraId="4AC34806" w14:textId="5BBBD024" w:rsidR="00B763FB" w:rsidRPr="00E44869" w:rsidRDefault="00BD5C95" w:rsidP="00A64FFD">
      <w:pPr>
        <w:pStyle w:val="Questionabc"/>
        <w:numPr>
          <w:ilvl w:val="0"/>
          <w:numId w:val="106"/>
        </w:numPr>
        <w:ind w:left="1418" w:hanging="425"/>
      </w:pPr>
      <w:r>
        <w:rPr>
          <w:rFonts w:ascii="ZWAdobeF" w:hAnsi="ZWAdobeF" w:cs="ZWAdobeF"/>
          <w:color w:val="auto"/>
          <w:sz w:val="2"/>
          <w:szCs w:val="2"/>
        </w:rPr>
        <w:t>1284B</w:t>
      </w:r>
      <w:r w:rsidR="0049638A">
        <w:rPr>
          <w:rFonts w:ascii="ZWAdobeF" w:hAnsi="ZWAdobeF" w:cs="ZWAdobeF"/>
          <w:color w:val="auto"/>
          <w:sz w:val="2"/>
          <w:szCs w:val="2"/>
        </w:rPr>
        <w:t>1284B</w:t>
      </w:r>
      <w:r w:rsidR="00D629FA">
        <w:rPr>
          <w:rFonts w:ascii="ZWAdobeF" w:hAnsi="ZWAdobeF" w:cs="ZWAdobeF"/>
          <w:color w:val="auto"/>
          <w:sz w:val="2"/>
          <w:szCs w:val="2"/>
        </w:rPr>
        <w:t>1284B</w:t>
      </w:r>
      <w:r w:rsidR="00B763FB">
        <w:t>Where there is a conflict of interest among class members?</w:t>
      </w:r>
    </w:p>
    <w:p w14:paraId="40AEE3F9" w14:textId="4BF6F257" w:rsidR="00B763FB" w:rsidRPr="00FD3F42" w:rsidRDefault="00BD5C95" w:rsidP="002F0862">
      <w:pPr>
        <w:pStyle w:val="Questionabc"/>
      </w:pPr>
      <w:r>
        <w:rPr>
          <w:rFonts w:ascii="ZWAdobeF" w:hAnsi="ZWAdobeF" w:cs="ZWAdobeF"/>
          <w:color w:val="auto"/>
          <w:sz w:val="2"/>
          <w:szCs w:val="2"/>
        </w:rPr>
        <w:t>1285B</w:t>
      </w:r>
      <w:r w:rsidR="0049638A">
        <w:rPr>
          <w:rFonts w:ascii="ZWAdobeF" w:hAnsi="ZWAdobeF" w:cs="ZWAdobeF"/>
          <w:color w:val="auto"/>
          <w:sz w:val="2"/>
          <w:szCs w:val="2"/>
        </w:rPr>
        <w:t>1285B</w:t>
      </w:r>
      <w:r w:rsidR="00D629FA">
        <w:rPr>
          <w:rFonts w:ascii="ZWAdobeF" w:hAnsi="ZWAdobeF" w:cs="ZWAdobeF"/>
          <w:color w:val="auto"/>
          <w:sz w:val="2"/>
          <w:szCs w:val="2"/>
        </w:rPr>
        <w:t>1285B</w:t>
      </w:r>
      <w:r w:rsidR="00B763FB">
        <w:t xml:space="preserve">Where there is a common issue across all class members, as well as additional issues only shared by a </w:t>
      </w:r>
      <w:r w:rsidR="000635B6">
        <w:t>sub-</w:t>
      </w:r>
      <w:r w:rsidR="00B763FB">
        <w:t>group?</w:t>
      </w:r>
    </w:p>
    <w:p w14:paraId="106CA07A" w14:textId="5A7169DC" w:rsidR="00B763FB" w:rsidRDefault="00BD5C95" w:rsidP="002F0862">
      <w:pPr>
        <w:pStyle w:val="Questionabc"/>
      </w:pPr>
      <w:r>
        <w:rPr>
          <w:rFonts w:ascii="ZWAdobeF" w:hAnsi="ZWAdobeF" w:cs="ZWAdobeF"/>
          <w:color w:val="auto"/>
          <w:sz w:val="2"/>
          <w:szCs w:val="2"/>
        </w:rPr>
        <w:t>1286B</w:t>
      </w:r>
      <w:r w:rsidR="0049638A">
        <w:rPr>
          <w:rFonts w:ascii="ZWAdobeF" w:hAnsi="ZWAdobeF" w:cs="ZWAdobeF"/>
          <w:color w:val="auto"/>
          <w:sz w:val="2"/>
          <w:szCs w:val="2"/>
        </w:rPr>
        <w:t>1286B</w:t>
      </w:r>
      <w:r w:rsidR="00D629FA">
        <w:rPr>
          <w:rFonts w:ascii="ZWAdobeF" w:hAnsi="ZWAdobeF" w:cs="ZWAdobeF"/>
          <w:color w:val="auto"/>
          <w:sz w:val="2"/>
          <w:szCs w:val="2"/>
        </w:rPr>
        <w:t>1286B</w:t>
      </w:r>
      <w:r w:rsidR="00B763FB">
        <w:t>Where there are sub-groups with related issues but no common issue applying to all claims?</w:t>
      </w:r>
    </w:p>
    <w:p w14:paraId="15B5A30B" w14:textId="77777777" w:rsidR="00293015" w:rsidRPr="001862D0" w:rsidRDefault="00293015" w:rsidP="00B5280F">
      <w:pPr>
        <w:pStyle w:val="QuestionBox"/>
      </w:pPr>
    </w:p>
    <w:p w14:paraId="2037C3F1" w14:textId="77777777" w:rsidR="00B763FB" w:rsidRPr="00B101A3" w:rsidRDefault="00B763FB" w:rsidP="00326D08">
      <w:pPr>
        <w:pStyle w:val="Heading3"/>
      </w:pPr>
      <w:r>
        <w:t xml:space="preserve">Certification order </w:t>
      </w:r>
    </w:p>
    <w:p w14:paraId="1664C8FF" w14:textId="5CEFC054" w:rsidR="00B763FB" w:rsidRDefault="00BD5C95" w:rsidP="00932DB9">
      <w:pPr>
        <w:pStyle w:val="BodyText"/>
        <w:tabs>
          <w:tab w:val="num" w:pos="709"/>
        </w:tabs>
      </w:pPr>
      <w:r>
        <w:rPr>
          <w:rFonts w:ascii="ZWAdobeF" w:hAnsi="ZWAdobeF" w:cs="ZWAdobeF"/>
          <w:color w:val="auto"/>
          <w:sz w:val="2"/>
          <w:szCs w:val="2"/>
        </w:rPr>
        <w:t>108B</w:t>
      </w:r>
      <w:r w:rsidR="0049638A">
        <w:rPr>
          <w:rFonts w:ascii="ZWAdobeF" w:hAnsi="ZWAdobeF" w:cs="ZWAdobeF"/>
          <w:color w:val="auto"/>
          <w:sz w:val="2"/>
          <w:szCs w:val="2"/>
        </w:rPr>
        <w:t>108B</w:t>
      </w:r>
      <w:r w:rsidR="00D629FA">
        <w:rPr>
          <w:rFonts w:ascii="ZWAdobeF" w:hAnsi="ZWAdobeF" w:cs="ZWAdobeF"/>
          <w:color w:val="auto"/>
          <w:sz w:val="2"/>
          <w:szCs w:val="2"/>
        </w:rPr>
        <w:t>108B</w:t>
      </w:r>
      <w:r w:rsidR="00B763FB">
        <w:t>If the court decides to certify a proceeding as a class action, we propose that it would make a formal certification order.</w:t>
      </w:r>
      <w:r w:rsidR="00620420" w:rsidRPr="00620420">
        <w:rPr>
          <w:rStyle w:val="FootnoteReference"/>
        </w:rPr>
        <w:t xml:space="preserve"> </w:t>
      </w:r>
      <w:r w:rsidR="00D629FA">
        <w:rPr>
          <w:rFonts w:ascii="ZWAdobeF" w:hAnsi="ZWAdobeF" w:cs="ZWAdobeF"/>
          <w:color w:val="auto"/>
          <w:sz w:val="2"/>
          <w:szCs w:val="2"/>
        </w:rPr>
        <w:t>204F</w:t>
      </w:r>
      <w:r w:rsidR="0049638A">
        <w:rPr>
          <w:rFonts w:ascii="ZWAdobeF" w:hAnsi="ZWAdobeF" w:cs="ZWAdobeF"/>
          <w:color w:val="auto"/>
          <w:sz w:val="2"/>
          <w:szCs w:val="2"/>
        </w:rPr>
        <w:t>204F</w:t>
      </w:r>
      <w:r w:rsidR="00317AE4">
        <w:rPr>
          <w:rFonts w:ascii="ZWAdobeF" w:hAnsi="ZWAdobeF" w:cs="ZWAdobeF"/>
          <w:color w:val="auto"/>
          <w:sz w:val="2"/>
          <w:szCs w:val="2"/>
        </w:rPr>
        <w:t>204F</w:t>
      </w:r>
      <w:r w:rsidR="00620420">
        <w:rPr>
          <w:rStyle w:val="FootnoteReference"/>
        </w:rPr>
        <w:footnoteReference w:id="206"/>
      </w:r>
      <w:r w:rsidR="00B763FB">
        <w:t xml:space="preserve"> The matters that must be specified in the certification order could include: </w:t>
      </w:r>
    </w:p>
    <w:p w14:paraId="337FAD50" w14:textId="44C9CF72" w:rsidR="00B763FB" w:rsidRDefault="00BD5C95" w:rsidP="003E2524">
      <w:pPr>
        <w:pStyle w:val="BodyTextnonum"/>
        <w:numPr>
          <w:ilvl w:val="3"/>
          <w:numId w:val="34"/>
        </w:numPr>
      </w:pPr>
      <w:r>
        <w:rPr>
          <w:rFonts w:ascii="ZWAdobeF" w:hAnsi="ZWAdobeF" w:cs="ZWAdobeF"/>
          <w:color w:val="auto"/>
          <w:sz w:val="2"/>
          <w:szCs w:val="2"/>
        </w:rPr>
        <w:t>638B</w:t>
      </w:r>
      <w:r w:rsidR="0049638A">
        <w:rPr>
          <w:rFonts w:ascii="ZWAdobeF" w:hAnsi="ZWAdobeF" w:cs="ZWAdobeF"/>
          <w:color w:val="auto"/>
          <w:sz w:val="2"/>
          <w:szCs w:val="2"/>
        </w:rPr>
        <w:t>638B</w:t>
      </w:r>
      <w:r w:rsidR="00D629FA">
        <w:rPr>
          <w:rFonts w:ascii="ZWAdobeF" w:hAnsi="ZWAdobeF" w:cs="ZWAdobeF"/>
          <w:color w:val="auto"/>
          <w:sz w:val="2"/>
          <w:szCs w:val="2"/>
        </w:rPr>
        <w:t>638B</w:t>
      </w:r>
      <w:r w:rsidR="00B763FB">
        <w:t xml:space="preserve">A description of the class. </w:t>
      </w:r>
    </w:p>
    <w:p w14:paraId="4428A543" w14:textId="09C424F0" w:rsidR="00B763FB" w:rsidRDefault="00BD5C95" w:rsidP="003E2524">
      <w:pPr>
        <w:pStyle w:val="BodyTextnonum"/>
        <w:numPr>
          <w:ilvl w:val="3"/>
          <w:numId w:val="34"/>
        </w:numPr>
      </w:pPr>
      <w:r>
        <w:rPr>
          <w:rFonts w:ascii="ZWAdobeF" w:hAnsi="ZWAdobeF" w:cs="ZWAdobeF"/>
          <w:color w:val="auto"/>
          <w:sz w:val="2"/>
          <w:szCs w:val="2"/>
        </w:rPr>
        <w:t>639B</w:t>
      </w:r>
      <w:r w:rsidR="0049638A">
        <w:rPr>
          <w:rFonts w:ascii="ZWAdobeF" w:hAnsi="ZWAdobeF" w:cs="ZWAdobeF"/>
          <w:color w:val="auto"/>
          <w:sz w:val="2"/>
          <w:szCs w:val="2"/>
        </w:rPr>
        <w:t>639B</w:t>
      </w:r>
      <w:r w:rsidR="00D629FA">
        <w:rPr>
          <w:rFonts w:ascii="ZWAdobeF" w:hAnsi="ZWAdobeF" w:cs="ZWAdobeF"/>
          <w:color w:val="auto"/>
          <w:sz w:val="2"/>
          <w:szCs w:val="2"/>
        </w:rPr>
        <w:t>639B</w:t>
      </w:r>
      <w:r w:rsidR="00B763FB">
        <w:t>The name of the representative plaintiff (or plaintiffs).</w:t>
      </w:r>
    </w:p>
    <w:p w14:paraId="6658D4F4" w14:textId="36E4FCD4" w:rsidR="00B763FB" w:rsidRDefault="00BD5C95" w:rsidP="003E2524">
      <w:pPr>
        <w:pStyle w:val="BodyTextnonum"/>
        <w:numPr>
          <w:ilvl w:val="3"/>
          <w:numId w:val="34"/>
        </w:numPr>
      </w:pPr>
      <w:r>
        <w:rPr>
          <w:rFonts w:ascii="ZWAdobeF" w:hAnsi="ZWAdobeF" w:cs="ZWAdobeF"/>
          <w:color w:val="auto"/>
          <w:sz w:val="2"/>
          <w:szCs w:val="2"/>
        </w:rPr>
        <w:t>640B</w:t>
      </w:r>
      <w:r w:rsidR="0049638A">
        <w:rPr>
          <w:rFonts w:ascii="ZWAdobeF" w:hAnsi="ZWAdobeF" w:cs="ZWAdobeF"/>
          <w:color w:val="auto"/>
          <w:sz w:val="2"/>
          <w:szCs w:val="2"/>
        </w:rPr>
        <w:t>640B</w:t>
      </w:r>
      <w:r w:rsidR="00D629FA">
        <w:rPr>
          <w:rFonts w:ascii="ZWAdobeF" w:hAnsi="ZWAdobeF" w:cs="ZWAdobeF"/>
          <w:color w:val="auto"/>
          <w:sz w:val="2"/>
          <w:szCs w:val="2"/>
        </w:rPr>
        <w:t>640B</w:t>
      </w:r>
      <w:r w:rsidR="00B763FB">
        <w:t>The nature of the claims asserted on behalf of the class.</w:t>
      </w:r>
    </w:p>
    <w:p w14:paraId="78EE77C5" w14:textId="22552123" w:rsidR="00B763FB" w:rsidRDefault="00BD5C95" w:rsidP="003E2524">
      <w:pPr>
        <w:pStyle w:val="BodyTextnonum"/>
        <w:numPr>
          <w:ilvl w:val="3"/>
          <w:numId w:val="34"/>
        </w:numPr>
      </w:pPr>
      <w:r>
        <w:rPr>
          <w:rFonts w:ascii="ZWAdobeF" w:hAnsi="ZWAdobeF" w:cs="ZWAdobeF"/>
          <w:color w:val="auto"/>
          <w:sz w:val="2"/>
          <w:szCs w:val="2"/>
        </w:rPr>
        <w:t>641B</w:t>
      </w:r>
      <w:r w:rsidR="0049638A">
        <w:rPr>
          <w:rFonts w:ascii="ZWAdobeF" w:hAnsi="ZWAdobeF" w:cs="ZWAdobeF"/>
          <w:color w:val="auto"/>
          <w:sz w:val="2"/>
          <w:szCs w:val="2"/>
        </w:rPr>
        <w:t>641B</w:t>
      </w:r>
      <w:r w:rsidR="00D629FA">
        <w:rPr>
          <w:rFonts w:ascii="ZWAdobeF" w:hAnsi="ZWAdobeF" w:cs="ZWAdobeF"/>
          <w:color w:val="auto"/>
          <w:sz w:val="2"/>
          <w:szCs w:val="2"/>
        </w:rPr>
        <w:t>641B</w:t>
      </w:r>
      <w:r w:rsidR="00B763FB">
        <w:t>The relief sought by the class.</w:t>
      </w:r>
    </w:p>
    <w:p w14:paraId="6F75A651" w14:textId="504FD96E" w:rsidR="00B763FB" w:rsidRDefault="00BD5C95" w:rsidP="003E2524">
      <w:pPr>
        <w:pStyle w:val="BodyTextnonum"/>
        <w:numPr>
          <w:ilvl w:val="3"/>
          <w:numId w:val="34"/>
        </w:numPr>
      </w:pPr>
      <w:r>
        <w:rPr>
          <w:rFonts w:ascii="ZWAdobeF" w:hAnsi="ZWAdobeF" w:cs="ZWAdobeF"/>
          <w:color w:val="auto"/>
          <w:sz w:val="2"/>
          <w:szCs w:val="2"/>
        </w:rPr>
        <w:t>642B</w:t>
      </w:r>
      <w:r w:rsidR="0049638A">
        <w:rPr>
          <w:rFonts w:ascii="ZWAdobeF" w:hAnsi="ZWAdobeF" w:cs="ZWAdobeF"/>
          <w:color w:val="auto"/>
          <w:sz w:val="2"/>
          <w:szCs w:val="2"/>
        </w:rPr>
        <w:t>642B</w:t>
      </w:r>
      <w:r w:rsidR="00D629FA">
        <w:rPr>
          <w:rFonts w:ascii="ZWAdobeF" w:hAnsi="ZWAdobeF" w:cs="ZWAdobeF"/>
          <w:color w:val="auto"/>
          <w:sz w:val="2"/>
          <w:szCs w:val="2"/>
        </w:rPr>
        <w:t>642B</w:t>
      </w:r>
      <w:r w:rsidR="00B763FB">
        <w:t>The common issues of law or fact.</w:t>
      </w:r>
    </w:p>
    <w:p w14:paraId="0F7A650B" w14:textId="293423D8" w:rsidR="00B763FB" w:rsidRDefault="00BD5C95" w:rsidP="003E2524">
      <w:pPr>
        <w:pStyle w:val="BodyTextnonum"/>
        <w:numPr>
          <w:ilvl w:val="3"/>
          <w:numId w:val="34"/>
        </w:numPr>
      </w:pPr>
      <w:r>
        <w:rPr>
          <w:rFonts w:ascii="ZWAdobeF" w:hAnsi="ZWAdobeF" w:cs="ZWAdobeF"/>
          <w:color w:val="auto"/>
          <w:sz w:val="2"/>
          <w:szCs w:val="2"/>
        </w:rPr>
        <w:t>643B</w:t>
      </w:r>
      <w:r w:rsidR="0049638A">
        <w:rPr>
          <w:rFonts w:ascii="ZWAdobeF" w:hAnsi="ZWAdobeF" w:cs="ZWAdobeF"/>
          <w:color w:val="auto"/>
          <w:sz w:val="2"/>
          <w:szCs w:val="2"/>
        </w:rPr>
        <w:t>643B</w:t>
      </w:r>
      <w:r w:rsidR="00D629FA">
        <w:rPr>
          <w:rFonts w:ascii="ZWAdobeF" w:hAnsi="ZWAdobeF" w:cs="ZWAdobeF"/>
          <w:color w:val="auto"/>
          <w:sz w:val="2"/>
          <w:szCs w:val="2"/>
        </w:rPr>
        <w:t>643B</w:t>
      </w:r>
      <w:r w:rsidR="00B763FB">
        <w:t xml:space="preserve">Whether the class action </w:t>
      </w:r>
      <w:r w:rsidR="00931802">
        <w:t xml:space="preserve">has been certified </w:t>
      </w:r>
      <w:r w:rsidR="00B763FB">
        <w:t xml:space="preserve">on an opt-in or opt-out basis. </w:t>
      </w:r>
    </w:p>
    <w:p w14:paraId="658314F6" w14:textId="74B24ABA" w:rsidR="00B763FB" w:rsidRPr="00F2026E" w:rsidRDefault="00BD5C95" w:rsidP="00932E49">
      <w:pPr>
        <w:pStyle w:val="BodyText"/>
        <w:tabs>
          <w:tab w:val="num" w:pos="709"/>
        </w:tabs>
      </w:pPr>
      <w:r>
        <w:rPr>
          <w:rFonts w:ascii="ZWAdobeF" w:hAnsi="ZWAdobeF" w:cs="ZWAdobeF"/>
          <w:color w:val="auto"/>
          <w:sz w:val="2"/>
          <w:szCs w:val="2"/>
        </w:rPr>
        <w:t>109B</w:t>
      </w:r>
      <w:r w:rsidR="0049638A">
        <w:rPr>
          <w:rFonts w:ascii="ZWAdobeF" w:hAnsi="ZWAdobeF" w:cs="ZWAdobeF"/>
          <w:color w:val="auto"/>
          <w:sz w:val="2"/>
          <w:szCs w:val="2"/>
        </w:rPr>
        <w:t>109B</w:t>
      </w:r>
      <w:r w:rsidR="00D629FA">
        <w:rPr>
          <w:rFonts w:ascii="ZWAdobeF" w:hAnsi="ZWAdobeF" w:cs="ZWAdobeF"/>
          <w:color w:val="auto"/>
          <w:sz w:val="2"/>
          <w:szCs w:val="2"/>
        </w:rPr>
        <w:t>109B</w:t>
      </w:r>
      <w:r w:rsidR="00B763FB">
        <w:t>The contents of a certification order could be provided for in statute.</w:t>
      </w:r>
      <w:r w:rsidR="00D629FA">
        <w:rPr>
          <w:rFonts w:ascii="ZWAdobeF" w:hAnsi="ZWAdobeF" w:cs="ZWAdobeF"/>
          <w:color w:val="auto"/>
          <w:sz w:val="2"/>
          <w:szCs w:val="2"/>
        </w:rPr>
        <w:t>205F</w:t>
      </w:r>
      <w:r w:rsidR="0049638A">
        <w:rPr>
          <w:rFonts w:ascii="ZWAdobeF" w:hAnsi="ZWAdobeF" w:cs="ZWAdobeF"/>
          <w:color w:val="auto"/>
          <w:sz w:val="2"/>
          <w:szCs w:val="2"/>
        </w:rPr>
        <w:t>205F</w:t>
      </w:r>
      <w:r w:rsidR="00317AE4">
        <w:rPr>
          <w:rFonts w:ascii="ZWAdobeF" w:hAnsi="ZWAdobeF" w:cs="ZWAdobeF"/>
          <w:color w:val="auto"/>
          <w:sz w:val="2"/>
          <w:szCs w:val="2"/>
        </w:rPr>
        <w:t>205F</w:t>
      </w:r>
      <w:r w:rsidR="00B763FB">
        <w:rPr>
          <w:rStyle w:val="FootnoteReference"/>
        </w:rPr>
        <w:footnoteReference w:id="207"/>
      </w:r>
      <w:r w:rsidR="00B763FB">
        <w:t xml:space="preserve"> We think having clarity on the class definition and the common issues to be determined in the proceeding is particularly important. Some submitters referred to the issues that can be created by a poorly-defined class or common issue.  </w:t>
      </w:r>
    </w:p>
    <w:p w14:paraId="70C80385" w14:textId="174446F2" w:rsidR="00B763FB" w:rsidRDefault="00BD5C95" w:rsidP="00B763FB">
      <w:pPr>
        <w:pStyle w:val="BodyText"/>
        <w:tabs>
          <w:tab w:val="num" w:pos="709"/>
        </w:tabs>
      </w:pPr>
      <w:r>
        <w:rPr>
          <w:rFonts w:ascii="ZWAdobeF" w:hAnsi="ZWAdobeF" w:cs="ZWAdobeF"/>
          <w:color w:val="auto"/>
          <w:sz w:val="2"/>
          <w:szCs w:val="2"/>
        </w:rPr>
        <w:t>110B</w:t>
      </w:r>
      <w:r w:rsidR="0049638A">
        <w:rPr>
          <w:rFonts w:ascii="ZWAdobeF" w:hAnsi="ZWAdobeF" w:cs="ZWAdobeF"/>
          <w:color w:val="auto"/>
          <w:sz w:val="2"/>
          <w:szCs w:val="2"/>
        </w:rPr>
        <w:t>110B</w:t>
      </w:r>
      <w:r w:rsidR="00D629FA">
        <w:rPr>
          <w:rFonts w:ascii="ZWAdobeF" w:hAnsi="ZWAdobeF" w:cs="ZWAdobeF"/>
          <w:color w:val="auto"/>
          <w:sz w:val="2"/>
          <w:szCs w:val="2"/>
        </w:rPr>
        <w:t>110B</w:t>
      </w:r>
      <w:r w:rsidR="00B763FB">
        <w:t>We also propose in Chapter 5 that the binding effect of a judgment on common issues should be limited to common issue</w:t>
      </w:r>
      <w:r w:rsidR="00D577A2">
        <w:t xml:space="preserve">s </w:t>
      </w:r>
      <w:r w:rsidR="00B763FB">
        <w:t xml:space="preserve">set out in the certification order. </w:t>
      </w:r>
    </w:p>
    <w:p w14:paraId="24A732CB" w14:textId="60985CD9" w:rsidR="00932E49" w:rsidRDefault="00E249E8" w:rsidP="009859EB">
      <w:pPr>
        <w:pStyle w:val="QuestionBox"/>
      </w:pPr>
      <w:r>
        <w:rPr>
          <w:noProof/>
        </w:rPr>
        <mc:AlternateContent>
          <mc:Choice Requires="wpg">
            <w:drawing>
              <wp:anchor distT="0" distB="0" distL="114300" distR="114300" simplePos="0" relativeHeight="251651117" behindDoc="1" locked="0" layoutInCell="1" allowOverlap="1" wp14:anchorId="502EE711" wp14:editId="18ACD47B">
                <wp:simplePos x="0" y="0"/>
                <wp:positionH relativeFrom="column">
                  <wp:posOffset>-3810</wp:posOffset>
                </wp:positionH>
                <wp:positionV relativeFrom="paragraph">
                  <wp:posOffset>-2540</wp:posOffset>
                </wp:positionV>
                <wp:extent cx="5760085" cy="1114445"/>
                <wp:effectExtent l="0" t="0" r="0" b="9525"/>
                <wp:wrapNone/>
                <wp:docPr id="764518118" name="Group 764518118"/>
                <wp:cNvGraphicFramePr/>
                <a:graphic xmlns:a="http://schemas.openxmlformats.org/drawingml/2006/main">
                  <a:graphicData uri="http://schemas.microsoft.com/office/word/2010/wordprocessingGroup">
                    <wpg:wgp>
                      <wpg:cNvGrpSpPr/>
                      <wpg:grpSpPr>
                        <a:xfrm>
                          <a:off x="0" y="0"/>
                          <a:ext cx="5760085" cy="1114445"/>
                          <a:chOff x="0" y="62865"/>
                          <a:chExt cx="5760085" cy="1114558"/>
                        </a:xfrm>
                      </wpg:grpSpPr>
                      <wps:wsp>
                        <wps:cNvPr id="76451811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39ED53" w14:textId="77777777" w:rsidR="00A55F53" w:rsidRDefault="00A55F53" w:rsidP="00E249E8">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120" name="Group 53"/>
                        <wpg:cNvGrpSpPr>
                          <a:grpSpLocks/>
                        </wpg:cNvGrpSpPr>
                        <wpg:grpSpPr bwMode="auto">
                          <a:xfrm>
                            <a:off x="0" y="316263"/>
                            <a:ext cx="5760085" cy="861160"/>
                            <a:chOff x="1837" y="1792"/>
                            <a:chExt cx="9302" cy="9302"/>
                          </a:xfrm>
                        </wpg:grpSpPr>
                        <wps:wsp>
                          <wps:cNvPr id="764518121" name="Freeform 54"/>
                          <wps:cNvSpPr>
                            <a:spLocks/>
                          </wps:cNvSpPr>
                          <wps:spPr bwMode="auto">
                            <a:xfrm>
                              <a:off x="1837" y="1792"/>
                              <a:ext cx="9302" cy="930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122" name="Group 764518122"/>
                        <wpg:cNvGrpSpPr/>
                        <wpg:grpSpPr>
                          <a:xfrm>
                            <a:off x="0" y="494036"/>
                            <a:ext cx="1443794" cy="252000"/>
                            <a:chOff x="-15880" y="0"/>
                            <a:chExt cx="1444379" cy="252068"/>
                          </a:xfrm>
                        </wpg:grpSpPr>
                        <wps:wsp>
                          <wps:cNvPr id="76451812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12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526277" w14:textId="11D0F3EF" w:rsidR="00A55F53" w:rsidRPr="00E700FF" w:rsidRDefault="00A55F53" w:rsidP="00E249E8">
                                <w:pPr>
                                  <w:pStyle w:val="BoxTitle"/>
                                  <w:spacing w:before="0" w:beforeAutospacing="0"/>
                                </w:pPr>
                                <w:r w:rsidRPr="001C1B37">
                                  <w:t>Q</w:t>
                                </w:r>
                                <w: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02EE711" id="Group 764518118" o:spid="_x0000_s1222" style="position:absolute;left:0;text-align:left;margin-left:-.3pt;margin-top:-.2pt;width:453.55pt;height:87.75pt;z-index:-251665363;mso-height-relative:margin" coordorigin=",628" coordsize="57600,1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">
                <v:shape id="_x0000_s122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839ED53" w14:textId="77777777" w:rsidR="00A55F53" w:rsidRDefault="00A55F53" w:rsidP="00E249E8">
                        <w:pPr>
                          <w:pStyle w:val="BoxTitle"/>
                          <w:spacing w:before="0" w:beforeAutospacing="0"/>
                        </w:pPr>
                        <w:r w:rsidRPr="007F6876">
                          <w:t>QUESTION</w:t>
                        </w:r>
                      </w:p>
                    </w:txbxContent>
                  </v:textbox>
                </v:shape>
                <v:group id="Group 53" o:spid="_x0000_s1224" style="position:absolute;top:3162;width:57600;height:8612" coordorigin="1837,1792" coordsize="9302,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">
                  <v:shape id="Freeform 54" o:spid="_x0000_s1225" style="position:absolute;left:1837;top:1792;width:9302;height:930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" path="m,l9354,r,7809l,7809,,e" fillcolor="#edf2ea" stroked="f">
                    <v:path arrowok="t" o:connecttype="custom" o:connectlocs="0,1191;9302,1191;9302,10493;0,10493;0,1191" o:connectangles="0,0,0,0,0"/>
                  </v:shape>
                </v:group>
                <v:group id="Group 764518122" o:spid="_x0000_s122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">
                  <v:shape id="Freeform 58" o:spid="_x0000_s122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" path="m,l1815,e" filled="f" strokecolor="#72ab6a" strokeweight=".5pt">
                    <v:path arrowok="t" o:connecttype="custom" o:connectlocs="0,0;1073495,0" o:connectangles="0,0"/>
                  </v:shape>
                  <v:shape id="Freeform 66" o:spid="_x0000_s122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1526277" w14:textId="11D0F3EF" w:rsidR="00A55F53" w:rsidRPr="00E700FF" w:rsidRDefault="00A55F53" w:rsidP="00E249E8">
                          <w:pPr>
                            <w:pStyle w:val="BoxTitle"/>
                            <w:spacing w:before="0" w:beforeAutospacing="0"/>
                          </w:pPr>
                          <w:r w:rsidRPr="001C1B37">
                            <w:t>Q</w:t>
                          </w:r>
                          <w:r>
                            <w:t>4</w:t>
                          </w:r>
                        </w:p>
                      </w:txbxContent>
                    </v:textbox>
                  </v:shape>
                </v:group>
              </v:group>
            </w:pict>
          </mc:Fallback>
        </mc:AlternateContent>
      </w:r>
    </w:p>
    <w:p w14:paraId="68D9DB3A" w14:textId="77777777" w:rsidR="00932E49" w:rsidRDefault="00932E49" w:rsidP="009859EB">
      <w:pPr>
        <w:pStyle w:val="QuestionBox"/>
      </w:pPr>
    </w:p>
    <w:p w14:paraId="443C0392" w14:textId="5D5815AC" w:rsidR="00B763FB" w:rsidRDefault="00BD5C95" w:rsidP="009859EB">
      <w:pPr>
        <w:pStyle w:val="QuestionBox"/>
      </w:pPr>
      <w:r>
        <w:rPr>
          <w:rFonts w:ascii="ZWAdobeF" w:hAnsi="ZWAdobeF" w:cs="ZWAdobeF"/>
          <w:color w:val="auto"/>
          <w:sz w:val="2"/>
          <w:szCs w:val="2"/>
        </w:rPr>
        <w:t>1385B</w:t>
      </w:r>
      <w:r w:rsidR="0049638A">
        <w:rPr>
          <w:rFonts w:ascii="ZWAdobeF" w:hAnsi="ZWAdobeF" w:cs="ZWAdobeF"/>
          <w:color w:val="auto"/>
          <w:sz w:val="2"/>
          <w:szCs w:val="2"/>
        </w:rPr>
        <w:t>1385B</w:t>
      </w:r>
      <w:r w:rsidR="00D629FA">
        <w:rPr>
          <w:rFonts w:ascii="ZWAdobeF" w:hAnsi="ZWAdobeF" w:cs="ZWAdobeF"/>
          <w:color w:val="auto"/>
          <w:sz w:val="2"/>
          <w:szCs w:val="2"/>
        </w:rPr>
        <w:t>1385B</w:t>
      </w:r>
      <w:r w:rsidR="00B763FB">
        <w:t xml:space="preserve">Do you agree with our list of matters that should be included in the court’s certification order? </w:t>
      </w:r>
    </w:p>
    <w:p w14:paraId="1A9783BA" w14:textId="77777777" w:rsidR="0079371C" w:rsidRPr="00F2026E" w:rsidRDefault="0079371C" w:rsidP="009859EB">
      <w:pPr>
        <w:pStyle w:val="QuestionBox"/>
      </w:pPr>
    </w:p>
    <w:p w14:paraId="4D61D46D" w14:textId="36BDB6D2" w:rsidR="00B763FB" w:rsidRDefault="00B763FB" w:rsidP="00326D08">
      <w:pPr>
        <w:pStyle w:val="Heading2"/>
      </w:pPr>
      <w:bookmarkStart w:id="51" w:name="_Toc83895437"/>
      <w:r>
        <w:lastRenderedPageBreak/>
        <w:t xml:space="preserve">Limitation </w:t>
      </w:r>
      <w:r w:rsidR="009E17B3">
        <w:t>p</w:t>
      </w:r>
      <w:r w:rsidR="00931802">
        <w:t>eriods</w:t>
      </w:r>
      <w:bookmarkEnd w:id="51"/>
    </w:p>
    <w:p w14:paraId="3D1F3203" w14:textId="50014F9D" w:rsidR="00B763FB" w:rsidRDefault="00BD5C95" w:rsidP="00932DB9">
      <w:pPr>
        <w:pStyle w:val="BodyText"/>
        <w:tabs>
          <w:tab w:val="num" w:pos="709"/>
        </w:tabs>
      </w:pPr>
      <w:r>
        <w:rPr>
          <w:rFonts w:ascii="ZWAdobeF" w:hAnsi="ZWAdobeF" w:cs="ZWAdobeF"/>
          <w:color w:val="auto"/>
          <w:sz w:val="2"/>
          <w:szCs w:val="2"/>
        </w:rPr>
        <w:t>111B</w:t>
      </w:r>
      <w:r w:rsidR="0049638A">
        <w:rPr>
          <w:rFonts w:ascii="ZWAdobeF" w:hAnsi="ZWAdobeF" w:cs="ZWAdobeF"/>
          <w:color w:val="auto"/>
          <w:sz w:val="2"/>
          <w:szCs w:val="2"/>
        </w:rPr>
        <w:t>111B</w:t>
      </w:r>
      <w:r w:rsidR="00D629FA">
        <w:rPr>
          <w:rFonts w:ascii="ZWAdobeF" w:hAnsi="ZWAdobeF" w:cs="ZWAdobeF"/>
          <w:color w:val="auto"/>
          <w:sz w:val="2"/>
          <w:szCs w:val="2"/>
        </w:rPr>
        <w:t>111B</w:t>
      </w:r>
      <w:r w:rsidR="00B763FB">
        <w:t>In ordinary litigation, the act of commencing a proceeding stops the limitation period from running against the plaintiff. A class action</w:t>
      </w:r>
      <w:r w:rsidR="00805C83">
        <w:t>s</w:t>
      </w:r>
      <w:r w:rsidR="00B763FB">
        <w:t xml:space="preserve"> regime needs to provide some clarity on how limitation periods will apply to class members, who do not technically commence a proceeding themselves. In this section we discuss:</w:t>
      </w:r>
    </w:p>
    <w:p w14:paraId="70CE83D0" w14:textId="3170D0A6" w:rsidR="00B763FB" w:rsidRDefault="00BD5C95" w:rsidP="00932DB9">
      <w:pPr>
        <w:pStyle w:val="BodyTextnonum"/>
        <w:numPr>
          <w:ilvl w:val="3"/>
          <w:numId w:val="14"/>
        </w:numPr>
      </w:pPr>
      <w:r>
        <w:rPr>
          <w:rFonts w:ascii="ZWAdobeF" w:hAnsi="ZWAdobeF" w:cs="ZWAdobeF"/>
          <w:color w:val="auto"/>
          <w:sz w:val="2"/>
          <w:szCs w:val="2"/>
        </w:rPr>
        <w:t>644B</w:t>
      </w:r>
      <w:r w:rsidR="0049638A">
        <w:rPr>
          <w:rFonts w:ascii="ZWAdobeF" w:hAnsi="ZWAdobeF" w:cs="ZWAdobeF"/>
          <w:color w:val="auto"/>
          <w:sz w:val="2"/>
          <w:szCs w:val="2"/>
        </w:rPr>
        <w:t>644B</w:t>
      </w:r>
      <w:r w:rsidR="00D629FA">
        <w:rPr>
          <w:rFonts w:ascii="ZWAdobeF" w:hAnsi="ZWAdobeF" w:cs="ZWAdobeF"/>
          <w:color w:val="auto"/>
          <w:sz w:val="2"/>
          <w:szCs w:val="2"/>
        </w:rPr>
        <w:t>644B</w:t>
      </w:r>
      <w:r w:rsidR="00B763FB">
        <w:t>The approach courts have taken to limitation under HCR 4.24.</w:t>
      </w:r>
    </w:p>
    <w:p w14:paraId="3DA3C3E4" w14:textId="427C3101" w:rsidR="00B763FB" w:rsidRDefault="00BD5C95" w:rsidP="00932DB9">
      <w:pPr>
        <w:pStyle w:val="BodyTextnonum"/>
        <w:numPr>
          <w:ilvl w:val="3"/>
          <w:numId w:val="14"/>
        </w:numPr>
      </w:pPr>
      <w:r>
        <w:rPr>
          <w:rFonts w:ascii="ZWAdobeF" w:hAnsi="ZWAdobeF" w:cs="ZWAdobeF"/>
          <w:color w:val="auto"/>
          <w:sz w:val="2"/>
          <w:szCs w:val="2"/>
        </w:rPr>
        <w:t>645B</w:t>
      </w:r>
      <w:r w:rsidR="0049638A">
        <w:rPr>
          <w:rFonts w:ascii="ZWAdobeF" w:hAnsi="ZWAdobeF" w:cs="ZWAdobeF"/>
          <w:color w:val="auto"/>
          <w:sz w:val="2"/>
          <w:szCs w:val="2"/>
        </w:rPr>
        <w:t>645B</w:t>
      </w:r>
      <w:r w:rsidR="00D629FA">
        <w:rPr>
          <w:rFonts w:ascii="ZWAdobeF" w:hAnsi="ZWAdobeF" w:cs="ZWAdobeF"/>
          <w:color w:val="auto"/>
          <w:sz w:val="2"/>
          <w:szCs w:val="2"/>
        </w:rPr>
        <w:t>645B</w:t>
      </w:r>
      <w:r w:rsidR="00B763FB">
        <w:t>When limitation periods should be suspended.</w:t>
      </w:r>
    </w:p>
    <w:p w14:paraId="4E9EC916" w14:textId="601C8DE3" w:rsidR="00B763FB" w:rsidRDefault="00BD5C95" w:rsidP="00932DB9">
      <w:pPr>
        <w:pStyle w:val="BodyTextnonum"/>
        <w:numPr>
          <w:ilvl w:val="3"/>
          <w:numId w:val="14"/>
        </w:numPr>
      </w:pPr>
      <w:r>
        <w:rPr>
          <w:rFonts w:ascii="ZWAdobeF" w:hAnsi="ZWAdobeF" w:cs="ZWAdobeF"/>
          <w:color w:val="auto"/>
          <w:sz w:val="2"/>
          <w:szCs w:val="2"/>
        </w:rPr>
        <w:t>646B</w:t>
      </w:r>
      <w:r w:rsidR="0049638A">
        <w:rPr>
          <w:rFonts w:ascii="ZWAdobeF" w:hAnsi="ZWAdobeF" w:cs="ZWAdobeF"/>
          <w:color w:val="auto"/>
          <w:sz w:val="2"/>
          <w:szCs w:val="2"/>
        </w:rPr>
        <w:t>646B</w:t>
      </w:r>
      <w:r w:rsidR="00D629FA">
        <w:rPr>
          <w:rFonts w:ascii="ZWAdobeF" w:hAnsi="ZWAdobeF" w:cs="ZWAdobeF"/>
          <w:color w:val="auto"/>
          <w:sz w:val="2"/>
          <w:szCs w:val="2"/>
        </w:rPr>
        <w:t>646B</w:t>
      </w:r>
      <w:r w:rsidR="00B763FB">
        <w:t>When limitation periods should start running again.</w:t>
      </w:r>
    </w:p>
    <w:p w14:paraId="3C9520DE" w14:textId="5F0F116E" w:rsidR="00B763FB" w:rsidRDefault="00BD5C95" w:rsidP="00932DB9">
      <w:pPr>
        <w:pStyle w:val="BodyTextnonum"/>
        <w:numPr>
          <w:ilvl w:val="3"/>
          <w:numId w:val="14"/>
        </w:numPr>
      </w:pPr>
      <w:r>
        <w:rPr>
          <w:rFonts w:ascii="ZWAdobeF" w:hAnsi="ZWAdobeF" w:cs="ZWAdobeF"/>
          <w:color w:val="auto"/>
          <w:sz w:val="2"/>
          <w:szCs w:val="2"/>
        </w:rPr>
        <w:t>647B</w:t>
      </w:r>
      <w:r w:rsidR="0049638A">
        <w:rPr>
          <w:rFonts w:ascii="ZWAdobeF" w:hAnsi="ZWAdobeF" w:cs="ZWAdobeF"/>
          <w:color w:val="auto"/>
          <w:sz w:val="2"/>
          <w:szCs w:val="2"/>
        </w:rPr>
        <w:t>647B</w:t>
      </w:r>
      <w:r w:rsidR="00D629FA">
        <w:rPr>
          <w:rFonts w:ascii="ZWAdobeF" w:hAnsi="ZWAdobeF" w:cs="ZWAdobeF"/>
          <w:color w:val="auto"/>
          <w:sz w:val="2"/>
          <w:szCs w:val="2"/>
        </w:rPr>
        <w:t>647B</w:t>
      </w:r>
      <w:r w:rsidR="00B763FB">
        <w:t xml:space="preserve">Limitation </w:t>
      </w:r>
      <w:r w:rsidR="0070346A">
        <w:t>and contribution claims</w:t>
      </w:r>
      <w:r w:rsidR="00864E4A">
        <w:t>.</w:t>
      </w:r>
      <w:r w:rsidR="00B763FB">
        <w:t xml:space="preserve"> </w:t>
      </w:r>
    </w:p>
    <w:p w14:paraId="401AB040" w14:textId="77777777" w:rsidR="00B763FB" w:rsidRDefault="00B763FB" w:rsidP="00326D08">
      <w:pPr>
        <w:pStyle w:val="Heading3"/>
      </w:pPr>
      <w:r>
        <w:t xml:space="preserve">Limitation under HCR 4.24 </w:t>
      </w:r>
    </w:p>
    <w:p w14:paraId="5AE86BA7" w14:textId="51DA3B9A" w:rsidR="00B763FB" w:rsidRDefault="00BD5C95" w:rsidP="00932E49">
      <w:pPr>
        <w:pStyle w:val="BodyText"/>
      </w:pPr>
      <w:r>
        <w:rPr>
          <w:rFonts w:ascii="ZWAdobeF" w:hAnsi="ZWAdobeF" w:cs="ZWAdobeF"/>
          <w:color w:val="auto"/>
          <w:sz w:val="2"/>
          <w:szCs w:val="2"/>
        </w:rPr>
        <w:t>112B</w:t>
      </w:r>
      <w:r w:rsidR="0049638A">
        <w:rPr>
          <w:rFonts w:ascii="ZWAdobeF" w:hAnsi="ZWAdobeF" w:cs="ZWAdobeF"/>
          <w:color w:val="auto"/>
          <w:sz w:val="2"/>
          <w:szCs w:val="2"/>
        </w:rPr>
        <w:t>112B</w:t>
      </w:r>
      <w:r w:rsidR="00D629FA">
        <w:rPr>
          <w:rFonts w:ascii="ZWAdobeF" w:hAnsi="ZWAdobeF" w:cs="ZWAdobeF"/>
          <w:color w:val="auto"/>
          <w:sz w:val="2"/>
          <w:szCs w:val="2"/>
        </w:rPr>
        <w:t>112B</w:t>
      </w:r>
      <w:r w:rsidR="00B763FB">
        <w:t xml:space="preserve">In </w:t>
      </w:r>
      <w:r w:rsidR="00B763FB">
        <w:rPr>
          <w:i/>
          <w:iCs/>
        </w:rPr>
        <w:t xml:space="preserve">Credit Suisse Private Equity v Houghton, </w:t>
      </w:r>
      <w:r w:rsidR="00270DB2">
        <w:t xml:space="preserve">the Supreme Court considered when </w:t>
      </w:r>
      <w:r w:rsidR="00B763FB">
        <w:t>a representative action was brought on behalf of shareholders for statutory limitation purposes. The Court was divided on this issue. The majority held that a representative action was brought when the statement of claim was filed, not only by the plaintiff but also on behalf of those represented.</w:t>
      </w:r>
      <w:r w:rsidR="00D629FA">
        <w:rPr>
          <w:rFonts w:ascii="ZWAdobeF" w:hAnsi="ZWAdobeF" w:cs="ZWAdobeF"/>
          <w:color w:val="auto"/>
          <w:sz w:val="2"/>
          <w:szCs w:val="2"/>
        </w:rPr>
        <w:t>206F</w:t>
      </w:r>
      <w:r w:rsidR="0049638A">
        <w:rPr>
          <w:rFonts w:ascii="ZWAdobeF" w:hAnsi="ZWAdobeF" w:cs="ZWAdobeF"/>
          <w:color w:val="auto"/>
          <w:sz w:val="2"/>
          <w:szCs w:val="2"/>
        </w:rPr>
        <w:t>206F</w:t>
      </w:r>
      <w:r w:rsidR="00317AE4">
        <w:rPr>
          <w:rFonts w:ascii="ZWAdobeF" w:hAnsi="ZWAdobeF" w:cs="ZWAdobeF"/>
          <w:color w:val="auto"/>
          <w:sz w:val="2"/>
          <w:szCs w:val="2"/>
        </w:rPr>
        <w:t>206F</w:t>
      </w:r>
      <w:r w:rsidR="00B763FB">
        <w:rPr>
          <w:rStyle w:val="FootnoteReference"/>
        </w:rPr>
        <w:footnoteReference w:id="208"/>
      </w:r>
      <w:r w:rsidR="00B763FB">
        <w:t xml:space="preserve"> The majority considered that the limitation period stopped running for the represented </w:t>
      </w:r>
      <w:r w:rsidR="00270DB2">
        <w:t>group</w:t>
      </w:r>
      <w:r w:rsidR="00B763FB">
        <w:t xml:space="preserve"> on the date that the proceedings were filed and the representative order was made.</w:t>
      </w:r>
      <w:r w:rsidR="00D629FA">
        <w:rPr>
          <w:rFonts w:ascii="ZWAdobeF" w:hAnsi="ZWAdobeF" w:cs="ZWAdobeF"/>
          <w:color w:val="auto"/>
          <w:sz w:val="2"/>
          <w:szCs w:val="2"/>
        </w:rPr>
        <w:t>207F</w:t>
      </w:r>
      <w:r w:rsidR="0049638A">
        <w:rPr>
          <w:rFonts w:ascii="ZWAdobeF" w:hAnsi="ZWAdobeF" w:cs="ZWAdobeF"/>
          <w:color w:val="auto"/>
          <w:sz w:val="2"/>
          <w:szCs w:val="2"/>
        </w:rPr>
        <w:t>207F</w:t>
      </w:r>
      <w:r w:rsidR="00317AE4">
        <w:rPr>
          <w:rFonts w:ascii="ZWAdobeF" w:hAnsi="ZWAdobeF" w:cs="ZWAdobeF"/>
          <w:color w:val="auto"/>
          <w:sz w:val="2"/>
          <w:szCs w:val="2"/>
        </w:rPr>
        <w:t>207F</w:t>
      </w:r>
      <w:r w:rsidR="00B763FB">
        <w:rPr>
          <w:rStyle w:val="FootnoteReference"/>
        </w:rPr>
        <w:footnoteReference w:id="209"/>
      </w:r>
      <w:r w:rsidR="00B763FB">
        <w:t xml:space="preserve"> This case was slightly unusual in that the High Court had made a representation order on an ex parte basis on the same day that the claim was filed. The majority observed that it may be necessary to backdate a representative order if it is not made at the time the case is filed to ensure the court’s process does not disqualify individuals where the limitation period ends between filing and the representative order being made.</w:t>
      </w:r>
      <w:r w:rsidR="00D629FA">
        <w:rPr>
          <w:rFonts w:ascii="ZWAdobeF" w:hAnsi="ZWAdobeF" w:cs="ZWAdobeF"/>
          <w:color w:val="auto"/>
          <w:sz w:val="2"/>
          <w:szCs w:val="2"/>
        </w:rPr>
        <w:t>208F</w:t>
      </w:r>
      <w:r w:rsidR="0049638A">
        <w:rPr>
          <w:rFonts w:ascii="ZWAdobeF" w:hAnsi="ZWAdobeF" w:cs="ZWAdobeF"/>
          <w:color w:val="auto"/>
          <w:sz w:val="2"/>
          <w:szCs w:val="2"/>
        </w:rPr>
        <w:t>208F</w:t>
      </w:r>
      <w:r w:rsidR="00317AE4">
        <w:rPr>
          <w:rFonts w:ascii="ZWAdobeF" w:hAnsi="ZWAdobeF" w:cs="ZWAdobeF"/>
          <w:color w:val="auto"/>
          <w:sz w:val="2"/>
          <w:szCs w:val="2"/>
        </w:rPr>
        <w:t>208F</w:t>
      </w:r>
      <w:r w:rsidR="00B763FB">
        <w:rPr>
          <w:rStyle w:val="FootnoteReference"/>
        </w:rPr>
        <w:footnoteReference w:id="210"/>
      </w:r>
      <w:r w:rsidR="00B763FB">
        <w:t xml:space="preserve"> The minority took the view that an action was not brought on behalf of a represented person until they gave consent by opting in.</w:t>
      </w:r>
      <w:r w:rsidR="00D629FA">
        <w:rPr>
          <w:rFonts w:ascii="ZWAdobeF" w:hAnsi="ZWAdobeF" w:cs="ZWAdobeF"/>
          <w:color w:val="auto"/>
          <w:sz w:val="2"/>
          <w:szCs w:val="2"/>
        </w:rPr>
        <w:t>209F</w:t>
      </w:r>
      <w:r w:rsidR="0049638A">
        <w:rPr>
          <w:rFonts w:ascii="ZWAdobeF" w:hAnsi="ZWAdobeF" w:cs="ZWAdobeF"/>
          <w:color w:val="auto"/>
          <w:sz w:val="2"/>
          <w:szCs w:val="2"/>
        </w:rPr>
        <w:t>209F</w:t>
      </w:r>
      <w:r w:rsidR="00317AE4">
        <w:rPr>
          <w:rFonts w:ascii="ZWAdobeF" w:hAnsi="ZWAdobeF" w:cs="ZWAdobeF"/>
          <w:color w:val="auto"/>
          <w:sz w:val="2"/>
          <w:szCs w:val="2"/>
        </w:rPr>
        <w:t>209F</w:t>
      </w:r>
      <w:r w:rsidR="00B763FB">
        <w:rPr>
          <w:rStyle w:val="FootnoteReference"/>
        </w:rPr>
        <w:footnoteReference w:id="211"/>
      </w:r>
    </w:p>
    <w:p w14:paraId="2176CECB" w14:textId="372A3034" w:rsidR="00B763FB" w:rsidRPr="00C67AD9" w:rsidRDefault="00BD5C95" w:rsidP="00932E49">
      <w:pPr>
        <w:pStyle w:val="BodyText"/>
      </w:pPr>
      <w:r>
        <w:rPr>
          <w:rFonts w:ascii="ZWAdobeF" w:hAnsi="ZWAdobeF" w:cs="ZWAdobeF"/>
          <w:color w:val="auto"/>
          <w:sz w:val="2"/>
          <w:szCs w:val="2"/>
        </w:rPr>
        <w:t>113B</w:t>
      </w:r>
      <w:r w:rsidR="0049638A">
        <w:rPr>
          <w:rFonts w:ascii="ZWAdobeF" w:hAnsi="ZWAdobeF" w:cs="ZWAdobeF"/>
          <w:color w:val="auto"/>
          <w:sz w:val="2"/>
          <w:szCs w:val="2"/>
        </w:rPr>
        <w:t>113B</w:t>
      </w:r>
      <w:r w:rsidR="00D629FA">
        <w:rPr>
          <w:rFonts w:ascii="ZWAdobeF" w:hAnsi="ZWAdobeF" w:cs="ZWAdobeF"/>
          <w:color w:val="auto"/>
          <w:sz w:val="2"/>
          <w:szCs w:val="2"/>
        </w:rPr>
        <w:t>113B</w:t>
      </w:r>
      <w:r w:rsidR="00B763FB">
        <w:t xml:space="preserve">The subsequent case of </w:t>
      </w:r>
      <w:r w:rsidR="00B763FB">
        <w:rPr>
          <w:i/>
          <w:iCs/>
        </w:rPr>
        <w:t xml:space="preserve">Cridge v Studorp </w:t>
      </w:r>
      <w:r w:rsidR="00B763FB">
        <w:t xml:space="preserve">involved a situation where the limitation period expired in between the statement of claim being filed and the application for representation orders being heard. The Court of Appeal considered that the High Court was wrong to refuse to grant precautionary orders preserving </w:t>
      </w:r>
      <w:r w:rsidR="00EA0047">
        <w:t xml:space="preserve">group </w:t>
      </w:r>
      <w:r w:rsidR="00B763FB">
        <w:t>members’ positions for limitation purposes in case the representation order was declined.</w:t>
      </w:r>
      <w:r w:rsidR="00D629FA">
        <w:rPr>
          <w:rFonts w:ascii="ZWAdobeF" w:hAnsi="ZWAdobeF" w:cs="ZWAdobeF"/>
          <w:color w:val="auto"/>
          <w:sz w:val="2"/>
          <w:szCs w:val="2"/>
        </w:rPr>
        <w:t>210F</w:t>
      </w:r>
      <w:r w:rsidR="0049638A">
        <w:rPr>
          <w:rFonts w:ascii="ZWAdobeF" w:hAnsi="ZWAdobeF" w:cs="ZWAdobeF"/>
          <w:color w:val="auto"/>
          <w:sz w:val="2"/>
          <w:szCs w:val="2"/>
        </w:rPr>
        <w:t>210F</w:t>
      </w:r>
      <w:r w:rsidR="00317AE4">
        <w:rPr>
          <w:rFonts w:ascii="ZWAdobeF" w:hAnsi="ZWAdobeF" w:cs="ZWAdobeF"/>
          <w:color w:val="auto"/>
          <w:sz w:val="2"/>
          <w:szCs w:val="2"/>
        </w:rPr>
        <w:t>210F</w:t>
      </w:r>
      <w:r w:rsidR="00B763FB">
        <w:rPr>
          <w:rStyle w:val="FootnoteReference"/>
        </w:rPr>
        <w:footnoteReference w:id="212"/>
      </w:r>
      <w:r w:rsidR="00B763FB">
        <w:t xml:space="preserve"> The Court took the view that when time stopped running under the Limitation Act 2010 for the representative plaintiff, it stopped for everyone they purported to sue on behalf of. This remained the case regardless of whether a representative order was later made or not.</w:t>
      </w:r>
      <w:r w:rsidR="00D629FA">
        <w:rPr>
          <w:rFonts w:ascii="ZWAdobeF" w:hAnsi="ZWAdobeF" w:cs="ZWAdobeF"/>
          <w:color w:val="auto"/>
          <w:sz w:val="2"/>
          <w:szCs w:val="2"/>
        </w:rPr>
        <w:t>211F</w:t>
      </w:r>
      <w:r w:rsidR="0049638A">
        <w:rPr>
          <w:rFonts w:ascii="ZWAdobeF" w:hAnsi="ZWAdobeF" w:cs="ZWAdobeF"/>
          <w:color w:val="auto"/>
          <w:sz w:val="2"/>
          <w:szCs w:val="2"/>
        </w:rPr>
        <w:t>211F</w:t>
      </w:r>
      <w:r w:rsidR="00317AE4">
        <w:rPr>
          <w:rFonts w:ascii="ZWAdobeF" w:hAnsi="ZWAdobeF" w:cs="ZWAdobeF"/>
          <w:color w:val="auto"/>
          <w:sz w:val="2"/>
          <w:szCs w:val="2"/>
        </w:rPr>
        <w:t>211F</w:t>
      </w:r>
      <w:r w:rsidR="00B763FB">
        <w:rPr>
          <w:rStyle w:val="FootnoteReference"/>
        </w:rPr>
        <w:footnoteReference w:id="213"/>
      </w:r>
      <w:r w:rsidR="00B763FB">
        <w:t xml:space="preserve">  </w:t>
      </w:r>
    </w:p>
    <w:p w14:paraId="65E81584" w14:textId="77777777" w:rsidR="00B763FB" w:rsidRDefault="00B763FB" w:rsidP="00326D08">
      <w:pPr>
        <w:pStyle w:val="Heading3"/>
      </w:pPr>
      <w:r>
        <w:lastRenderedPageBreak/>
        <w:t>When should a limitation period be suspended?</w:t>
      </w:r>
    </w:p>
    <w:p w14:paraId="138E45A4" w14:textId="68881614" w:rsidR="00B763FB" w:rsidRDefault="00BD5C95" w:rsidP="00932E49">
      <w:pPr>
        <w:pStyle w:val="BodyText"/>
      </w:pPr>
      <w:r>
        <w:rPr>
          <w:rFonts w:ascii="ZWAdobeF" w:hAnsi="ZWAdobeF" w:cs="ZWAdobeF"/>
          <w:color w:val="auto"/>
          <w:sz w:val="2"/>
          <w:szCs w:val="2"/>
        </w:rPr>
        <w:t>114B</w:t>
      </w:r>
      <w:r w:rsidR="0049638A">
        <w:rPr>
          <w:rFonts w:ascii="ZWAdobeF" w:hAnsi="ZWAdobeF" w:cs="ZWAdobeF"/>
          <w:color w:val="auto"/>
          <w:sz w:val="2"/>
          <w:szCs w:val="2"/>
        </w:rPr>
        <w:t>114B</w:t>
      </w:r>
      <w:r w:rsidR="00D629FA">
        <w:rPr>
          <w:rFonts w:ascii="ZWAdobeF" w:hAnsi="ZWAdobeF" w:cs="ZWAdobeF"/>
          <w:color w:val="auto"/>
          <w:sz w:val="2"/>
          <w:szCs w:val="2"/>
        </w:rPr>
        <w:t>114B</w:t>
      </w:r>
      <w:r w:rsidR="00B763FB">
        <w:t>In Australia, where there is no certification requirement, the limitation period applying to class member claims is suspended when a class action is commenced.</w:t>
      </w:r>
      <w:r w:rsidR="00D629FA">
        <w:rPr>
          <w:rFonts w:ascii="ZWAdobeF" w:hAnsi="ZWAdobeF" w:cs="ZWAdobeF"/>
          <w:color w:val="auto"/>
          <w:sz w:val="2"/>
          <w:szCs w:val="2"/>
        </w:rPr>
        <w:t>212F</w:t>
      </w:r>
      <w:r w:rsidR="0049638A">
        <w:rPr>
          <w:rFonts w:ascii="ZWAdobeF" w:hAnsi="ZWAdobeF" w:cs="ZWAdobeF"/>
          <w:color w:val="auto"/>
          <w:sz w:val="2"/>
          <w:szCs w:val="2"/>
        </w:rPr>
        <w:t>212F</w:t>
      </w:r>
      <w:r w:rsidR="00317AE4">
        <w:rPr>
          <w:rFonts w:ascii="ZWAdobeF" w:hAnsi="ZWAdobeF" w:cs="ZWAdobeF"/>
          <w:color w:val="auto"/>
          <w:sz w:val="2"/>
          <w:szCs w:val="2"/>
        </w:rPr>
        <w:t>212F</w:t>
      </w:r>
      <w:r w:rsidR="00B763FB">
        <w:rPr>
          <w:rStyle w:val="FootnoteReference"/>
        </w:rPr>
        <w:footnoteReference w:id="214"/>
      </w:r>
      <w:r w:rsidR="00B763FB">
        <w:t xml:space="preserve"> </w:t>
      </w:r>
    </w:p>
    <w:p w14:paraId="54127281" w14:textId="53359770" w:rsidR="00B763FB" w:rsidRDefault="00BD5C95" w:rsidP="00932E49">
      <w:pPr>
        <w:pStyle w:val="BodyText"/>
      </w:pPr>
      <w:r>
        <w:rPr>
          <w:rFonts w:ascii="ZWAdobeF" w:hAnsi="ZWAdobeF" w:cs="ZWAdobeF"/>
          <w:color w:val="auto"/>
          <w:sz w:val="2"/>
          <w:szCs w:val="2"/>
        </w:rPr>
        <w:t>115B</w:t>
      </w:r>
      <w:r w:rsidR="0049638A">
        <w:rPr>
          <w:rFonts w:ascii="ZWAdobeF" w:hAnsi="ZWAdobeF" w:cs="ZWAdobeF"/>
          <w:color w:val="auto"/>
          <w:sz w:val="2"/>
          <w:szCs w:val="2"/>
        </w:rPr>
        <w:t>115B</w:t>
      </w:r>
      <w:r w:rsidR="00D629FA">
        <w:rPr>
          <w:rFonts w:ascii="ZWAdobeF" w:hAnsi="ZWAdobeF" w:cs="ZWAdobeF"/>
          <w:color w:val="auto"/>
          <w:sz w:val="2"/>
          <w:szCs w:val="2"/>
        </w:rPr>
        <w:t>115B</w:t>
      </w:r>
      <w:r w:rsidR="00B763FB">
        <w:t xml:space="preserve">Where a regime has a certification requirement (as we have proposed for Aotearoa New Zealand), an issue arises as to who is entitled to the benefit of limitation suspension in the period between a class action being commenced and the court issuing its decision on certification. </w:t>
      </w:r>
    </w:p>
    <w:p w14:paraId="62BF951B" w14:textId="46865EE7" w:rsidR="00B763FB" w:rsidRDefault="00BD5C95" w:rsidP="00932E49">
      <w:pPr>
        <w:pStyle w:val="BodyText"/>
      </w:pPr>
      <w:r>
        <w:rPr>
          <w:rFonts w:ascii="ZWAdobeF" w:hAnsi="ZWAdobeF" w:cs="ZWAdobeF"/>
          <w:color w:val="auto"/>
          <w:sz w:val="2"/>
          <w:szCs w:val="2"/>
        </w:rPr>
        <w:t>116B</w:t>
      </w:r>
      <w:r w:rsidR="0049638A">
        <w:rPr>
          <w:rFonts w:ascii="ZWAdobeF" w:hAnsi="ZWAdobeF" w:cs="ZWAdobeF"/>
          <w:color w:val="auto"/>
          <w:sz w:val="2"/>
          <w:szCs w:val="2"/>
        </w:rPr>
        <w:t>116B</w:t>
      </w:r>
      <w:r w:rsidR="00D629FA">
        <w:rPr>
          <w:rFonts w:ascii="ZWAdobeF" w:hAnsi="ZWAdobeF" w:cs="ZWAdobeF"/>
          <w:color w:val="auto"/>
          <w:sz w:val="2"/>
          <w:szCs w:val="2"/>
        </w:rPr>
        <w:t>116B</w:t>
      </w:r>
      <w:r w:rsidR="00B763FB">
        <w:t>One approach is for the limitation periods applying to all proposed class members to be suspended when a class action is filed, regardless of whether the class action is certified. In the United States, filing a federal class action will generally suspend the running of the limitation periods that apply to the individual claims of all proposed class members. This is known as the American Pipe doctrine.</w:t>
      </w:r>
      <w:r w:rsidR="00D629FA">
        <w:rPr>
          <w:rFonts w:ascii="ZWAdobeF" w:hAnsi="ZWAdobeF" w:cs="ZWAdobeF"/>
          <w:color w:val="auto"/>
          <w:sz w:val="2"/>
          <w:szCs w:val="2"/>
        </w:rPr>
        <w:t>213F</w:t>
      </w:r>
      <w:r w:rsidR="0049638A">
        <w:rPr>
          <w:rFonts w:ascii="ZWAdobeF" w:hAnsi="ZWAdobeF" w:cs="ZWAdobeF"/>
          <w:color w:val="auto"/>
          <w:sz w:val="2"/>
          <w:szCs w:val="2"/>
        </w:rPr>
        <w:t>213F</w:t>
      </w:r>
      <w:r w:rsidR="00317AE4">
        <w:rPr>
          <w:rFonts w:ascii="ZWAdobeF" w:hAnsi="ZWAdobeF" w:cs="ZWAdobeF"/>
          <w:color w:val="auto"/>
          <w:sz w:val="2"/>
          <w:szCs w:val="2"/>
        </w:rPr>
        <w:t>213F</w:t>
      </w:r>
      <w:r w:rsidR="00B763FB">
        <w:rPr>
          <w:rStyle w:val="FootnoteReference"/>
        </w:rPr>
        <w:footnoteReference w:id="215"/>
      </w:r>
      <w:r w:rsidR="00B763FB">
        <w:t xml:space="preserve"> Limitation periods will be suspended until the court denies certification, with some courts holding it continues through the process of appealing a certification decision.</w:t>
      </w:r>
      <w:r w:rsidR="00D629FA">
        <w:rPr>
          <w:rFonts w:ascii="ZWAdobeF" w:hAnsi="ZWAdobeF" w:cs="ZWAdobeF"/>
          <w:color w:val="auto"/>
          <w:sz w:val="2"/>
          <w:szCs w:val="2"/>
        </w:rPr>
        <w:t>214F</w:t>
      </w:r>
      <w:r w:rsidR="0049638A">
        <w:rPr>
          <w:rFonts w:ascii="ZWAdobeF" w:hAnsi="ZWAdobeF" w:cs="ZWAdobeF"/>
          <w:color w:val="auto"/>
          <w:sz w:val="2"/>
          <w:szCs w:val="2"/>
        </w:rPr>
        <w:t>214F</w:t>
      </w:r>
      <w:r w:rsidR="00317AE4">
        <w:rPr>
          <w:rFonts w:ascii="ZWAdobeF" w:hAnsi="ZWAdobeF" w:cs="ZWAdobeF"/>
          <w:color w:val="auto"/>
          <w:sz w:val="2"/>
          <w:szCs w:val="2"/>
        </w:rPr>
        <w:t>214F</w:t>
      </w:r>
      <w:r w:rsidR="00B763FB">
        <w:rPr>
          <w:rStyle w:val="FootnoteReference"/>
        </w:rPr>
        <w:footnoteReference w:id="216"/>
      </w:r>
      <w:r w:rsidR="00B763FB">
        <w:t xml:space="preserve"> Some Canadian provinces have taken the same approach, with the suspension of limitation periods applying to class members occurring whether or not the class action is</w:t>
      </w:r>
      <w:r w:rsidR="00B763FB" w:rsidRPr="00932203">
        <w:t xml:space="preserve"> </w:t>
      </w:r>
      <w:r w:rsidR="00B763FB">
        <w:t>certified.</w:t>
      </w:r>
      <w:r w:rsidR="00D629FA">
        <w:rPr>
          <w:rFonts w:ascii="ZWAdobeF" w:hAnsi="ZWAdobeF" w:cs="ZWAdobeF"/>
          <w:color w:val="auto"/>
          <w:sz w:val="2"/>
          <w:szCs w:val="2"/>
        </w:rPr>
        <w:t>215F</w:t>
      </w:r>
      <w:r w:rsidR="0049638A">
        <w:rPr>
          <w:rFonts w:ascii="ZWAdobeF" w:hAnsi="ZWAdobeF" w:cs="ZWAdobeF"/>
          <w:color w:val="auto"/>
          <w:sz w:val="2"/>
          <w:szCs w:val="2"/>
        </w:rPr>
        <w:t>215F</w:t>
      </w:r>
      <w:r w:rsidR="00317AE4">
        <w:rPr>
          <w:rFonts w:ascii="ZWAdobeF" w:hAnsi="ZWAdobeF" w:cs="ZWAdobeF"/>
          <w:color w:val="auto"/>
          <w:sz w:val="2"/>
          <w:szCs w:val="2"/>
        </w:rPr>
        <w:t>215F</w:t>
      </w:r>
      <w:r w:rsidR="00B763FB">
        <w:rPr>
          <w:rStyle w:val="FootnoteReference"/>
        </w:rPr>
        <w:footnoteReference w:id="217"/>
      </w:r>
      <w:r w:rsidR="00B763FB">
        <w:t xml:space="preserve"> This approach is also consistent with the approach taken by the Court of Appeal in </w:t>
      </w:r>
      <w:r w:rsidR="00B763FB">
        <w:rPr>
          <w:i/>
          <w:iCs/>
        </w:rPr>
        <w:t xml:space="preserve">Cridge v Studorp. </w:t>
      </w:r>
    </w:p>
    <w:p w14:paraId="6AC80945" w14:textId="62918149" w:rsidR="00B763FB" w:rsidRDefault="00BD5C95" w:rsidP="00932E49">
      <w:pPr>
        <w:pStyle w:val="BodyText"/>
      </w:pPr>
      <w:r>
        <w:rPr>
          <w:rFonts w:ascii="ZWAdobeF" w:hAnsi="ZWAdobeF" w:cs="ZWAdobeF"/>
          <w:color w:val="auto"/>
          <w:sz w:val="2"/>
          <w:szCs w:val="2"/>
        </w:rPr>
        <w:t>117B</w:t>
      </w:r>
      <w:r w:rsidR="0049638A">
        <w:rPr>
          <w:rFonts w:ascii="ZWAdobeF" w:hAnsi="ZWAdobeF" w:cs="ZWAdobeF"/>
          <w:color w:val="auto"/>
          <w:sz w:val="2"/>
          <w:szCs w:val="2"/>
        </w:rPr>
        <w:t>117B</w:t>
      </w:r>
      <w:r w:rsidR="00D629FA">
        <w:rPr>
          <w:rFonts w:ascii="ZWAdobeF" w:hAnsi="ZWAdobeF" w:cs="ZWAdobeF"/>
          <w:color w:val="auto"/>
          <w:sz w:val="2"/>
          <w:szCs w:val="2"/>
        </w:rPr>
        <w:t>117B</w:t>
      </w:r>
      <w:r w:rsidR="00B763FB">
        <w:t>A narrower approach would only apply the suspension of limitation periods to certified class actions. This will mean that if the class action is not certified, none of the proposed class members will have the benefit of suspension of limitation periods. This was the approach taken in the British Columbia legislation,</w:t>
      </w:r>
      <w:r w:rsidR="00D629FA">
        <w:rPr>
          <w:rFonts w:ascii="ZWAdobeF" w:hAnsi="ZWAdobeF" w:cs="ZWAdobeF"/>
          <w:color w:val="auto"/>
          <w:sz w:val="2"/>
          <w:szCs w:val="2"/>
        </w:rPr>
        <w:t>216F</w:t>
      </w:r>
      <w:r w:rsidR="0049638A">
        <w:rPr>
          <w:rFonts w:ascii="ZWAdobeF" w:hAnsi="ZWAdobeF" w:cs="ZWAdobeF"/>
          <w:color w:val="auto"/>
          <w:sz w:val="2"/>
          <w:szCs w:val="2"/>
        </w:rPr>
        <w:t>216F</w:t>
      </w:r>
      <w:r w:rsidR="00317AE4">
        <w:rPr>
          <w:rFonts w:ascii="ZWAdobeF" w:hAnsi="ZWAdobeF" w:cs="ZWAdobeF"/>
          <w:color w:val="auto"/>
          <w:sz w:val="2"/>
          <w:szCs w:val="2"/>
        </w:rPr>
        <w:t>216F</w:t>
      </w:r>
      <w:r w:rsidR="00B763FB">
        <w:rPr>
          <w:rStyle w:val="FootnoteReference"/>
        </w:rPr>
        <w:footnoteReference w:id="218"/>
      </w:r>
      <w:r w:rsidR="00B763FB">
        <w:t xml:space="preserve"> although it was subsequently amended to provide for a situation where a person reasonably assumed they would be part of a class action, but this does not occur.</w:t>
      </w:r>
      <w:r w:rsidR="00D629FA">
        <w:rPr>
          <w:rFonts w:ascii="ZWAdobeF" w:hAnsi="ZWAdobeF" w:cs="ZWAdobeF"/>
          <w:color w:val="auto"/>
          <w:sz w:val="2"/>
          <w:szCs w:val="2"/>
        </w:rPr>
        <w:t>217F</w:t>
      </w:r>
      <w:r w:rsidR="0049638A">
        <w:rPr>
          <w:rFonts w:ascii="ZWAdobeF" w:hAnsi="ZWAdobeF" w:cs="ZWAdobeF"/>
          <w:color w:val="auto"/>
          <w:sz w:val="2"/>
          <w:szCs w:val="2"/>
        </w:rPr>
        <w:t>217F</w:t>
      </w:r>
      <w:r w:rsidR="00317AE4">
        <w:rPr>
          <w:rFonts w:ascii="ZWAdobeF" w:hAnsi="ZWAdobeF" w:cs="ZWAdobeF"/>
          <w:color w:val="auto"/>
          <w:sz w:val="2"/>
          <w:szCs w:val="2"/>
        </w:rPr>
        <w:t>217F</w:t>
      </w:r>
      <w:r w:rsidR="00B763FB">
        <w:rPr>
          <w:rStyle w:val="FootnoteReference"/>
        </w:rPr>
        <w:footnoteReference w:id="219"/>
      </w:r>
      <w:r w:rsidR="00B763FB">
        <w:t xml:space="preserve"> Several other Canadian provinces have an approach similar to British Columbia.</w:t>
      </w:r>
      <w:r w:rsidR="00D629FA">
        <w:rPr>
          <w:rFonts w:ascii="ZWAdobeF" w:hAnsi="ZWAdobeF" w:cs="ZWAdobeF"/>
          <w:color w:val="auto"/>
          <w:sz w:val="2"/>
          <w:szCs w:val="2"/>
        </w:rPr>
        <w:t>218F</w:t>
      </w:r>
      <w:r w:rsidR="0049638A">
        <w:rPr>
          <w:rFonts w:ascii="ZWAdobeF" w:hAnsi="ZWAdobeF" w:cs="ZWAdobeF"/>
          <w:color w:val="auto"/>
          <w:sz w:val="2"/>
          <w:szCs w:val="2"/>
        </w:rPr>
        <w:t>218F</w:t>
      </w:r>
      <w:r w:rsidR="00317AE4">
        <w:rPr>
          <w:rFonts w:ascii="ZWAdobeF" w:hAnsi="ZWAdobeF" w:cs="ZWAdobeF"/>
          <w:color w:val="auto"/>
          <w:sz w:val="2"/>
          <w:szCs w:val="2"/>
        </w:rPr>
        <w:t>218F</w:t>
      </w:r>
      <w:r w:rsidR="00B763FB">
        <w:rPr>
          <w:rStyle w:val="FootnoteReference"/>
        </w:rPr>
        <w:footnoteReference w:id="220"/>
      </w:r>
    </w:p>
    <w:p w14:paraId="17187B74" w14:textId="0319BE5E" w:rsidR="00B763FB" w:rsidRDefault="00BD5C95" w:rsidP="00932E49">
      <w:pPr>
        <w:pStyle w:val="BodyText"/>
      </w:pPr>
      <w:r>
        <w:rPr>
          <w:rFonts w:ascii="ZWAdobeF" w:hAnsi="ZWAdobeF" w:cs="ZWAdobeF"/>
          <w:color w:val="auto"/>
          <w:sz w:val="2"/>
          <w:szCs w:val="2"/>
        </w:rPr>
        <w:t>118B</w:t>
      </w:r>
      <w:r w:rsidR="0049638A">
        <w:rPr>
          <w:rFonts w:ascii="ZWAdobeF" w:hAnsi="ZWAdobeF" w:cs="ZWAdobeF"/>
          <w:color w:val="auto"/>
          <w:sz w:val="2"/>
          <w:szCs w:val="2"/>
        </w:rPr>
        <w:t>118B</w:t>
      </w:r>
      <w:r w:rsidR="00D629FA">
        <w:rPr>
          <w:rFonts w:ascii="ZWAdobeF" w:hAnsi="ZWAdobeF" w:cs="ZWAdobeF"/>
          <w:color w:val="auto"/>
          <w:sz w:val="2"/>
          <w:szCs w:val="2"/>
        </w:rPr>
        <w:t>118B</w:t>
      </w:r>
      <w:r w:rsidR="00DD3092">
        <w:t>We consider</w:t>
      </w:r>
      <w:r w:rsidR="00B763FB">
        <w:t xml:space="preserve"> the suspension of limitation periods should apply to all class actions that are commenced, not just those which are ultimately certified. The latter approach would cause considerable uncertainty and may lead to individual class members filing their own claims as a precaution.</w:t>
      </w:r>
      <w:r w:rsidR="00D629FA">
        <w:rPr>
          <w:rFonts w:ascii="ZWAdobeF" w:hAnsi="ZWAdobeF" w:cs="ZWAdobeF"/>
          <w:color w:val="auto"/>
          <w:sz w:val="2"/>
          <w:szCs w:val="2"/>
        </w:rPr>
        <w:t>219F</w:t>
      </w:r>
      <w:r w:rsidR="0049638A">
        <w:rPr>
          <w:rFonts w:ascii="ZWAdobeF" w:hAnsi="ZWAdobeF" w:cs="ZWAdobeF"/>
          <w:color w:val="auto"/>
          <w:sz w:val="2"/>
          <w:szCs w:val="2"/>
        </w:rPr>
        <w:t>219F</w:t>
      </w:r>
      <w:r w:rsidR="00317AE4">
        <w:rPr>
          <w:rFonts w:ascii="ZWAdobeF" w:hAnsi="ZWAdobeF" w:cs="ZWAdobeF"/>
          <w:color w:val="auto"/>
          <w:sz w:val="2"/>
          <w:szCs w:val="2"/>
        </w:rPr>
        <w:t>219F</w:t>
      </w:r>
      <w:r w:rsidR="00B763FB">
        <w:rPr>
          <w:rStyle w:val="FootnoteReference"/>
        </w:rPr>
        <w:footnoteReference w:id="221"/>
      </w:r>
      <w:r w:rsidR="00B763FB">
        <w:t xml:space="preserve"> This may defeat the objective of manag</w:t>
      </w:r>
      <w:r w:rsidR="00B814DD">
        <w:t>ing</w:t>
      </w:r>
      <w:r w:rsidR="00B763FB">
        <w:t xml:space="preserve"> multiple claims in an efficient way. There could be a considerable delay between a proceeding being </w:t>
      </w:r>
      <w:r w:rsidR="00B763FB">
        <w:lastRenderedPageBreak/>
        <w:t>commenced and a court releasing its decision on certification and a class member will likely have little control over these timeframes.</w:t>
      </w:r>
    </w:p>
    <w:p w14:paraId="2144CD76" w14:textId="1D9CDC8C" w:rsidR="00B763FB" w:rsidRDefault="00BD5C95" w:rsidP="00932E49">
      <w:pPr>
        <w:pStyle w:val="BodyText"/>
      </w:pPr>
      <w:r>
        <w:rPr>
          <w:rFonts w:ascii="ZWAdobeF" w:hAnsi="ZWAdobeF" w:cs="ZWAdobeF"/>
          <w:color w:val="auto"/>
          <w:sz w:val="2"/>
          <w:szCs w:val="2"/>
        </w:rPr>
        <w:t>119B</w:t>
      </w:r>
      <w:r w:rsidR="0049638A">
        <w:rPr>
          <w:rFonts w:ascii="ZWAdobeF" w:hAnsi="ZWAdobeF" w:cs="ZWAdobeF"/>
          <w:color w:val="auto"/>
          <w:sz w:val="2"/>
          <w:szCs w:val="2"/>
        </w:rPr>
        <w:t>119B</w:t>
      </w:r>
      <w:r w:rsidR="00D629FA">
        <w:rPr>
          <w:rFonts w:ascii="ZWAdobeF" w:hAnsi="ZWAdobeF" w:cs="ZWAdobeF"/>
          <w:color w:val="auto"/>
          <w:sz w:val="2"/>
          <w:szCs w:val="2"/>
        </w:rPr>
        <w:t>119B</w:t>
      </w:r>
      <w:r w:rsidR="00B763FB">
        <w:t xml:space="preserve">A situation could arise where the class definition certified by the court is narrower than that proposed by the plaintiff. </w:t>
      </w:r>
      <w:r w:rsidR="0053469A">
        <w:t xml:space="preserve">Individuals would fall within the class at commencement, but subsequently be excluded at certification. We think the suspension of limitation should apply to these individuals between commencement and certification. Once they are excluded from the class definition, </w:t>
      </w:r>
      <w:r w:rsidR="00FC4896">
        <w:t xml:space="preserve">limitation periods </w:t>
      </w:r>
      <w:r w:rsidR="0053469A">
        <w:t>could begin to run again</w:t>
      </w:r>
      <w:r w:rsidR="00B763FB">
        <w:t>. Given that these individuals would have the benefit of the limitation protection if the class action was not certified, it would seem unfair to create an anomaly. While it could be argued this might incentivise plaintiffs to draw classes as wide as possible, the need to meet certification requirements should deter this. Alternatively, the class definition might be expanded after the class action is commenced.</w:t>
      </w:r>
      <w:r w:rsidR="00D629FA">
        <w:rPr>
          <w:rFonts w:ascii="ZWAdobeF" w:hAnsi="ZWAdobeF" w:cs="ZWAdobeF"/>
          <w:color w:val="auto"/>
          <w:sz w:val="2"/>
          <w:szCs w:val="2"/>
        </w:rPr>
        <w:t>220F</w:t>
      </w:r>
      <w:r w:rsidR="0049638A">
        <w:rPr>
          <w:rFonts w:ascii="ZWAdobeF" w:hAnsi="ZWAdobeF" w:cs="ZWAdobeF"/>
          <w:color w:val="auto"/>
          <w:sz w:val="2"/>
          <w:szCs w:val="2"/>
        </w:rPr>
        <w:t>220F</w:t>
      </w:r>
      <w:r w:rsidR="00317AE4">
        <w:rPr>
          <w:rFonts w:ascii="ZWAdobeF" w:hAnsi="ZWAdobeF" w:cs="ZWAdobeF"/>
          <w:color w:val="auto"/>
          <w:sz w:val="2"/>
          <w:szCs w:val="2"/>
        </w:rPr>
        <w:t>220F</w:t>
      </w:r>
      <w:r w:rsidR="0014472D">
        <w:rPr>
          <w:rStyle w:val="FootnoteReference"/>
        </w:rPr>
        <w:footnoteReference w:id="222"/>
      </w:r>
      <w:r w:rsidR="00B763FB">
        <w:t xml:space="preserve"> In this situation, we think those who subsequently fall within the class definition should have the benefit of suspension of limitation periods</w:t>
      </w:r>
      <w:r w:rsidR="00C00EA3">
        <w:t xml:space="preserve"> </w:t>
      </w:r>
      <w:r w:rsidR="0014472D">
        <w:t>once they become included in the class definition.</w:t>
      </w:r>
      <w:r w:rsidR="00D629FA">
        <w:rPr>
          <w:rFonts w:ascii="ZWAdobeF" w:hAnsi="ZWAdobeF" w:cs="ZWAdobeF"/>
          <w:color w:val="auto"/>
          <w:sz w:val="2"/>
          <w:szCs w:val="2"/>
        </w:rPr>
        <w:t>221F</w:t>
      </w:r>
      <w:r w:rsidR="0049638A">
        <w:rPr>
          <w:rFonts w:ascii="ZWAdobeF" w:hAnsi="ZWAdobeF" w:cs="ZWAdobeF"/>
          <w:color w:val="auto"/>
          <w:sz w:val="2"/>
          <w:szCs w:val="2"/>
        </w:rPr>
        <w:t>221F</w:t>
      </w:r>
      <w:r w:rsidR="00317AE4">
        <w:rPr>
          <w:rFonts w:ascii="ZWAdobeF" w:hAnsi="ZWAdobeF" w:cs="ZWAdobeF"/>
          <w:color w:val="auto"/>
          <w:sz w:val="2"/>
          <w:szCs w:val="2"/>
        </w:rPr>
        <w:t>221F</w:t>
      </w:r>
      <w:r w:rsidR="00834FAE">
        <w:rPr>
          <w:rStyle w:val="FootnoteReference"/>
        </w:rPr>
        <w:footnoteReference w:id="223"/>
      </w:r>
      <w:r w:rsidR="00B763FB">
        <w:t xml:space="preserve">  </w:t>
      </w:r>
    </w:p>
    <w:p w14:paraId="678AE3CF" w14:textId="77777777" w:rsidR="00B763FB" w:rsidRDefault="00B763FB" w:rsidP="00326D08">
      <w:pPr>
        <w:pStyle w:val="Heading3"/>
      </w:pPr>
      <w:r>
        <w:t>When should a limitation period start running again?</w:t>
      </w:r>
    </w:p>
    <w:p w14:paraId="56526207" w14:textId="25C5A5A7" w:rsidR="00B763FB" w:rsidRDefault="00BD5C95" w:rsidP="00932E49">
      <w:pPr>
        <w:pStyle w:val="BodyText"/>
      </w:pPr>
      <w:r>
        <w:rPr>
          <w:rFonts w:ascii="ZWAdobeF" w:hAnsi="ZWAdobeF" w:cs="ZWAdobeF"/>
          <w:color w:val="auto"/>
          <w:sz w:val="2"/>
          <w:szCs w:val="2"/>
        </w:rPr>
        <w:t>120B</w:t>
      </w:r>
      <w:r w:rsidR="0049638A">
        <w:rPr>
          <w:rFonts w:ascii="ZWAdobeF" w:hAnsi="ZWAdobeF" w:cs="ZWAdobeF"/>
          <w:color w:val="auto"/>
          <w:sz w:val="2"/>
          <w:szCs w:val="2"/>
        </w:rPr>
        <w:t>120B</w:t>
      </w:r>
      <w:r w:rsidR="00D629FA">
        <w:rPr>
          <w:rFonts w:ascii="ZWAdobeF" w:hAnsi="ZWAdobeF" w:cs="ZWAdobeF"/>
          <w:color w:val="auto"/>
          <w:sz w:val="2"/>
          <w:szCs w:val="2"/>
        </w:rPr>
        <w:t>120B</w:t>
      </w:r>
      <w:r w:rsidR="00B763FB">
        <w:t>A class actions regime should also specify when a limitation period will start running again for individual class members. The Australian regimes take a relatively general approach to this, specifying that the limitation periods will run again if: (a) a class member opts out of the proceeding; or (b) the proceedings and any appeals are determined without finally disposing of the class member’s claim. The Canadian regimes provide a more detailed list of circumstances that will trigger a limitation period running again, as does the United Kingdom Competition Appeal Tribunal provision.</w:t>
      </w:r>
      <w:r w:rsidR="00D629FA">
        <w:rPr>
          <w:rFonts w:ascii="ZWAdobeF" w:hAnsi="ZWAdobeF" w:cs="ZWAdobeF"/>
          <w:color w:val="auto"/>
          <w:sz w:val="2"/>
          <w:szCs w:val="2"/>
        </w:rPr>
        <w:t>222F</w:t>
      </w:r>
      <w:r w:rsidR="0049638A">
        <w:rPr>
          <w:rFonts w:ascii="ZWAdobeF" w:hAnsi="ZWAdobeF" w:cs="ZWAdobeF"/>
          <w:color w:val="auto"/>
          <w:sz w:val="2"/>
          <w:szCs w:val="2"/>
        </w:rPr>
        <w:t>222F</w:t>
      </w:r>
      <w:r w:rsidR="00317AE4">
        <w:rPr>
          <w:rFonts w:ascii="ZWAdobeF" w:hAnsi="ZWAdobeF" w:cs="ZWAdobeF"/>
          <w:color w:val="auto"/>
          <w:sz w:val="2"/>
          <w:szCs w:val="2"/>
        </w:rPr>
        <w:t>222F</w:t>
      </w:r>
      <w:r w:rsidR="00B763FB">
        <w:rPr>
          <w:rStyle w:val="FootnoteReference"/>
        </w:rPr>
        <w:footnoteReference w:id="224"/>
      </w:r>
      <w:r w:rsidR="00B763FB">
        <w:t xml:space="preserve"> </w:t>
      </w:r>
    </w:p>
    <w:p w14:paraId="31877A9D" w14:textId="686F08D9" w:rsidR="00B763FB" w:rsidRDefault="00BD5C95" w:rsidP="00932E49">
      <w:pPr>
        <w:pStyle w:val="BodyText"/>
      </w:pPr>
      <w:r>
        <w:rPr>
          <w:rFonts w:ascii="ZWAdobeF" w:hAnsi="ZWAdobeF" w:cs="ZWAdobeF"/>
          <w:color w:val="auto"/>
          <w:sz w:val="2"/>
          <w:szCs w:val="2"/>
        </w:rPr>
        <w:t>121B</w:t>
      </w:r>
      <w:r w:rsidR="0049638A">
        <w:rPr>
          <w:rFonts w:ascii="ZWAdobeF" w:hAnsi="ZWAdobeF" w:cs="ZWAdobeF"/>
          <w:color w:val="auto"/>
          <w:sz w:val="2"/>
          <w:szCs w:val="2"/>
        </w:rPr>
        <w:t>121B</w:t>
      </w:r>
      <w:r w:rsidR="00D629FA">
        <w:rPr>
          <w:rFonts w:ascii="ZWAdobeF" w:hAnsi="ZWAdobeF" w:cs="ZWAdobeF"/>
          <w:color w:val="auto"/>
          <w:sz w:val="2"/>
          <w:szCs w:val="2"/>
        </w:rPr>
        <w:t>121B</w:t>
      </w:r>
      <w:r w:rsidR="008C35F5">
        <w:t>We think</w:t>
      </w:r>
      <w:r w:rsidR="00B763FB">
        <w:t xml:space="preserve"> it would be </w:t>
      </w:r>
      <w:r w:rsidR="00FC4896">
        <w:t xml:space="preserve">preferable </w:t>
      </w:r>
      <w:r w:rsidR="00B763FB">
        <w:t xml:space="preserve">to provide a detailed list of circumstances that would start a limitation period running again as this should provide greater certainty and clarity to class members and defendants. We </w:t>
      </w:r>
      <w:r w:rsidR="00FC4896">
        <w:t xml:space="preserve">consider </w:t>
      </w:r>
      <w:r w:rsidR="00B763FB">
        <w:t>a limitation period should start running again when:</w:t>
      </w:r>
    </w:p>
    <w:p w14:paraId="3577AB3C" w14:textId="4255962D" w:rsidR="00B763FB" w:rsidRDefault="00BD5C95" w:rsidP="003E2524">
      <w:pPr>
        <w:pStyle w:val="BodyTextnonum"/>
        <w:numPr>
          <w:ilvl w:val="3"/>
          <w:numId w:val="34"/>
        </w:numPr>
      </w:pPr>
      <w:r>
        <w:rPr>
          <w:rFonts w:ascii="ZWAdobeF" w:hAnsi="ZWAdobeF" w:cs="ZWAdobeF"/>
          <w:color w:val="auto"/>
          <w:sz w:val="2"/>
          <w:szCs w:val="2"/>
        </w:rPr>
        <w:t>648B</w:t>
      </w:r>
      <w:r w:rsidR="0049638A">
        <w:rPr>
          <w:rFonts w:ascii="ZWAdobeF" w:hAnsi="ZWAdobeF" w:cs="ZWAdobeF"/>
          <w:color w:val="auto"/>
          <w:sz w:val="2"/>
          <w:szCs w:val="2"/>
        </w:rPr>
        <w:t>648B</w:t>
      </w:r>
      <w:r w:rsidR="00D629FA">
        <w:rPr>
          <w:rFonts w:ascii="ZWAdobeF" w:hAnsi="ZWAdobeF" w:cs="ZWAdobeF"/>
          <w:color w:val="auto"/>
          <w:sz w:val="2"/>
          <w:szCs w:val="2"/>
        </w:rPr>
        <w:t>648B</w:t>
      </w:r>
      <w:r w:rsidR="00B763FB">
        <w:t>The court declines to certify a class action.</w:t>
      </w:r>
    </w:p>
    <w:p w14:paraId="4AF0DA3D" w14:textId="527A8BE4" w:rsidR="00B763FB" w:rsidRDefault="00BD5C95" w:rsidP="003E2524">
      <w:pPr>
        <w:pStyle w:val="BodyTextnonum"/>
        <w:numPr>
          <w:ilvl w:val="3"/>
          <w:numId w:val="34"/>
        </w:numPr>
      </w:pPr>
      <w:r>
        <w:rPr>
          <w:rFonts w:ascii="ZWAdobeF" w:hAnsi="ZWAdobeF" w:cs="ZWAdobeF"/>
          <w:color w:val="auto"/>
          <w:sz w:val="2"/>
          <w:szCs w:val="2"/>
        </w:rPr>
        <w:t>649B</w:t>
      </w:r>
      <w:r w:rsidR="0049638A">
        <w:rPr>
          <w:rFonts w:ascii="ZWAdobeF" w:hAnsi="ZWAdobeF" w:cs="ZWAdobeF"/>
          <w:color w:val="auto"/>
          <w:sz w:val="2"/>
          <w:szCs w:val="2"/>
        </w:rPr>
        <w:t>649B</w:t>
      </w:r>
      <w:r w:rsidR="00D629FA">
        <w:rPr>
          <w:rFonts w:ascii="ZWAdobeF" w:hAnsi="ZWAdobeF" w:cs="ZWAdobeF"/>
          <w:color w:val="auto"/>
          <w:sz w:val="2"/>
          <w:szCs w:val="2"/>
        </w:rPr>
        <w:t>649B</w:t>
      </w:r>
      <w:r w:rsidR="00B763FB">
        <w:t>The court makes an order that has the effect of removing or excluding a claim from the proceeding. An example would be where the court makes an order that narrows the class definition.</w:t>
      </w:r>
    </w:p>
    <w:p w14:paraId="14F12DE7" w14:textId="5970ABC5" w:rsidR="00B763FB" w:rsidRDefault="00BD5C95" w:rsidP="003E2524">
      <w:pPr>
        <w:pStyle w:val="BodyTextnonum"/>
        <w:numPr>
          <w:ilvl w:val="3"/>
          <w:numId w:val="34"/>
        </w:numPr>
      </w:pPr>
      <w:r>
        <w:rPr>
          <w:rFonts w:ascii="ZWAdobeF" w:hAnsi="ZWAdobeF" w:cs="ZWAdobeF"/>
          <w:color w:val="auto"/>
          <w:sz w:val="2"/>
          <w:szCs w:val="2"/>
        </w:rPr>
        <w:t>650B</w:t>
      </w:r>
      <w:r w:rsidR="0049638A">
        <w:rPr>
          <w:rFonts w:ascii="ZWAdobeF" w:hAnsi="ZWAdobeF" w:cs="ZWAdobeF"/>
          <w:color w:val="auto"/>
          <w:sz w:val="2"/>
          <w:szCs w:val="2"/>
        </w:rPr>
        <w:t>650B</w:t>
      </w:r>
      <w:r w:rsidR="00D629FA">
        <w:rPr>
          <w:rFonts w:ascii="ZWAdobeF" w:hAnsi="ZWAdobeF" w:cs="ZWAdobeF"/>
          <w:color w:val="auto"/>
          <w:sz w:val="2"/>
          <w:szCs w:val="2"/>
        </w:rPr>
        <w:t>650B</w:t>
      </w:r>
      <w:r w:rsidR="00B763FB">
        <w:t>In an opt-in proceeding, a class member decides not to opt into the class action. The relevant date would be the date specified in the opt-in notice as the last date for opting in.</w:t>
      </w:r>
    </w:p>
    <w:p w14:paraId="037AC54C" w14:textId="40495C8F" w:rsidR="00B763FB" w:rsidRDefault="00BD5C95" w:rsidP="003E2524">
      <w:pPr>
        <w:pStyle w:val="BodyTextnonum"/>
        <w:numPr>
          <w:ilvl w:val="3"/>
          <w:numId w:val="34"/>
        </w:numPr>
      </w:pPr>
      <w:r>
        <w:rPr>
          <w:rFonts w:ascii="ZWAdobeF" w:hAnsi="ZWAdobeF" w:cs="ZWAdobeF"/>
          <w:color w:val="auto"/>
          <w:sz w:val="2"/>
          <w:szCs w:val="2"/>
        </w:rPr>
        <w:t>651B</w:t>
      </w:r>
      <w:r w:rsidR="0049638A">
        <w:rPr>
          <w:rFonts w:ascii="ZWAdobeF" w:hAnsi="ZWAdobeF" w:cs="ZWAdobeF"/>
          <w:color w:val="auto"/>
          <w:sz w:val="2"/>
          <w:szCs w:val="2"/>
        </w:rPr>
        <w:t>651B</w:t>
      </w:r>
      <w:r w:rsidR="00D629FA">
        <w:rPr>
          <w:rFonts w:ascii="ZWAdobeF" w:hAnsi="ZWAdobeF" w:cs="ZWAdobeF"/>
          <w:color w:val="auto"/>
          <w:sz w:val="2"/>
          <w:szCs w:val="2"/>
        </w:rPr>
        <w:t>651B</w:t>
      </w:r>
      <w:r w:rsidR="00B763FB">
        <w:t xml:space="preserve">In an opt-out proceeding, a class member decides to opt out of the class action. </w:t>
      </w:r>
    </w:p>
    <w:p w14:paraId="17EFA7F0" w14:textId="31CDD3F6" w:rsidR="00B763FB" w:rsidRPr="006A2EC1" w:rsidRDefault="00BD5C95" w:rsidP="003E2524">
      <w:pPr>
        <w:pStyle w:val="BodyTextnonum"/>
        <w:numPr>
          <w:ilvl w:val="3"/>
          <w:numId w:val="34"/>
        </w:numPr>
      </w:pPr>
      <w:r>
        <w:rPr>
          <w:rFonts w:ascii="ZWAdobeF" w:hAnsi="ZWAdobeF" w:cs="ZWAdobeF"/>
          <w:color w:val="auto"/>
          <w:sz w:val="2"/>
          <w:szCs w:val="2"/>
        </w:rPr>
        <w:t>652B</w:t>
      </w:r>
      <w:r w:rsidR="0049638A">
        <w:rPr>
          <w:rFonts w:ascii="ZWAdobeF" w:hAnsi="ZWAdobeF" w:cs="ZWAdobeF"/>
          <w:color w:val="auto"/>
          <w:sz w:val="2"/>
          <w:szCs w:val="2"/>
        </w:rPr>
        <w:t>652B</w:t>
      </w:r>
      <w:r w:rsidR="00D629FA">
        <w:rPr>
          <w:rFonts w:ascii="ZWAdobeF" w:hAnsi="ZWAdobeF" w:cs="ZWAdobeF"/>
          <w:color w:val="auto"/>
          <w:sz w:val="2"/>
          <w:szCs w:val="2"/>
        </w:rPr>
        <w:t>652B</w:t>
      </w:r>
      <w:r w:rsidR="00B763FB">
        <w:t>T</w:t>
      </w:r>
      <w:r w:rsidR="00B763FB" w:rsidRPr="006A2EC1">
        <w:t>he proceeding otherwise ends without an adjudication on the merits</w:t>
      </w:r>
      <w:r w:rsidR="00B763FB">
        <w:t>, for example if</w:t>
      </w:r>
      <w:r w:rsidR="00B763FB" w:rsidRPr="006A2EC1">
        <w:t xml:space="preserve"> the plaintiff discontinues the claim.</w:t>
      </w:r>
    </w:p>
    <w:p w14:paraId="600A65EC" w14:textId="341C03E2" w:rsidR="00B763FB" w:rsidRPr="006A2EC1" w:rsidRDefault="00BD5C95" w:rsidP="00932E49">
      <w:pPr>
        <w:pStyle w:val="BodyText"/>
      </w:pPr>
      <w:r>
        <w:rPr>
          <w:rFonts w:ascii="ZWAdobeF" w:hAnsi="ZWAdobeF" w:cs="ZWAdobeF"/>
          <w:color w:val="auto"/>
          <w:sz w:val="2"/>
          <w:szCs w:val="2"/>
        </w:rPr>
        <w:lastRenderedPageBreak/>
        <w:t>122B</w:t>
      </w:r>
      <w:r w:rsidR="0049638A">
        <w:rPr>
          <w:rFonts w:ascii="ZWAdobeF" w:hAnsi="ZWAdobeF" w:cs="ZWAdobeF"/>
          <w:color w:val="auto"/>
          <w:sz w:val="2"/>
          <w:szCs w:val="2"/>
        </w:rPr>
        <w:t>122B</w:t>
      </w:r>
      <w:r w:rsidR="00D629FA">
        <w:rPr>
          <w:rFonts w:ascii="ZWAdobeF" w:hAnsi="ZWAdobeF" w:cs="ZWAdobeF"/>
          <w:color w:val="auto"/>
          <w:sz w:val="2"/>
          <w:szCs w:val="2"/>
        </w:rPr>
        <w:t>122B</w:t>
      </w:r>
      <w:r w:rsidR="00B763FB">
        <w:t>If there is a right of appeal in any of these circumstances, we consider the suspension period should continue to run until the appeal period has expired or the appeal has been finally disposed of.</w:t>
      </w:r>
    </w:p>
    <w:p w14:paraId="09F4F05F" w14:textId="77777777" w:rsidR="00B763FB" w:rsidRDefault="00B763FB" w:rsidP="00326D08">
      <w:pPr>
        <w:pStyle w:val="Heading3"/>
      </w:pPr>
      <w:r>
        <w:t xml:space="preserve">Limitation and contribution claims   </w:t>
      </w:r>
    </w:p>
    <w:p w14:paraId="14B613A1" w14:textId="2A70B363" w:rsidR="00B763FB" w:rsidRDefault="00BD5C95" w:rsidP="00932E49">
      <w:pPr>
        <w:pStyle w:val="BodyText"/>
      </w:pPr>
      <w:r>
        <w:rPr>
          <w:rFonts w:ascii="ZWAdobeF" w:hAnsi="ZWAdobeF" w:cs="ZWAdobeF"/>
          <w:color w:val="auto"/>
          <w:sz w:val="2"/>
          <w:szCs w:val="2"/>
        </w:rPr>
        <w:t>123B</w:t>
      </w:r>
      <w:r w:rsidR="0049638A">
        <w:rPr>
          <w:rFonts w:ascii="ZWAdobeF" w:hAnsi="ZWAdobeF" w:cs="ZWAdobeF"/>
          <w:color w:val="auto"/>
          <w:sz w:val="2"/>
          <w:szCs w:val="2"/>
        </w:rPr>
        <w:t>123B</w:t>
      </w:r>
      <w:r w:rsidR="00D629FA">
        <w:rPr>
          <w:rFonts w:ascii="ZWAdobeF" w:hAnsi="ZWAdobeF" w:cs="ZWAdobeF"/>
          <w:color w:val="auto"/>
          <w:sz w:val="2"/>
          <w:szCs w:val="2"/>
        </w:rPr>
        <w:t>123B</w:t>
      </w:r>
      <w:r w:rsidR="00B763FB">
        <w:t>A defendant in a class action may have claims against third parties for contribution or indemnity. It may be difficult for a defendant to identify all third party claims at an early stage of a class action if there is uncertainty about the scope of the class or the particulars of the claims. This will not normally be an issue because the Limitation Act 2010 allows a defendant to bring a contribution claim against another tortfeasor or joint obligor up to two years after the date on which its liability is quantified (by an agreement, award or judgment).</w:t>
      </w:r>
      <w:r w:rsidR="00D629FA">
        <w:rPr>
          <w:rFonts w:ascii="ZWAdobeF" w:hAnsi="ZWAdobeF" w:cs="ZWAdobeF"/>
          <w:color w:val="auto"/>
          <w:sz w:val="2"/>
          <w:szCs w:val="2"/>
        </w:rPr>
        <w:t>223F</w:t>
      </w:r>
      <w:r w:rsidR="0049638A">
        <w:rPr>
          <w:rFonts w:ascii="ZWAdobeF" w:hAnsi="ZWAdobeF" w:cs="ZWAdobeF"/>
          <w:color w:val="auto"/>
          <w:sz w:val="2"/>
          <w:szCs w:val="2"/>
        </w:rPr>
        <w:t>223F</w:t>
      </w:r>
      <w:r w:rsidR="00317AE4">
        <w:rPr>
          <w:rFonts w:ascii="ZWAdobeF" w:hAnsi="ZWAdobeF" w:cs="ZWAdobeF"/>
          <w:color w:val="auto"/>
          <w:sz w:val="2"/>
          <w:szCs w:val="2"/>
        </w:rPr>
        <w:t>223F</w:t>
      </w:r>
      <w:r w:rsidR="00B763FB">
        <w:rPr>
          <w:rStyle w:val="FootnoteReference"/>
        </w:rPr>
        <w:footnoteReference w:id="225"/>
      </w:r>
      <w:r w:rsidR="00B763FB">
        <w:t xml:space="preserve"> This means that ordinarily a defendant could bring a contribution claim following a judgment or settlement in a class action. </w:t>
      </w:r>
    </w:p>
    <w:p w14:paraId="281BB3EC" w14:textId="2281BDE6" w:rsidR="00B763FB" w:rsidRDefault="00BD5C95" w:rsidP="00932E49">
      <w:pPr>
        <w:pStyle w:val="BodyText"/>
      </w:pPr>
      <w:r>
        <w:rPr>
          <w:rFonts w:ascii="ZWAdobeF" w:hAnsi="ZWAdobeF" w:cs="ZWAdobeF"/>
          <w:color w:val="auto"/>
          <w:sz w:val="2"/>
          <w:szCs w:val="2"/>
        </w:rPr>
        <w:t>124B</w:t>
      </w:r>
      <w:r w:rsidR="0049638A">
        <w:rPr>
          <w:rFonts w:ascii="ZWAdobeF" w:hAnsi="ZWAdobeF" w:cs="ZWAdobeF"/>
          <w:color w:val="auto"/>
          <w:sz w:val="2"/>
          <w:szCs w:val="2"/>
        </w:rPr>
        <w:t>124B</w:t>
      </w:r>
      <w:r w:rsidR="00D629FA">
        <w:rPr>
          <w:rFonts w:ascii="ZWAdobeF" w:hAnsi="ZWAdobeF" w:cs="ZWAdobeF"/>
          <w:color w:val="auto"/>
          <w:sz w:val="2"/>
          <w:szCs w:val="2"/>
        </w:rPr>
        <w:t>124B</w:t>
      </w:r>
      <w:r w:rsidR="00B763FB">
        <w:t>An issue may arise in relation to claims under the Building Act 2004 because of the requirement to bring claims within 10 years.</w:t>
      </w:r>
      <w:r w:rsidR="00D629FA">
        <w:rPr>
          <w:rFonts w:ascii="ZWAdobeF" w:hAnsi="ZWAdobeF" w:cs="ZWAdobeF"/>
          <w:color w:val="auto"/>
          <w:sz w:val="2"/>
          <w:szCs w:val="2"/>
        </w:rPr>
        <w:t>224F</w:t>
      </w:r>
      <w:r w:rsidR="0049638A">
        <w:rPr>
          <w:rFonts w:ascii="ZWAdobeF" w:hAnsi="ZWAdobeF" w:cs="ZWAdobeF"/>
          <w:color w:val="auto"/>
          <w:sz w:val="2"/>
          <w:szCs w:val="2"/>
        </w:rPr>
        <w:t>224F</w:t>
      </w:r>
      <w:r w:rsidR="00317AE4">
        <w:rPr>
          <w:rFonts w:ascii="ZWAdobeF" w:hAnsi="ZWAdobeF" w:cs="ZWAdobeF"/>
          <w:color w:val="auto"/>
          <w:sz w:val="2"/>
          <w:szCs w:val="2"/>
        </w:rPr>
        <w:t>224F</w:t>
      </w:r>
      <w:r w:rsidR="00B763FB">
        <w:rPr>
          <w:rStyle w:val="FootnoteReference"/>
        </w:rPr>
        <w:footnoteReference w:id="226"/>
      </w:r>
      <w:r w:rsidR="00B763FB">
        <w:t xml:space="preserve"> Case law has diverged on the issue of whether or not this 10-year longstop period applies to claims for contribution.</w:t>
      </w:r>
      <w:r w:rsidR="00D629FA">
        <w:rPr>
          <w:rFonts w:ascii="ZWAdobeF" w:hAnsi="ZWAdobeF" w:cs="ZWAdobeF"/>
          <w:color w:val="auto"/>
          <w:sz w:val="2"/>
          <w:szCs w:val="2"/>
        </w:rPr>
        <w:t>225F</w:t>
      </w:r>
      <w:r w:rsidR="0049638A">
        <w:rPr>
          <w:rFonts w:ascii="ZWAdobeF" w:hAnsi="ZWAdobeF" w:cs="ZWAdobeF"/>
          <w:color w:val="auto"/>
          <w:sz w:val="2"/>
          <w:szCs w:val="2"/>
        </w:rPr>
        <w:t>225F</w:t>
      </w:r>
      <w:r w:rsidR="00317AE4">
        <w:rPr>
          <w:rFonts w:ascii="ZWAdobeF" w:hAnsi="ZWAdobeF" w:cs="ZWAdobeF"/>
          <w:color w:val="auto"/>
          <w:sz w:val="2"/>
          <w:szCs w:val="2"/>
        </w:rPr>
        <w:t>225F</w:t>
      </w:r>
      <w:r w:rsidR="00B763FB">
        <w:rPr>
          <w:rStyle w:val="FootnoteReference"/>
        </w:rPr>
        <w:footnoteReference w:id="227"/>
      </w:r>
      <w:r w:rsidR="00B763FB">
        <w:t xml:space="preserve"> While this issue is not exclusive to class actions, a 10-year longstop period for contribution claims could be particularly problematic in class actions because the defendant does not have full particulars of all claims when the proceeding is filed. If reform or clarification is needed, we think amendment to section 394 of the Building Act may be the appropriate solution, rather than addressing it through class actions limitation provisions. </w:t>
      </w:r>
    </w:p>
    <w:p w14:paraId="4058675D" w14:textId="58EF49BC" w:rsidR="00B763FB" w:rsidRPr="009D23D4" w:rsidRDefault="008B20F9" w:rsidP="003D65B8">
      <w:pPr>
        <w:pStyle w:val="QuestionBox"/>
        <w:ind w:left="0"/>
      </w:pPr>
      <w:r>
        <w:rPr>
          <w:noProof/>
        </w:rPr>
        <mc:AlternateContent>
          <mc:Choice Requires="wpg">
            <w:drawing>
              <wp:anchor distT="0" distB="0" distL="114300" distR="114300" simplePos="0" relativeHeight="251651118" behindDoc="1" locked="0" layoutInCell="1" allowOverlap="1" wp14:anchorId="6EEC8CBF" wp14:editId="39603179">
                <wp:simplePos x="0" y="0"/>
                <wp:positionH relativeFrom="column">
                  <wp:posOffset>-3810</wp:posOffset>
                </wp:positionH>
                <wp:positionV relativeFrom="paragraph">
                  <wp:posOffset>191135</wp:posOffset>
                </wp:positionV>
                <wp:extent cx="5760085" cy="1952654"/>
                <wp:effectExtent l="0" t="0" r="0" b="9525"/>
                <wp:wrapNone/>
                <wp:docPr id="764517959" name="Group 764517959"/>
                <wp:cNvGraphicFramePr/>
                <a:graphic xmlns:a="http://schemas.openxmlformats.org/drawingml/2006/main">
                  <a:graphicData uri="http://schemas.microsoft.com/office/word/2010/wordprocessingGroup">
                    <wpg:wgp>
                      <wpg:cNvGrpSpPr/>
                      <wpg:grpSpPr>
                        <a:xfrm>
                          <a:off x="0" y="0"/>
                          <a:ext cx="5760085" cy="1952654"/>
                          <a:chOff x="0" y="62865"/>
                          <a:chExt cx="5760085" cy="1952852"/>
                        </a:xfrm>
                      </wpg:grpSpPr>
                      <wps:wsp>
                        <wps:cNvPr id="76451797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C699D0" w14:textId="0AC7D024" w:rsidR="00A55F53" w:rsidRDefault="00A55F53" w:rsidP="008B20F9">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764518011" name="Group 53"/>
                        <wpg:cNvGrpSpPr>
                          <a:grpSpLocks/>
                        </wpg:cNvGrpSpPr>
                        <wpg:grpSpPr bwMode="auto">
                          <a:xfrm>
                            <a:off x="0" y="316263"/>
                            <a:ext cx="5760085" cy="1699454"/>
                            <a:chOff x="1837" y="1792"/>
                            <a:chExt cx="9302" cy="18357"/>
                          </a:xfrm>
                        </wpg:grpSpPr>
                        <wps:wsp>
                          <wps:cNvPr id="764518012" name="Freeform 54"/>
                          <wps:cNvSpPr>
                            <a:spLocks/>
                          </wps:cNvSpPr>
                          <wps:spPr bwMode="auto">
                            <a:xfrm>
                              <a:off x="1837" y="1792"/>
                              <a:ext cx="9302" cy="1835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50" name="Group 764518050"/>
                        <wpg:cNvGrpSpPr/>
                        <wpg:grpSpPr>
                          <a:xfrm>
                            <a:off x="0" y="494036"/>
                            <a:ext cx="1443794" cy="252000"/>
                            <a:chOff x="-15880" y="0"/>
                            <a:chExt cx="1444379" cy="252068"/>
                          </a:xfrm>
                        </wpg:grpSpPr>
                        <wps:wsp>
                          <wps:cNvPr id="76451805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5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07C99C" w14:textId="723C36C3" w:rsidR="00A55F53" w:rsidRPr="00E700FF" w:rsidRDefault="00A55F53" w:rsidP="008B20F9">
                                <w:pPr>
                                  <w:pStyle w:val="BoxTitle"/>
                                  <w:spacing w:before="0" w:beforeAutospacing="0"/>
                                </w:pPr>
                                <w:r w:rsidRPr="001C1B37">
                                  <w:t>Q</w:t>
                                </w:r>
                                <w: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EEC8CBF" id="Group 764517959" o:spid="_x0000_s1229" style="position:absolute;left:0;text-align:left;margin-left:-.3pt;margin-top:15.05pt;width:453.55pt;height:153.75pt;z-index:-251665362;mso-height-relative:margin" coordorigin=",628" coordsize="57600,1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">
                <v:shape id="_x0000_s123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FC699D0" w14:textId="0AC7D024" w:rsidR="00A55F53" w:rsidRDefault="00A55F53" w:rsidP="008B20F9">
                        <w:pPr>
                          <w:pStyle w:val="BoxTitle"/>
                          <w:spacing w:before="0" w:beforeAutospacing="0"/>
                        </w:pPr>
                        <w:r w:rsidRPr="007F6876">
                          <w:t>QUESTION</w:t>
                        </w:r>
                        <w:r>
                          <w:t>S</w:t>
                        </w:r>
                      </w:p>
                    </w:txbxContent>
                  </v:textbox>
                </v:shape>
                <v:group id="Group 53" o:spid="_x0000_s1231" style="position:absolute;top:3162;width:57600;height:16995" coordorigin="1837,1792" coordsize="9302,1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">
                  <v:shape id="Freeform 54" o:spid="_x0000_s1232" style="position:absolute;left:1837;top:1792;width:9302;height:1835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" path="m,l9354,r,7809l,7809,,e" fillcolor="#edf2ea" stroked="f">
                    <v:path arrowok="t" o:connecttype="custom" o:connectlocs="0,2351;9302,2351;9302,20708;0,20708;0,2351" o:connectangles="0,0,0,0,0"/>
                  </v:shape>
                </v:group>
                <v:group id="Group 764518050" o:spid="_x0000_s123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">
                  <v:shape id="Freeform 58" o:spid="_x0000_s123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" path="m,l1815,e" filled="f" strokecolor="#72ab6a" strokeweight=".5pt">
                    <v:path arrowok="t" o:connecttype="custom" o:connectlocs="0,0;1073495,0" o:connectangles="0,0"/>
                  </v:shape>
                  <v:shape id="Freeform 66" o:spid="_x0000_s123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107C99C" w14:textId="723C36C3" w:rsidR="00A55F53" w:rsidRPr="00E700FF" w:rsidRDefault="00A55F53" w:rsidP="008B20F9">
                          <w:pPr>
                            <w:pStyle w:val="BoxTitle"/>
                            <w:spacing w:before="0" w:beforeAutospacing="0"/>
                          </w:pPr>
                          <w:r w:rsidRPr="001C1B37">
                            <w:t>Q</w:t>
                          </w:r>
                          <w:r>
                            <w:t>5</w:t>
                          </w:r>
                        </w:p>
                      </w:txbxContent>
                    </v:textbox>
                  </v:shape>
                </v:group>
              </v:group>
            </w:pict>
          </mc:Fallback>
        </mc:AlternateContent>
      </w:r>
    </w:p>
    <w:p w14:paraId="2F42FF0D" w14:textId="4724ACA1" w:rsidR="00377D5B" w:rsidRPr="00D37FCE" w:rsidRDefault="00377D5B" w:rsidP="008B20F9">
      <w:pPr>
        <w:widowControl w:val="0"/>
        <w:tabs>
          <w:tab w:val="left" w:pos="995"/>
        </w:tabs>
        <w:spacing w:line="276" w:lineRule="auto"/>
      </w:pPr>
    </w:p>
    <w:p w14:paraId="5B786326" w14:textId="77777777" w:rsidR="008B20F9" w:rsidRDefault="008B20F9" w:rsidP="0000733E">
      <w:pPr>
        <w:pStyle w:val="QuestionBox"/>
      </w:pPr>
    </w:p>
    <w:p w14:paraId="52ABD0AE" w14:textId="3408432C" w:rsidR="0000733E" w:rsidRDefault="00BD5C95" w:rsidP="0000733E">
      <w:pPr>
        <w:pStyle w:val="QuestionBox"/>
      </w:pPr>
      <w:r>
        <w:rPr>
          <w:rFonts w:ascii="ZWAdobeF" w:hAnsi="ZWAdobeF" w:cs="ZWAdobeF"/>
          <w:color w:val="auto"/>
          <w:sz w:val="2"/>
          <w:szCs w:val="2"/>
        </w:rPr>
        <w:t>1386B</w:t>
      </w:r>
      <w:r w:rsidR="0049638A">
        <w:rPr>
          <w:rFonts w:ascii="ZWAdobeF" w:hAnsi="ZWAdobeF" w:cs="ZWAdobeF"/>
          <w:color w:val="auto"/>
          <w:sz w:val="2"/>
          <w:szCs w:val="2"/>
        </w:rPr>
        <w:t>1386B</w:t>
      </w:r>
      <w:r w:rsidR="00D629FA">
        <w:rPr>
          <w:rFonts w:ascii="ZWAdobeF" w:hAnsi="ZWAdobeF" w:cs="ZWAdobeF"/>
          <w:color w:val="auto"/>
          <w:sz w:val="2"/>
          <w:szCs w:val="2"/>
        </w:rPr>
        <w:t>1386B</w:t>
      </w:r>
      <w:r w:rsidR="0000733E">
        <w:t>Do you agree that the limitation periods applying to all proposed class members should be suspended when a class action is commenced?</w:t>
      </w:r>
    </w:p>
    <w:p w14:paraId="4DEC2495" w14:textId="549B6AEE" w:rsidR="0000733E" w:rsidRDefault="00CE7A20" w:rsidP="0000733E">
      <w:pPr>
        <w:pStyle w:val="QuestionBox"/>
      </w:pPr>
      <w:r>
        <w:rPr>
          <w:noProof/>
        </w:rPr>
        <mc:AlternateContent>
          <mc:Choice Requires="wpg">
            <w:drawing>
              <wp:anchor distT="0" distB="0" distL="114300" distR="114300" simplePos="0" relativeHeight="251651119" behindDoc="1" locked="0" layoutInCell="1" allowOverlap="1" wp14:anchorId="382C5285" wp14:editId="3A56D10A">
                <wp:simplePos x="0" y="0"/>
                <wp:positionH relativeFrom="column">
                  <wp:posOffset>-3355</wp:posOffset>
                </wp:positionH>
                <wp:positionV relativeFrom="paragraph">
                  <wp:posOffset>132715</wp:posOffset>
                </wp:positionV>
                <wp:extent cx="1443794" cy="252000"/>
                <wp:effectExtent l="0" t="0" r="42545" b="0"/>
                <wp:wrapNone/>
                <wp:docPr id="146" name="Group 146"/>
                <wp:cNvGraphicFramePr/>
                <a:graphic xmlns:a="http://schemas.openxmlformats.org/drawingml/2006/main">
                  <a:graphicData uri="http://schemas.microsoft.com/office/word/2010/wordprocessingGroup">
                    <wpg:wgp>
                      <wpg:cNvGrpSpPr/>
                      <wpg:grpSpPr>
                        <a:xfrm>
                          <a:off x="0" y="0"/>
                          <a:ext cx="1443794" cy="252000"/>
                          <a:chOff x="-15880" y="0"/>
                          <a:chExt cx="1444379" cy="252068"/>
                        </a:xfrm>
                      </wpg:grpSpPr>
                      <wps:wsp>
                        <wps:cNvPr id="14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80A4A6" w14:textId="290040C9" w:rsidR="00A55F53" w:rsidRPr="00E700FF" w:rsidRDefault="00A55F53" w:rsidP="00CE7A20">
                              <w:pPr>
                                <w:pStyle w:val="BoxTitle"/>
                                <w:spacing w:before="0" w:beforeAutospacing="0"/>
                              </w:pPr>
                              <w:r w:rsidRPr="001C1B37">
                                <w:t>Q</w:t>
                              </w:r>
                              <w:r>
                                <w:t>6</w:t>
                              </w:r>
                            </w:p>
                          </w:txbxContent>
                        </wps:txbx>
                        <wps:bodyPr rot="0" vert="horz" wrap="square" lIns="54000" tIns="82800" rIns="91440" bIns="45720" anchor="ctr" anchorCtr="0" upright="1">
                          <a:noAutofit/>
                        </wps:bodyPr>
                      </wps:wsp>
                    </wpg:wgp>
                  </a:graphicData>
                </a:graphic>
              </wp:anchor>
            </w:drawing>
          </mc:Choice>
          <mc:Fallback>
            <w:pict>
              <v:group w14:anchorId="382C5285" id="Group 146" o:spid="_x0000_s1236" style="position:absolute;left:0;text-align:left;margin-left:-.25pt;margin-top:10.45pt;width:113.7pt;height:19.85pt;z-index:-25166536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">
                <v:shape id="Freeform 58" o:spid="_x0000_s123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" path="m,l1815,e" filled="f" strokecolor="#72ab6a" strokeweight=".5pt">
                  <v:path arrowok="t" o:connecttype="custom" o:connectlocs="0,0;1073495,0" o:connectangles="0,0"/>
                </v:shape>
                <v:shape id="Freeform 66" o:spid="_x0000_s123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480A4A6" w14:textId="290040C9" w:rsidR="00A55F53" w:rsidRPr="00E700FF" w:rsidRDefault="00A55F53" w:rsidP="00CE7A20">
                        <w:pPr>
                          <w:pStyle w:val="BoxTitle"/>
                          <w:spacing w:before="0" w:beforeAutospacing="0"/>
                        </w:pPr>
                        <w:r w:rsidRPr="001C1B37">
                          <w:t>Q</w:t>
                        </w:r>
                        <w:r>
                          <w:t>6</w:t>
                        </w:r>
                      </w:p>
                    </w:txbxContent>
                  </v:textbox>
                </v:shape>
              </v:group>
            </w:pict>
          </mc:Fallback>
        </mc:AlternateContent>
      </w:r>
    </w:p>
    <w:p w14:paraId="383F54E3" w14:textId="169A2EF6" w:rsidR="0000733E" w:rsidRPr="00D37FCE" w:rsidRDefault="00BD5C95" w:rsidP="0000733E">
      <w:pPr>
        <w:pStyle w:val="QuestionBox"/>
      </w:pPr>
      <w:r>
        <w:rPr>
          <w:rFonts w:ascii="ZWAdobeF" w:hAnsi="ZWAdobeF" w:cs="ZWAdobeF"/>
          <w:color w:val="auto"/>
          <w:sz w:val="2"/>
          <w:szCs w:val="2"/>
        </w:rPr>
        <w:t>1387B</w:t>
      </w:r>
      <w:r w:rsidR="0049638A">
        <w:rPr>
          <w:rFonts w:ascii="ZWAdobeF" w:hAnsi="ZWAdobeF" w:cs="ZWAdobeF"/>
          <w:color w:val="auto"/>
          <w:sz w:val="2"/>
          <w:szCs w:val="2"/>
        </w:rPr>
        <w:t>1387B</w:t>
      </w:r>
      <w:r w:rsidR="00D629FA">
        <w:rPr>
          <w:rFonts w:ascii="ZWAdobeF" w:hAnsi="ZWAdobeF" w:cs="ZWAdobeF"/>
          <w:color w:val="auto"/>
          <w:sz w:val="2"/>
          <w:szCs w:val="2"/>
        </w:rPr>
        <w:t>1387B</w:t>
      </w:r>
      <w:r w:rsidR="0000733E">
        <w:t xml:space="preserve">Do you agree with the events we propose should start the limitation period applying to a class member running again? </w:t>
      </w:r>
    </w:p>
    <w:p w14:paraId="078533DD" w14:textId="49ED38B5" w:rsidR="00557F9E" w:rsidRPr="00D37FCE" w:rsidRDefault="00557F9E" w:rsidP="00BC0B1A">
      <w:pPr>
        <w:pStyle w:val="QuestionBox"/>
      </w:pPr>
    </w:p>
    <w:p w14:paraId="1C23614E" w14:textId="77777777" w:rsidR="00A00955" w:rsidRDefault="00A00955" w:rsidP="00A00955">
      <w:pPr>
        <w:pStyle w:val="BodyTextIndent"/>
        <w:numPr>
          <w:ilvl w:val="0"/>
          <w:numId w:val="0"/>
        </w:numPr>
        <w:ind w:left="709"/>
      </w:pPr>
    </w:p>
    <w:p w14:paraId="1458B3C6" w14:textId="77777777" w:rsidR="00000A25" w:rsidRDefault="00000A25" w:rsidP="00A00955">
      <w:pPr>
        <w:pStyle w:val="BodyTextIndent"/>
        <w:numPr>
          <w:ilvl w:val="0"/>
          <w:numId w:val="0"/>
        </w:numPr>
        <w:ind w:left="709"/>
      </w:pPr>
    </w:p>
    <w:p w14:paraId="29F55C84" w14:textId="77777777" w:rsidR="00000A25" w:rsidRPr="00D37FCE" w:rsidRDefault="00125C2E" w:rsidP="00A00955">
      <w:pPr>
        <w:pStyle w:val="BodyTextIndent"/>
        <w:numPr>
          <w:ilvl w:val="0"/>
          <w:numId w:val="0"/>
        </w:numPr>
        <w:ind w:left="709"/>
      </w:pPr>
      <w:r w:rsidRPr="00D37FCE">
        <w:rPr>
          <w:rFonts w:eastAsiaTheme="minorHAnsi"/>
          <w:noProof/>
          <w:lang w:eastAsia="en-NZ"/>
        </w:rPr>
        <mc:AlternateContent>
          <mc:Choice Requires="wpg">
            <w:drawing>
              <wp:anchor distT="0" distB="0" distL="114300" distR="114300" simplePos="0" relativeHeight="251651093" behindDoc="1" locked="0" layoutInCell="1" allowOverlap="1" wp14:anchorId="3150AA72" wp14:editId="2F9E3D8F">
                <wp:simplePos x="0" y="0"/>
                <wp:positionH relativeFrom="page">
                  <wp:posOffset>1108075</wp:posOffset>
                </wp:positionH>
                <wp:positionV relativeFrom="paragraph">
                  <wp:posOffset>371585</wp:posOffset>
                </wp:positionV>
                <wp:extent cx="2411730" cy="1270"/>
                <wp:effectExtent l="0" t="19050" r="26670" b="17780"/>
                <wp:wrapNone/>
                <wp:docPr id="3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3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CDABE" id="Group 135" o:spid="_x0000_s1026" style="position:absolute;margin-left:87.25pt;margin-top:29.25pt;width:189.9pt;height:.1pt;z-index:-25166538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" path="m,l2097,e" filled="f" strokecolor="#72ab6a" strokeweight="3pt">
                  <v:path arrowok="t" o:connecttype="custom" o:connectlocs="0,0;2097,0" o:connectangles="0,0"/>
                </v:shape>
                <w10:wrap anchorx="page"/>
              </v:group>
            </w:pict>
          </mc:Fallback>
        </mc:AlternateContent>
      </w:r>
    </w:p>
    <w:p w14:paraId="44EB0686" w14:textId="723A875D" w:rsidR="00000A25" w:rsidRDefault="00000A25">
      <w:pPr>
        <w:spacing w:line="200" w:lineRule="exact"/>
        <w:rPr>
          <w:rFonts w:eastAsia="SimSun"/>
          <w:szCs w:val="20"/>
        </w:rPr>
        <w:sectPr w:rsidR="00000A25" w:rsidSect="00FD6721">
          <w:headerReference w:type="even" r:id="rId32"/>
          <w:headerReference w:type="default" r:id="rId33"/>
          <w:footerReference w:type="even" r:id="rId34"/>
          <w:footnotePr>
            <w:numRestart w:val="eachSect"/>
          </w:footnotePr>
          <w:type w:val="nextColumn"/>
          <w:pgSz w:w="11907" w:h="16840" w:code="9"/>
          <w:pgMar w:top="1134" w:right="1134" w:bottom="1134" w:left="1701" w:header="499" w:footer="499" w:gutter="0"/>
          <w:cols w:space="720"/>
          <w:docGrid w:linePitch="272"/>
        </w:sectPr>
      </w:pPr>
    </w:p>
    <w:p w14:paraId="076622F7" w14:textId="07EFD3BA" w:rsidR="00C17BEB" w:rsidRPr="00D37FCE" w:rsidRDefault="00BD5C95" w:rsidP="00634007">
      <w:pPr>
        <w:pStyle w:val="HEADING2topchapter-notinTOC"/>
      </w:pPr>
      <w:r>
        <w:rPr>
          <w:rFonts w:ascii="ZWAdobeF" w:hAnsi="ZWAdobeF" w:cs="ZWAdobeF"/>
          <w:b w:val="0"/>
          <w:color w:val="auto"/>
          <w:sz w:val="2"/>
          <w:szCs w:val="2"/>
        </w:rPr>
        <w:lastRenderedPageBreak/>
        <w:t>937B</w:t>
      </w:r>
      <w:r w:rsidR="0049638A">
        <w:rPr>
          <w:rFonts w:ascii="ZWAdobeF" w:hAnsi="ZWAdobeF" w:cs="ZWAdobeF"/>
          <w:b w:val="0"/>
          <w:color w:val="auto"/>
          <w:sz w:val="2"/>
          <w:szCs w:val="2"/>
        </w:rPr>
        <w:t>937B</w:t>
      </w:r>
      <w:r w:rsidR="00D629FA">
        <w:rPr>
          <w:rFonts w:ascii="ZWAdobeF" w:hAnsi="ZWAdobeF" w:cs="ZWAdobeF"/>
          <w:b w:val="0"/>
          <w:color w:val="auto"/>
          <w:sz w:val="2"/>
          <w:szCs w:val="2"/>
        </w:rPr>
        <w:t>937B</w:t>
      </w:r>
      <w:r w:rsidR="00C17BEB" w:rsidRPr="00D37FCE">
        <w:t xml:space="preserve">CHAPTER </w:t>
      </w:r>
      <w:r w:rsidR="00C2793E" w:rsidRPr="00D37FCE">
        <w:t>2</w:t>
      </w:r>
    </w:p>
    <w:p w14:paraId="745820DD" w14:textId="77777777" w:rsidR="00C17BEB" w:rsidRPr="00D37FCE" w:rsidRDefault="00C17BEB" w:rsidP="00C17BEB">
      <w:pPr>
        <w:spacing w:line="200" w:lineRule="exact"/>
        <w:rPr>
          <w:szCs w:val="20"/>
        </w:rPr>
      </w:pPr>
      <w:r w:rsidRPr="00D37FCE">
        <w:rPr>
          <w:noProof/>
          <w:lang w:eastAsia="en-NZ"/>
        </w:rPr>
        <mc:AlternateContent>
          <mc:Choice Requires="wpg">
            <w:drawing>
              <wp:anchor distT="0" distB="0" distL="114300" distR="114300" simplePos="0" relativeHeight="251651075" behindDoc="1" locked="0" layoutInCell="1" allowOverlap="1" wp14:anchorId="7E2EAB7C" wp14:editId="64AC5104">
                <wp:simplePos x="0" y="0"/>
                <wp:positionH relativeFrom="page">
                  <wp:posOffset>1076325</wp:posOffset>
                </wp:positionH>
                <wp:positionV relativeFrom="paragraph">
                  <wp:posOffset>6350</wp:posOffset>
                </wp:positionV>
                <wp:extent cx="1332230" cy="1270"/>
                <wp:effectExtent l="0" t="19050" r="1270" b="1778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EDAD3" id="Group 13" o:spid="_x0000_s1026" style="position:absolute;margin-left:84.75pt;margin-top:.5pt;width:104.9pt;height:.1pt;z-index:-25166540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3F1B4E5" w14:textId="3A8B93AF" w:rsidR="006E2256" w:rsidRPr="00D37FCE" w:rsidRDefault="006E2256" w:rsidP="006E2256">
      <w:pPr>
        <w:pStyle w:val="Heading1"/>
        <w:rPr>
          <w:rFonts w:eastAsia="Cordia New"/>
        </w:rPr>
      </w:pPr>
      <w:bookmarkStart w:id="52" w:name="_Toc83895438"/>
      <w:r w:rsidRPr="00D37FCE">
        <w:rPr>
          <w:color w:val="FFFFFF" w:themeColor="background1"/>
          <w:sz w:val="2"/>
          <w:szCs w:val="2"/>
        </w:rPr>
        <w:t xml:space="preserve">2 </w:t>
      </w:r>
      <w:r w:rsidR="00127B52">
        <w:rPr>
          <w:rFonts w:eastAsia="Metropolis Black"/>
        </w:rPr>
        <w:t>Competing class actions</w:t>
      </w:r>
      <w:bookmarkEnd w:id="52"/>
    </w:p>
    <w:p w14:paraId="1AB5A3B7" w14:textId="77777777" w:rsidR="006E2256" w:rsidRPr="00D37FCE" w:rsidRDefault="006E2256" w:rsidP="006E2256">
      <w:pPr>
        <w:spacing w:line="200" w:lineRule="exact"/>
        <w:rPr>
          <w:szCs w:val="20"/>
        </w:rPr>
      </w:pPr>
      <w:r w:rsidRPr="00D37FCE">
        <w:rPr>
          <w:noProof/>
          <w:lang w:eastAsia="en-NZ"/>
        </w:rPr>
        <mc:AlternateContent>
          <mc:Choice Requires="wpg">
            <w:drawing>
              <wp:anchor distT="0" distB="0" distL="114300" distR="114300" simplePos="0" relativeHeight="251651084" behindDoc="1" locked="0" layoutInCell="1" allowOverlap="1" wp14:anchorId="42B5FFCE" wp14:editId="41ACFDE4">
                <wp:simplePos x="0" y="0"/>
                <wp:positionH relativeFrom="page">
                  <wp:posOffset>1087427</wp:posOffset>
                </wp:positionH>
                <wp:positionV relativeFrom="paragraph">
                  <wp:posOffset>71755</wp:posOffset>
                </wp:positionV>
                <wp:extent cx="1332230" cy="1270"/>
                <wp:effectExtent l="0" t="19050" r="127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312E6" id="Group 5" o:spid="_x0000_s1026" style="position:absolute;margin-left:85.6pt;margin-top:5.65pt;width:104.9pt;height:.1pt;z-index:-25166539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dFAQMAAPo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455653F6" w14:textId="3D424B1D" w:rsidR="00C632CD" w:rsidRPr="00D37FCE" w:rsidRDefault="00C632CD" w:rsidP="00F104F6">
      <w:pPr>
        <w:pStyle w:val="BodyTextalphalist"/>
        <w:ind w:left="0" w:firstLine="0"/>
      </w:pPr>
    </w:p>
    <w:p w14:paraId="1BDFCBDA" w14:textId="25FAC0BA" w:rsidR="00B46CA0" w:rsidRPr="00D37FCE" w:rsidRDefault="00CF3541" w:rsidP="006B5FB3">
      <w:pPr>
        <w:pStyle w:val="BodyTextalphalist"/>
      </w:pPr>
      <w:r w:rsidRPr="00D37FCE">
        <w:rPr>
          <w:rFonts w:eastAsia="Metropolis"/>
          <w:noProof/>
        </w:rPr>
        <mc:AlternateContent>
          <mc:Choice Requires="wpg">
            <w:drawing>
              <wp:anchor distT="0" distB="0" distL="114300" distR="114300" simplePos="0" relativeHeight="251651092" behindDoc="1" locked="0" layoutInCell="1" allowOverlap="1" wp14:anchorId="77BA1F6B" wp14:editId="2494DBD6">
                <wp:simplePos x="0" y="0"/>
                <wp:positionH relativeFrom="column">
                  <wp:posOffset>3810</wp:posOffset>
                </wp:positionH>
                <wp:positionV relativeFrom="paragraph">
                  <wp:posOffset>5715</wp:posOffset>
                </wp:positionV>
                <wp:extent cx="5792470" cy="3221355"/>
                <wp:effectExtent l="0" t="0" r="0" b="0"/>
                <wp:wrapNone/>
                <wp:docPr id="764518290" name="Group 764518290"/>
                <wp:cNvGraphicFramePr/>
                <a:graphic xmlns:a="http://schemas.openxmlformats.org/drawingml/2006/main">
                  <a:graphicData uri="http://schemas.microsoft.com/office/word/2010/wordprocessingGroup">
                    <wpg:wgp>
                      <wpg:cNvGrpSpPr/>
                      <wpg:grpSpPr>
                        <a:xfrm>
                          <a:off x="0" y="0"/>
                          <a:ext cx="5792470" cy="3221355"/>
                          <a:chOff x="0" y="-4768"/>
                          <a:chExt cx="5793105" cy="3223404"/>
                        </a:xfrm>
                      </wpg:grpSpPr>
                      <wpg:grpSp>
                        <wpg:cNvPr id="764518291" name="Group 53"/>
                        <wpg:cNvGrpSpPr>
                          <a:grpSpLocks/>
                        </wpg:cNvGrpSpPr>
                        <wpg:grpSpPr bwMode="auto">
                          <a:xfrm>
                            <a:off x="0" y="314275"/>
                            <a:ext cx="5793105" cy="2904361"/>
                            <a:chOff x="1837" y="1792"/>
                            <a:chExt cx="9354" cy="31358"/>
                          </a:xfrm>
                        </wpg:grpSpPr>
                        <wps:wsp>
                          <wps:cNvPr id="764518292" name="Freeform 54"/>
                          <wps:cNvSpPr>
                            <a:spLocks/>
                          </wps:cNvSpPr>
                          <wps:spPr bwMode="auto">
                            <a:xfrm>
                              <a:off x="1837" y="1792"/>
                              <a:ext cx="9354" cy="3135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293"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17E31A" w14:textId="0E2DCD38" w:rsidR="00A55F53" w:rsidRDefault="00A55F53" w:rsidP="007C0107">
                              <w:pPr>
                                <w:pStyle w:val="BoxTitle"/>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77BA1F6B" id="Group 764518290" o:spid="_x0000_s1239" style="position:absolute;left:0;text-align:left;margin-left:.3pt;margin-top:.45pt;width:456.1pt;height:253.65pt;z-index:-251665388;mso-height-relative:margin" coordorigin=",-47" coordsize="57931,3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">
                <v:group id="Group 53" o:spid="_x0000_s1240" style="position:absolute;top:3142;width:57931;height:29044" coordorigin="1837,1792" coordsize="9354,3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">
                  <v:shape id="Freeform 54" o:spid="_x0000_s1241" style="position:absolute;left:1837;top:1792;width:9354;height:3135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" path="m,l9354,r,7809l,7809,,e" fillcolor="#edf2ea" stroked="f">
                    <v:path arrowok="t" o:connecttype="custom" o:connectlocs="0,4016;9354,4016;9354,35374;0,35374;0,4016" o:connectangles="0,0,0,0,0"/>
                  </v:shape>
                </v:group>
                <v:shape id="_x0000_s1242"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0517E31A" w14:textId="0E2DCD38" w:rsidR="00A55F53" w:rsidRDefault="00A55F53" w:rsidP="007C0107">
                        <w:pPr>
                          <w:pStyle w:val="BoxTitle"/>
                        </w:pPr>
                        <w:r>
                          <w:t>INTRODUCTION</w:t>
                        </w:r>
                      </w:p>
                    </w:txbxContent>
                  </v:textbox>
                </v:shape>
              </v:group>
            </w:pict>
          </mc:Fallback>
        </mc:AlternateContent>
      </w:r>
    </w:p>
    <w:p w14:paraId="739C289C" w14:textId="77777777" w:rsidR="00B46CA0" w:rsidRPr="00D37FCE" w:rsidRDefault="00B46CA0" w:rsidP="006B5FB3">
      <w:pPr>
        <w:pStyle w:val="BodyTextalphalist"/>
      </w:pPr>
    </w:p>
    <w:p w14:paraId="4B8951D3" w14:textId="312F8AE2" w:rsidR="00665C0F" w:rsidRDefault="00BD5C95" w:rsidP="00665C0F">
      <w:pPr>
        <w:pStyle w:val="QuestionBox"/>
        <w:tabs>
          <w:tab w:val="clear" w:pos="709"/>
        </w:tabs>
        <w:ind w:left="0" w:firstLine="426"/>
      </w:pPr>
      <w:r>
        <w:rPr>
          <w:rFonts w:ascii="ZWAdobeF" w:hAnsi="ZWAdobeF" w:cs="ZWAdobeF"/>
          <w:color w:val="auto"/>
          <w:sz w:val="2"/>
          <w:szCs w:val="2"/>
        </w:rPr>
        <w:t>1388B</w:t>
      </w:r>
      <w:r w:rsidR="0049638A">
        <w:rPr>
          <w:rFonts w:ascii="ZWAdobeF" w:hAnsi="ZWAdobeF" w:cs="ZWAdobeF"/>
          <w:color w:val="auto"/>
          <w:sz w:val="2"/>
          <w:szCs w:val="2"/>
        </w:rPr>
        <w:t>1388B</w:t>
      </w:r>
      <w:r w:rsidR="00D629FA">
        <w:rPr>
          <w:rFonts w:ascii="ZWAdobeF" w:hAnsi="ZWAdobeF" w:cs="ZWAdobeF"/>
          <w:color w:val="auto"/>
          <w:sz w:val="2"/>
          <w:szCs w:val="2"/>
        </w:rPr>
        <w:t>1388B</w:t>
      </w:r>
      <w:r w:rsidR="00665C0F">
        <w:t>In this chapter we discuss:</w:t>
      </w:r>
    </w:p>
    <w:p w14:paraId="1CE928C8" w14:textId="5FF766CC" w:rsidR="00CF023F" w:rsidRDefault="00BD5C95" w:rsidP="003E2524">
      <w:pPr>
        <w:pStyle w:val="QuestionBox"/>
        <w:numPr>
          <w:ilvl w:val="0"/>
          <w:numId w:val="22"/>
        </w:numPr>
        <w:tabs>
          <w:tab w:val="clear" w:pos="709"/>
        </w:tabs>
        <w:ind w:left="709" w:hanging="283"/>
      </w:pPr>
      <w:r>
        <w:rPr>
          <w:rFonts w:ascii="ZWAdobeF" w:hAnsi="ZWAdobeF" w:cs="ZWAdobeF"/>
          <w:color w:val="auto"/>
          <w:sz w:val="2"/>
          <w:szCs w:val="2"/>
        </w:rPr>
        <w:t>1389B</w:t>
      </w:r>
      <w:r w:rsidR="0049638A">
        <w:rPr>
          <w:rFonts w:ascii="ZWAdobeF" w:hAnsi="ZWAdobeF" w:cs="ZWAdobeF"/>
          <w:color w:val="auto"/>
          <w:sz w:val="2"/>
          <w:szCs w:val="2"/>
        </w:rPr>
        <w:t>1389B</w:t>
      </w:r>
      <w:r w:rsidR="00D629FA">
        <w:rPr>
          <w:rFonts w:ascii="ZWAdobeF" w:hAnsi="ZWAdobeF" w:cs="ZWAdobeF"/>
          <w:color w:val="auto"/>
          <w:sz w:val="2"/>
          <w:szCs w:val="2"/>
        </w:rPr>
        <w:t>1389B</w:t>
      </w:r>
      <w:r w:rsidR="00CF023F">
        <w:t xml:space="preserve">The different approaches </w:t>
      </w:r>
      <w:r w:rsidR="00153CF8">
        <w:t xml:space="preserve">used </w:t>
      </w:r>
      <w:r w:rsidR="0045012E">
        <w:t>in</w:t>
      </w:r>
      <w:r w:rsidR="00CF023F">
        <w:t xml:space="preserve"> other jurisdictions for managing competing class actions. </w:t>
      </w:r>
    </w:p>
    <w:p w14:paraId="37CE4D9C" w14:textId="465FB033" w:rsidR="00CF023F" w:rsidRDefault="00BD5C95" w:rsidP="003E2524">
      <w:pPr>
        <w:pStyle w:val="QuestionBox"/>
        <w:numPr>
          <w:ilvl w:val="0"/>
          <w:numId w:val="22"/>
        </w:numPr>
        <w:tabs>
          <w:tab w:val="clear" w:pos="709"/>
        </w:tabs>
        <w:ind w:left="709" w:hanging="283"/>
      </w:pPr>
      <w:r>
        <w:rPr>
          <w:rFonts w:ascii="ZWAdobeF" w:hAnsi="ZWAdobeF" w:cs="ZWAdobeF"/>
          <w:color w:val="auto"/>
          <w:sz w:val="2"/>
          <w:szCs w:val="2"/>
        </w:rPr>
        <w:t>1390B</w:t>
      </w:r>
      <w:r w:rsidR="0049638A">
        <w:rPr>
          <w:rFonts w:ascii="ZWAdobeF" w:hAnsi="ZWAdobeF" w:cs="ZWAdobeF"/>
          <w:color w:val="auto"/>
          <w:sz w:val="2"/>
          <w:szCs w:val="2"/>
        </w:rPr>
        <w:t>1390B</w:t>
      </w:r>
      <w:r w:rsidR="00D629FA">
        <w:rPr>
          <w:rFonts w:ascii="ZWAdobeF" w:hAnsi="ZWAdobeF" w:cs="ZWAdobeF"/>
          <w:color w:val="auto"/>
          <w:sz w:val="2"/>
          <w:szCs w:val="2"/>
        </w:rPr>
        <w:t>1390B</w:t>
      </w:r>
      <w:r w:rsidR="00CF023F">
        <w:t>What should be included in the definition of competing class action</w:t>
      </w:r>
      <w:r w:rsidR="00F4052D">
        <w:t>s</w:t>
      </w:r>
      <w:r w:rsidR="00CF023F">
        <w:t xml:space="preserve">. </w:t>
      </w:r>
    </w:p>
    <w:p w14:paraId="0084220F" w14:textId="4D801984" w:rsidR="00CF023F" w:rsidRDefault="00BD5C95" w:rsidP="003E2524">
      <w:pPr>
        <w:pStyle w:val="QuestionBox"/>
        <w:numPr>
          <w:ilvl w:val="0"/>
          <w:numId w:val="22"/>
        </w:numPr>
        <w:tabs>
          <w:tab w:val="clear" w:pos="709"/>
        </w:tabs>
        <w:ind w:left="709" w:hanging="283"/>
      </w:pPr>
      <w:r>
        <w:rPr>
          <w:rFonts w:ascii="ZWAdobeF" w:hAnsi="ZWAdobeF" w:cs="ZWAdobeF"/>
          <w:color w:val="auto"/>
          <w:sz w:val="2"/>
          <w:szCs w:val="2"/>
        </w:rPr>
        <w:t>1391B</w:t>
      </w:r>
      <w:r w:rsidR="0049638A">
        <w:rPr>
          <w:rFonts w:ascii="ZWAdobeF" w:hAnsi="ZWAdobeF" w:cs="ZWAdobeF"/>
          <w:color w:val="auto"/>
          <w:sz w:val="2"/>
          <w:szCs w:val="2"/>
        </w:rPr>
        <w:t>1391B</w:t>
      </w:r>
      <w:r w:rsidR="00D629FA">
        <w:rPr>
          <w:rFonts w:ascii="ZWAdobeF" w:hAnsi="ZWAdobeF" w:cs="ZWAdobeF"/>
          <w:color w:val="auto"/>
          <w:sz w:val="2"/>
          <w:szCs w:val="2"/>
        </w:rPr>
        <w:t>1391B</w:t>
      </w:r>
      <w:r w:rsidR="00CF023F">
        <w:t>Timing issues for managing competing class actions.</w:t>
      </w:r>
    </w:p>
    <w:p w14:paraId="681B3864" w14:textId="36C20D2C" w:rsidR="00CF023F" w:rsidRDefault="00BD5C95" w:rsidP="003E2524">
      <w:pPr>
        <w:pStyle w:val="QuestionBox"/>
        <w:numPr>
          <w:ilvl w:val="0"/>
          <w:numId w:val="22"/>
        </w:numPr>
        <w:tabs>
          <w:tab w:val="clear" w:pos="709"/>
        </w:tabs>
        <w:ind w:left="709" w:hanging="283"/>
      </w:pPr>
      <w:r>
        <w:rPr>
          <w:rFonts w:ascii="ZWAdobeF" w:hAnsi="ZWAdobeF" w:cs="ZWAdobeF"/>
          <w:color w:val="auto"/>
          <w:sz w:val="2"/>
          <w:szCs w:val="2"/>
        </w:rPr>
        <w:t>1392B</w:t>
      </w:r>
      <w:r w:rsidR="0049638A">
        <w:rPr>
          <w:rFonts w:ascii="ZWAdobeF" w:hAnsi="ZWAdobeF" w:cs="ZWAdobeF"/>
          <w:color w:val="auto"/>
          <w:sz w:val="2"/>
          <w:szCs w:val="2"/>
        </w:rPr>
        <w:t>1392B</w:t>
      </w:r>
      <w:r w:rsidR="00D629FA">
        <w:rPr>
          <w:rFonts w:ascii="ZWAdobeF" w:hAnsi="ZWAdobeF" w:cs="ZWAdobeF"/>
          <w:color w:val="auto"/>
          <w:sz w:val="2"/>
          <w:szCs w:val="2"/>
        </w:rPr>
        <w:t>1392B</w:t>
      </w:r>
      <w:r w:rsidR="00CF023F">
        <w:t>The powers a court should have to manage competing class actions.</w:t>
      </w:r>
    </w:p>
    <w:p w14:paraId="774F5534" w14:textId="5C72AF75" w:rsidR="00CF023F" w:rsidRDefault="00BD5C95" w:rsidP="003E2524">
      <w:pPr>
        <w:pStyle w:val="QuestionBox"/>
        <w:numPr>
          <w:ilvl w:val="0"/>
          <w:numId w:val="22"/>
        </w:numPr>
        <w:tabs>
          <w:tab w:val="clear" w:pos="709"/>
        </w:tabs>
        <w:ind w:left="709" w:hanging="283"/>
      </w:pPr>
      <w:r>
        <w:rPr>
          <w:rFonts w:ascii="ZWAdobeF" w:hAnsi="ZWAdobeF" w:cs="ZWAdobeF"/>
          <w:color w:val="auto"/>
          <w:sz w:val="2"/>
          <w:szCs w:val="2"/>
        </w:rPr>
        <w:t>1393B</w:t>
      </w:r>
      <w:r w:rsidR="0049638A">
        <w:rPr>
          <w:rFonts w:ascii="ZWAdobeF" w:hAnsi="ZWAdobeF" w:cs="ZWAdobeF"/>
          <w:color w:val="auto"/>
          <w:sz w:val="2"/>
          <w:szCs w:val="2"/>
        </w:rPr>
        <w:t>1393B</w:t>
      </w:r>
      <w:r w:rsidR="00D629FA">
        <w:rPr>
          <w:rFonts w:ascii="ZWAdobeF" w:hAnsi="ZWAdobeF" w:cs="ZWAdobeF"/>
          <w:color w:val="auto"/>
          <w:sz w:val="2"/>
          <w:szCs w:val="2"/>
        </w:rPr>
        <w:t>1393B</w:t>
      </w:r>
      <w:r w:rsidR="004D2D43">
        <w:t xml:space="preserve">What </w:t>
      </w:r>
      <w:r w:rsidR="00CF023F">
        <w:t>criteria the court should apply when</w:t>
      </w:r>
      <w:r w:rsidR="0045012E">
        <w:t xml:space="preserve"> deciding how to manage </w:t>
      </w:r>
      <w:r w:rsidR="00CF023F">
        <w:t>competing class actions.</w:t>
      </w:r>
    </w:p>
    <w:p w14:paraId="48CECE46" w14:textId="20B1B4D2" w:rsidR="00CF023F" w:rsidRDefault="00BD5C95" w:rsidP="003E2524">
      <w:pPr>
        <w:pStyle w:val="QuestionBox"/>
        <w:numPr>
          <w:ilvl w:val="0"/>
          <w:numId w:val="22"/>
        </w:numPr>
        <w:tabs>
          <w:tab w:val="clear" w:pos="709"/>
        </w:tabs>
        <w:ind w:left="709" w:hanging="283"/>
      </w:pPr>
      <w:r>
        <w:rPr>
          <w:rFonts w:ascii="ZWAdobeF" w:hAnsi="ZWAdobeF" w:cs="ZWAdobeF"/>
          <w:color w:val="auto"/>
          <w:sz w:val="2"/>
          <w:szCs w:val="2"/>
        </w:rPr>
        <w:t>1394B</w:t>
      </w:r>
      <w:r w:rsidR="0049638A">
        <w:rPr>
          <w:rFonts w:ascii="ZWAdobeF" w:hAnsi="ZWAdobeF" w:cs="ZWAdobeF"/>
          <w:color w:val="auto"/>
          <w:sz w:val="2"/>
          <w:szCs w:val="2"/>
        </w:rPr>
        <w:t>1394B</w:t>
      </w:r>
      <w:r w:rsidR="00D629FA">
        <w:rPr>
          <w:rFonts w:ascii="ZWAdobeF" w:hAnsi="ZWAdobeF" w:cs="ZWAdobeF"/>
          <w:color w:val="auto"/>
          <w:sz w:val="2"/>
          <w:szCs w:val="2"/>
        </w:rPr>
        <w:t>1394B</w:t>
      </w:r>
      <w:r w:rsidR="00CF023F">
        <w:t>Whether the defendant should participate in hearings in relation to competing class actions</w:t>
      </w:r>
    </w:p>
    <w:p w14:paraId="11D0F655" w14:textId="77777777" w:rsidR="00665C0F" w:rsidRPr="00D37FCE" w:rsidRDefault="00665C0F" w:rsidP="00665C0F">
      <w:pPr>
        <w:pStyle w:val="QuestionBox"/>
        <w:tabs>
          <w:tab w:val="clear" w:pos="709"/>
        </w:tabs>
        <w:ind w:left="709"/>
      </w:pPr>
    </w:p>
    <w:p w14:paraId="03B08BDF" w14:textId="63E875E3" w:rsidR="006E03D8" w:rsidRDefault="00A101D3" w:rsidP="006E03D8">
      <w:pPr>
        <w:pStyle w:val="Heading2"/>
      </w:pPr>
      <w:bookmarkStart w:id="53" w:name="_Toc83895439"/>
      <w:r>
        <w:t>A</w:t>
      </w:r>
      <w:r w:rsidR="006E03D8">
        <w:t>pproaches to managing competing class actions</w:t>
      </w:r>
      <w:bookmarkEnd w:id="53"/>
      <w:r w:rsidR="006E03D8">
        <w:t xml:space="preserve"> </w:t>
      </w:r>
    </w:p>
    <w:p w14:paraId="01F75F4C" w14:textId="77777777" w:rsidR="00D82C34" w:rsidRPr="00D82C34" w:rsidRDefault="00D82C34" w:rsidP="00B73434">
      <w:pPr>
        <w:pStyle w:val="ListParagraph"/>
        <w:numPr>
          <w:ilvl w:val="0"/>
          <w:numId w:val="52"/>
        </w:numPr>
        <w:tabs>
          <w:tab w:val="left" w:pos="709"/>
        </w:tabs>
        <w:spacing w:before="80"/>
        <w:contextualSpacing w:val="0"/>
        <w:jc w:val="both"/>
        <w:rPr>
          <w:vanish/>
          <w:color w:val="000000" w:themeColor="text1"/>
          <w:sz w:val="20"/>
        </w:rPr>
      </w:pPr>
    </w:p>
    <w:p w14:paraId="6EFD5A96" w14:textId="77777777" w:rsidR="00CF3541" w:rsidRPr="00CF3541" w:rsidRDefault="00CF3541" w:rsidP="00B73434">
      <w:pPr>
        <w:pStyle w:val="ListParagraph"/>
        <w:numPr>
          <w:ilvl w:val="0"/>
          <w:numId w:val="85"/>
        </w:numPr>
        <w:spacing w:before="80"/>
        <w:contextualSpacing w:val="0"/>
        <w:jc w:val="both"/>
        <w:rPr>
          <w:vanish/>
          <w:color w:val="000000" w:themeColor="text1"/>
          <w:sz w:val="20"/>
        </w:rPr>
      </w:pPr>
    </w:p>
    <w:p w14:paraId="2406760C" w14:textId="77777777" w:rsidR="003D65B8" w:rsidRPr="003D65B8" w:rsidRDefault="003D65B8" w:rsidP="00B73434">
      <w:pPr>
        <w:pStyle w:val="ListParagraph"/>
        <w:numPr>
          <w:ilvl w:val="0"/>
          <w:numId w:val="87"/>
        </w:numPr>
        <w:spacing w:before="80"/>
        <w:contextualSpacing w:val="0"/>
        <w:jc w:val="both"/>
        <w:rPr>
          <w:vanish/>
          <w:color w:val="000000" w:themeColor="text1"/>
          <w:sz w:val="20"/>
        </w:rPr>
      </w:pPr>
    </w:p>
    <w:p w14:paraId="1872B936" w14:textId="77777777" w:rsidR="00896FE6" w:rsidRPr="00896FE6" w:rsidRDefault="00896FE6" w:rsidP="00896FE6">
      <w:pPr>
        <w:pStyle w:val="ListParagraph"/>
        <w:numPr>
          <w:ilvl w:val="0"/>
          <w:numId w:val="107"/>
        </w:numPr>
        <w:spacing w:before="80"/>
        <w:contextualSpacing w:val="0"/>
        <w:jc w:val="both"/>
        <w:rPr>
          <w:rFonts w:ascii="ZWAdobeF" w:hAnsi="ZWAdobeF" w:cs="ZWAdobeF"/>
          <w:vanish/>
          <w:color w:val="auto"/>
          <w:sz w:val="2"/>
          <w:szCs w:val="2"/>
        </w:rPr>
      </w:pPr>
    </w:p>
    <w:p w14:paraId="26F2946C" w14:textId="665EF1A0" w:rsidR="006E03D8" w:rsidRDefault="00BD5C95" w:rsidP="00A739E2">
      <w:pPr>
        <w:pStyle w:val="BodyText"/>
        <w:tabs>
          <w:tab w:val="clear" w:pos="709"/>
          <w:tab w:val="num" w:pos="1425"/>
        </w:tabs>
      </w:pPr>
      <w:r>
        <w:rPr>
          <w:rFonts w:ascii="ZWAdobeF" w:hAnsi="ZWAdobeF" w:cs="ZWAdobeF"/>
          <w:color w:val="auto"/>
          <w:sz w:val="2"/>
          <w:szCs w:val="2"/>
        </w:rPr>
        <w:t>125B</w:t>
      </w:r>
      <w:r w:rsidR="0049638A">
        <w:rPr>
          <w:rFonts w:ascii="ZWAdobeF" w:hAnsi="ZWAdobeF" w:cs="ZWAdobeF"/>
          <w:color w:val="auto"/>
          <w:sz w:val="2"/>
          <w:szCs w:val="2"/>
        </w:rPr>
        <w:t>125B</w:t>
      </w:r>
      <w:r w:rsidR="00D629FA" w:rsidRPr="00896FE6">
        <w:rPr>
          <w:rFonts w:ascii="ZWAdobeF" w:hAnsi="ZWAdobeF" w:cs="ZWAdobeF"/>
          <w:color w:val="auto"/>
          <w:sz w:val="2"/>
          <w:szCs w:val="2"/>
        </w:rPr>
        <w:t>125B</w:t>
      </w:r>
      <w:r w:rsidR="006E03D8">
        <w:t xml:space="preserve">Having </w:t>
      </w:r>
      <w:r w:rsidR="006E03D8" w:rsidRPr="003D65B8">
        <w:t>competing</w:t>
      </w:r>
      <w:r w:rsidR="006E03D8">
        <w:t xml:space="preserve"> class actions relating to the same dispute is generally undesirable as this leads to increased costs for all parties, inefficient use of court resources, increased burden on defendants, confusion for class members and the risk of inconsistent court rulings on common issues.</w:t>
      </w:r>
      <w:r w:rsidR="00D629FA" w:rsidRPr="00896FE6">
        <w:rPr>
          <w:rFonts w:ascii="ZWAdobeF" w:hAnsi="ZWAdobeF" w:cs="ZWAdobeF"/>
          <w:color w:val="auto"/>
          <w:sz w:val="2"/>
          <w:szCs w:val="2"/>
        </w:rPr>
        <w:t>226F</w:t>
      </w:r>
      <w:r w:rsidR="0049638A">
        <w:rPr>
          <w:rFonts w:ascii="ZWAdobeF" w:hAnsi="ZWAdobeF" w:cs="ZWAdobeF"/>
          <w:color w:val="auto"/>
          <w:sz w:val="2"/>
          <w:szCs w:val="2"/>
        </w:rPr>
        <w:t>226F</w:t>
      </w:r>
      <w:r w:rsidR="00317AE4">
        <w:rPr>
          <w:rFonts w:ascii="ZWAdobeF" w:hAnsi="ZWAdobeF" w:cs="ZWAdobeF"/>
          <w:color w:val="auto"/>
          <w:sz w:val="2"/>
          <w:szCs w:val="2"/>
        </w:rPr>
        <w:t>226F</w:t>
      </w:r>
      <w:r w:rsidR="00153CF8">
        <w:rPr>
          <w:rStyle w:val="FootnoteReference"/>
        </w:rPr>
        <w:footnoteReference w:id="228"/>
      </w:r>
    </w:p>
    <w:p w14:paraId="4334C5BB" w14:textId="399971DE" w:rsidR="006E03D8" w:rsidRDefault="00BD5C95" w:rsidP="009B37CB">
      <w:pPr>
        <w:pStyle w:val="BodyText"/>
      </w:pPr>
      <w:r>
        <w:rPr>
          <w:rFonts w:ascii="ZWAdobeF" w:hAnsi="ZWAdobeF" w:cs="ZWAdobeF"/>
          <w:color w:val="auto"/>
          <w:sz w:val="2"/>
          <w:szCs w:val="2"/>
        </w:rPr>
        <w:t>126B</w:t>
      </w:r>
      <w:r w:rsidR="0049638A">
        <w:rPr>
          <w:rFonts w:ascii="ZWAdobeF" w:hAnsi="ZWAdobeF" w:cs="ZWAdobeF"/>
          <w:color w:val="auto"/>
          <w:sz w:val="2"/>
          <w:szCs w:val="2"/>
        </w:rPr>
        <w:t>126B</w:t>
      </w:r>
      <w:r w:rsidR="00D629FA">
        <w:rPr>
          <w:rFonts w:ascii="ZWAdobeF" w:hAnsi="ZWAdobeF" w:cs="ZWAdobeF"/>
          <w:color w:val="auto"/>
          <w:sz w:val="2"/>
          <w:szCs w:val="2"/>
        </w:rPr>
        <w:t>126B</w:t>
      </w:r>
      <w:r w:rsidR="006E03D8">
        <w:t>Overseas jurisdictions have taken differing approaches to managing competing class actions including:</w:t>
      </w:r>
    </w:p>
    <w:p w14:paraId="5A92703F" w14:textId="3332A966" w:rsidR="006E03D8" w:rsidRDefault="00BD5C95" w:rsidP="00932DB9">
      <w:pPr>
        <w:pStyle w:val="BodyTextnonum"/>
        <w:numPr>
          <w:ilvl w:val="3"/>
          <w:numId w:val="14"/>
        </w:numPr>
      </w:pPr>
      <w:r>
        <w:rPr>
          <w:rFonts w:ascii="ZWAdobeF" w:hAnsi="ZWAdobeF" w:cs="ZWAdobeF"/>
          <w:color w:val="auto"/>
          <w:sz w:val="2"/>
          <w:szCs w:val="2"/>
        </w:rPr>
        <w:t>653B</w:t>
      </w:r>
      <w:r w:rsidR="0049638A">
        <w:rPr>
          <w:rFonts w:ascii="ZWAdobeF" w:hAnsi="ZWAdobeF" w:cs="ZWAdobeF"/>
          <w:color w:val="auto"/>
          <w:sz w:val="2"/>
          <w:szCs w:val="2"/>
        </w:rPr>
        <w:t>653B</w:t>
      </w:r>
      <w:r w:rsidR="00D629FA">
        <w:rPr>
          <w:rFonts w:ascii="ZWAdobeF" w:hAnsi="ZWAdobeF" w:cs="ZWAdobeF"/>
          <w:color w:val="auto"/>
          <w:sz w:val="2"/>
          <w:szCs w:val="2"/>
        </w:rPr>
        <w:t>653B</w:t>
      </w:r>
      <w:r w:rsidR="006E03D8">
        <w:t>Courts relying on their general case management powers (Australia).</w:t>
      </w:r>
    </w:p>
    <w:p w14:paraId="3EE90E82" w14:textId="7D940938" w:rsidR="006E03D8" w:rsidRDefault="00BD5C95" w:rsidP="00932DB9">
      <w:pPr>
        <w:pStyle w:val="BodyTextnonum"/>
        <w:numPr>
          <w:ilvl w:val="3"/>
          <w:numId w:val="14"/>
        </w:numPr>
      </w:pPr>
      <w:r>
        <w:rPr>
          <w:rFonts w:ascii="ZWAdobeF" w:hAnsi="ZWAdobeF" w:cs="ZWAdobeF"/>
          <w:color w:val="auto"/>
          <w:sz w:val="2"/>
          <w:szCs w:val="2"/>
        </w:rPr>
        <w:t>654B</w:t>
      </w:r>
      <w:r w:rsidR="0049638A">
        <w:rPr>
          <w:rFonts w:ascii="ZWAdobeF" w:hAnsi="ZWAdobeF" w:cs="ZWAdobeF"/>
          <w:color w:val="auto"/>
          <w:sz w:val="2"/>
          <w:szCs w:val="2"/>
        </w:rPr>
        <w:t>654B</w:t>
      </w:r>
      <w:r w:rsidR="00D629FA">
        <w:rPr>
          <w:rFonts w:ascii="ZWAdobeF" w:hAnsi="ZWAdobeF" w:cs="ZWAdobeF"/>
          <w:color w:val="auto"/>
          <w:sz w:val="2"/>
          <w:szCs w:val="2"/>
        </w:rPr>
        <w:t>654B</w:t>
      </w:r>
      <w:r w:rsidR="006E03D8">
        <w:t xml:space="preserve">A </w:t>
      </w:r>
      <w:r w:rsidR="0096702C">
        <w:t>‘</w:t>
      </w:r>
      <w:r w:rsidR="006E03D8">
        <w:t>carriage motion</w:t>
      </w:r>
      <w:r w:rsidR="0096702C">
        <w:t>’</w:t>
      </w:r>
      <w:r w:rsidR="006E03D8">
        <w:t xml:space="preserve"> to determine which class action can proceed (Ontario).</w:t>
      </w:r>
    </w:p>
    <w:p w14:paraId="0DDE611A" w14:textId="1CF1A6AD" w:rsidR="006E03D8" w:rsidRDefault="00BD5C95" w:rsidP="00932DB9">
      <w:pPr>
        <w:pStyle w:val="BodyTextnonum"/>
        <w:numPr>
          <w:ilvl w:val="3"/>
          <w:numId w:val="14"/>
        </w:numPr>
      </w:pPr>
      <w:r>
        <w:rPr>
          <w:rFonts w:ascii="ZWAdobeF" w:hAnsi="ZWAdobeF" w:cs="ZWAdobeF"/>
          <w:color w:val="auto"/>
          <w:sz w:val="2"/>
          <w:szCs w:val="2"/>
        </w:rPr>
        <w:t>655B</w:t>
      </w:r>
      <w:r w:rsidR="0049638A">
        <w:rPr>
          <w:rFonts w:ascii="ZWAdobeF" w:hAnsi="ZWAdobeF" w:cs="ZWAdobeF"/>
          <w:color w:val="auto"/>
          <w:sz w:val="2"/>
          <w:szCs w:val="2"/>
        </w:rPr>
        <w:t>655B</w:t>
      </w:r>
      <w:r w:rsidR="00D629FA">
        <w:rPr>
          <w:rFonts w:ascii="ZWAdobeF" w:hAnsi="ZWAdobeF" w:cs="ZWAdobeF"/>
          <w:color w:val="auto"/>
          <w:sz w:val="2"/>
          <w:szCs w:val="2"/>
        </w:rPr>
        <w:t>655B</w:t>
      </w:r>
      <w:r w:rsidR="006E03D8">
        <w:t xml:space="preserve">A </w:t>
      </w:r>
      <w:r w:rsidR="0096702C">
        <w:t>‘</w:t>
      </w:r>
      <w:r w:rsidR="006E03D8">
        <w:t>first to file</w:t>
      </w:r>
      <w:r w:rsidR="0096702C">
        <w:t>’</w:t>
      </w:r>
      <w:r w:rsidR="006E03D8">
        <w:t xml:space="preserve"> rule or presumption (Québec).</w:t>
      </w:r>
    </w:p>
    <w:p w14:paraId="273FEE0D" w14:textId="33AD5DBB" w:rsidR="006E03D8" w:rsidRDefault="00BD5C95" w:rsidP="00932DB9">
      <w:pPr>
        <w:pStyle w:val="BodyTextnonum"/>
        <w:numPr>
          <w:ilvl w:val="3"/>
          <w:numId w:val="14"/>
        </w:numPr>
      </w:pPr>
      <w:r>
        <w:rPr>
          <w:rFonts w:ascii="ZWAdobeF" w:hAnsi="ZWAdobeF" w:cs="ZWAdobeF"/>
          <w:color w:val="auto"/>
          <w:sz w:val="2"/>
          <w:szCs w:val="2"/>
        </w:rPr>
        <w:t>656B</w:t>
      </w:r>
      <w:r w:rsidR="0049638A">
        <w:rPr>
          <w:rFonts w:ascii="ZWAdobeF" w:hAnsi="ZWAdobeF" w:cs="ZWAdobeF"/>
          <w:color w:val="auto"/>
          <w:sz w:val="2"/>
          <w:szCs w:val="2"/>
        </w:rPr>
        <w:t>656B</w:t>
      </w:r>
      <w:r w:rsidR="00D629FA">
        <w:rPr>
          <w:rFonts w:ascii="ZWAdobeF" w:hAnsi="ZWAdobeF" w:cs="ZWAdobeF"/>
          <w:color w:val="auto"/>
          <w:sz w:val="2"/>
          <w:szCs w:val="2"/>
        </w:rPr>
        <w:t>656B</w:t>
      </w:r>
      <w:r w:rsidR="006E03D8">
        <w:t>Managing competing class actions through the court’s power to appoint class counsel (United States).</w:t>
      </w:r>
    </w:p>
    <w:p w14:paraId="5A9C26C3" w14:textId="1B2348D2" w:rsidR="006E03D8" w:rsidRDefault="00BD5C95" w:rsidP="00932DB9">
      <w:pPr>
        <w:pStyle w:val="BodyTextnonum"/>
        <w:numPr>
          <w:ilvl w:val="3"/>
          <w:numId w:val="14"/>
        </w:numPr>
      </w:pPr>
      <w:r>
        <w:rPr>
          <w:rFonts w:ascii="ZWAdobeF" w:hAnsi="ZWAdobeF" w:cs="ZWAdobeF"/>
          <w:color w:val="auto"/>
          <w:sz w:val="2"/>
          <w:szCs w:val="2"/>
        </w:rPr>
        <w:lastRenderedPageBreak/>
        <w:t>657B</w:t>
      </w:r>
      <w:r w:rsidR="0049638A">
        <w:rPr>
          <w:rFonts w:ascii="ZWAdobeF" w:hAnsi="ZWAdobeF" w:cs="ZWAdobeF"/>
          <w:color w:val="auto"/>
          <w:sz w:val="2"/>
          <w:szCs w:val="2"/>
        </w:rPr>
        <w:t>657B</w:t>
      </w:r>
      <w:r w:rsidR="00D629FA">
        <w:rPr>
          <w:rFonts w:ascii="ZWAdobeF" w:hAnsi="ZWAdobeF" w:cs="ZWAdobeF"/>
          <w:color w:val="auto"/>
          <w:sz w:val="2"/>
          <w:szCs w:val="2"/>
        </w:rPr>
        <w:t>657B</w:t>
      </w:r>
      <w:r w:rsidR="006E03D8">
        <w:t xml:space="preserve">Managing competing class actions through the court’s power to appoint a representative plaintiff (United Kingdom Competition Appeal Tribunal). </w:t>
      </w:r>
    </w:p>
    <w:p w14:paraId="3387EFF7" w14:textId="48A5C92B" w:rsidR="006E03D8" w:rsidRPr="00A42FCE" w:rsidRDefault="00BD5C95" w:rsidP="009B37CB">
      <w:pPr>
        <w:pStyle w:val="BodyText"/>
      </w:pPr>
      <w:r>
        <w:rPr>
          <w:rFonts w:ascii="ZWAdobeF" w:hAnsi="ZWAdobeF" w:cs="ZWAdobeF"/>
          <w:color w:val="auto"/>
          <w:sz w:val="2"/>
          <w:szCs w:val="2"/>
        </w:rPr>
        <w:t>127B</w:t>
      </w:r>
      <w:r w:rsidR="0049638A">
        <w:rPr>
          <w:rFonts w:ascii="ZWAdobeF" w:hAnsi="ZWAdobeF" w:cs="ZWAdobeF"/>
          <w:color w:val="auto"/>
          <w:sz w:val="2"/>
          <w:szCs w:val="2"/>
        </w:rPr>
        <w:t>127B</w:t>
      </w:r>
      <w:r w:rsidR="00D629FA">
        <w:rPr>
          <w:rFonts w:ascii="ZWAdobeF" w:hAnsi="ZWAdobeF" w:cs="ZWAdobeF"/>
          <w:color w:val="auto"/>
          <w:sz w:val="2"/>
          <w:szCs w:val="2"/>
        </w:rPr>
        <w:t>127B</w:t>
      </w:r>
      <w:r w:rsidR="006E03D8" w:rsidRPr="00A42FCE">
        <w:t>We</w:t>
      </w:r>
      <w:r w:rsidR="006E03D8">
        <w:t xml:space="preserve"> discuss these approaches below and then give our preliminary view as to which approach is likely to be most appropriate for Aotearoa New Zealand.</w:t>
      </w:r>
    </w:p>
    <w:p w14:paraId="010DAA81" w14:textId="77777777" w:rsidR="006E03D8" w:rsidRPr="007C4A12" w:rsidRDefault="006E03D8" w:rsidP="006E03D8">
      <w:pPr>
        <w:pStyle w:val="Heading3"/>
      </w:pPr>
      <w:r>
        <w:t>Australia</w:t>
      </w:r>
    </w:p>
    <w:p w14:paraId="0452CD31" w14:textId="397051F8" w:rsidR="006E03D8" w:rsidRDefault="00BD5C95" w:rsidP="009B37CB">
      <w:pPr>
        <w:pStyle w:val="BodyText"/>
      </w:pPr>
      <w:r>
        <w:rPr>
          <w:rFonts w:ascii="ZWAdobeF" w:hAnsi="ZWAdobeF" w:cs="ZWAdobeF"/>
          <w:color w:val="auto"/>
          <w:sz w:val="2"/>
          <w:szCs w:val="2"/>
        </w:rPr>
        <w:t>128B</w:t>
      </w:r>
      <w:r w:rsidR="0049638A">
        <w:rPr>
          <w:rFonts w:ascii="ZWAdobeF" w:hAnsi="ZWAdobeF" w:cs="ZWAdobeF"/>
          <w:color w:val="auto"/>
          <w:sz w:val="2"/>
          <w:szCs w:val="2"/>
        </w:rPr>
        <w:t>128B</w:t>
      </w:r>
      <w:r w:rsidR="00D629FA">
        <w:rPr>
          <w:rFonts w:ascii="ZWAdobeF" w:hAnsi="ZWAdobeF" w:cs="ZWAdobeF"/>
          <w:color w:val="auto"/>
          <w:sz w:val="2"/>
          <w:szCs w:val="2"/>
        </w:rPr>
        <w:t>128B</w:t>
      </w:r>
      <w:r w:rsidR="006E03D8">
        <w:t>The Australian class action</w:t>
      </w:r>
      <w:r w:rsidR="00805C83">
        <w:t>s</w:t>
      </w:r>
      <w:r w:rsidR="006E03D8">
        <w:t xml:space="preserve"> regimes do not have an express provision for addressing competing class actions and instead courts must rely upon their case management powers.</w:t>
      </w:r>
      <w:r w:rsidR="00D629FA">
        <w:rPr>
          <w:rFonts w:ascii="ZWAdobeF" w:hAnsi="ZWAdobeF" w:cs="ZWAdobeF"/>
          <w:color w:val="auto"/>
          <w:sz w:val="2"/>
          <w:szCs w:val="2"/>
        </w:rPr>
        <w:t>227F</w:t>
      </w:r>
      <w:r w:rsidR="0049638A">
        <w:rPr>
          <w:rFonts w:ascii="ZWAdobeF" w:hAnsi="ZWAdobeF" w:cs="ZWAdobeF"/>
          <w:color w:val="auto"/>
          <w:sz w:val="2"/>
          <w:szCs w:val="2"/>
        </w:rPr>
        <w:t>227F</w:t>
      </w:r>
      <w:r w:rsidR="00317AE4">
        <w:rPr>
          <w:rFonts w:ascii="ZWAdobeF" w:hAnsi="ZWAdobeF" w:cs="ZWAdobeF"/>
          <w:color w:val="auto"/>
          <w:sz w:val="2"/>
          <w:szCs w:val="2"/>
        </w:rPr>
        <w:t>227F</w:t>
      </w:r>
      <w:r w:rsidR="006E03D8">
        <w:rPr>
          <w:rStyle w:val="FootnoteReference"/>
        </w:rPr>
        <w:footnoteReference w:id="229"/>
      </w:r>
      <w:r w:rsidR="006E03D8">
        <w:t xml:space="preserve"> The lack of </w:t>
      </w:r>
      <w:r w:rsidR="00A101D3">
        <w:t xml:space="preserve">an </w:t>
      </w:r>
      <w:r w:rsidR="006E03D8">
        <w:t>express provision has been criticised and both the Australian Law Reform Commission (ALRC) and the Australian Parliamentary Inquiry have recommended that the Federal Court should have an express statutory power for resolving competing class actions.</w:t>
      </w:r>
      <w:r w:rsidR="00D629FA">
        <w:rPr>
          <w:rFonts w:ascii="ZWAdobeF" w:hAnsi="ZWAdobeF" w:cs="ZWAdobeF"/>
          <w:color w:val="auto"/>
          <w:sz w:val="2"/>
          <w:szCs w:val="2"/>
        </w:rPr>
        <w:t>228F</w:t>
      </w:r>
      <w:r w:rsidR="0049638A">
        <w:rPr>
          <w:rFonts w:ascii="ZWAdobeF" w:hAnsi="ZWAdobeF" w:cs="ZWAdobeF"/>
          <w:color w:val="auto"/>
          <w:sz w:val="2"/>
          <w:szCs w:val="2"/>
        </w:rPr>
        <w:t>228F</w:t>
      </w:r>
      <w:r w:rsidR="00317AE4">
        <w:rPr>
          <w:rFonts w:ascii="ZWAdobeF" w:hAnsi="ZWAdobeF" w:cs="ZWAdobeF"/>
          <w:color w:val="auto"/>
          <w:sz w:val="2"/>
          <w:szCs w:val="2"/>
        </w:rPr>
        <w:t>228F</w:t>
      </w:r>
      <w:r w:rsidR="006E03D8">
        <w:rPr>
          <w:rStyle w:val="FootnoteReference"/>
        </w:rPr>
        <w:footnoteReference w:id="230"/>
      </w:r>
      <w:r w:rsidR="006E03D8">
        <w:t xml:space="preserve">  </w:t>
      </w:r>
    </w:p>
    <w:p w14:paraId="7796785C" w14:textId="5A3AEFFB" w:rsidR="006E03D8" w:rsidRDefault="00BD5C95" w:rsidP="009B37CB">
      <w:pPr>
        <w:pStyle w:val="BodyText"/>
      </w:pPr>
      <w:r>
        <w:rPr>
          <w:rFonts w:ascii="ZWAdobeF" w:hAnsi="ZWAdobeF" w:cs="ZWAdobeF"/>
          <w:color w:val="auto"/>
          <w:sz w:val="2"/>
          <w:szCs w:val="2"/>
        </w:rPr>
        <w:t>129B</w:t>
      </w:r>
      <w:r w:rsidR="0049638A">
        <w:rPr>
          <w:rFonts w:ascii="ZWAdobeF" w:hAnsi="ZWAdobeF" w:cs="ZWAdobeF"/>
          <w:color w:val="auto"/>
          <w:sz w:val="2"/>
          <w:szCs w:val="2"/>
        </w:rPr>
        <w:t>129B</w:t>
      </w:r>
      <w:r w:rsidR="00D629FA">
        <w:rPr>
          <w:rFonts w:ascii="ZWAdobeF" w:hAnsi="ZWAdobeF" w:cs="ZWAdobeF"/>
          <w:color w:val="auto"/>
          <w:sz w:val="2"/>
          <w:szCs w:val="2"/>
        </w:rPr>
        <w:t>129B</w:t>
      </w:r>
      <w:r w:rsidR="006E03D8">
        <w:t>In the absence of a statutory provision, courts have developed a range of mechanisms for managing competing class actions. The starting point is that multiplicity of proceedings should not be encouraged and that competing class actions may be “inimical to the administration of justice</w:t>
      </w:r>
      <w:r w:rsidR="000A6BBD">
        <w:t>”.</w:t>
      </w:r>
      <w:r w:rsidR="00D629FA">
        <w:rPr>
          <w:rFonts w:ascii="ZWAdobeF" w:hAnsi="ZWAdobeF" w:cs="ZWAdobeF"/>
          <w:color w:val="auto"/>
          <w:sz w:val="2"/>
          <w:szCs w:val="2"/>
        </w:rPr>
        <w:t>229F</w:t>
      </w:r>
      <w:r w:rsidR="0049638A">
        <w:rPr>
          <w:rFonts w:ascii="ZWAdobeF" w:hAnsi="ZWAdobeF" w:cs="ZWAdobeF"/>
          <w:color w:val="auto"/>
          <w:sz w:val="2"/>
          <w:szCs w:val="2"/>
        </w:rPr>
        <w:t>229F</w:t>
      </w:r>
      <w:r w:rsidR="00317AE4">
        <w:rPr>
          <w:rFonts w:ascii="ZWAdobeF" w:hAnsi="ZWAdobeF" w:cs="ZWAdobeF"/>
          <w:color w:val="auto"/>
          <w:sz w:val="2"/>
          <w:szCs w:val="2"/>
        </w:rPr>
        <w:t>229F</w:t>
      </w:r>
      <w:r w:rsidR="006E03D8">
        <w:rPr>
          <w:rStyle w:val="FootnoteReference"/>
        </w:rPr>
        <w:footnoteReference w:id="231"/>
      </w:r>
      <w:r w:rsidR="006E03D8">
        <w:t xml:space="preserve"> However, there is no “one size fits all” approach and multiple proceedings can be addressed by a variety of means including:</w:t>
      </w:r>
      <w:r w:rsidR="00D629FA">
        <w:rPr>
          <w:rFonts w:ascii="ZWAdobeF" w:hAnsi="ZWAdobeF" w:cs="ZWAdobeF"/>
          <w:color w:val="auto"/>
          <w:sz w:val="2"/>
          <w:szCs w:val="2"/>
        </w:rPr>
        <w:t>230F</w:t>
      </w:r>
      <w:r w:rsidR="0049638A">
        <w:rPr>
          <w:rFonts w:ascii="ZWAdobeF" w:hAnsi="ZWAdobeF" w:cs="ZWAdobeF"/>
          <w:color w:val="auto"/>
          <w:sz w:val="2"/>
          <w:szCs w:val="2"/>
        </w:rPr>
        <w:t>230F</w:t>
      </w:r>
      <w:r w:rsidR="00317AE4">
        <w:rPr>
          <w:rFonts w:ascii="ZWAdobeF" w:hAnsi="ZWAdobeF" w:cs="ZWAdobeF"/>
          <w:color w:val="auto"/>
          <w:sz w:val="2"/>
          <w:szCs w:val="2"/>
        </w:rPr>
        <w:t>230F</w:t>
      </w:r>
      <w:r w:rsidR="006E03D8">
        <w:rPr>
          <w:rStyle w:val="FootnoteReference"/>
        </w:rPr>
        <w:footnoteReference w:id="232"/>
      </w:r>
    </w:p>
    <w:p w14:paraId="62946986" w14:textId="52BC6D2B" w:rsidR="006E03D8" w:rsidRDefault="00BD5C95" w:rsidP="00932DB9">
      <w:pPr>
        <w:pStyle w:val="BodyTextnonum"/>
        <w:numPr>
          <w:ilvl w:val="3"/>
          <w:numId w:val="14"/>
        </w:numPr>
      </w:pPr>
      <w:r>
        <w:rPr>
          <w:rFonts w:ascii="ZWAdobeF" w:hAnsi="ZWAdobeF" w:cs="ZWAdobeF"/>
          <w:color w:val="auto"/>
          <w:sz w:val="2"/>
          <w:szCs w:val="2"/>
        </w:rPr>
        <w:t>658B</w:t>
      </w:r>
      <w:r w:rsidR="0049638A">
        <w:rPr>
          <w:rFonts w:ascii="ZWAdobeF" w:hAnsi="ZWAdobeF" w:cs="ZWAdobeF"/>
          <w:color w:val="auto"/>
          <w:sz w:val="2"/>
          <w:szCs w:val="2"/>
        </w:rPr>
        <w:t>658B</w:t>
      </w:r>
      <w:r w:rsidR="00D629FA">
        <w:rPr>
          <w:rFonts w:ascii="ZWAdobeF" w:hAnsi="ZWAdobeF" w:cs="ZWAdobeF"/>
          <w:color w:val="auto"/>
          <w:sz w:val="2"/>
          <w:szCs w:val="2"/>
        </w:rPr>
        <w:t>658B</w:t>
      </w:r>
      <w:r w:rsidR="006E03D8">
        <w:t>Staying one or more of the proceedings.</w:t>
      </w:r>
    </w:p>
    <w:p w14:paraId="72A11D42" w14:textId="146A72A2" w:rsidR="006E03D8" w:rsidRDefault="00BD5C95" w:rsidP="00932DB9">
      <w:pPr>
        <w:pStyle w:val="BodyTextnonum"/>
        <w:numPr>
          <w:ilvl w:val="3"/>
          <w:numId w:val="14"/>
        </w:numPr>
      </w:pPr>
      <w:r>
        <w:rPr>
          <w:rFonts w:ascii="ZWAdobeF" w:hAnsi="ZWAdobeF" w:cs="ZWAdobeF"/>
          <w:color w:val="auto"/>
          <w:sz w:val="2"/>
          <w:szCs w:val="2"/>
        </w:rPr>
        <w:t>659B</w:t>
      </w:r>
      <w:r w:rsidR="0049638A">
        <w:rPr>
          <w:rFonts w:ascii="ZWAdobeF" w:hAnsi="ZWAdobeF" w:cs="ZWAdobeF"/>
          <w:color w:val="auto"/>
          <w:sz w:val="2"/>
          <w:szCs w:val="2"/>
        </w:rPr>
        <w:t>659B</w:t>
      </w:r>
      <w:r w:rsidR="00D629FA">
        <w:rPr>
          <w:rFonts w:ascii="ZWAdobeF" w:hAnsi="ZWAdobeF" w:cs="ZWAdobeF"/>
          <w:color w:val="auto"/>
          <w:sz w:val="2"/>
          <w:szCs w:val="2"/>
        </w:rPr>
        <w:t>659B</w:t>
      </w:r>
      <w:r w:rsidR="006E03D8">
        <w:t>Consolidating the proceedings.</w:t>
      </w:r>
    </w:p>
    <w:p w14:paraId="29EC562D" w14:textId="69343F3A" w:rsidR="006E03D8" w:rsidRDefault="00BD5C95" w:rsidP="00932DB9">
      <w:pPr>
        <w:pStyle w:val="BodyTextnonum"/>
        <w:numPr>
          <w:ilvl w:val="3"/>
          <w:numId w:val="14"/>
        </w:numPr>
      </w:pPr>
      <w:r>
        <w:rPr>
          <w:rFonts w:ascii="ZWAdobeF" w:hAnsi="ZWAdobeF" w:cs="ZWAdobeF"/>
          <w:color w:val="auto"/>
          <w:sz w:val="2"/>
          <w:szCs w:val="2"/>
        </w:rPr>
        <w:t>660B</w:t>
      </w:r>
      <w:r w:rsidR="0049638A">
        <w:rPr>
          <w:rFonts w:ascii="ZWAdobeF" w:hAnsi="ZWAdobeF" w:cs="ZWAdobeF"/>
          <w:color w:val="auto"/>
          <w:sz w:val="2"/>
          <w:szCs w:val="2"/>
        </w:rPr>
        <w:t>660B</w:t>
      </w:r>
      <w:r w:rsidR="00D629FA">
        <w:rPr>
          <w:rFonts w:ascii="ZWAdobeF" w:hAnsi="ZWAdobeF" w:cs="ZWAdobeF"/>
          <w:color w:val="auto"/>
          <w:sz w:val="2"/>
          <w:szCs w:val="2"/>
        </w:rPr>
        <w:t>660B</w:t>
      </w:r>
      <w:r w:rsidR="006E03D8">
        <w:t>De-classing one or more of the proceedings.</w:t>
      </w:r>
    </w:p>
    <w:p w14:paraId="6AB2D715" w14:textId="236B5F50" w:rsidR="006E03D8" w:rsidRDefault="00BD5C95" w:rsidP="00932DB9">
      <w:pPr>
        <w:pStyle w:val="BodyTextnonum"/>
        <w:numPr>
          <w:ilvl w:val="3"/>
          <w:numId w:val="14"/>
        </w:numPr>
      </w:pPr>
      <w:r>
        <w:rPr>
          <w:rFonts w:ascii="ZWAdobeF" w:hAnsi="ZWAdobeF" w:cs="ZWAdobeF"/>
          <w:color w:val="auto"/>
          <w:sz w:val="2"/>
          <w:szCs w:val="2"/>
        </w:rPr>
        <w:t>661B</w:t>
      </w:r>
      <w:r w:rsidR="0049638A">
        <w:rPr>
          <w:rFonts w:ascii="ZWAdobeF" w:hAnsi="ZWAdobeF" w:cs="ZWAdobeF"/>
          <w:color w:val="auto"/>
          <w:sz w:val="2"/>
          <w:szCs w:val="2"/>
        </w:rPr>
        <w:t>661B</w:t>
      </w:r>
      <w:r w:rsidR="00D629FA">
        <w:rPr>
          <w:rFonts w:ascii="ZWAdobeF" w:hAnsi="ZWAdobeF" w:cs="ZWAdobeF"/>
          <w:color w:val="auto"/>
          <w:sz w:val="2"/>
          <w:szCs w:val="2"/>
        </w:rPr>
        <w:t>661B</w:t>
      </w:r>
      <w:r w:rsidR="006E03D8">
        <w:t>Holding a joint trial of all proceedings with each left as “open class” proceedings.</w:t>
      </w:r>
    </w:p>
    <w:p w14:paraId="69F23F8E" w14:textId="723CD95B" w:rsidR="006E03D8" w:rsidRDefault="00BD5C95" w:rsidP="00932DB9">
      <w:pPr>
        <w:pStyle w:val="BodyTextnonum"/>
        <w:numPr>
          <w:ilvl w:val="3"/>
          <w:numId w:val="14"/>
        </w:numPr>
      </w:pPr>
      <w:r>
        <w:rPr>
          <w:rFonts w:ascii="ZWAdobeF" w:hAnsi="ZWAdobeF" w:cs="ZWAdobeF"/>
          <w:color w:val="auto"/>
          <w:sz w:val="2"/>
          <w:szCs w:val="2"/>
        </w:rPr>
        <w:t>662B</w:t>
      </w:r>
      <w:r w:rsidR="0049638A">
        <w:rPr>
          <w:rFonts w:ascii="ZWAdobeF" w:hAnsi="ZWAdobeF" w:cs="ZWAdobeF"/>
          <w:color w:val="auto"/>
          <w:sz w:val="2"/>
          <w:szCs w:val="2"/>
        </w:rPr>
        <w:t>662B</w:t>
      </w:r>
      <w:r w:rsidR="00D629FA">
        <w:rPr>
          <w:rFonts w:ascii="ZWAdobeF" w:hAnsi="ZWAdobeF" w:cs="ZWAdobeF"/>
          <w:color w:val="auto"/>
          <w:sz w:val="2"/>
          <w:szCs w:val="2"/>
        </w:rPr>
        <w:t>662B</w:t>
      </w:r>
      <w:r w:rsidR="006E03D8">
        <w:t>Closing the class in one or more proceedings but leaving one of the proceedings as “open class” and having a joint trial of all the proceedings.</w:t>
      </w:r>
    </w:p>
    <w:p w14:paraId="0D7D1F41" w14:textId="2055DAB1" w:rsidR="001B3BCE" w:rsidRDefault="00BD5C95" w:rsidP="001B3BCE">
      <w:pPr>
        <w:pStyle w:val="BodyText"/>
      </w:pPr>
      <w:r>
        <w:rPr>
          <w:rFonts w:ascii="ZWAdobeF" w:hAnsi="ZWAdobeF" w:cs="ZWAdobeF"/>
          <w:color w:val="auto"/>
          <w:sz w:val="2"/>
          <w:szCs w:val="2"/>
        </w:rPr>
        <w:t>130B</w:t>
      </w:r>
      <w:r w:rsidR="0049638A">
        <w:rPr>
          <w:rFonts w:ascii="ZWAdobeF" w:hAnsi="ZWAdobeF" w:cs="ZWAdobeF"/>
          <w:color w:val="auto"/>
          <w:sz w:val="2"/>
          <w:szCs w:val="2"/>
        </w:rPr>
        <w:t>130B</w:t>
      </w:r>
      <w:r w:rsidR="00D629FA">
        <w:rPr>
          <w:rFonts w:ascii="ZWAdobeF" w:hAnsi="ZWAdobeF" w:cs="ZWAdobeF"/>
          <w:color w:val="auto"/>
          <w:sz w:val="2"/>
          <w:szCs w:val="2"/>
        </w:rPr>
        <w:t>130B</w:t>
      </w:r>
      <w:r w:rsidR="006E03D8">
        <w:t>Australian courts have developed factors to guide a decision as to which proceeding should go ahead.</w:t>
      </w:r>
      <w:r w:rsidR="00D629FA">
        <w:rPr>
          <w:rFonts w:ascii="ZWAdobeF" w:hAnsi="ZWAdobeF" w:cs="ZWAdobeF"/>
          <w:color w:val="auto"/>
          <w:sz w:val="2"/>
          <w:szCs w:val="2"/>
        </w:rPr>
        <w:t>231F</w:t>
      </w:r>
      <w:r w:rsidR="0049638A">
        <w:rPr>
          <w:rFonts w:ascii="ZWAdobeF" w:hAnsi="ZWAdobeF" w:cs="ZWAdobeF"/>
          <w:color w:val="auto"/>
          <w:sz w:val="2"/>
          <w:szCs w:val="2"/>
        </w:rPr>
        <w:t>231F</w:t>
      </w:r>
      <w:r w:rsidR="00317AE4">
        <w:rPr>
          <w:rFonts w:ascii="ZWAdobeF" w:hAnsi="ZWAdobeF" w:cs="ZWAdobeF"/>
          <w:color w:val="auto"/>
          <w:sz w:val="2"/>
          <w:szCs w:val="2"/>
        </w:rPr>
        <w:t>231F</w:t>
      </w:r>
      <w:r w:rsidR="006E03D8">
        <w:rPr>
          <w:rStyle w:val="FootnoteReference"/>
        </w:rPr>
        <w:footnoteReference w:id="233"/>
      </w:r>
      <w:r w:rsidR="006E03D8">
        <w:t xml:space="preserve"> In its decision in </w:t>
      </w:r>
      <w:r w:rsidR="006E03D8">
        <w:rPr>
          <w:i/>
          <w:iCs/>
        </w:rPr>
        <w:t>Wigmans v AMP Ltd</w:t>
      </w:r>
      <w:r w:rsidR="006E03D8">
        <w:t>, t</w:t>
      </w:r>
      <w:r w:rsidR="006E03D8" w:rsidRPr="00DC7B6F">
        <w:t>he</w:t>
      </w:r>
      <w:r w:rsidR="006E03D8">
        <w:t xml:space="preserve"> High Court of Australia said that where the defendant’s interests are not differentially affected, the court must determine which proceeding going ahead would be in the best interests of class members.</w:t>
      </w:r>
      <w:r w:rsidR="00D629FA">
        <w:rPr>
          <w:rFonts w:ascii="ZWAdobeF" w:hAnsi="ZWAdobeF" w:cs="ZWAdobeF"/>
          <w:color w:val="auto"/>
          <w:sz w:val="2"/>
          <w:szCs w:val="2"/>
        </w:rPr>
        <w:t>232F</w:t>
      </w:r>
      <w:r w:rsidR="0049638A">
        <w:rPr>
          <w:rFonts w:ascii="ZWAdobeF" w:hAnsi="ZWAdobeF" w:cs="ZWAdobeF"/>
          <w:color w:val="auto"/>
          <w:sz w:val="2"/>
          <w:szCs w:val="2"/>
        </w:rPr>
        <w:t>232F</w:t>
      </w:r>
      <w:r w:rsidR="00317AE4">
        <w:rPr>
          <w:rFonts w:ascii="ZWAdobeF" w:hAnsi="ZWAdobeF" w:cs="ZWAdobeF"/>
          <w:color w:val="auto"/>
          <w:sz w:val="2"/>
          <w:szCs w:val="2"/>
        </w:rPr>
        <w:t>232F</w:t>
      </w:r>
      <w:r w:rsidR="006E03D8">
        <w:rPr>
          <w:rStyle w:val="FootnoteReference"/>
        </w:rPr>
        <w:footnoteReference w:id="234"/>
      </w:r>
      <w:r w:rsidR="006E03D8">
        <w:t xml:space="preserve"> The factors relevant to this cannot be exhaustively listed and will vary from case to case.</w:t>
      </w:r>
      <w:r w:rsidR="00D629FA">
        <w:rPr>
          <w:rFonts w:ascii="ZWAdobeF" w:hAnsi="ZWAdobeF" w:cs="ZWAdobeF"/>
          <w:color w:val="auto"/>
          <w:sz w:val="2"/>
          <w:szCs w:val="2"/>
        </w:rPr>
        <w:t>233F</w:t>
      </w:r>
      <w:r w:rsidR="0049638A">
        <w:rPr>
          <w:rFonts w:ascii="ZWAdobeF" w:hAnsi="ZWAdobeF" w:cs="ZWAdobeF"/>
          <w:color w:val="auto"/>
          <w:sz w:val="2"/>
          <w:szCs w:val="2"/>
        </w:rPr>
        <w:t>233F</w:t>
      </w:r>
      <w:r w:rsidR="00317AE4">
        <w:rPr>
          <w:rFonts w:ascii="ZWAdobeF" w:hAnsi="ZWAdobeF" w:cs="ZWAdobeF"/>
          <w:color w:val="auto"/>
          <w:sz w:val="2"/>
          <w:szCs w:val="2"/>
        </w:rPr>
        <w:t>233F</w:t>
      </w:r>
      <w:r w:rsidR="006E03D8">
        <w:rPr>
          <w:rStyle w:val="FootnoteReference"/>
        </w:rPr>
        <w:footnoteReference w:id="235"/>
      </w:r>
    </w:p>
    <w:p w14:paraId="6DA40ABD" w14:textId="77777777" w:rsidR="006E03D8" w:rsidRDefault="006E03D8" w:rsidP="006E03D8">
      <w:pPr>
        <w:pStyle w:val="Heading3"/>
      </w:pPr>
      <w:r>
        <w:lastRenderedPageBreak/>
        <w:t>Canada</w:t>
      </w:r>
    </w:p>
    <w:p w14:paraId="493CF5C3" w14:textId="36CD1C5F" w:rsidR="006E03D8" w:rsidRDefault="00BD5C95" w:rsidP="009B37CB">
      <w:pPr>
        <w:pStyle w:val="BodyText"/>
      </w:pPr>
      <w:r>
        <w:rPr>
          <w:rFonts w:ascii="ZWAdobeF" w:hAnsi="ZWAdobeF" w:cs="ZWAdobeF"/>
          <w:color w:val="auto"/>
          <w:sz w:val="2"/>
          <w:szCs w:val="2"/>
        </w:rPr>
        <w:t>131B</w:t>
      </w:r>
      <w:r w:rsidR="0049638A">
        <w:rPr>
          <w:rFonts w:ascii="ZWAdobeF" w:hAnsi="ZWAdobeF" w:cs="ZWAdobeF"/>
          <w:color w:val="auto"/>
          <w:sz w:val="2"/>
          <w:szCs w:val="2"/>
        </w:rPr>
        <w:t>131B</w:t>
      </w:r>
      <w:r w:rsidR="00D629FA">
        <w:rPr>
          <w:rFonts w:ascii="ZWAdobeF" w:hAnsi="ZWAdobeF" w:cs="ZWAdobeF"/>
          <w:color w:val="auto"/>
          <w:sz w:val="2"/>
          <w:szCs w:val="2"/>
        </w:rPr>
        <w:t>131B</w:t>
      </w:r>
      <w:r w:rsidR="006E03D8">
        <w:t>In Canada, competing class actions are generally addressed through an application to determine which party will have “carriage” of a class action, known as a carriage motion. Only Ontario has specific statutory provisions for carriage motions, which were introduced in 2020 following recommendations of the Law Commission of Ontario (LCO).</w:t>
      </w:r>
      <w:r w:rsidR="00D629FA">
        <w:rPr>
          <w:rFonts w:ascii="ZWAdobeF" w:hAnsi="ZWAdobeF" w:cs="ZWAdobeF"/>
          <w:color w:val="auto"/>
          <w:sz w:val="2"/>
          <w:szCs w:val="2"/>
        </w:rPr>
        <w:t>234F</w:t>
      </w:r>
      <w:r w:rsidR="0049638A">
        <w:rPr>
          <w:rFonts w:ascii="ZWAdobeF" w:hAnsi="ZWAdobeF" w:cs="ZWAdobeF"/>
          <w:color w:val="auto"/>
          <w:sz w:val="2"/>
          <w:szCs w:val="2"/>
        </w:rPr>
        <w:t>234F</w:t>
      </w:r>
      <w:r w:rsidR="00317AE4">
        <w:rPr>
          <w:rFonts w:ascii="ZWAdobeF" w:hAnsi="ZWAdobeF" w:cs="ZWAdobeF"/>
          <w:color w:val="auto"/>
          <w:sz w:val="2"/>
          <w:szCs w:val="2"/>
        </w:rPr>
        <w:t>234F</w:t>
      </w:r>
      <w:r w:rsidR="006E03D8">
        <w:rPr>
          <w:rStyle w:val="FootnoteReference"/>
        </w:rPr>
        <w:footnoteReference w:id="236"/>
      </w:r>
      <w:r w:rsidR="006E03D8">
        <w:t xml:space="preserve"> According to the LCO, stakeholders were “universally critical” of the carriage process that had developed in the absence of specific provisions, pointing to uncertainty, cost, delay and unethical behaviour as concerns.</w:t>
      </w:r>
      <w:r w:rsidR="00D629FA">
        <w:rPr>
          <w:rFonts w:ascii="ZWAdobeF" w:hAnsi="ZWAdobeF" w:cs="ZWAdobeF"/>
          <w:color w:val="auto"/>
          <w:sz w:val="2"/>
          <w:szCs w:val="2"/>
        </w:rPr>
        <w:t>235F</w:t>
      </w:r>
      <w:r w:rsidR="0049638A">
        <w:rPr>
          <w:rFonts w:ascii="ZWAdobeF" w:hAnsi="ZWAdobeF" w:cs="ZWAdobeF"/>
          <w:color w:val="auto"/>
          <w:sz w:val="2"/>
          <w:szCs w:val="2"/>
        </w:rPr>
        <w:t>235F</w:t>
      </w:r>
      <w:r w:rsidR="00317AE4">
        <w:rPr>
          <w:rFonts w:ascii="ZWAdobeF" w:hAnsi="ZWAdobeF" w:cs="ZWAdobeF"/>
          <w:color w:val="auto"/>
          <w:sz w:val="2"/>
          <w:szCs w:val="2"/>
        </w:rPr>
        <w:t>235F</w:t>
      </w:r>
      <w:r w:rsidR="006E03D8">
        <w:rPr>
          <w:rStyle w:val="FootnoteReference"/>
        </w:rPr>
        <w:footnoteReference w:id="237"/>
      </w:r>
      <w:r w:rsidR="006E03D8">
        <w:t xml:space="preserve"> </w:t>
      </w:r>
    </w:p>
    <w:p w14:paraId="42AD127B" w14:textId="5197450E" w:rsidR="006E03D8" w:rsidRDefault="00BD5C95" w:rsidP="009B37CB">
      <w:pPr>
        <w:pStyle w:val="BodyText"/>
      </w:pPr>
      <w:r>
        <w:rPr>
          <w:rFonts w:ascii="ZWAdobeF" w:hAnsi="ZWAdobeF" w:cs="ZWAdobeF"/>
          <w:color w:val="auto"/>
          <w:sz w:val="2"/>
          <w:szCs w:val="2"/>
        </w:rPr>
        <w:t>132B</w:t>
      </w:r>
      <w:r w:rsidR="0049638A">
        <w:rPr>
          <w:rFonts w:ascii="ZWAdobeF" w:hAnsi="ZWAdobeF" w:cs="ZWAdobeF"/>
          <w:color w:val="auto"/>
          <w:sz w:val="2"/>
          <w:szCs w:val="2"/>
        </w:rPr>
        <w:t>132B</w:t>
      </w:r>
      <w:r w:rsidR="00D629FA">
        <w:rPr>
          <w:rFonts w:ascii="ZWAdobeF" w:hAnsi="ZWAdobeF" w:cs="ZWAdobeF"/>
          <w:color w:val="auto"/>
          <w:sz w:val="2"/>
          <w:szCs w:val="2"/>
        </w:rPr>
        <w:t>132B</w:t>
      </w:r>
      <w:r w:rsidR="006E03D8">
        <w:t>Under the Ontario provisions, where there are two or more class actions involving “the same or similar subject matter and some or all of the same class members”, the court may order that one or more of the proceedings be stayed, upon the application of a representative plaintiff.</w:t>
      </w:r>
      <w:r w:rsidR="00D629FA">
        <w:rPr>
          <w:rFonts w:ascii="ZWAdobeF" w:hAnsi="ZWAdobeF" w:cs="ZWAdobeF"/>
          <w:color w:val="auto"/>
          <w:sz w:val="2"/>
          <w:szCs w:val="2"/>
        </w:rPr>
        <w:t>236F</w:t>
      </w:r>
      <w:r w:rsidR="0049638A">
        <w:rPr>
          <w:rFonts w:ascii="ZWAdobeF" w:hAnsi="ZWAdobeF" w:cs="ZWAdobeF"/>
          <w:color w:val="auto"/>
          <w:sz w:val="2"/>
          <w:szCs w:val="2"/>
        </w:rPr>
        <w:t>236F</w:t>
      </w:r>
      <w:r w:rsidR="00317AE4">
        <w:rPr>
          <w:rFonts w:ascii="ZWAdobeF" w:hAnsi="ZWAdobeF" w:cs="ZWAdobeF"/>
          <w:color w:val="auto"/>
          <w:sz w:val="2"/>
          <w:szCs w:val="2"/>
        </w:rPr>
        <w:t>236F</w:t>
      </w:r>
      <w:r w:rsidR="006E03D8">
        <w:rPr>
          <w:rStyle w:val="FootnoteReference"/>
        </w:rPr>
        <w:footnoteReference w:id="238"/>
      </w:r>
      <w:r w:rsidR="006E03D8">
        <w:t xml:space="preserve"> The carriage motion must be made within 60 days of the first class action being commenced and the court will hear it as soon as practicable.</w:t>
      </w:r>
      <w:r w:rsidR="00D629FA">
        <w:rPr>
          <w:rFonts w:ascii="ZWAdobeF" w:hAnsi="ZWAdobeF" w:cs="ZWAdobeF"/>
          <w:color w:val="auto"/>
          <w:sz w:val="2"/>
          <w:szCs w:val="2"/>
        </w:rPr>
        <w:t>237F</w:t>
      </w:r>
      <w:r w:rsidR="0049638A">
        <w:rPr>
          <w:rFonts w:ascii="ZWAdobeF" w:hAnsi="ZWAdobeF" w:cs="ZWAdobeF"/>
          <w:color w:val="auto"/>
          <w:sz w:val="2"/>
          <w:szCs w:val="2"/>
        </w:rPr>
        <w:t>237F</w:t>
      </w:r>
      <w:r w:rsidR="00317AE4">
        <w:rPr>
          <w:rFonts w:ascii="ZWAdobeF" w:hAnsi="ZWAdobeF" w:cs="ZWAdobeF"/>
          <w:color w:val="auto"/>
          <w:sz w:val="2"/>
          <w:szCs w:val="2"/>
        </w:rPr>
        <w:t>237F</w:t>
      </w:r>
      <w:r w:rsidR="006E03D8">
        <w:rPr>
          <w:rStyle w:val="FootnoteReference"/>
        </w:rPr>
        <w:footnoteReference w:id="239"/>
      </w:r>
      <w:r w:rsidR="006E03D8">
        <w:t xml:space="preserve"> After 60 days has passed, a competing class action cannot be brought without the leave of the court.</w:t>
      </w:r>
      <w:r w:rsidR="00D629FA">
        <w:rPr>
          <w:rFonts w:ascii="ZWAdobeF" w:hAnsi="ZWAdobeF" w:cs="ZWAdobeF"/>
          <w:color w:val="auto"/>
          <w:sz w:val="2"/>
          <w:szCs w:val="2"/>
        </w:rPr>
        <w:t>238F</w:t>
      </w:r>
      <w:r w:rsidR="0049638A">
        <w:rPr>
          <w:rFonts w:ascii="ZWAdobeF" w:hAnsi="ZWAdobeF" w:cs="ZWAdobeF"/>
          <w:color w:val="auto"/>
          <w:sz w:val="2"/>
          <w:szCs w:val="2"/>
        </w:rPr>
        <w:t>238F</w:t>
      </w:r>
      <w:r w:rsidR="00317AE4">
        <w:rPr>
          <w:rFonts w:ascii="ZWAdobeF" w:hAnsi="ZWAdobeF" w:cs="ZWAdobeF"/>
          <w:color w:val="auto"/>
          <w:sz w:val="2"/>
          <w:szCs w:val="2"/>
        </w:rPr>
        <w:t>238F</w:t>
      </w:r>
      <w:r w:rsidR="006E03D8">
        <w:rPr>
          <w:rStyle w:val="FootnoteReference"/>
        </w:rPr>
        <w:footnoteReference w:id="240"/>
      </w:r>
      <w:r w:rsidR="006E03D8">
        <w:t xml:space="preserve"> </w:t>
      </w:r>
    </w:p>
    <w:p w14:paraId="04AACDF5" w14:textId="33411456" w:rsidR="006E03D8" w:rsidRDefault="00BD5C95" w:rsidP="009B37CB">
      <w:pPr>
        <w:pStyle w:val="BodyText"/>
      </w:pPr>
      <w:r>
        <w:rPr>
          <w:rFonts w:ascii="ZWAdobeF" w:hAnsi="ZWAdobeF" w:cs="ZWAdobeF"/>
          <w:color w:val="auto"/>
          <w:sz w:val="2"/>
          <w:szCs w:val="2"/>
        </w:rPr>
        <w:t>133B</w:t>
      </w:r>
      <w:r w:rsidR="0049638A">
        <w:rPr>
          <w:rFonts w:ascii="ZWAdobeF" w:hAnsi="ZWAdobeF" w:cs="ZWAdobeF"/>
          <w:color w:val="auto"/>
          <w:sz w:val="2"/>
          <w:szCs w:val="2"/>
        </w:rPr>
        <w:t>133B</w:t>
      </w:r>
      <w:r w:rsidR="00D629FA">
        <w:rPr>
          <w:rFonts w:ascii="ZWAdobeF" w:hAnsi="ZWAdobeF" w:cs="ZWAdobeF"/>
          <w:color w:val="auto"/>
          <w:sz w:val="2"/>
          <w:szCs w:val="2"/>
        </w:rPr>
        <w:t>133B</w:t>
      </w:r>
      <w:r w:rsidR="006E03D8">
        <w:t>When determining a carriage motion, the court is to decide what proceeding “would best advance the claims of the class members in an efficient and cost-effective manner</w:t>
      </w:r>
      <w:r w:rsidR="00347E0D">
        <w:t>”,</w:t>
      </w:r>
      <w:r w:rsidR="006E03D8">
        <w:t xml:space="preserve"> by reference to four statutory criteria.</w:t>
      </w:r>
      <w:r w:rsidR="00D629FA">
        <w:rPr>
          <w:rFonts w:ascii="ZWAdobeF" w:hAnsi="ZWAdobeF" w:cs="ZWAdobeF"/>
          <w:color w:val="auto"/>
          <w:sz w:val="2"/>
          <w:szCs w:val="2"/>
        </w:rPr>
        <w:t>239F</w:t>
      </w:r>
      <w:r w:rsidR="0049638A">
        <w:rPr>
          <w:rFonts w:ascii="ZWAdobeF" w:hAnsi="ZWAdobeF" w:cs="ZWAdobeF"/>
          <w:color w:val="auto"/>
          <w:sz w:val="2"/>
          <w:szCs w:val="2"/>
        </w:rPr>
        <w:t>239F</w:t>
      </w:r>
      <w:r w:rsidR="00317AE4">
        <w:rPr>
          <w:rFonts w:ascii="ZWAdobeF" w:hAnsi="ZWAdobeF" w:cs="ZWAdobeF"/>
          <w:color w:val="auto"/>
          <w:sz w:val="2"/>
          <w:szCs w:val="2"/>
        </w:rPr>
        <w:t>239F</w:t>
      </w:r>
      <w:r w:rsidR="006E03D8">
        <w:rPr>
          <w:rStyle w:val="FootnoteReference"/>
        </w:rPr>
        <w:footnoteReference w:id="241"/>
      </w:r>
      <w:r w:rsidR="006E03D8">
        <w:t xml:space="preserve"> </w:t>
      </w:r>
    </w:p>
    <w:p w14:paraId="7ED151C3" w14:textId="62B5F072" w:rsidR="006E03D8" w:rsidRDefault="00BD5C95" w:rsidP="009B37CB">
      <w:pPr>
        <w:pStyle w:val="BodyText"/>
        <w:tabs>
          <w:tab w:val="num" w:pos="709"/>
        </w:tabs>
      </w:pPr>
      <w:r>
        <w:rPr>
          <w:rFonts w:ascii="ZWAdobeF" w:hAnsi="ZWAdobeF" w:cs="ZWAdobeF"/>
          <w:color w:val="auto"/>
          <w:sz w:val="2"/>
          <w:szCs w:val="2"/>
        </w:rPr>
        <w:t>134B</w:t>
      </w:r>
      <w:r w:rsidR="0049638A">
        <w:rPr>
          <w:rFonts w:ascii="ZWAdobeF" w:hAnsi="ZWAdobeF" w:cs="ZWAdobeF"/>
          <w:color w:val="auto"/>
          <w:sz w:val="2"/>
          <w:szCs w:val="2"/>
        </w:rPr>
        <w:t>134B</w:t>
      </w:r>
      <w:r w:rsidR="00D629FA">
        <w:rPr>
          <w:rFonts w:ascii="ZWAdobeF" w:hAnsi="ZWAdobeF" w:cs="ZWAdobeF"/>
          <w:color w:val="auto"/>
          <w:sz w:val="2"/>
          <w:szCs w:val="2"/>
        </w:rPr>
        <w:t>134B</w:t>
      </w:r>
      <w:r w:rsidR="006E03D8">
        <w:t>When the court makes orders on a carriage motion, it will also bar any other class action involving the same or similar subject matter and some or all of the same class members from being commenced without the leave of the court.</w:t>
      </w:r>
      <w:r w:rsidR="00D629FA">
        <w:rPr>
          <w:rFonts w:ascii="ZWAdobeF" w:hAnsi="ZWAdobeF" w:cs="ZWAdobeF"/>
          <w:color w:val="auto"/>
          <w:sz w:val="2"/>
          <w:szCs w:val="2"/>
        </w:rPr>
        <w:t>240F</w:t>
      </w:r>
      <w:r w:rsidR="0049638A">
        <w:rPr>
          <w:rFonts w:ascii="ZWAdobeF" w:hAnsi="ZWAdobeF" w:cs="ZWAdobeF"/>
          <w:color w:val="auto"/>
          <w:sz w:val="2"/>
          <w:szCs w:val="2"/>
        </w:rPr>
        <w:t>240F</w:t>
      </w:r>
      <w:r w:rsidR="00317AE4">
        <w:rPr>
          <w:rFonts w:ascii="ZWAdobeF" w:hAnsi="ZWAdobeF" w:cs="ZWAdobeF"/>
          <w:color w:val="auto"/>
          <w:sz w:val="2"/>
          <w:szCs w:val="2"/>
        </w:rPr>
        <w:t>240F</w:t>
      </w:r>
      <w:r w:rsidR="006E03D8">
        <w:rPr>
          <w:rStyle w:val="FootnoteReference"/>
        </w:rPr>
        <w:footnoteReference w:id="242"/>
      </w:r>
      <w:r w:rsidR="006E03D8">
        <w:t xml:space="preserve"> </w:t>
      </w:r>
    </w:p>
    <w:p w14:paraId="3F3AADE9" w14:textId="78D63102" w:rsidR="006E03D8" w:rsidRDefault="00BD5C95" w:rsidP="009B37CB">
      <w:pPr>
        <w:pStyle w:val="BodyText"/>
        <w:tabs>
          <w:tab w:val="num" w:pos="709"/>
        </w:tabs>
      </w:pPr>
      <w:r>
        <w:rPr>
          <w:rFonts w:ascii="ZWAdobeF" w:hAnsi="ZWAdobeF" w:cs="ZWAdobeF"/>
          <w:color w:val="auto"/>
          <w:sz w:val="2"/>
          <w:szCs w:val="2"/>
        </w:rPr>
        <w:t>135B</w:t>
      </w:r>
      <w:r w:rsidR="0049638A">
        <w:rPr>
          <w:rFonts w:ascii="ZWAdobeF" w:hAnsi="ZWAdobeF" w:cs="ZWAdobeF"/>
          <w:color w:val="auto"/>
          <w:sz w:val="2"/>
          <w:szCs w:val="2"/>
        </w:rPr>
        <w:t>135B</w:t>
      </w:r>
      <w:r w:rsidR="00D629FA">
        <w:rPr>
          <w:rFonts w:ascii="ZWAdobeF" w:hAnsi="ZWAdobeF" w:cs="ZWAdobeF"/>
          <w:color w:val="auto"/>
          <w:sz w:val="2"/>
          <w:szCs w:val="2"/>
        </w:rPr>
        <w:t>135B</w:t>
      </w:r>
      <w:r w:rsidR="006E03D8">
        <w:t>Québec differs from other Canadian provinces by using a “first to file” approach, where the first class action filed will generally be allowed to proceed. Subsequent class actions will be stayed and will only proceed if the initial class action is not certified. The court does have discretion to depart from the first-to-file rule if it would not be in the interests of the proposed class.</w:t>
      </w:r>
      <w:r w:rsidR="00D629FA">
        <w:rPr>
          <w:rFonts w:ascii="ZWAdobeF" w:hAnsi="ZWAdobeF" w:cs="ZWAdobeF"/>
          <w:color w:val="auto"/>
          <w:sz w:val="2"/>
          <w:szCs w:val="2"/>
        </w:rPr>
        <w:t>241F</w:t>
      </w:r>
      <w:r w:rsidR="0049638A">
        <w:rPr>
          <w:rFonts w:ascii="ZWAdobeF" w:hAnsi="ZWAdobeF" w:cs="ZWAdobeF"/>
          <w:color w:val="auto"/>
          <w:sz w:val="2"/>
          <w:szCs w:val="2"/>
        </w:rPr>
        <w:t>241F</w:t>
      </w:r>
      <w:r w:rsidR="00317AE4">
        <w:rPr>
          <w:rFonts w:ascii="ZWAdobeF" w:hAnsi="ZWAdobeF" w:cs="ZWAdobeF"/>
          <w:color w:val="auto"/>
          <w:sz w:val="2"/>
          <w:szCs w:val="2"/>
        </w:rPr>
        <w:t>241F</w:t>
      </w:r>
      <w:r w:rsidR="006E03D8">
        <w:rPr>
          <w:rStyle w:val="FootnoteReference"/>
        </w:rPr>
        <w:footnoteReference w:id="243"/>
      </w:r>
    </w:p>
    <w:p w14:paraId="492E9817" w14:textId="77777777" w:rsidR="006E03D8" w:rsidRDefault="006E03D8" w:rsidP="006E03D8">
      <w:pPr>
        <w:pStyle w:val="Heading3"/>
      </w:pPr>
      <w:r>
        <w:t>United States</w:t>
      </w:r>
    </w:p>
    <w:p w14:paraId="1B8D7908" w14:textId="5702BFCB" w:rsidR="006E03D8" w:rsidRDefault="00BD5C95" w:rsidP="00BB379F">
      <w:pPr>
        <w:pStyle w:val="BodyText"/>
      </w:pPr>
      <w:r>
        <w:rPr>
          <w:rFonts w:ascii="ZWAdobeF" w:hAnsi="ZWAdobeF" w:cs="ZWAdobeF"/>
          <w:color w:val="auto"/>
          <w:sz w:val="2"/>
          <w:szCs w:val="2"/>
        </w:rPr>
        <w:t>136B</w:t>
      </w:r>
      <w:r w:rsidR="0049638A">
        <w:rPr>
          <w:rFonts w:ascii="ZWAdobeF" w:hAnsi="ZWAdobeF" w:cs="ZWAdobeF"/>
          <w:color w:val="auto"/>
          <w:sz w:val="2"/>
          <w:szCs w:val="2"/>
        </w:rPr>
        <w:t>136B</w:t>
      </w:r>
      <w:r w:rsidR="00D629FA">
        <w:rPr>
          <w:rFonts w:ascii="ZWAdobeF" w:hAnsi="ZWAdobeF" w:cs="ZWAdobeF"/>
          <w:color w:val="auto"/>
          <w:sz w:val="2"/>
          <w:szCs w:val="2"/>
        </w:rPr>
        <w:t>136B</w:t>
      </w:r>
      <w:r w:rsidR="006E03D8">
        <w:t xml:space="preserve">In the United </w:t>
      </w:r>
      <w:r w:rsidR="006E03D8" w:rsidRPr="00BB379F">
        <w:t>States</w:t>
      </w:r>
      <w:r w:rsidR="006E03D8">
        <w:t>, competing federal class actions are managed through the requirement for the court to appoint class counsel.</w:t>
      </w:r>
      <w:r w:rsidR="00D629FA">
        <w:rPr>
          <w:rFonts w:ascii="ZWAdobeF" w:hAnsi="ZWAdobeF" w:cs="ZWAdobeF"/>
          <w:color w:val="auto"/>
          <w:sz w:val="2"/>
          <w:szCs w:val="2"/>
        </w:rPr>
        <w:t>242F</w:t>
      </w:r>
      <w:r w:rsidR="0049638A">
        <w:rPr>
          <w:rFonts w:ascii="ZWAdobeF" w:hAnsi="ZWAdobeF" w:cs="ZWAdobeF"/>
          <w:color w:val="auto"/>
          <w:sz w:val="2"/>
          <w:szCs w:val="2"/>
        </w:rPr>
        <w:t>242F</w:t>
      </w:r>
      <w:r w:rsidR="00317AE4">
        <w:rPr>
          <w:rFonts w:ascii="ZWAdobeF" w:hAnsi="ZWAdobeF" w:cs="ZWAdobeF"/>
          <w:color w:val="auto"/>
          <w:sz w:val="2"/>
          <w:szCs w:val="2"/>
        </w:rPr>
        <w:t>242F</w:t>
      </w:r>
      <w:r w:rsidR="006E03D8">
        <w:rPr>
          <w:rStyle w:val="FootnoteReference"/>
        </w:rPr>
        <w:footnoteReference w:id="244"/>
      </w:r>
      <w:r w:rsidR="006E03D8">
        <w:t xml:space="preserve"> In appointing class counsel, the court must consider: the work counsel has done in identifying or investigating potential claims in the class action; counsel’s experience in handling class actions, complex litigation and </w:t>
      </w:r>
      <w:r w:rsidR="006E03D8">
        <w:lastRenderedPageBreak/>
        <w:t>the types of claim at issue; counsel’s knowledge of the applicable law; and the resources counsel will commit to the case.</w:t>
      </w:r>
      <w:r w:rsidR="00D629FA">
        <w:rPr>
          <w:rFonts w:ascii="ZWAdobeF" w:hAnsi="ZWAdobeF" w:cs="ZWAdobeF"/>
          <w:color w:val="auto"/>
          <w:sz w:val="2"/>
          <w:szCs w:val="2"/>
        </w:rPr>
        <w:t>243F</w:t>
      </w:r>
      <w:r w:rsidR="0049638A">
        <w:rPr>
          <w:rFonts w:ascii="ZWAdobeF" w:hAnsi="ZWAdobeF" w:cs="ZWAdobeF"/>
          <w:color w:val="auto"/>
          <w:sz w:val="2"/>
          <w:szCs w:val="2"/>
        </w:rPr>
        <w:t>243F</w:t>
      </w:r>
      <w:r w:rsidR="00317AE4">
        <w:rPr>
          <w:rFonts w:ascii="ZWAdobeF" w:hAnsi="ZWAdobeF" w:cs="ZWAdobeF"/>
          <w:color w:val="auto"/>
          <w:sz w:val="2"/>
          <w:szCs w:val="2"/>
        </w:rPr>
        <w:t>243F</w:t>
      </w:r>
      <w:r w:rsidR="006E03D8">
        <w:rPr>
          <w:rStyle w:val="FootnoteReference"/>
        </w:rPr>
        <w:footnoteReference w:id="245"/>
      </w:r>
      <w:r w:rsidR="006E03D8">
        <w:t xml:space="preserve"> The court may also consider any other matter relevant to counsel’s ability to fairly and adequately represent the interests of the class and may order potential class counsel to provide relevant information and to propose terms for fees and costs.</w:t>
      </w:r>
      <w:r w:rsidR="00D629FA">
        <w:rPr>
          <w:rFonts w:ascii="ZWAdobeF" w:hAnsi="ZWAdobeF" w:cs="ZWAdobeF"/>
          <w:color w:val="auto"/>
          <w:sz w:val="2"/>
          <w:szCs w:val="2"/>
        </w:rPr>
        <w:t>244F</w:t>
      </w:r>
      <w:r w:rsidR="0049638A">
        <w:rPr>
          <w:rFonts w:ascii="ZWAdobeF" w:hAnsi="ZWAdobeF" w:cs="ZWAdobeF"/>
          <w:color w:val="auto"/>
          <w:sz w:val="2"/>
          <w:szCs w:val="2"/>
        </w:rPr>
        <w:t>244F</w:t>
      </w:r>
      <w:r w:rsidR="00317AE4">
        <w:rPr>
          <w:rFonts w:ascii="ZWAdobeF" w:hAnsi="ZWAdobeF" w:cs="ZWAdobeF"/>
          <w:color w:val="auto"/>
          <w:sz w:val="2"/>
          <w:szCs w:val="2"/>
        </w:rPr>
        <w:t>244F</w:t>
      </w:r>
      <w:r w:rsidR="006E03D8">
        <w:rPr>
          <w:rStyle w:val="FootnoteReference"/>
        </w:rPr>
        <w:footnoteReference w:id="246"/>
      </w:r>
      <w:r w:rsidR="006E03D8">
        <w:t xml:space="preserve"> </w:t>
      </w:r>
    </w:p>
    <w:p w14:paraId="1D68F71C" w14:textId="1F84C642" w:rsidR="006E03D8" w:rsidRDefault="00BD5C95" w:rsidP="00BB379F">
      <w:pPr>
        <w:pStyle w:val="BodyText"/>
      </w:pPr>
      <w:r>
        <w:rPr>
          <w:rFonts w:ascii="ZWAdobeF" w:hAnsi="ZWAdobeF" w:cs="ZWAdobeF"/>
          <w:color w:val="auto"/>
          <w:sz w:val="2"/>
          <w:szCs w:val="2"/>
        </w:rPr>
        <w:t>137B</w:t>
      </w:r>
      <w:r w:rsidR="0049638A">
        <w:rPr>
          <w:rFonts w:ascii="ZWAdobeF" w:hAnsi="ZWAdobeF" w:cs="ZWAdobeF"/>
          <w:color w:val="auto"/>
          <w:sz w:val="2"/>
          <w:szCs w:val="2"/>
        </w:rPr>
        <w:t>137B</w:t>
      </w:r>
      <w:r w:rsidR="00D629FA">
        <w:rPr>
          <w:rFonts w:ascii="ZWAdobeF" w:hAnsi="ZWAdobeF" w:cs="ZWAdobeF"/>
          <w:color w:val="auto"/>
          <w:sz w:val="2"/>
          <w:szCs w:val="2"/>
        </w:rPr>
        <w:t>137B</w:t>
      </w:r>
      <w:r w:rsidR="006E03D8">
        <w:t xml:space="preserve">If more than one </w:t>
      </w:r>
      <w:r w:rsidR="006E03D8" w:rsidRPr="00BB379F">
        <w:t>adequate</w:t>
      </w:r>
      <w:r w:rsidR="006E03D8">
        <w:t xml:space="preserve"> applicant seeks appointment as class counsel, “the court must appoint the applicant best able to represent the interests of the class</w:t>
      </w:r>
      <w:r w:rsidR="000A6BBD">
        <w:t>”.</w:t>
      </w:r>
      <w:r w:rsidR="00D629FA">
        <w:rPr>
          <w:rFonts w:ascii="ZWAdobeF" w:hAnsi="ZWAdobeF" w:cs="ZWAdobeF"/>
          <w:color w:val="auto"/>
          <w:sz w:val="2"/>
          <w:szCs w:val="2"/>
        </w:rPr>
        <w:t>245F</w:t>
      </w:r>
      <w:r w:rsidR="0049638A">
        <w:rPr>
          <w:rFonts w:ascii="ZWAdobeF" w:hAnsi="ZWAdobeF" w:cs="ZWAdobeF"/>
          <w:color w:val="auto"/>
          <w:sz w:val="2"/>
          <w:szCs w:val="2"/>
        </w:rPr>
        <w:t>245F</w:t>
      </w:r>
      <w:r w:rsidR="00317AE4">
        <w:rPr>
          <w:rFonts w:ascii="ZWAdobeF" w:hAnsi="ZWAdobeF" w:cs="ZWAdobeF"/>
          <w:color w:val="auto"/>
          <w:sz w:val="2"/>
          <w:szCs w:val="2"/>
        </w:rPr>
        <w:t>245F</w:t>
      </w:r>
      <w:r w:rsidR="006E03D8">
        <w:rPr>
          <w:rStyle w:val="FootnoteReference"/>
        </w:rPr>
        <w:footnoteReference w:id="247"/>
      </w:r>
      <w:r w:rsidR="006E03D8">
        <w:t xml:space="preserve">  </w:t>
      </w:r>
    </w:p>
    <w:p w14:paraId="5EDCA06C" w14:textId="50497559" w:rsidR="006E03D8" w:rsidRDefault="00BD5C95" w:rsidP="00BB379F">
      <w:pPr>
        <w:pStyle w:val="BodyText"/>
      </w:pPr>
      <w:r>
        <w:rPr>
          <w:rFonts w:ascii="ZWAdobeF" w:hAnsi="ZWAdobeF" w:cs="ZWAdobeF"/>
          <w:color w:val="auto"/>
          <w:sz w:val="2"/>
          <w:szCs w:val="2"/>
        </w:rPr>
        <w:t>138B</w:t>
      </w:r>
      <w:r w:rsidR="0049638A">
        <w:rPr>
          <w:rFonts w:ascii="ZWAdobeF" w:hAnsi="ZWAdobeF" w:cs="ZWAdobeF"/>
          <w:color w:val="auto"/>
          <w:sz w:val="2"/>
          <w:szCs w:val="2"/>
        </w:rPr>
        <w:t>138B</w:t>
      </w:r>
      <w:r w:rsidR="00D629FA">
        <w:rPr>
          <w:rFonts w:ascii="ZWAdobeF" w:hAnsi="ZWAdobeF" w:cs="ZWAdobeF"/>
          <w:color w:val="auto"/>
          <w:sz w:val="2"/>
          <w:szCs w:val="2"/>
        </w:rPr>
        <w:t>138B</w:t>
      </w:r>
      <w:r w:rsidR="006E03D8">
        <w:t xml:space="preserve">There </w:t>
      </w:r>
      <w:r w:rsidR="006E03D8" w:rsidRPr="00BB379F">
        <w:t>are</w:t>
      </w:r>
      <w:r w:rsidR="006E03D8">
        <w:t xml:space="preserve"> separate provisions that apply to securities class actions. These involve the court appointing a lead plaintiff at the outset of a class action, with the largest shareholder seeking the position presumed to be the best choice.</w:t>
      </w:r>
      <w:r w:rsidR="00D629FA">
        <w:rPr>
          <w:rFonts w:ascii="ZWAdobeF" w:hAnsi="ZWAdobeF" w:cs="ZWAdobeF"/>
          <w:color w:val="auto"/>
          <w:sz w:val="2"/>
          <w:szCs w:val="2"/>
        </w:rPr>
        <w:t>246F</w:t>
      </w:r>
      <w:r w:rsidR="0049638A">
        <w:rPr>
          <w:rFonts w:ascii="ZWAdobeF" w:hAnsi="ZWAdobeF" w:cs="ZWAdobeF"/>
          <w:color w:val="auto"/>
          <w:sz w:val="2"/>
          <w:szCs w:val="2"/>
        </w:rPr>
        <w:t>246F</w:t>
      </w:r>
      <w:r w:rsidR="00317AE4">
        <w:rPr>
          <w:rFonts w:ascii="ZWAdobeF" w:hAnsi="ZWAdobeF" w:cs="ZWAdobeF"/>
          <w:color w:val="auto"/>
          <w:sz w:val="2"/>
          <w:szCs w:val="2"/>
        </w:rPr>
        <w:t>246F</w:t>
      </w:r>
      <w:r w:rsidR="006E03D8">
        <w:rPr>
          <w:rStyle w:val="FootnoteReference"/>
        </w:rPr>
        <w:footnoteReference w:id="248"/>
      </w:r>
      <w:r w:rsidR="006E03D8">
        <w:t xml:space="preserve"> The lead plaintiff then selects counsel to represent the class, subject to court approval.</w:t>
      </w:r>
      <w:r w:rsidR="00D629FA">
        <w:rPr>
          <w:rFonts w:ascii="ZWAdobeF" w:hAnsi="ZWAdobeF" w:cs="ZWAdobeF"/>
          <w:color w:val="auto"/>
          <w:sz w:val="2"/>
          <w:szCs w:val="2"/>
        </w:rPr>
        <w:t>247F</w:t>
      </w:r>
      <w:r w:rsidR="0049638A">
        <w:rPr>
          <w:rFonts w:ascii="ZWAdobeF" w:hAnsi="ZWAdobeF" w:cs="ZWAdobeF"/>
          <w:color w:val="auto"/>
          <w:sz w:val="2"/>
          <w:szCs w:val="2"/>
        </w:rPr>
        <w:t>247F</w:t>
      </w:r>
      <w:r w:rsidR="00317AE4">
        <w:rPr>
          <w:rFonts w:ascii="ZWAdobeF" w:hAnsi="ZWAdobeF" w:cs="ZWAdobeF"/>
          <w:color w:val="auto"/>
          <w:sz w:val="2"/>
          <w:szCs w:val="2"/>
        </w:rPr>
        <w:t>247F</w:t>
      </w:r>
      <w:r w:rsidR="006E03D8">
        <w:rPr>
          <w:rStyle w:val="FootnoteReference"/>
        </w:rPr>
        <w:footnoteReference w:id="249"/>
      </w:r>
      <w:r w:rsidR="006E03D8">
        <w:t xml:space="preserve">  </w:t>
      </w:r>
    </w:p>
    <w:p w14:paraId="5103325D" w14:textId="77777777" w:rsidR="006E03D8" w:rsidRDefault="006E03D8" w:rsidP="006E03D8">
      <w:pPr>
        <w:pStyle w:val="Heading3"/>
      </w:pPr>
      <w:r>
        <w:t>United Kingdom Competition Appeal Tribunal</w:t>
      </w:r>
    </w:p>
    <w:p w14:paraId="02AFFF8B" w14:textId="211DAED3" w:rsidR="006E03D8" w:rsidRDefault="00BD5C95" w:rsidP="009B37CB">
      <w:pPr>
        <w:pStyle w:val="BodyText"/>
        <w:tabs>
          <w:tab w:val="num" w:pos="709"/>
        </w:tabs>
      </w:pPr>
      <w:r>
        <w:rPr>
          <w:rFonts w:ascii="ZWAdobeF" w:hAnsi="ZWAdobeF" w:cs="ZWAdobeF"/>
          <w:color w:val="auto"/>
          <w:sz w:val="2"/>
          <w:szCs w:val="2"/>
        </w:rPr>
        <w:t>139B</w:t>
      </w:r>
      <w:r w:rsidR="0049638A">
        <w:rPr>
          <w:rFonts w:ascii="ZWAdobeF" w:hAnsi="ZWAdobeF" w:cs="ZWAdobeF"/>
          <w:color w:val="auto"/>
          <w:sz w:val="2"/>
          <w:szCs w:val="2"/>
        </w:rPr>
        <w:t>139B</w:t>
      </w:r>
      <w:r w:rsidR="00D629FA">
        <w:rPr>
          <w:rFonts w:ascii="ZWAdobeF" w:hAnsi="ZWAdobeF" w:cs="ZWAdobeF"/>
          <w:color w:val="auto"/>
          <w:sz w:val="2"/>
          <w:szCs w:val="2"/>
        </w:rPr>
        <w:t>139B</w:t>
      </w:r>
      <w:r w:rsidR="006E03D8">
        <w:t>Where more than one person seeks approval to act as the class representative in respect of the same claims, the United Kingdom Competition Appeal Tribunal must consider who would be the most suitable applicant.</w:t>
      </w:r>
      <w:r w:rsidR="00D629FA">
        <w:rPr>
          <w:rFonts w:ascii="ZWAdobeF" w:hAnsi="ZWAdobeF" w:cs="ZWAdobeF"/>
          <w:color w:val="auto"/>
          <w:sz w:val="2"/>
          <w:szCs w:val="2"/>
        </w:rPr>
        <w:t>248F</w:t>
      </w:r>
      <w:r w:rsidR="0049638A">
        <w:rPr>
          <w:rFonts w:ascii="ZWAdobeF" w:hAnsi="ZWAdobeF" w:cs="ZWAdobeF"/>
          <w:color w:val="auto"/>
          <w:sz w:val="2"/>
          <w:szCs w:val="2"/>
        </w:rPr>
        <w:t>248F</w:t>
      </w:r>
      <w:r w:rsidR="00317AE4">
        <w:rPr>
          <w:rFonts w:ascii="ZWAdobeF" w:hAnsi="ZWAdobeF" w:cs="ZWAdobeF"/>
          <w:color w:val="auto"/>
          <w:sz w:val="2"/>
          <w:szCs w:val="2"/>
        </w:rPr>
        <w:t>248F</w:t>
      </w:r>
      <w:r w:rsidR="006E03D8">
        <w:rPr>
          <w:rStyle w:val="FootnoteReference"/>
        </w:rPr>
        <w:footnoteReference w:id="250"/>
      </w:r>
      <w:r w:rsidR="006E03D8">
        <w:t xml:space="preserve"> According to the Tribunal’s </w:t>
      </w:r>
      <w:r w:rsidR="006E03D8">
        <w:rPr>
          <w:i/>
          <w:iCs/>
        </w:rPr>
        <w:t xml:space="preserve">Guide to Proceedings, </w:t>
      </w:r>
      <w:r w:rsidR="006E03D8">
        <w:t>relevant factors are likely to include the proposed class definition and scope of the claims, the quality of the litigation plan and the experience of the respective lawyers.</w:t>
      </w:r>
      <w:r w:rsidR="00D629FA">
        <w:rPr>
          <w:rFonts w:ascii="ZWAdobeF" w:hAnsi="ZWAdobeF" w:cs="ZWAdobeF"/>
          <w:color w:val="auto"/>
          <w:sz w:val="2"/>
          <w:szCs w:val="2"/>
        </w:rPr>
        <w:t>249F</w:t>
      </w:r>
      <w:r w:rsidR="0049638A">
        <w:rPr>
          <w:rFonts w:ascii="ZWAdobeF" w:hAnsi="ZWAdobeF" w:cs="ZWAdobeF"/>
          <w:color w:val="auto"/>
          <w:sz w:val="2"/>
          <w:szCs w:val="2"/>
        </w:rPr>
        <w:t>249F</w:t>
      </w:r>
      <w:r w:rsidR="00317AE4">
        <w:rPr>
          <w:rFonts w:ascii="ZWAdobeF" w:hAnsi="ZWAdobeF" w:cs="ZWAdobeF"/>
          <w:color w:val="auto"/>
          <w:sz w:val="2"/>
          <w:szCs w:val="2"/>
        </w:rPr>
        <w:t>249F</w:t>
      </w:r>
      <w:r w:rsidR="006E03D8">
        <w:rPr>
          <w:rStyle w:val="FootnoteReference"/>
        </w:rPr>
        <w:footnoteReference w:id="251"/>
      </w:r>
      <w:r w:rsidR="006E03D8">
        <w:t xml:space="preserve"> The Tribunal considered its first case of competing class actions in July 2021 and a decision is pending.</w:t>
      </w:r>
      <w:r w:rsidR="00D629FA">
        <w:rPr>
          <w:rFonts w:ascii="ZWAdobeF" w:hAnsi="ZWAdobeF" w:cs="ZWAdobeF"/>
          <w:color w:val="auto"/>
          <w:sz w:val="2"/>
          <w:szCs w:val="2"/>
        </w:rPr>
        <w:t>250F</w:t>
      </w:r>
      <w:r w:rsidR="0049638A">
        <w:rPr>
          <w:rFonts w:ascii="ZWAdobeF" w:hAnsi="ZWAdobeF" w:cs="ZWAdobeF"/>
          <w:color w:val="auto"/>
          <w:sz w:val="2"/>
          <w:szCs w:val="2"/>
        </w:rPr>
        <w:t>250F</w:t>
      </w:r>
      <w:r w:rsidR="00317AE4">
        <w:rPr>
          <w:rFonts w:ascii="ZWAdobeF" w:hAnsi="ZWAdobeF" w:cs="ZWAdobeF"/>
          <w:color w:val="auto"/>
          <w:sz w:val="2"/>
          <w:szCs w:val="2"/>
        </w:rPr>
        <w:t>250F</w:t>
      </w:r>
      <w:r w:rsidR="006E03D8">
        <w:rPr>
          <w:rStyle w:val="FootnoteReference"/>
        </w:rPr>
        <w:footnoteReference w:id="252"/>
      </w:r>
      <w:r w:rsidR="006E03D8">
        <w:t xml:space="preserve"> </w:t>
      </w:r>
    </w:p>
    <w:p w14:paraId="34EB1E3C" w14:textId="42849BCC" w:rsidR="006E03D8" w:rsidRDefault="006524E1" w:rsidP="006E03D8">
      <w:pPr>
        <w:pStyle w:val="Heading3"/>
      </w:pPr>
      <w:r>
        <w:t xml:space="preserve">How </w:t>
      </w:r>
      <w:r w:rsidR="006E03D8">
        <w:t>competing class actions</w:t>
      </w:r>
      <w:r>
        <w:t xml:space="preserve"> should be managed</w:t>
      </w:r>
      <w:r w:rsidR="006E03D8">
        <w:t xml:space="preserve">   </w:t>
      </w:r>
    </w:p>
    <w:p w14:paraId="3AF3BA1E" w14:textId="0AC89C10" w:rsidR="006E03D8" w:rsidRDefault="00BD5C95" w:rsidP="009B37CB">
      <w:pPr>
        <w:pStyle w:val="BodyText"/>
      </w:pPr>
      <w:r>
        <w:rPr>
          <w:rFonts w:ascii="ZWAdobeF" w:hAnsi="ZWAdobeF" w:cs="ZWAdobeF"/>
          <w:color w:val="auto"/>
          <w:sz w:val="2"/>
          <w:szCs w:val="2"/>
        </w:rPr>
        <w:t>140B</w:t>
      </w:r>
      <w:r w:rsidR="0049638A">
        <w:rPr>
          <w:rFonts w:ascii="ZWAdobeF" w:hAnsi="ZWAdobeF" w:cs="ZWAdobeF"/>
          <w:color w:val="auto"/>
          <w:sz w:val="2"/>
          <w:szCs w:val="2"/>
        </w:rPr>
        <w:t>140B</w:t>
      </w:r>
      <w:r w:rsidR="00D629FA">
        <w:rPr>
          <w:rFonts w:ascii="ZWAdobeF" w:hAnsi="ZWAdobeF" w:cs="ZWAdobeF"/>
          <w:color w:val="auto"/>
          <w:sz w:val="2"/>
          <w:szCs w:val="2"/>
        </w:rPr>
        <w:t>140B</w:t>
      </w:r>
      <w:r w:rsidR="006E03D8">
        <w:t>We think there should be a legislative provision setting out a process to determine how competing class actions should be managed. The experience of other jurisdictions indicates that without an express provision, the process of addressing competing class actions can be costly and drawn out.</w:t>
      </w:r>
      <w:r w:rsidR="00D629FA">
        <w:rPr>
          <w:rFonts w:ascii="ZWAdobeF" w:hAnsi="ZWAdobeF" w:cs="ZWAdobeF"/>
          <w:color w:val="auto"/>
          <w:sz w:val="2"/>
          <w:szCs w:val="2"/>
        </w:rPr>
        <w:t>251F</w:t>
      </w:r>
      <w:r w:rsidR="0049638A">
        <w:rPr>
          <w:rFonts w:ascii="ZWAdobeF" w:hAnsi="ZWAdobeF" w:cs="ZWAdobeF"/>
          <w:color w:val="auto"/>
          <w:sz w:val="2"/>
          <w:szCs w:val="2"/>
        </w:rPr>
        <w:t>251F</w:t>
      </w:r>
      <w:r w:rsidR="00317AE4">
        <w:rPr>
          <w:rFonts w:ascii="ZWAdobeF" w:hAnsi="ZWAdobeF" w:cs="ZWAdobeF"/>
          <w:color w:val="auto"/>
          <w:sz w:val="2"/>
          <w:szCs w:val="2"/>
        </w:rPr>
        <w:t>251F</w:t>
      </w:r>
      <w:r w:rsidR="006E03D8">
        <w:rPr>
          <w:rStyle w:val="FootnoteReference"/>
        </w:rPr>
        <w:footnoteReference w:id="253"/>
      </w:r>
      <w:r w:rsidR="006E03D8">
        <w:t xml:space="preserve"> We think </w:t>
      </w:r>
      <w:r w:rsidR="001B7412">
        <w:t xml:space="preserve">such an </w:t>
      </w:r>
      <w:r w:rsidR="006E03D8">
        <w:t xml:space="preserve">approach is most similar to Ontario, where there is a statutory </w:t>
      </w:r>
      <w:r w:rsidR="00D1751A">
        <w:t>‘</w:t>
      </w:r>
      <w:r w:rsidR="006E03D8">
        <w:t>carriage motion</w:t>
      </w:r>
      <w:r w:rsidR="00D1751A">
        <w:t>’</w:t>
      </w:r>
      <w:r w:rsidR="006E03D8">
        <w:t xml:space="preserve"> procedure. However, as we discuss below, it may be helpful to draw upon principles developed by Australian courts in managing competing class actions. Given that our proposed certification test does not include a requirement for the court to approve </w:t>
      </w:r>
      <w:r w:rsidR="00D1751A">
        <w:t>‘</w:t>
      </w:r>
      <w:r w:rsidR="006E03D8">
        <w:t>class counsel</w:t>
      </w:r>
      <w:r w:rsidR="00D1751A">
        <w:t>’</w:t>
      </w:r>
      <w:r w:rsidR="006E03D8">
        <w:t xml:space="preserve">, we do not see the United States approach as suitable for Aotearoa New Zealand. Nor do we think competing class </w:t>
      </w:r>
      <w:r w:rsidR="006E03D8">
        <w:lastRenderedPageBreak/>
        <w:t xml:space="preserve">actions should be considered when approving a representative plaintiff. The fact that one representative plaintiff would be more suitable than another does not mean </w:t>
      </w:r>
      <w:r w:rsidR="00D653B0">
        <w:t xml:space="preserve">their </w:t>
      </w:r>
      <w:r w:rsidR="006E03D8">
        <w:t xml:space="preserve">case is more suitable to proceed.  </w:t>
      </w:r>
    </w:p>
    <w:p w14:paraId="3337E4F8" w14:textId="24D55A83" w:rsidR="006E03D8" w:rsidRDefault="00BD5C95" w:rsidP="009B37CB">
      <w:pPr>
        <w:pStyle w:val="BodyText"/>
      </w:pPr>
      <w:r>
        <w:rPr>
          <w:rFonts w:ascii="ZWAdobeF" w:hAnsi="ZWAdobeF" w:cs="ZWAdobeF"/>
          <w:color w:val="auto"/>
          <w:sz w:val="2"/>
          <w:szCs w:val="2"/>
        </w:rPr>
        <w:t>141B</w:t>
      </w:r>
      <w:r w:rsidR="0049638A">
        <w:rPr>
          <w:rFonts w:ascii="ZWAdobeF" w:hAnsi="ZWAdobeF" w:cs="ZWAdobeF"/>
          <w:color w:val="auto"/>
          <w:sz w:val="2"/>
          <w:szCs w:val="2"/>
        </w:rPr>
        <w:t>141B</w:t>
      </w:r>
      <w:r w:rsidR="00D629FA">
        <w:rPr>
          <w:rFonts w:ascii="ZWAdobeF" w:hAnsi="ZWAdobeF" w:cs="ZWAdobeF"/>
          <w:color w:val="auto"/>
          <w:sz w:val="2"/>
          <w:szCs w:val="2"/>
        </w:rPr>
        <w:t>141B</w:t>
      </w:r>
      <w:r w:rsidR="006E03D8">
        <w:t xml:space="preserve">We discuss below some of the issues that would need to be considered if a legislative provision for managing competing class actions was developed: </w:t>
      </w:r>
    </w:p>
    <w:p w14:paraId="0257D04B" w14:textId="04D61AF8" w:rsidR="006E03D8" w:rsidRDefault="00BD5C95" w:rsidP="00932DB9">
      <w:pPr>
        <w:pStyle w:val="BodyTextnonum"/>
        <w:numPr>
          <w:ilvl w:val="3"/>
          <w:numId w:val="14"/>
        </w:numPr>
      </w:pPr>
      <w:r>
        <w:rPr>
          <w:rFonts w:ascii="ZWAdobeF" w:hAnsi="ZWAdobeF" w:cs="ZWAdobeF"/>
          <w:color w:val="auto"/>
          <w:sz w:val="2"/>
          <w:szCs w:val="2"/>
        </w:rPr>
        <w:t>663B</w:t>
      </w:r>
      <w:r w:rsidR="0049638A">
        <w:rPr>
          <w:rFonts w:ascii="ZWAdobeF" w:hAnsi="ZWAdobeF" w:cs="ZWAdobeF"/>
          <w:color w:val="auto"/>
          <w:sz w:val="2"/>
          <w:szCs w:val="2"/>
        </w:rPr>
        <w:t>663B</w:t>
      </w:r>
      <w:r w:rsidR="00D629FA">
        <w:rPr>
          <w:rFonts w:ascii="ZWAdobeF" w:hAnsi="ZWAdobeF" w:cs="ZWAdobeF"/>
          <w:color w:val="auto"/>
          <w:sz w:val="2"/>
          <w:szCs w:val="2"/>
        </w:rPr>
        <w:t>663B</w:t>
      </w:r>
      <w:r w:rsidR="006E03D8">
        <w:t>What should be considered competing class action</w:t>
      </w:r>
      <w:r w:rsidR="00ED6C21">
        <w:t>s</w:t>
      </w:r>
      <w:r w:rsidR="006E03D8">
        <w:t>.</w:t>
      </w:r>
    </w:p>
    <w:p w14:paraId="7DDE8AAF" w14:textId="1EBAF1AC" w:rsidR="006E03D8" w:rsidRDefault="00BD5C95" w:rsidP="00932DB9">
      <w:pPr>
        <w:pStyle w:val="BodyTextnonum"/>
        <w:numPr>
          <w:ilvl w:val="3"/>
          <w:numId w:val="14"/>
        </w:numPr>
      </w:pPr>
      <w:r>
        <w:rPr>
          <w:rFonts w:ascii="ZWAdobeF" w:hAnsi="ZWAdobeF" w:cs="ZWAdobeF"/>
          <w:color w:val="auto"/>
          <w:sz w:val="2"/>
          <w:szCs w:val="2"/>
        </w:rPr>
        <w:t>664B</w:t>
      </w:r>
      <w:r w:rsidR="0049638A">
        <w:rPr>
          <w:rFonts w:ascii="ZWAdobeF" w:hAnsi="ZWAdobeF" w:cs="ZWAdobeF"/>
          <w:color w:val="auto"/>
          <w:sz w:val="2"/>
          <w:szCs w:val="2"/>
        </w:rPr>
        <w:t>664B</w:t>
      </w:r>
      <w:r w:rsidR="00D629FA">
        <w:rPr>
          <w:rFonts w:ascii="ZWAdobeF" w:hAnsi="ZWAdobeF" w:cs="ZWAdobeF"/>
          <w:color w:val="auto"/>
          <w:sz w:val="2"/>
          <w:szCs w:val="2"/>
        </w:rPr>
        <w:t>664B</w:t>
      </w:r>
      <w:r w:rsidR="006E03D8">
        <w:t>Timing issues, such as whether there should be a time period for lodging a competing class action.</w:t>
      </w:r>
    </w:p>
    <w:p w14:paraId="5D7B59AE" w14:textId="231CB0E4" w:rsidR="006E03D8" w:rsidRDefault="00BD5C95" w:rsidP="00932DB9">
      <w:pPr>
        <w:pStyle w:val="BodyTextnonum"/>
        <w:numPr>
          <w:ilvl w:val="3"/>
          <w:numId w:val="14"/>
        </w:numPr>
      </w:pPr>
      <w:r>
        <w:rPr>
          <w:rFonts w:ascii="ZWAdobeF" w:hAnsi="ZWAdobeF" w:cs="ZWAdobeF"/>
          <w:color w:val="auto"/>
          <w:sz w:val="2"/>
          <w:szCs w:val="2"/>
        </w:rPr>
        <w:t>665B</w:t>
      </w:r>
      <w:r w:rsidR="0049638A">
        <w:rPr>
          <w:rFonts w:ascii="ZWAdobeF" w:hAnsi="ZWAdobeF" w:cs="ZWAdobeF"/>
          <w:color w:val="auto"/>
          <w:sz w:val="2"/>
          <w:szCs w:val="2"/>
        </w:rPr>
        <w:t>665B</w:t>
      </w:r>
      <w:r w:rsidR="00D629FA">
        <w:rPr>
          <w:rFonts w:ascii="ZWAdobeF" w:hAnsi="ZWAdobeF" w:cs="ZWAdobeF"/>
          <w:color w:val="auto"/>
          <w:sz w:val="2"/>
          <w:szCs w:val="2"/>
        </w:rPr>
        <w:t>665B</w:t>
      </w:r>
      <w:r w:rsidR="006E03D8">
        <w:t>What powers the court should have to manage competing class actions.</w:t>
      </w:r>
    </w:p>
    <w:p w14:paraId="602C4D96" w14:textId="1789F8DB" w:rsidR="006E03D8" w:rsidRDefault="00BD5C95" w:rsidP="00932DB9">
      <w:pPr>
        <w:pStyle w:val="BodyTextnonum"/>
        <w:numPr>
          <w:ilvl w:val="3"/>
          <w:numId w:val="14"/>
        </w:numPr>
      </w:pPr>
      <w:r>
        <w:rPr>
          <w:rFonts w:ascii="ZWAdobeF" w:hAnsi="ZWAdobeF" w:cs="ZWAdobeF"/>
          <w:color w:val="auto"/>
          <w:sz w:val="2"/>
          <w:szCs w:val="2"/>
        </w:rPr>
        <w:t>666B</w:t>
      </w:r>
      <w:r w:rsidR="0049638A">
        <w:rPr>
          <w:rFonts w:ascii="ZWAdobeF" w:hAnsi="ZWAdobeF" w:cs="ZWAdobeF"/>
          <w:color w:val="auto"/>
          <w:sz w:val="2"/>
          <w:szCs w:val="2"/>
        </w:rPr>
        <w:t>666B</w:t>
      </w:r>
      <w:r w:rsidR="00D629FA">
        <w:rPr>
          <w:rFonts w:ascii="ZWAdobeF" w:hAnsi="ZWAdobeF" w:cs="ZWAdobeF"/>
          <w:color w:val="auto"/>
          <w:sz w:val="2"/>
          <w:szCs w:val="2"/>
        </w:rPr>
        <w:t>666B</w:t>
      </w:r>
      <w:r w:rsidR="00A13C20">
        <w:t>What criteria the court should apply when determining how to manage competing class actions.</w:t>
      </w:r>
    </w:p>
    <w:p w14:paraId="1EA96A7B" w14:textId="416D4201" w:rsidR="006E03D8" w:rsidRDefault="00BD5C95" w:rsidP="00932DB9">
      <w:pPr>
        <w:pStyle w:val="BodyTextnonum"/>
        <w:numPr>
          <w:ilvl w:val="3"/>
          <w:numId w:val="14"/>
        </w:numPr>
      </w:pPr>
      <w:r>
        <w:rPr>
          <w:rFonts w:ascii="ZWAdobeF" w:hAnsi="ZWAdobeF" w:cs="ZWAdobeF"/>
          <w:color w:val="auto"/>
          <w:sz w:val="2"/>
          <w:szCs w:val="2"/>
        </w:rPr>
        <w:t>667B</w:t>
      </w:r>
      <w:r w:rsidR="0049638A">
        <w:rPr>
          <w:rFonts w:ascii="ZWAdobeF" w:hAnsi="ZWAdobeF" w:cs="ZWAdobeF"/>
          <w:color w:val="auto"/>
          <w:sz w:val="2"/>
          <w:szCs w:val="2"/>
        </w:rPr>
        <w:t>667B</w:t>
      </w:r>
      <w:r w:rsidR="00D629FA">
        <w:rPr>
          <w:rFonts w:ascii="ZWAdobeF" w:hAnsi="ZWAdobeF" w:cs="ZWAdobeF"/>
          <w:color w:val="auto"/>
          <w:sz w:val="2"/>
          <w:szCs w:val="2"/>
        </w:rPr>
        <w:t>667B</w:t>
      </w:r>
      <w:r w:rsidR="006E03D8">
        <w:t xml:space="preserve">Whether the defendant may be involved in any hearing to determine which class action should proceed.  </w:t>
      </w:r>
    </w:p>
    <w:p w14:paraId="6466B53E" w14:textId="3A771BAE" w:rsidR="006E03D8" w:rsidRDefault="006E03D8" w:rsidP="006E03D8">
      <w:pPr>
        <w:pStyle w:val="Heading2"/>
      </w:pPr>
      <w:bookmarkStart w:id="54" w:name="_Toc83895440"/>
      <w:r>
        <w:t>Definition of competing class action</w:t>
      </w:r>
      <w:r w:rsidR="00ED6C21">
        <w:t>s</w:t>
      </w:r>
      <w:bookmarkEnd w:id="54"/>
    </w:p>
    <w:p w14:paraId="5343ED14" w14:textId="2490D2B4" w:rsidR="006E03D8" w:rsidRDefault="00BD5C95" w:rsidP="009B37CB">
      <w:pPr>
        <w:pStyle w:val="BodyText"/>
        <w:tabs>
          <w:tab w:val="num" w:pos="709"/>
        </w:tabs>
      </w:pPr>
      <w:r>
        <w:rPr>
          <w:rFonts w:ascii="ZWAdobeF" w:hAnsi="ZWAdobeF" w:cs="ZWAdobeF"/>
          <w:color w:val="auto"/>
          <w:sz w:val="2"/>
          <w:szCs w:val="2"/>
        </w:rPr>
        <w:t>142B</w:t>
      </w:r>
      <w:r w:rsidR="0049638A">
        <w:rPr>
          <w:rFonts w:ascii="ZWAdobeF" w:hAnsi="ZWAdobeF" w:cs="ZWAdobeF"/>
          <w:color w:val="auto"/>
          <w:sz w:val="2"/>
          <w:szCs w:val="2"/>
        </w:rPr>
        <w:t>142B</w:t>
      </w:r>
      <w:r w:rsidR="00D629FA">
        <w:rPr>
          <w:rFonts w:ascii="ZWAdobeF" w:hAnsi="ZWAdobeF" w:cs="ZWAdobeF"/>
          <w:color w:val="auto"/>
          <w:sz w:val="2"/>
          <w:szCs w:val="2"/>
        </w:rPr>
        <w:t>142B</w:t>
      </w:r>
      <w:r w:rsidR="006E03D8">
        <w:t>We think the legislation should define what is regarded as competing class action</w:t>
      </w:r>
      <w:r w:rsidR="00ED6C21">
        <w:t>s</w:t>
      </w:r>
      <w:r w:rsidR="006E03D8">
        <w:t>.  One approach would be to require some overlap in the class composition, so that at least some people are members of more than one class. This could occur where at least one of the class actions has class membership determined on an opt-out basis. The Ontario legislation takes this definitional approach, referring to “two or more proceedings… [which] involve the same or similar subject matter and some or all of the same class members</w:t>
      </w:r>
      <w:r w:rsidR="000A6BBD">
        <w:t>”.</w:t>
      </w:r>
      <w:r w:rsidR="00D629FA">
        <w:rPr>
          <w:rFonts w:ascii="ZWAdobeF" w:hAnsi="ZWAdobeF" w:cs="ZWAdobeF"/>
          <w:color w:val="auto"/>
          <w:sz w:val="2"/>
          <w:szCs w:val="2"/>
        </w:rPr>
        <w:t>252F</w:t>
      </w:r>
      <w:r w:rsidR="0049638A">
        <w:rPr>
          <w:rFonts w:ascii="ZWAdobeF" w:hAnsi="ZWAdobeF" w:cs="ZWAdobeF"/>
          <w:color w:val="auto"/>
          <w:sz w:val="2"/>
          <w:szCs w:val="2"/>
        </w:rPr>
        <w:t>252F</w:t>
      </w:r>
      <w:r w:rsidR="00317AE4">
        <w:rPr>
          <w:rFonts w:ascii="ZWAdobeF" w:hAnsi="ZWAdobeF" w:cs="ZWAdobeF"/>
          <w:color w:val="auto"/>
          <w:sz w:val="2"/>
          <w:szCs w:val="2"/>
        </w:rPr>
        <w:t>252F</w:t>
      </w:r>
      <w:r w:rsidR="006E03D8">
        <w:rPr>
          <w:rStyle w:val="FootnoteReference"/>
        </w:rPr>
        <w:footnoteReference w:id="254"/>
      </w:r>
      <w:r w:rsidR="006E03D8">
        <w:t xml:space="preserve"> The ALRC initially proposed defining a competing class action</w:t>
      </w:r>
      <w:r w:rsidR="00ED6C21">
        <w:t>s</w:t>
      </w:r>
      <w:r w:rsidR="006E03D8">
        <w:t xml:space="preserve"> as:</w:t>
      </w:r>
      <w:r w:rsidR="00D629FA">
        <w:rPr>
          <w:rFonts w:ascii="ZWAdobeF" w:hAnsi="ZWAdobeF" w:cs="ZWAdobeF"/>
          <w:color w:val="auto"/>
          <w:sz w:val="2"/>
          <w:szCs w:val="2"/>
        </w:rPr>
        <w:t>253F</w:t>
      </w:r>
      <w:r w:rsidR="0049638A">
        <w:rPr>
          <w:rFonts w:ascii="ZWAdobeF" w:hAnsi="ZWAdobeF" w:cs="ZWAdobeF"/>
          <w:color w:val="auto"/>
          <w:sz w:val="2"/>
          <w:szCs w:val="2"/>
        </w:rPr>
        <w:t>253F</w:t>
      </w:r>
      <w:r w:rsidR="00317AE4">
        <w:rPr>
          <w:rFonts w:ascii="ZWAdobeF" w:hAnsi="ZWAdobeF" w:cs="ZWAdobeF"/>
          <w:color w:val="auto"/>
          <w:sz w:val="2"/>
          <w:szCs w:val="2"/>
        </w:rPr>
        <w:t>253F</w:t>
      </w:r>
      <w:r w:rsidR="006E03D8">
        <w:rPr>
          <w:rStyle w:val="FootnoteReference"/>
        </w:rPr>
        <w:footnoteReference w:id="255"/>
      </w:r>
      <w:r w:rsidR="006E03D8">
        <w:t xml:space="preserve"> </w:t>
      </w:r>
    </w:p>
    <w:p w14:paraId="6FEB0522" w14:textId="23652F69" w:rsidR="006E03D8" w:rsidRDefault="00BD5C95" w:rsidP="006E03D8">
      <w:pPr>
        <w:pStyle w:val="Quote"/>
      </w:pPr>
      <w:r>
        <w:rPr>
          <w:rFonts w:ascii="ZWAdobeF" w:hAnsi="ZWAdobeF" w:cs="ZWAdobeF"/>
          <w:color w:val="auto"/>
          <w:sz w:val="2"/>
          <w:szCs w:val="2"/>
        </w:rPr>
        <w:t>1460B</w:t>
      </w:r>
      <w:r w:rsidR="0049638A">
        <w:rPr>
          <w:rFonts w:ascii="ZWAdobeF" w:hAnsi="ZWAdobeF" w:cs="ZWAdobeF"/>
          <w:color w:val="auto"/>
          <w:sz w:val="2"/>
          <w:szCs w:val="2"/>
        </w:rPr>
        <w:t>1460B</w:t>
      </w:r>
      <w:r w:rsidR="00D629FA">
        <w:rPr>
          <w:rFonts w:ascii="ZWAdobeF" w:hAnsi="ZWAdobeF" w:cs="ZWAdobeF"/>
          <w:color w:val="auto"/>
          <w:sz w:val="2"/>
          <w:szCs w:val="2"/>
        </w:rPr>
        <w:t>1460B</w:t>
      </w:r>
      <w:r w:rsidR="006E03D8">
        <w:t>[T]wo or more class actions where there is a non-theoretical possibility that a person may be a class member of more than one class action and, as a result, would be seeking relief from the respondents for the same claim in multiple proceedings.</w:t>
      </w:r>
    </w:p>
    <w:p w14:paraId="2630E6A2" w14:textId="2C9080CB" w:rsidR="006E03D8" w:rsidRDefault="00BD5C95" w:rsidP="009B37CB">
      <w:pPr>
        <w:pStyle w:val="BodyText"/>
        <w:tabs>
          <w:tab w:val="num" w:pos="709"/>
        </w:tabs>
      </w:pPr>
      <w:r>
        <w:rPr>
          <w:rFonts w:ascii="ZWAdobeF" w:hAnsi="ZWAdobeF" w:cs="ZWAdobeF"/>
          <w:color w:val="auto"/>
          <w:sz w:val="2"/>
          <w:szCs w:val="2"/>
        </w:rPr>
        <w:t>143B</w:t>
      </w:r>
      <w:r w:rsidR="0049638A">
        <w:rPr>
          <w:rFonts w:ascii="ZWAdobeF" w:hAnsi="ZWAdobeF" w:cs="ZWAdobeF"/>
          <w:color w:val="auto"/>
          <w:sz w:val="2"/>
          <w:szCs w:val="2"/>
        </w:rPr>
        <w:t>143B</w:t>
      </w:r>
      <w:r w:rsidR="00D629FA">
        <w:rPr>
          <w:rFonts w:ascii="ZWAdobeF" w:hAnsi="ZWAdobeF" w:cs="ZWAdobeF"/>
          <w:color w:val="auto"/>
          <w:sz w:val="2"/>
          <w:szCs w:val="2"/>
        </w:rPr>
        <w:t>143B</w:t>
      </w:r>
      <w:r w:rsidR="006E03D8">
        <w:t>A wider definition would also include class actions with respect to the same legal dispute or subject matter where none of the class members overlap.</w:t>
      </w:r>
      <w:r w:rsidR="00D629FA">
        <w:rPr>
          <w:rFonts w:ascii="ZWAdobeF" w:hAnsi="ZWAdobeF" w:cs="ZWAdobeF"/>
          <w:color w:val="auto"/>
          <w:sz w:val="2"/>
          <w:szCs w:val="2"/>
        </w:rPr>
        <w:t>254F</w:t>
      </w:r>
      <w:r w:rsidR="0049638A">
        <w:rPr>
          <w:rFonts w:ascii="ZWAdobeF" w:hAnsi="ZWAdobeF" w:cs="ZWAdobeF"/>
          <w:color w:val="auto"/>
          <w:sz w:val="2"/>
          <w:szCs w:val="2"/>
        </w:rPr>
        <w:t>254F</w:t>
      </w:r>
      <w:r w:rsidR="00317AE4">
        <w:rPr>
          <w:rFonts w:ascii="ZWAdobeF" w:hAnsi="ZWAdobeF" w:cs="ZWAdobeF"/>
          <w:color w:val="auto"/>
          <w:sz w:val="2"/>
          <w:szCs w:val="2"/>
        </w:rPr>
        <w:t>254F</w:t>
      </w:r>
      <w:r w:rsidR="006E03D8">
        <w:rPr>
          <w:rStyle w:val="FootnoteReference"/>
        </w:rPr>
        <w:footnoteReference w:id="256"/>
      </w:r>
      <w:r w:rsidR="006E03D8">
        <w:t xml:space="preserve"> This could easily happen when multiple opt-in proceedings are brought. It could also occur when the class definition and/or common issue of an opt-out claim is carefully designed to avoid overlap. It has been argued that this wider category should also be considered competing class actions:</w:t>
      </w:r>
      <w:r w:rsidR="00D629FA">
        <w:rPr>
          <w:rFonts w:ascii="ZWAdobeF" w:hAnsi="ZWAdobeF" w:cs="ZWAdobeF"/>
          <w:color w:val="auto"/>
          <w:sz w:val="2"/>
          <w:szCs w:val="2"/>
        </w:rPr>
        <w:t>255F</w:t>
      </w:r>
      <w:r w:rsidR="0049638A">
        <w:rPr>
          <w:rFonts w:ascii="ZWAdobeF" w:hAnsi="ZWAdobeF" w:cs="ZWAdobeF"/>
          <w:color w:val="auto"/>
          <w:sz w:val="2"/>
          <w:szCs w:val="2"/>
        </w:rPr>
        <w:t>255F</w:t>
      </w:r>
      <w:r w:rsidR="00317AE4">
        <w:rPr>
          <w:rFonts w:ascii="ZWAdobeF" w:hAnsi="ZWAdobeF" w:cs="ZWAdobeF"/>
          <w:color w:val="auto"/>
          <w:sz w:val="2"/>
          <w:szCs w:val="2"/>
        </w:rPr>
        <w:t>255F</w:t>
      </w:r>
      <w:r w:rsidR="006E03D8">
        <w:rPr>
          <w:rStyle w:val="FootnoteReference"/>
        </w:rPr>
        <w:footnoteReference w:id="257"/>
      </w:r>
      <w:r w:rsidR="006E03D8">
        <w:t xml:space="preserve">  </w:t>
      </w:r>
    </w:p>
    <w:p w14:paraId="3D0CA34D" w14:textId="77AC7162" w:rsidR="006E03D8" w:rsidRDefault="00BD5C95" w:rsidP="006E03D8">
      <w:pPr>
        <w:pStyle w:val="Quote"/>
      </w:pPr>
      <w:r>
        <w:rPr>
          <w:rFonts w:ascii="ZWAdobeF" w:hAnsi="ZWAdobeF" w:cs="ZWAdobeF"/>
          <w:color w:val="auto"/>
          <w:sz w:val="2"/>
          <w:szCs w:val="2"/>
        </w:rPr>
        <w:t>1461B</w:t>
      </w:r>
      <w:r w:rsidR="0049638A">
        <w:rPr>
          <w:rFonts w:ascii="ZWAdobeF" w:hAnsi="ZWAdobeF" w:cs="ZWAdobeF"/>
          <w:color w:val="auto"/>
          <w:sz w:val="2"/>
          <w:szCs w:val="2"/>
        </w:rPr>
        <w:t>1461B</w:t>
      </w:r>
      <w:r w:rsidR="00D629FA">
        <w:rPr>
          <w:rFonts w:ascii="ZWAdobeF" w:hAnsi="ZWAdobeF" w:cs="ZWAdobeF"/>
          <w:color w:val="auto"/>
          <w:sz w:val="2"/>
          <w:szCs w:val="2"/>
        </w:rPr>
        <w:t>1461B</w:t>
      </w:r>
      <w:r w:rsidR="006E03D8">
        <w:t xml:space="preserve">The fact that class actions with respect to the same dispute are filed on behalf of different claimants does not mean that they are not competing with, influencing, or having a </w:t>
      </w:r>
      <w:r w:rsidR="006E03D8">
        <w:lastRenderedPageBreak/>
        <w:t>significant effect on each other or that they do not pose problems such as “increased legal costs for both sides, wastage of court resources, delay, and unfairness to respondents</w:t>
      </w:r>
      <w:r w:rsidR="000A6BBD">
        <w:t>.</w:t>
      </w:r>
      <w:r w:rsidR="006E03D8">
        <w:t xml:space="preserve"> </w:t>
      </w:r>
    </w:p>
    <w:p w14:paraId="28E1A1A2" w14:textId="3EA9BCAB" w:rsidR="006E03D8" w:rsidRDefault="00BD5C95" w:rsidP="009B37CB">
      <w:pPr>
        <w:pStyle w:val="BodyText"/>
        <w:tabs>
          <w:tab w:val="num" w:pos="709"/>
        </w:tabs>
      </w:pPr>
      <w:r>
        <w:rPr>
          <w:rFonts w:ascii="ZWAdobeF" w:hAnsi="ZWAdobeF" w:cs="ZWAdobeF"/>
          <w:color w:val="auto"/>
          <w:sz w:val="2"/>
          <w:szCs w:val="2"/>
        </w:rPr>
        <w:t>144B</w:t>
      </w:r>
      <w:r w:rsidR="0049638A">
        <w:rPr>
          <w:rFonts w:ascii="ZWAdobeF" w:hAnsi="ZWAdobeF" w:cs="ZWAdobeF"/>
          <w:color w:val="auto"/>
          <w:sz w:val="2"/>
          <w:szCs w:val="2"/>
        </w:rPr>
        <w:t>144B</w:t>
      </w:r>
      <w:r w:rsidR="00D629FA">
        <w:rPr>
          <w:rFonts w:ascii="ZWAdobeF" w:hAnsi="ZWAdobeF" w:cs="ZWAdobeF"/>
          <w:color w:val="auto"/>
          <w:sz w:val="2"/>
          <w:szCs w:val="2"/>
        </w:rPr>
        <w:t>144B</w:t>
      </w:r>
      <w:r w:rsidR="006E03D8">
        <w:t>In light of this argument, the ALRC expanded its definition of competing class action</w:t>
      </w:r>
      <w:r w:rsidR="00ED6C21">
        <w:t>s</w:t>
      </w:r>
      <w:r w:rsidR="006E03D8">
        <w:t xml:space="preserve"> to also include “two or more class actions with respect to the same dispute filed on behalf of different claimants</w:t>
      </w:r>
      <w:r w:rsidR="000A6BBD">
        <w:t>”.</w:t>
      </w:r>
      <w:r w:rsidR="00D629FA">
        <w:rPr>
          <w:rFonts w:ascii="ZWAdobeF" w:hAnsi="ZWAdobeF" w:cs="ZWAdobeF"/>
          <w:color w:val="auto"/>
          <w:sz w:val="2"/>
          <w:szCs w:val="2"/>
        </w:rPr>
        <w:t>256F</w:t>
      </w:r>
      <w:r w:rsidR="0049638A">
        <w:rPr>
          <w:rFonts w:ascii="ZWAdobeF" w:hAnsi="ZWAdobeF" w:cs="ZWAdobeF"/>
          <w:color w:val="auto"/>
          <w:sz w:val="2"/>
          <w:szCs w:val="2"/>
        </w:rPr>
        <w:t>256F</w:t>
      </w:r>
      <w:r w:rsidR="00317AE4">
        <w:rPr>
          <w:rFonts w:ascii="ZWAdobeF" w:hAnsi="ZWAdobeF" w:cs="ZWAdobeF"/>
          <w:color w:val="auto"/>
          <w:sz w:val="2"/>
          <w:szCs w:val="2"/>
        </w:rPr>
        <w:t>256F</w:t>
      </w:r>
      <w:r w:rsidR="006E03D8">
        <w:rPr>
          <w:rStyle w:val="FootnoteReference"/>
        </w:rPr>
        <w:footnoteReference w:id="258"/>
      </w:r>
    </w:p>
    <w:p w14:paraId="73028377" w14:textId="03E54C8A" w:rsidR="006E03D8" w:rsidRDefault="00BD5C95" w:rsidP="009B37CB">
      <w:pPr>
        <w:pStyle w:val="BodyText"/>
        <w:tabs>
          <w:tab w:val="num" w:pos="709"/>
        </w:tabs>
      </w:pPr>
      <w:r>
        <w:rPr>
          <w:rFonts w:ascii="ZWAdobeF" w:hAnsi="ZWAdobeF" w:cs="ZWAdobeF"/>
          <w:color w:val="auto"/>
          <w:sz w:val="2"/>
          <w:szCs w:val="2"/>
        </w:rPr>
        <w:t>145B</w:t>
      </w:r>
      <w:r w:rsidR="0049638A">
        <w:rPr>
          <w:rFonts w:ascii="ZWAdobeF" w:hAnsi="ZWAdobeF" w:cs="ZWAdobeF"/>
          <w:color w:val="auto"/>
          <w:sz w:val="2"/>
          <w:szCs w:val="2"/>
        </w:rPr>
        <w:t>145B</w:t>
      </w:r>
      <w:r w:rsidR="00D629FA">
        <w:rPr>
          <w:rFonts w:ascii="ZWAdobeF" w:hAnsi="ZWAdobeF" w:cs="ZWAdobeF"/>
          <w:color w:val="auto"/>
          <w:sz w:val="2"/>
          <w:szCs w:val="2"/>
        </w:rPr>
        <w:t>145B</w:t>
      </w:r>
      <w:r w:rsidR="006E03D8">
        <w:t>Our view is that a wide definition of competing class action</w:t>
      </w:r>
      <w:r w:rsidR="00ED6C21">
        <w:t>s</w:t>
      </w:r>
      <w:r w:rsidR="006E03D8">
        <w:t xml:space="preserve"> is appropriate, such as:</w:t>
      </w:r>
    </w:p>
    <w:p w14:paraId="427A4E3D" w14:textId="43147BFC" w:rsidR="006E03D8" w:rsidRDefault="00BD5C95" w:rsidP="006E03D8">
      <w:pPr>
        <w:pStyle w:val="Quote"/>
      </w:pPr>
      <w:r>
        <w:rPr>
          <w:rFonts w:ascii="ZWAdobeF" w:hAnsi="ZWAdobeF" w:cs="ZWAdobeF"/>
          <w:color w:val="auto"/>
          <w:sz w:val="2"/>
          <w:szCs w:val="2"/>
        </w:rPr>
        <w:t>1462B</w:t>
      </w:r>
      <w:r w:rsidR="0049638A">
        <w:rPr>
          <w:rFonts w:ascii="ZWAdobeF" w:hAnsi="ZWAdobeF" w:cs="ZWAdobeF"/>
          <w:color w:val="auto"/>
          <w:sz w:val="2"/>
          <w:szCs w:val="2"/>
        </w:rPr>
        <w:t>1462B</w:t>
      </w:r>
      <w:r w:rsidR="00D629FA">
        <w:rPr>
          <w:rFonts w:ascii="ZWAdobeF" w:hAnsi="ZWAdobeF" w:cs="ZWAdobeF"/>
          <w:color w:val="auto"/>
          <w:sz w:val="2"/>
          <w:szCs w:val="2"/>
        </w:rPr>
        <w:t>1462B</w:t>
      </w:r>
      <w:r w:rsidR="006E03D8">
        <w:t>Two or more class actions with respect to the same or substantially similar issues filed against the same defendant by different representative plaintiffs.</w:t>
      </w:r>
    </w:p>
    <w:p w14:paraId="6918441D" w14:textId="26FC9608" w:rsidR="006E03D8" w:rsidRDefault="00BD5C95" w:rsidP="009B37CB">
      <w:pPr>
        <w:pStyle w:val="BodyText"/>
        <w:tabs>
          <w:tab w:val="num" w:pos="709"/>
        </w:tabs>
      </w:pPr>
      <w:r>
        <w:rPr>
          <w:rFonts w:ascii="ZWAdobeF" w:hAnsi="ZWAdobeF" w:cs="ZWAdobeF"/>
          <w:color w:val="auto"/>
          <w:sz w:val="2"/>
          <w:szCs w:val="2"/>
        </w:rPr>
        <w:t>146B</w:t>
      </w:r>
      <w:r w:rsidR="0049638A">
        <w:rPr>
          <w:rFonts w:ascii="ZWAdobeF" w:hAnsi="ZWAdobeF" w:cs="ZWAdobeF"/>
          <w:color w:val="auto"/>
          <w:sz w:val="2"/>
          <w:szCs w:val="2"/>
        </w:rPr>
        <w:t>146B</w:t>
      </w:r>
      <w:r w:rsidR="00D629FA">
        <w:rPr>
          <w:rFonts w:ascii="ZWAdobeF" w:hAnsi="ZWAdobeF" w:cs="ZWAdobeF"/>
          <w:color w:val="auto"/>
          <w:sz w:val="2"/>
          <w:szCs w:val="2"/>
        </w:rPr>
        <w:t>146B</w:t>
      </w:r>
      <w:r w:rsidR="006E03D8">
        <w:t xml:space="preserve">Having more than one class action about the same matter is likely to be inefficient and burdensome for the courts and the defendant. It may cause confusion for class members, even if there is no overlap in class membership. A wider definition would </w:t>
      </w:r>
      <w:r w:rsidR="00A56A25">
        <w:t xml:space="preserve">enable </w:t>
      </w:r>
      <w:r w:rsidR="006E03D8">
        <w:t xml:space="preserve">the court to manage multiple opt-in class actions, where the requirement to formally opt into the proceeding means that a person cannot inadvertently be a member of more than one class action. </w:t>
      </w:r>
    </w:p>
    <w:p w14:paraId="12441C90" w14:textId="13CDC57E" w:rsidR="00A10896" w:rsidRDefault="00294BC9" w:rsidP="00A10896">
      <w:pPr>
        <w:pStyle w:val="QuestionBox"/>
      </w:pPr>
      <w:r>
        <w:rPr>
          <w:noProof/>
        </w:rPr>
        <mc:AlternateContent>
          <mc:Choice Requires="wpg">
            <w:drawing>
              <wp:anchor distT="0" distB="0" distL="114300" distR="114300" simplePos="0" relativeHeight="251651120" behindDoc="1" locked="0" layoutInCell="1" allowOverlap="1" wp14:anchorId="581E3AC7" wp14:editId="7DC26992">
                <wp:simplePos x="0" y="0"/>
                <wp:positionH relativeFrom="column">
                  <wp:posOffset>-3810</wp:posOffset>
                </wp:positionH>
                <wp:positionV relativeFrom="paragraph">
                  <wp:posOffset>-2540</wp:posOffset>
                </wp:positionV>
                <wp:extent cx="5760085" cy="1485923"/>
                <wp:effectExtent l="0" t="0" r="0" b="0"/>
                <wp:wrapNone/>
                <wp:docPr id="764518072" name="Group 764518072"/>
                <wp:cNvGraphicFramePr/>
                <a:graphic xmlns:a="http://schemas.openxmlformats.org/drawingml/2006/main">
                  <a:graphicData uri="http://schemas.microsoft.com/office/word/2010/wordprocessingGroup">
                    <wpg:wgp>
                      <wpg:cNvGrpSpPr/>
                      <wpg:grpSpPr>
                        <a:xfrm>
                          <a:off x="0" y="0"/>
                          <a:ext cx="5760085" cy="1485923"/>
                          <a:chOff x="0" y="62865"/>
                          <a:chExt cx="5760085" cy="1486074"/>
                        </a:xfrm>
                      </wpg:grpSpPr>
                      <wps:wsp>
                        <wps:cNvPr id="76451807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C28D58" w14:textId="77777777" w:rsidR="00A55F53" w:rsidRDefault="00A55F53" w:rsidP="00294BC9">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74" name="Group 53"/>
                        <wpg:cNvGrpSpPr>
                          <a:grpSpLocks/>
                        </wpg:cNvGrpSpPr>
                        <wpg:grpSpPr bwMode="auto">
                          <a:xfrm>
                            <a:off x="0" y="316263"/>
                            <a:ext cx="5760085" cy="1232676"/>
                            <a:chOff x="1837" y="1792"/>
                            <a:chExt cx="9302" cy="13315"/>
                          </a:xfrm>
                        </wpg:grpSpPr>
                        <wps:wsp>
                          <wps:cNvPr id="764518075" name="Freeform 54"/>
                          <wps:cNvSpPr>
                            <a:spLocks/>
                          </wps:cNvSpPr>
                          <wps:spPr bwMode="auto">
                            <a:xfrm>
                              <a:off x="1837" y="1792"/>
                              <a:ext cx="9302" cy="1331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76" name="Group 764518076"/>
                        <wpg:cNvGrpSpPr/>
                        <wpg:grpSpPr>
                          <a:xfrm>
                            <a:off x="0" y="494036"/>
                            <a:ext cx="1443794" cy="252000"/>
                            <a:chOff x="-15880" y="0"/>
                            <a:chExt cx="1444379" cy="252068"/>
                          </a:xfrm>
                        </wpg:grpSpPr>
                        <wps:wsp>
                          <wps:cNvPr id="76451807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7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B54967" w14:textId="0A44FEC6" w:rsidR="00A55F53" w:rsidRPr="00E700FF" w:rsidRDefault="00A55F53" w:rsidP="00294BC9">
                                <w:pPr>
                                  <w:pStyle w:val="BoxTitle"/>
                                  <w:spacing w:before="0" w:beforeAutospacing="0"/>
                                </w:pPr>
                                <w:r w:rsidRPr="001C1B37">
                                  <w:t>Q</w:t>
                                </w:r>
                                <w: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81E3AC7" id="Group 764518072" o:spid="_x0000_s1243" style="position:absolute;left:0;text-align:left;margin-left:-.3pt;margin-top:-.2pt;width:453.55pt;height:117pt;z-index:-251665360;mso-height-relative:margin" coordorigin=",628" coordsize="57600,1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">
                <v:shape id="_x0000_s124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4C28D58" w14:textId="77777777" w:rsidR="00A55F53" w:rsidRDefault="00A55F53" w:rsidP="00294BC9">
                        <w:pPr>
                          <w:pStyle w:val="BoxTitle"/>
                          <w:spacing w:before="0" w:beforeAutospacing="0"/>
                        </w:pPr>
                        <w:r w:rsidRPr="007F6876">
                          <w:t>QUESTION</w:t>
                        </w:r>
                      </w:p>
                    </w:txbxContent>
                  </v:textbox>
                </v:shape>
                <v:group id="Group 53" o:spid="_x0000_s1245" style="position:absolute;top:3162;width:57600;height:12327" coordorigin="1837,1792" coordsize="9302,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">
                  <v:shape id="Freeform 54" o:spid="_x0000_s1246" style="position:absolute;left:1837;top:1792;width:9302;height:1331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" path="m,l9354,r,7809l,7809,,e" fillcolor="#edf2ea" stroked="f">
                    <v:path arrowok="t" o:connecttype="custom" o:connectlocs="0,1705;9302,1705;9302,15020;0,15020;0,1705" o:connectangles="0,0,0,0,0"/>
                  </v:shape>
                </v:group>
                <v:group id="Group 764518076" o:spid="_x0000_s124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">
                  <v:shape id="Freeform 58" o:spid="_x0000_s124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" path="m,l1815,e" filled="f" strokecolor="#72ab6a" strokeweight=".5pt">
                    <v:path arrowok="t" o:connecttype="custom" o:connectlocs="0,0;1073495,0" o:connectangles="0,0"/>
                  </v:shape>
                  <v:shape id="Freeform 66" o:spid="_x0000_s124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6B54967" w14:textId="0A44FEC6" w:rsidR="00A55F53" w:rsidRPr="00E700FF" w:rsidRDefault="00A55F53" w:rsidP="00294BC9">
                          <w:pPr>
                            <w:pStyle w:val="BoxTitle"/>
                            <w:spacing w:before="0" w:beforeAutospacing="0"/>
                          </w:pPr>
                          <w:r w:rsidRPr="001C1B37">
                            <w:t>Q</w:t>
                          </w:r>
                          <w:r>
                            <w:t>7</w:t>
                          </w:r>
                        </w:p>
                      </w:txbxContent>
                    </v:textbox>
                  </v:shape>
                </v:group>
              </v:group>
            </w:pict>
          </mc:Fallback>
        </mc:AlternateContent>
      </w:r>
    </w:p>
    <w:p w14:paraId="277C8F5C" w14:textId="7236A0C5" w:rsidR="00A10896" w:rsidRDefault="00A10896" w:rsidP="00A10896">
      <w:pPr>
        <w:pStyle w:val="QuestionBox"/>
      </w:pPr>
    </w:p>
    <w:p w14:paraId="62F9F116" w14:textId="158B95C0" w:rsidR="006E03D8" w:rsidRPr="00B7465F" w:rsidRDefault="00BD5C95" w:rsidP="00A10896">
      <w:pPr>
        <w:pStyle w:val="QuestionBox"/>
      </w:pPr>
      <w:r>
        <w:rPr>
          <w:rFonts w:ascii="ZWAdobeF" w:hAnsi="ZWAdobeF" w:cs="ZWAdobeF"/>
          <w:color w:val="auto"/>
          <w:sz w:val="2"/>
          <w:szCs w:val="2"/>
        </w:rPr>
        <w:t>1395B</w:t>
      </w:r>
      <w:r w:rsidR="0049638A">
        <w:rPr>
          <w:rFonts w:ascii="ZWAdobeF" w:hAnsi="ZWAdobeF" w:cs="ZWAdobeF"/>
          <w:color w:val="auto"/>
          <w:sz w:val="2"/>
          <w:szCs w:val="2"/>
        </w:rPr>
        <w:t>1395B</w:t>
      </w:r>
      <w:r w:rsidR="00D629FA">
        <w:rPr>
          <w:rFonts w:ascii="ZWAdobeF" w:hAnsi="ZWAdobeF" w:cs="ZWAdobeF"/>
          <w:color w:val="auto"/>
          <w:sz w:val="2"/>
          <w:szCs w:val="2"/>
        </w:rPr>
        <w:t>1395B</w:t>
      </w:r>
      <w:r w:rsidR="006E03D8">
        <w:t>Do you agree competing class action</w:t>
      </w:r>
      <w:r w:rsidR="00ED6C21">
        <w:t>s</w:t>
      </w:r>
      <w:r w:rsidR="006E03D8">
        <w:t xml:space="preserve"> should be defined as two or more class actions with respect to the same or substantially similar issues filed against the same defendant by different representative plaintiffs? If not, how should </w:t>
      </w:r>
      <w:r w:rsidR="00D3395E">
        <w:t>they</w:t>
      </w:r>
      <w:r w:rsidR="006E03D8">
        <w:t xml:space="preserve"> be defined</w:t>
      </w:r>
      <w:r w:rsidR="006E03D8" w:rsidRPr="00B7465F">
        <w:t xml:space="preserve">? </w:t>
      </w:r>
    </w:p>
    <w:p w14:paraId="29A2D00E" w14:textId="77777777" w:rsidR="006E03D8" w:rsidRPr="00D13688" w:rsidRDefault="006E03D8" w:rsidP="00D653B0">
      <w:pPr>
        <w:pStyle w:val="BodyText"/>
        <w:numPr>
          <w:ilvl w:val="0"/>
          <w:numId w:val="0"/>
        </w:numPr>
        <w:rPr>
          <w:highlight w:val="yellow"/>
        </w:rPr>
      </w:pPr>
    </w:p>
    <w:p w14:paraId="6614749D" w14:textId="77777777" w:rsidR="006E03D8" w:rsidRDefault="006E03D8" w:rsidP="006E03D8">
      <w:pPr>
        <w:pStyle w:val="Heading2"/>
      </w:pPr>
      <w:bookmarkStart w:id="55" w:name="_Toc83895441"/>
      <w:r>
        <w:t>Timing issues for competing class actions</w:t>
      </w:r>
      <w:bookmarkEnd w:id="55"/>
      <w:r>
        <w:t xml:space="preserve"> </w:t>
      </w:r>
    </w:p>
    <w:p w14:paraId="39CA8879" w14:textId="4A17FE82" w:rsidR="006E03D8" w:rsidRDefault="00BD5C95" w:rsidP="009B37CB">
      <w:pPr>
        <w:pStyle w:val="BodyText"/>
      </w:pPr>
      <w:r>
        <w:rPr>
          <w:rFonts w:ascii="ZWAdobeF" w:hAnsi="ZWAdobeF" w:cs="ZWAdobeF"/>
          <w:color w:val="auto"/>
          <w:sz w:val="2"/>
          <w:szCs w:val="2"/>
        </w:rPr>
        <w:t>147B</w:t>
      </w:r>
      <w:r w:rsidR="0049638A">
        <w:rPr>
          <w:rFonts w:ascii="ZWAdobeF" w:hAnsi="ZWAdobeF" w:cs="ZWAdobeF"/>
          <w:color w:val="auto"/>
          <w:sz w:val="2"/>
          <w:szCs w:val="2"/>
        </w:rPr>
        <w:t>147B</w:t>
      </w:r>
      <w:r w:rsidR="00D629FA">
        <w:rPr>
          <w:rFonts w:ascii="ZWAdobeF" w:hAnsi="ZWAdobeF" w:cs="ZWAdobeF"/>
          <w:color w:val="auto"/>
          <w:sz w:val="2"/>
          <w:szCs w:val="2"/>
        </w:rPr>
        <w:t>147B</w:t>
      </w:r>
      <w:r w:rsidR="006E03D8">
        <w:t xml:space="preserve">Timing issues need to be considered, such as whether to have a deadline for filing any competing class action and whether the court should consider competing class actions prior to certification.  </w:t>
      </w:r>
    </w:p>
    <w:p w14:paraId="29E250D7" w14:textId="77777777" w:rsidR="006E03D8" w:rsidRDefault="006E03D8" w:rsidP="006E03D8">
      <w:pPr>
        <w:pStyle w:val="Heading4"/>
      </w:pPr>
      <w:r>
        <w:t>Should there be a deadline for filing a competing class action?</w:t>
      </w:r>
    </w:p>
    <w:p w14:paraId="6A441B80" w14:textId="1069DB54" w:rsidR="006E03D8" w:rsidRDefault="00BD5C95" w:rsidP="009B37CB">
      <w:pPr>
        <w:pStyle w:val="BodyText"/>
      </w:pPr>
      <w:r>
        <w:rPr>
          <w:rFonts w:ascii="ZWAdobeF" w:hAnsi="ZWAdobeF" w:cs="ZWAdobeF"/>
          <w:color w:val="auto"/>
          <w:sz w:val="2"/>
          <w:szCs w:val="2"/>
        </w:rPr>
        <w:t>148B</w:t>
      </w:r>
      <w:r w:rsidR="0049638A">
        <w:rPr>
          <w:rFonts w:ascii="ZWAdobeF" w:hAnsi="ZWAdobeF" w:cs="ZWAdobeF"/>
          <w:color w:val="auto"/>
          <w:sz w:val="2"/>
          <w:szCs w:val="2"/>
        </w:rPr>
        <w:t>148B</w:t>
      </w:r>
      <w:r w:rsidR="00D629FA">
        <w:rPr>
          <w:rFonts w:ascii="ZWAdobeF" w:hAnsi="ZWAdobeF" w:cs="ZWAdobeF"/>
          <w:color w:val="auto"/>
          <w:sz w:val="2"/>
          <w:szCs w:val="2"/>
        </w:rPr>
        <w:t>148B</w:t>
      </w:r>
      <w:r w:rsidR="006E03D8">
        <w:t>The ALRC considered that competing class actions should be resolved as early in the litigation as possible. It proposed that when a class action is filed, any competing class action should have to be filed within a defined period of time, such as 90 days from when the first class action is commenced.</w:t>
      </w:r>
      <w:r w:rsidR="00D629FA">
        <w:rPr>
          <w:rFonts w:ascii="ZWAdobeF" w:hAnsi="ZWAdobeF" w:cs="ZWAdobeF"/>
          <w:color w:val="auto"/>
          <w:sz w:val="2"/>
          <w:szCs w:val="2"/>
        </w:rPr>
        <w:t>257F</w:t>
      </w:r>
      <w:r w:rsidR="0049638A">
        <w:rPr>
          <w:rFonts w:ascii="ZWAdobeF" w:hAnsi="ZWAdobeF" w:cs="ZWAdobeF"/>
          <w:color w:val="auto"/>
          <w:sz w:val="2"/>
          <w:szCs w:val="2"/>
        </w:rPr>
        <w:t>257F</w:t>
      </w:r>
      <w:r w:rsidR="00317AE4">
        <w:rPr>
          <w:rFonts w:ascii="ZWAdobeF" w:hAnsi="ZWAdobeF" w:cs="ZWAdobeF"/>
          <w:color w:val="auto"/>
          <w:sz w:val="2"/>
          <w:szCs w:val="2"/>
        </w:rPr>
        <w:t>257F</w:t>
      </w:r>
      <w:r w:rsidR="006E03D8">
        <w:rPr>
          <w:rStyle w:val="FootnoteReference"/>
        </w:rPr>
        <w:footnoteReference w:id="259"/>
      </w:r>
      <w:r w:rsidR="006E03D8">
        <w:t xml:space="preserve"> Under the ALRC’s proposal, there would be a “standstill” during the 90-day period and the court could not take into account any book building that occurs during this period.</w:t>
      </w:r>
      <w:r w:rsidR="00D629FA">
        <w:rPr>
          <w:rFonts w:ascii="ZWAdobeF" w:hAnsi="ZWAdobeF" w:cs="ZWAdobeF"/>
          <w:color w:val="auto"/>
          <w:sz w:val="2"/>
          <w:szCs w:val="2"/>
        </w:rPr>
        <w:t>258F</w:t>
      </w:r>
      <w:r w:rsidR="0049638A">
        <w:rPr>
          <w:rFonts w:ascii="ZWAdobeF" w:hAnsi="ZWAdobeF" w:cs="ZWAdobeF"/>
          <w:color w:val="auto"/>
          <w:sz w:val="2"/>
          <w:szCs w:val="2"/>
        </w:rPr>
        <w:t>258F</w:t>
      </w:r>
      <w:r w:rsidR="00317AE4">
        <w:rPr>
          <w:rFonts w:ascii="ZWAdobeF" w:hAnsi="ZWAdobeF" w:cs="ZWAdobeF"/>
          <w:color w:val="auto"/>
          <w:sz w:val="2"/>
          <w:szCs w:val="2"/>
        </w:rPr>
        <w:t>258F</w:t>
      </w:r>
      <w:r w:rsidR="006E03D8">
        <w:rPr>
          <w:rStyle w:val="FootnoteReference"/>
        </w:rPr>
        <w:footnoteReference w:id="260"/>
      </w:r>
      <w:r w:rsidR="006E03D8">
        <w:t xml:space="preserve"> This is to discourage a ‘race to the court’</w:t>
      </w:r>
      <w:r w:rsidR="00306AEB">
        <w:t>.</w:t>
      </w:r>
      <w:r w:rsidR="006E03D8">
        <w:t xml:space="preserve"> Once the 90-day period is over, no class actions with respect to the issues in dispute could be </w:t>
      </w:r>
      <w:r w:rsidR="006E03D8">
        <w:lastRenderedPageBreak/>
        <w:t>initiated.</w:t>
      </w:r>
      <w:r w:rsidR="00D629FA">
        <w:rPr>
          <w:rFonts w:ascii="ZWAdobeF" w:hAnsi="ZWAdobeF" w:cs="ZWAdobeF"/>
          <w:color w:val="auto"/>
          <w:sz w:val="2"/>
          <w:szCs w:val="2"/>
        </w:rPr>
        <w:t>259F</w:t>
      </w:r>
      <w:r w:rsidR="0049638A">
        <w:rPr>
          <w:rFonts w:ascii="ZWAdobeF" w:hAnsi="ZWAdobeF" w:cs="ZWAdobeF"/>
          <w:color w:val="auto"/>
          <w:sz w:val="2"/>
          <w:szCs w:val="2"/>
        </w:rPr>
        <w:t>259F</w:t>
      </w:r>
      <w:r w:rsidR="00317AE4">
        <w:rPr>
          <w:rFonts w:ascii="ZWAdobeF" w:hAnsi="ZWAdobeF" w:cs="ZWAdobeF"/>
          <w:color w:val="auto"/>
          <w:sz w:val="2"/>
          <w:szCs w:val="2"/>
        </w:rPr>
        <w:t>259F</w:t>
      </w:r>
      <w:r w:rsidR="006E03D8">
        <w:rPr>
          <w:rStyle w:val="FootnoteReference"/>
        </w:rPr>
        <w:footnoteReference w:id="261"/>
      </w:r>
      <w:r w:rsidR="006E03D8">
        <w:t xml:space="preserve"> The ALRC’s proposal has been criticised as imposing stricter time requirements than provided for in limitation statutes, as well as being likely to lead to unfair situations. For example, unfairness could arise where no competing class action is filed within the time period and the initial class action ends without a judicial determination on the merits.</w:t>
      </w:r>
      <w:r w:rsidR="00D629FA">
        <w:rPr>
          <w:rFonts w:ascii="ZWAdobeF" w:hAnsi="ZWAdobeF" w:cs="ZWAdobeF"/>
          <w:color w:val="auto"/>
          <w:sz w:val="2"/>
          <w:szCs w:val="2"/>
        </w:rPr>
        <w:t>260F</w:t>
      </w:r>
      <w:r w:rsidR="0049638A">
        <w:rPr>
          <w:rFonts w:ascii="ZWAdobeF" w:hAnsi="ZWAdobeF" w:cs="ZWAdobeF"/>
          <w:color w:val="auto"/>
          <w:sz w:val="2"/>
          <w:szCs w:val="2"/>
        </w:rPr>
        <w:t>260F</w:t>
      </w:r>
      <w:r w:rsidR="00317AE4">
        <w:rPr>
          <w:rFonts w:ascii="ZWAdobeF" w:hAnsi="ZWAdobeF" w:cs="ZWAdobeF"/>
          <w:color w:val="auto"/>
          <w:sz w:val="2"/>
          <w:szCs w:val="2"/>
        </w:rPr>
        <w:t>260F</w:t>
      </w:r>
      <w:r w:rsidR="006E03D8">
        <w:rPr>
          <w:rStyle w:val="FootnoteReference"/>
        </w:rPr>
        <w:footnoteReference w:id="262"/>
      </w:r>
      <w:r w:rsidR="006E03D8">
        <w:t xml:space="preserve"> </w:t>
      </w:r>
    </w:p>
    <w:p w14:paraId="51DFDDB5" w14:textId="480FCEE0" w:rsidR="006E03D8" w:rsidRDefault="00BD5C95" w:rsidP="009B37CB">
      <w:pPr>
        <w:pStyle w:val="BodyText"/>
      </w:pPr>
      <w:r>
        <w:rPr>
          <w:rFonts w:ascii="ZWAdobeF" w:hAnsi="ZWAdobeF" w:cs="ZWAdobeF"/>
          <w:color w:val="auto"/>
          <w:sz w:val="2"/>
          <w:szCs w:val="2"/>
        </w:rPr>
        <w:t>149B</w:t>
      </w:r>
      <w:r w:rsidR="0049638A">
        <w:rPr>
          <w:rFonts w:ascii="ZWAdobeF" w:hAnsi="ZWAdobeF" w:cs="ZWAdobeF"/>
          <w:color w:val="auto"/>
          <w:sz w:val="2"/>
          <w:szCs w:val="2"/>
        </w:rPr>
        <w:t>149B</w:t>
      </w:r>
      <w:r w:rsidR="00D629FA">
        <w:rPr>
          <w:rFonts w:ascii="ZWAdobeF" w:hAnsi="ZWAdobeF" w:cs="ZWAdobeF"/>
          <w:color w:val="auto"/>
          <w:sz w:val="2"/>
          <w:szCs w:val="2"/>
        </w:rPr>
        <w:t>149B</w:t>
      </w:r>
      <w:r w:rsidR="006E03D8">
        <w:t>In Ontario, any competing class action must be commenced within 60 days of the initial class action being filed (or with the leave of the court). This requirement was based on a recommendation of the LCO, which was influenced by the ALRC proposal.</w:t>
      </w:r>
      <w:r w:rsidR="00D629FA">
        <w:rPr>
          <w:rFonts w:ascii="ZWAdobeF" w:hAnsi="ZWAdobeF" w:cs="ZWAdobeF"/>
          <w:color w:val="auto"/>
          <w:sz w:val="2"/>
          <w:szCs w:val="2"/>
        </w:rPr>
        <w:t>261F</w:t>
      </w:r>
      <w:r w:rsidR="0049638A">
        <w:rPr>
          <w:rFonts w:ascii="ZWAdobeF" w:hAnsi="ZWAdobeF" w:cs="ZWAdobeF"/>
          <w:color w:val="auto"/>
          <w:sz w:val="2"/>
          <w:szCs w:val="2"/>
        </w:rPr>
        <w:t>261F</w:t>
      </w:r>
      <w:r w:rsidR="00317AE4">
        <w:rPr>
          <w:rFonts w:ascii="ZWAdobeF" w:hAnsi="ZWAdobeF" w:cs="ZWAdobeF"/>
          <w:color w:val="auto"/>
          <w:sz w:val="2"/>
          <w:szCs w:val="2"/>
        </w:rPr>
        <w:t>261F</w:t>
      </w:r>
      <w:r w:rsidR="006E03D8">
        <w:rPr>
          <w:rStyle w:val="FootnoteReference"/>
        </w:rPr>
        <w:footnoteReference w:id="263"/>
      </w:r>
      <w:r w:rsidR="006E03D8">
        <w:t xml:space="preserve"> </w:t>
      </w:r>
    </w:p>
    <w:p w14:paraId="14494B4A" w14:textId="62912DCA" w:rsidR="006E03D8" w:rsidRDefault="00BD5C95" w:rsidP="009B37CB">
      <w:pPr>
        <w:pStyle w:val="BodyText"/>
      </w:pPr>
      <w:r>
        <w:rPr>
          <w:rFonts w:ascii="ZWAdobeF" w:hAnsi="ZWAdobeF" w:cs="ZWAdobeF"/>
          <w:color w:val="auto"/>
          <w:sz w:val="2"/>
          <w:szCs w:val="2"/>
        </w:rPr>
        <w:t>150B</w:t>
      </w:r>
      <w:r w:rsidR="0049638A">
        <w:rPr>
          <w:rFonts w:ascii="ZWAdobeF" w:hAnsi="ZWAdobeF" w:cs="ZWAdobeF"/>
          <w:color w:val="auto"/>
          <w:sz w:val="2"/>
          <w:szCs w:val="2"/>
        </w:rPr>
        <w:t>150B</w:t>
      </w:r>
      <w:r w:rsidR="00D629FA">
        <w:rPr>
          <w:rFonts w:ascii="ZWAdobeF" w:hAnsi="ZWAdobeF" w:cs="ZWAdobeF"/>
          <w:color w:val="auto"/>
          <w:sz w:val="2"/>
          <w:szCs w:val="2"/>
        </w:rPr>
        <w:t>150B</w:t>
      </w:r>
      <w:r w:rsidR="006E03D8">
        <w:t xml:space="preserve">We consider it would be desirable to have a time limit for filing any competing class actions, otherwise there is the possibility of competing actions being filed after the first class action has been certified. We propose that any competing class actions should be filed within 90 days of the first class action being commenced. After this date, we suggest that any class action on the same dispute should only be commenced with the leave of the court. There may be situations where it is appropriate for the court to allow a class action to be filed after this time, for example, where the class actions are only peripherally related. We also note that having a time limit would not prevent individual proceedings from being commenced on the same issue. </w:t>
      </w:r>
    </w:p>
    <w:p w14:paraId="5ADA03E3" w14:textId="21804B68" w:rsidR="006E03D8" w:rsidRDefault="00BD5C95" w:rsidP="009B37CB">
      <w:pPr>
        <w:pStyle w:val="BodyText"/>
      </w:pPr>
      <w:r>
        <w:rPr>
          <w:rFonts w:ascii="ZWAdobeF" w:hAnsi="ZWAdobeF" w:cs="ZWAdobeF"/>
          <w:color w:val="auto"/>
          <w:sz w:val="2"/>
          <w:szCs w:val="2"/>
        </w:rPr>
        <w:t>151B</w:t>
      </w:r>
      <w:r w:rsidR="0049638A">
        <w:rPr>
          <w:rFonts w:ascii="ZWAdobeF" w:hAnsi="ZWAdobeF" w:cs="ZWAdobeF"/>
          <w:color w:val="auto"/>
          <w:sz w:val="2"/>
          <w:szCs w:val="2"/>
        </w:rPr>
        <w:t>151B</w:t>
      </w:r>
      <w:r w:rsidR="00D629FA">
        <w:rPr>
          <w:rFonts w:ascii="ZWAdobeF" w:hAnsi="ZWAdobeF" w:cs="ZWAdobeF"/>
          <w:color w:val="auto"/>
          <w:sz w:val="2"/>
          <w:szCs w:val="2"/>
        </w:rPr>
        <w:t>151B</w:t>
      </w:r>
      <w:r w:rsidR="006E03D8">
        <w:t>If there is a time limit, it is important that other lawyers and funders are aware of the first class action filed. We do not favour the ALRC approach of requiring litigants to provide notice to other potential claimants and lawyers of a class action, as it is unclear who would need to be informed.</w:t>
      </w:r>
      <w:r w:rsidR="00D629FA">
        <w:rPr>
          <w:rFonts w:ascii="ZWAdobeF" w:hAnsi="ZWAdobeF" w:cs="ZWAdobeF"/>
          <w:color w:val="auto"/>
          <w:sz w:val="2"/>
          <w:szCs w:val="2"/>
        </w:rPr>
        <w:t>262F</w:t>
      </w:r>
      <w:r w:rsidR="0049638A">
        <w:rPr>
          <w:rFonts w:ascii="ZWAdobeF" w:hAnsi="ZWAdobeF" w:cs="ZWAdobeF"/>
          <w:color w:val="auto"/>
          <w:sz w:val="2"/>
          <w:szCs w:val="2"/>
        </w:rPr>
        <w:t>262F</w:t>
      </w:r>
      <w:r w:rsidR="00317AE4">
        <w:rPr>
          <w:rFonts w:ascii="ZWAdobeF" w:hAnsi="ZWAdobeF" w:cs="ZWAdobeF"/>
          <w:color w:val="auto"/>
          <w:sz w:val="2"/>
          <w:szCs w:val="2"/>
        </w:rPr>
        <w:t>262F</w:t>
      </w:r>
      <w:r w:rsidR="006E03D8">
        <w:rPr>
          <w:rStyle w:val="FootnoteReference"/>
        </w:rPr>
        <w:footnoteReference w:id="264"/>
      </w:r>
      <w:r w:rsidR="006E03D8">
        <w:t xml:space="preserve"> This approach may be more workable in Australia, where there are established plaintiff class action law firms. One option would be to have a publicly available list of current class actions, such as on the </w:t>
      </w:r>
      <w:r w:rsidR="009E2573">
        <w:t xml:space="preserve">Ngā Kōti o Aotearoa | </w:t>
      </w:r>
      <w:r w:rsidR="006E03D8">
        <w:t>Courts of New Zealand website, with an ability to sign up for email notifications of any new class actions. This would allow lawyers and litigation funders to stay abreast of current class actions and their status. It may be necessary for the statement of claim to be made publicly available so that other lawyers and funders can determine whether a competing class action is feasible or not.</w:t>
      </w:r>
    </w:p>
    <w:p w14:paraId="78D40988" w14:textId="51D99B10" w:rsidR="006E03D8" w:rsidRDefault="00BD5C95" w:rsidP="009B37CB">
      <w:pPr>
        <w:pStyle w:val="BodyText"/>
        <w:rPr>
          <w:rFonts w:ascii="Arial" w:hAnsi="Arial" w:cs="Arial"/>
          <w:color w:val="3A3A3A"/>
          <w:sz w:val="18"/>
          <w:szCs w:val="18"/>
          <w:shd w:val="clear" w:color="auto" w:fill="FFFFFF"/>
        </w:rPr>
      </w:pPr>
      <w:r>
        <w:rPr>
          <w:rFonts w:ascii="ZWAdobeF" w:hAnsi="ZWAdobeF" w:cs="ZWAdobeF"/>
          <w:color w:val="auto"/>
          <w:sz w:val="2"/>
          <w:szCs w:val="2"/>
        </w:rPr>
        <w:t>152B</w:t>
      </w:r>
      <w:r w:rsidR="0049638A">
        <w:rPr>
          <w:rFonts w:ascii="ZWAdobeF" w:hAnsi="ZWAdobeF" w:cs="ZWAdobeF"/>
          <w:color w:val="auto"/>
          <w:sz w:val="2"/>
          <w:szCs w:val="2"/>
        </w:rPr>
        <w:t>152B</w:t>
      </w:r>
      <w:r w:rsidR="00D629FA">
        <w:rPr>
          <w:rFonts w:ascii="ZWAdobeF" w:hAnsi="ZWAdobeF" w:cs="ZWAdobeF"/>
          <w:color w:val="auto"/>
          <w:sz w:val="2"/>
          <w:szCs w:val="2"/>
        </w:rPr>
        <w:t>152B</w:t>
      </w:r>
      <w:r w:rsidR="006E03D8">
        <w:t xml:space="preserve">We envisage that whether the parties are aware of any competing class actions could be a matter discussed at the initial case management conference for a class action. Under our proposed definition, the defendant at least should be aware of any competing actions </w:t>
      </w:r>
      <w:r w:rsidR="00F871F1">
        <w:lastRenderedPageBreak/>
        <w:t xml:space="preserve">that have been </w:t>
      </w:r>
      <w:r w:rsidR="006E03D8">
        <w:t>filed</w:t>
      </w:r>
      <w:r w:rsidR="00F871F1">
        <w:t xml:space="preserve"> and served</w:t>
      </w:r>
      <w:r w:rsidR="006E03D8">
        <w:t xml:space="preserve">. In the Federal Court of Australia, as soon as the parties become aware that a competing class action has been filed (or is proposed to be filed), the lawyers must advise the court. The competing class action will then be listed for a </w:t>
      </w:r>
      <w:r w:rsidR="00A7614B">
        <w:rPr>
          <w:noProof/>
        </w:rPr>
        <mc:AlternateContent>
          <mc:Choice Requires="wpg">
            <w:drawing>
              <wp:anchor distT="0" distB="0" distL="114300" distR="114300" simplePos="0" relativeHeight="251651121" behindDoc="1" locked="0" layoutInCell="1" allowOverlap="1" wp14:anchorId="4A432957" wp14:editId="4F9BCFC7">
                <wp:simplePos x="0" y="0"/>
                <wp:positionH relativeFrom="column">
                  <wp:posOffset>-13335</wp:posOffset>
                </wp:positionH>
                <wp:positionV relativeFrom="paragraph">
                  <wp:posOffset>847601</wp:posOffset>
                </wp:positionV>
                <wp:extent cx="5760085" cy="1295400"/>
                <wp:effectExtent l="0" t="0" r="0" b="0"/>
                <wp:wrapNone/>
                <wp:docPr id="764518079" name="Group 764518079"/>
                <wp:cNvGraphicFramePr/>
                <a:graphic xmlns:a="http://schemas.openxmlformats.org/drawingml/2006/main">
                  <a:graphicData uri="http://schemas.microsoft.com/office/word/2010/wordprocessingGroup">
                    <wpg:wgp>
                      <wpg:cNvGrpSpPr/>
                      <wpg:grpSpPr>
                        <a:xfrm>
                          <a:off x="0" y="0"/>
                          <a:ext cx="5760085" cy="1295400"/>
                          <a:chOff x="0" y="62865"/>
                          <a:chExt cx="5760085" cy="1295548"/>
                        </a:xfrm>
                      </wpg:grpSpPr>
                      <wps:wsp>
                        <wps:cNvPr id="12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06F3DC" w14:textId="77777777" w:rsidR="00A55F53" w:rsidRDefault="00A55F53" w:rsidP="00294BC9">
                              <w:pPr>
                                <w:pStyle w:val="BoxTitle"/>
                                <w:spacing w:before="0" w:beforeAutospacing="0"/>
                              </w:pPr>
                              <w:r w:rsidRPr="007F6876">
                                <w:t>QUESTION</w:t>
                              </w:r>
                            </w:p>
                          </w:txbxContent>
                        </wps:txbx>
                        <wps:bodyPr rot="0" vert="horz" wrap="square" lIns="91440" tIns="0" rIns="0" bIns="45720" anchor="ctr" anchorCtr="0" upright="1">
                          <a:noAutofit/>
                        </wps:bodyPr>
                      </wps:wsp>
                      <wpg:grpSp>
                        <wpg:cNvPr id="139" name="Group 53"/>
                        <wpg:cNvGrpSpPr>
                          <a:grpSpLocks/>
                        </wpg:cNvGrpSpPr>
                        <wpg:grpSpPr bwMode="auto">
                          <a:xfrm>
                            <a:off x="0" y="316263"/>
                            <a:ext cx="5760085" cy="1042150"/>
                            <a:chOff x="1837" y="1792"/>
                            <a:chExt cx="9302" cy="11257"/>
                          </a:xfrm>
                        </wpg:grpSpPr>
                        <wps:wsp>
                          <wps:cNvPr id="140" name="Freeform 54"/>
                          <wps:cNvSpPr>
                            <a:spLocks/>
                          </wps:cNvSpPr>
                          <wps:spPr bwMode="auto">
                            <a:xfrm>
                              <a:off x="1837" y="1792"/>
                              <a:ext cx="9302" cy="1125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41"/>
                        <wpg:cNvGrpSpPr/>
                        <wpg:grpSpPr>
                          <a:xfrm>
                            <a:off x="0" y="494036"/>
                            <a:ext cx="1443794" cy="252000"/>
                            <a:chOff x="-15880" y="0"/>
                            <a:chExt cx="1444379" cy="252068"/>
                          </a:xfrm>
                        </wpg:grpSpPr>
                        <wps:wsp>
                          <wps:cNvPr id="14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C619E3" w14:textId="603F843F" w:rsidR="00A55F53" w:rsidRPr="00E700FF" w:rsidRDefault="00A55F53" w:rsidP="00294BC9">
                                <w:pPr>
                                  <w:pStyle w:val="BoxTitle"/>
                                  <w:spacing w:before="0" w:beforeAutospacing="0"/>
                                </w:pPr>
                                <w:r w:rsidRPr="001C1B37">
                                  <w:t>Q</w:t>
                                </w:r>
                                <w: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A432957" id="Group 764518079" o:spid="_x0000_s1250" style="position:absolute;left:0;text-align:left;margin-left:-1.05pt;margin-top:66.75pt;width:453.55pt;height:102pt;z-index:-251665359;mso-height-relative:margin" coordorigin=",628" coordsize="57600,1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">
                <v:shape id="_x0000_s125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906F3DC" w14:textId="77777777" w:rsidR="00A55F53" w:rsidRDefault="00A55F53" w:rsidP="00294BC9">
                        <w:pPr>
                          <w:pStyle w:val="BoxTitle"/>
                          <w:spacing w:before="0" w:beforeAutospacing="0"/>
                        </w:pPr>
                        <w:r w:rsidRPr="007F6876">
                          <w:t>QUESTION</w:t>
                        </w:r>
                      </w:p>
                    </w:txbxContent>
                  </v:textbox>
                </v:shape>
                <v:group id="Group 53" o:spid="_x0000_s1252" style="position:absolute;top:3162;width:57600;height:10422" coordorigin="1837,1792" coordsize="9302,1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54" o:spid="_x0000_s1253" style="position:absolute;left:1837;top:1792;width:9302;height:1125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" path="m,l9354,r,7809l,7809,,e" fillcolor="#edf2ea" stroked="f">
                    <v:path arrowok="t" o:connecttype="custom" o:connectlocs="0,1442;9302,1442;9302,12699;0,12699;0,1442" o:connectangles="0,0,0,0,0"/>
                  </v:shape>
                </v:group>
                <v:group id="Group 141" o:spid="_x0000_s125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58" o:spid="_x0000_s125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" path="m,l1815,e" filled="f" strokecolor="#72ab6a" strokeweight=".5pt">
                    <v:path arrowok="t" o:connecttype="custom" o:connectlocs="0,0;1073495,0" o:connectangles="0,0"/>
                  </v:shape>
                  <v:shape id="Freeform 66" o:spid="_x0000_s125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AC619E3" w14:textId="603F843F" w:rsidR="00A55F53" w:rsidRPr="00E700FF" w:rsidRDefault="00A55F53" w:rsidP="00294BC9">
                          <w:pPr>
                            <w:pStyle w:val="BoxTitle"/>
                            <w:spacing w:before="0" w:beforeAutospacing="0"/>
                          </w:pPr>
                          <w:r w:rsidRPr="001C1B37">
                            <w:t>Q</w:t>
                          </w:r>
                          <w:r>
                            <w:t>8</w:t>
                          </w:r>
                        </w:p>
                      </w:txbxContent>
                    </v:textbox>
                  </v:shape>
                </v:group>
              </v:group>
            </w:pict>
          </mc:Fallback>
        </mc:AlternateContent>
      </w:r>
      <w:r w:rsidR="006E03D8">
        <w:t>case management conference together with first class action.</w:t>
      </w:r>
      <w:r w:rsidR="00D629FA">
        <w:rPr>
          <w:rFonts w:ascii="ZWAdobeF" w:hAnsi="ZWAdobeF" w:cs="ZWAdobeF"/>
          <w:color w:val="auto"/>
          <w:sz w:val="2"/>
          <w:szCs w:val="2"/>
        </w:rPr>
        <w:t>263F</w:t>
      </w:r>
      <w:r w:rsidR="0049638A">
        <w:rPr>
          <w:rFonts w:ascii="ZWAdobeF" w:hAnsi="ZWAdobeF" w:cs="ZWAdobeF"/>
          <w:color w:val="auto"/>
          <w:sz w:val="2"/>
          <w:szCs w:val="2"/>
        </w:rPr>
        <w:t>263F</w:t>
      </w:r>
      <w:r w:rsidR="00317AE4">
        <w:rPr>
          <w:rFonts w:ascii="ZWAdobeF" w:hAnsi="ZWAdobeF" w:cs="ZWAdobeF"/>
          <w:color w:val="auto"/>
          <w:sz w:val="2"/>
          <w:szCs w:val="2"/>
        </w:rPr>
        <w:t>263F</w:t>
      </w:r>
      <w:r w:rsidR="006E03D8">
        <w:rPr>
          <w:rStyle w:val="FootnoteReference"/>
        </w:rPr>
        <w:footnoteReference w:id="265"/>
      </w:r>
    </w:p>
    <w:p w14:paraId="00F8BB73" w14:textId="2706A104" w:rsidR="00A10896" w:rsidRDefault="00A10896" w:rsidP="00A10896">
      <w:pPr>
        <w:pStyle w:val="QuestionBox"/>
      </w:pPr>
    </w:p>
    <w:p w14:paraId="75CD6928" w14:textId="77777777" w:rsidR="0018733B" w:rsidRDefault="0018733B" w:rsidP="00A10896">
      <w:pPr>
        <w:pStyle w:val="QuestionBox"/>
      </w:pPr>
    </w:p>
    <w:p w14:paraId="797EA016" w14:textId="0659EA3B" w:rsidR="006E03D8" w:rsidRDefault="00BD5C95" w:rsidP="00A10896">
      <w:pPr>
        <w:pStyle w:val="QuestionBox"/>
      </w:pPr>
      <w:r>
        <w:rPr>
          <w:rFonts w:ascii="ZWAdobeF" w:hAnsi="ZWAdobeF" w:cs="ZWAdobeF"/>
          <w:color w:val="auto"/>
          <w:sz w:val="2"/>
          <w:szCs w:val="2"/>
        </w:rPr>
        <w:t>1396B</w:t>
      </w:r>
      <w:r w:rsidR="0049638A">
        <w:rPr>
          <w:rFonts w:ascii="ZWAdobeF" w:hAnsi="ZWAdobeF" w:cs="ZWAdobeF"/>
          <w:color w:val="auto"/>
          <w:sz w:val="2"/>
          <w:szCs w:val="2"/>
        </w:rPr>
        <w:t>1396B</w:t>
      </w:r>
      <w:r w:rsidR="00D629FA">
        <w:rPr>
          <w:rFonts w:ascii="ZWAdobeF" w:hAnsi="ZWAdobeF" w:cs="ZWAdobeF"/>
          <w:color w:val="auto"/>
          <w:sz w:val="2"/>
          <w:szCs w:val="2"/>
        </w:rPr>
        <w:t>1396B</w:t>
      </w:r>
      <w:r w:rsidR="006E03D8">
        <w:t xml:space="preserve">Do you agree that a competing class action should be filed within 90 days of the first class action being filed (or with the leave of the court)? How can information about new class actions be made available to lawyers and funders? </w:t>
      </w:r>
    </w:p>
    <w:p w14:paraId="31123E94" w14:textId="77777777" w:rsidR="0018733B" w:rsidRPr="00CE6977" w:rsidRDefault="0018733B" w:rsidP="00A10896">
      <w:pPr>
        <w:pStyle w:val="QuestionBox"/>
        <w:rPr>
          <w:highlight w:val="yellow"/>
        </w:rPr>
      </w:pPr>
    </w:p>
    <w:p w14:paraId="09D06B99" w14:textId="77777777" w:rsidR="006E03D8" w:rsidRDefault="006E03D8" w:rsidP="006E03D8">
      <w:pPr>
        <w:pStyle w:val="Heading4"/>
      </w:pPr>
      <w:r>
        <w:t xml:space="preserve">When should the court hold a competing class actions hearing? </w:t>
      </w:r>
    </w:p>
    <w:p w14:paraId="1BBC8CF3" w14:textId="041917CA" w:rsidR="006E03D8" w:rsidRDefault="00BD5C95" w:rsidP="00294BC9">
      <w:pPr>
        <w:pStyle w:val="BodyText"/>
        <w:tabs>
          <w:tab w:val="num" w:pos="709"/>
        </w:tabs>
      </w:pPr>
      <w:r>
        <w:rPr>
          <w:rFonts w:ascii="ZWAdobeF" w:hAnsi="ZWAdobeF" w:cs="ZWAdobeF"/>
          <w:color w:val="auto"/>
          <w:sz w:val="2"/>
          <w:szCs w:val="2"/>
        </w:rPr>
        <w:t>153B</w:t>
      </w:r>
      <w:r w:rsidR="0049638A">
        <w:rPr>
          <w:rFonts w:ascii="ZWAdobeF" w:hAnsi="ZWAdobeF" w:cs="ZWAdobeF"/>
          <w:color w:val="auto"/>
          <w:sz w:val="2"/>
          <w:szCs w:val="2"/>
        </w:rPr>
        <w:t>153B</w:t>
      </w:r>
      <w:r w:rsidR="00D629FA">
        <w:rPr>
          <w:rFonts w:ascii="ZWAdobeF" w:hAnsi="ZWAdobeF" w:cs="ZWAdobeF"/>
          <w:color w:val="auto"/>
          <w:sz w:val="2"/>
          <w:szCs w:val="2"/>
        </w:rPr>
        <w:t>153B</w:t>
      </w:r>
      <w:r w:rsidR="006E03D8">
        <w:t>Another issue is whether the court should consider how competing class actions should be managed before or after certification.</w:t>
      </w:r>
      <w:r w:rsidR="00D629FA">
        <w:rPr>
          <w:rFonts w:ascii="ZWAdobeF" w:hAnsi="ZWAdobeF" w:cs="ZWAdobeF"/>
          <w:color w:val="auto"/>
          <w:sz w:val="2"/>
          <w:szCs w:val="2"/>
        </w:rPr>
        <w:t>264F</w:t>
      </w:r>
      <w:r w:rsidR="0049638A">
        <w:rPr>
          <w:rFonts w:ascii="ZWAdobeF" w:hAnsi="ZWAdobeF" w:cs="ZWAdobeF"/>
          <w:color w:val="auto"/>
          <w:sz w:val="2"/>
          <w:szCs w:val="2"/>
        </w:rPr>
        <w:t>264F</w:t>
      </w:r>
      <w:r w:rsidR="00317AE4">
        <w:rPr>
          <w:rFonts w:ascii="ZWAdobeF" w:hAnsi="ZWAdobeF" w:cs="ZWAdobeF"/>
          <w:color w:val="auto"/>
          <w:sz w:val="2"/>
          <w:szCs w:val="2"/>
        </w:rPr>
        <w:t>264F</w:t>
      </w:r>
      <w:r w:rsidR="006E03D8">
        <w:rPr>
          <w:rStyle w:val="FootnoteReference"/>
        </w:rPr>
        <w:footnoteReference w:id="266"/>
      </w:r>
      <w:r w:rsidR="006E03D8">
        <w:t xml:space="preserve"> The Ontario legislation contemplates a carriage motion occurring prior to certification.</w:t>
      </w:r>
      <w:r w:rsidR="00D629FA">
        <w:rPr>
          <w:rFonts w:ascii="ZWAdobeF" w:hAnsi="ZWAdobeF" w:cs="ZWAdobeF"/>
          <w:color w:val="auto"/>
          <w:sz w:val="2"/>
          <w:szCs w:val="2"/>
        </w:rPr>
        <w:t>265F</w:t>
      </w:r>
      <w:r w:rsidR="0049638A">
        <w:rPr>
          <w:rFonts w:ascii="ZWAdobeF" w:hAnsi="ZWAdobeF" w:cs="ZWAdobeF"/>
          <w:color w:val="auto"/>
          <w:sz w:val="2"/>
          <w:szCs w:val="2"/>
        </w:rPr>
        <w:t>265F</w:t>
      </w:r>
      <w:r w:rsidR="00317AE4">
        <w:rPr>
          <w:rFonts w:ascii="ZWAdobeF" w:hAnsi="ZWAdobeF" w:cs="ZWAdobeF"/>
          <w:color w:val="auto"/>
          <w:sz w:val="2"/>
          <w:szCs w:val="2"/>
        </w:rPr>
        <w:t>265F</w:t>
      </w:r>
      <w:r w:rsidR="006E03D8">
        <w:rPr>
          <w:rStyle w:val="FootnoteReference"/>
        </w:rPr>
        <w:footnoteReference w:id="267"/>
      </w:r>
      <w:r w:rsidR="006E03D8">
        <w:t xml:space="preserve"> In the United States, competing class actions are considered at certification as part of the court’s consideration of who should be appointed as class counsel. The United Kingdom Competition Appeal Tribunal has considered the issue of whether it should hear a </w:t>
      </w:r>
      <w:r w:rsidR="00F871F1">
        <w:t>‘</w:t>
      </w:r>
      <w:r w:rsidR="006E03D8">
        <w:t>carriage dispute</w:t>
      </w:r>
      <w:r w:rsidR="00F871F1">
        <w:t>’</w:t>
      </w:r>
      <w:r w:rsidR="006E03D8">
        <w:t xml:space="preserve"> as a preliminary issue prior to certification. The Tribunal decided that, in the circumstances of the case, it would be preferable to hear the carriage dispute at the same time as it considered certification, because the criteria to be applied by the Tribunal may be interrelated.</w:t>
      </w:r>
      <w:r w:rsidR="00D629FA">
        <w:rPr>
          <w:rFonts w:ascii="ZWAdobeF" w:hAnsi="ZWAdobeF" w:cs="ZWAdobeF"/>
          <w:color w:val="auto"/>
          <w:sz w:val="2"/>
          <w:szCs w:val="2"/>
        </w:rPr>
        <w:t>266F</w:t>
      </w:r>
      <w:r w:rsidR="0049638A">
        <w:rPr>
          <w:rFonts w:ascii="ZWAdobeF" w:hAnsi="ZWAdobeF" w:cs="ZWAdobeF"/>
          <w:color w:val="auto"/>
          <w:sz w:val="2"/>
          <w:szCs w:val="2"/>
        </w:rPr>
        <w:t>266F</w:t>
      </w:r>
      <w:r w:rsidR="00317AE4">
        <w:rPr>
          <w:rFonts w:ascii="ZWAdobeF" w:hAnsi="ZWAdobeF" w:cs="ZWAdobeF"/>
          <w:color w:val="auto"/>
          <w:sz w:val="2"/>
          <w:szCs w:val="2"/>
        </w:rPr>
        <w:t>266F</w:t>
      </w:r>
      <w:r w:rsidR="006E03D8">
        <w:rPr>
          <w:rStyle w:val="FootnoteReference"/>
        </w:rPr>
        <w:footnoteReference w:id="268"/>
      </w:r>
      <w:r w:rsidR="006E03D8">
        <w:t xml:space="preserve"> </w:t>
      </w:r>
    </w:p>
    <w:p w14:paraId="2B77FAE1" w14:textId="6E9F6618" w:rsidR="006E03D8" w:rsidRDefault="00BD5C95" w:rsidP="00932DB9">
      <w:pPr>
        <w:pStyle w:val="BodyText"/>
        <w:tabs>
          <w:tab w:val="num" w:pos="709"/>
        </w:tabs>
        <w:ind w:hanging="596"/>
      </w:pPr>
      <w:r>
        <w:rPr>
          <w:rFonts w:ascii="ZWAdobeF" w:hAnsi="ZWAdobeF" w:cs="ZWAdobeF"/>
          <w:color w:val="auto"/>
          <w:sz w:val="2"/>
          <w:szCs w:val="2"/>
        </w:rPr>
        <w:t>154B</w:t>
      </w:r>
      <w:r w:rsidR="0049638A">
        <w:rPr>
          <w:rFonts w:ascii="ZWAdobeF" w:hAnsi="ZWAdobeF" w:cs="ZWAdobeF"/>
          <w:color w:val="auto"/>
          <w:sz w:val="2"/>
          <w:szCs w:val="2"/>
        </w:rPr>
        <w:t>154B</w:t>
      </w:r>
      <w:r w:rsidR="00D629FA">
        <w:rPr>
          <w:rFonts w:ascii="ZWAdobeF" w:hAnsi="ZWAdobeF" w:cs="ZWAdobeF"/>
          <w:color w:val="auto"/>
          <w:sz w:val="2"/>
          <w:szCs w:val="2"/>
        </w:rPr>
        <w:t>154B</w:t>
      </w:r>
      <w:r w:rsidR="006E03D8">
        <w:t xml:space="preserve">We think there are three options. The first is for the court to have a separate competing class actions hearing, prior to certification. This would have the advantage of preventing more than one party from incurring the cost of preparing for a certification hearing. There may also be competing class actions which are relatively straight-forward for a court to deal with, such as where the respective parties agree on the best way to proceed. However, this option may run the risk of a court having to consider the same issues at both a competing class actions hearing and at certification. It may also be difficult to assess the potential overlap of the class actions without deciding whether they are to proceed as opt-in or opt-out. There is also a risk of considerable delay, particularly if the losing party appeals the competing class actions decision. Finally, it could lead to a situation where a particular class action is allowed to proceed but then fails at certification. </w:t>
      </w:r>
    </w:p>
    <w:p w14:paraId="34E050D9" w14:textId="795936FC" w:rsidR="006E03D8" w:rsidRDefault="00BD5C95" w:rsidP="009B37CB">
      <w:pPr>
        <w:pStyle w:val="BodyText"/>
      </w:pPr>
      <w:r>
        <w:rPr>
          <w:rFonts w:ascii="ZWAdobeF" w:hAnsi="ZWAdobeF" w:cs="ZWAdobeF"/>
          <w:color w:val="auto"/>
          <w:sz w:val="2"/>
          <w:szCs w:val="2"/>
        </w:rPr>
        <w:t>155B</w:t>
      </w:r>
      <w:r w:rsidR="0049638A">
        <w:rPr>
          <w:rFonts w:ascii="ZWAdobeF" w:hAnsi="ZWAdobeF" w:cs="ZWAdobeF"/>
          <w:color w:val="auto"/>
          <w:sz w:val="2"/>
          <w:szCs w:val="2"/>
        </w:rPr>
        <w:t>155B</w:t>
      </w:r>
      <w:r w:rsidR="00D629FA">
        <w:rPr>
          <w:rFonts w:ascii="ZWAdobeF" w:hAnsi="ZWAdobeF" w:cs="ZWAdobeF"/>
          <w:color w:val="auto"/>
          <w:sz w:val="2"/>
          <w:szCs w:val="2"/>
        </w:rPr>
        <w:t>155B</w:t>
      </w:r>
      <w:r w:rsidR="006E03D8">
        <w:t xml:space="preserve">A second option is for competing class actions to be considered at certification. While this would require multiple parties to incur the expense of a certification hearing, it would </w:t>
      </w:r>
      <w:r w:rsidR="006E03D8">
        <w:lastRenderedPageBreak/>
        <w:t>prevent the relitigation of issues at certification. It would also avoid the delay caused by having separate hearings, judgments and appeals.</w:t>
      </w:r>
    </w:p>
    <w:p w14:paraId="1C8A56C5" w14:textId="4C411F43" w:rsidR="006E03D8" w:rsidRDefault="00BD5C95" w:rsidP="009B37CB">
      <w:pPr>
        <w:pStyle w:val="BodyText"/>
      </w:pPr>
      <w:r>
        <w:rPr>
          <w:rFonts w:ascii="ZWAdobeF" w:hAnsi="ZWAdobeF" w:cs="ZWAdobeF"/>
          <w:color w:val="auto"/>
          <w:sz w:val="2"/>
          <w:szCs w:val="2"/>
        </w:rPr>
        <w:t>156B</w:t>
      </w:r>
      <w:r w:rsidR="0049638A">
        <w:rPr>
          <w:rFonts w:ascii="ZWAdobeF" w:hAnsi="ZWAdobeF" w:cs="ZWAdobeF"/>
          <w:color w:val="auto"/>
          <w:sz w:val="2"/>
          <w:szCs w:val="2"/>
        </w:rPr>
        <w:t>156B</w:t>
      </w:r>
      <w:r w:rsidR="00D629FA">
        <w:rPr>
          <w:rFonts w:ascii="ZWAdobeF" w:hAnsi="ZWAdobeF" w:cs="ZWAdobeF"/>
          <w:color w:val="auto"/>
          <w:sz w:val="2"/>
          <w:szCs w:val="2"/>
        </w:rPr>
        <w:t>156B</w:t>
      </w:r>
      <w:r w:rsidR="006E03D8">
        <w:t xml:space="preserve">A third option is for the court to have discretion as to whether it considers competing class actions at certification or prior. This would enable the court to consider what is likely to be most efficient in the particular case. However, this option could cause uncertainty and delay as the parties might have opposing views on when the court should consider competing class actions. </w:t>
      </w:r>
    </w:p>
    <w:p w14:paraId="022F976A" w14:textId="334DD715" w:rsidR="006E03D8" w:rsidRDefault="00BD5C95" w:rsidP="009B37CB">
      <w:pPr>
        <w:pStyle w:val="BodyText"/>
      </w:pPr>
      <w:r>
        <w:rPr>
          <w:rFonts w:ascii="ZWAdobeF" w:hAnsi="ZWAdobeF" w:cs="ZWAdobeF"/>
          <w:color w:val="auto"/>
          <w:sz w:val="2"/>
          <w:szCs w:val="2"/>
        </w:rPr>
        <w:t>157B</w:t>
      </w:r>
      <w:r w:rsidR="0049638A">
        <w:rPr>
          <w:rFonts w:ascii="ZWAdobeF" w:hAnsi="ZWAdobeF" w:cs="ZWAdobeF"/>
          <w:color w:val="auto"/>
          <w:sz w:val="2"/>
          <w:szCs w:val="2"/>
        </w:rPr>
        <w:t>157B</w:t>
      </w:r>
      <w:r w:rsidR="00D629FA">
        <w:rPr>
          <w:rFonts w:ascii="ZWAdobeF" w:hAnsi="ZWAdobeF" w:cs="ZWAdobeF"/>
          <w:color w:val="auto"/>
          <w:sz w:val="2"/>
          <w:szCs w:val="2"/>
        </w:rPr>
        <w:t>157B</w:t>
      </w:r>
      <w:r w:rsidR="00B673B9">
        <w:t xml:space="preserve">Our view is </w:t>
      </w:r>
      <w:r w:rsidR="006E03D8">
        <w:t xml:space="preserve">the court should consider the issue of competing class actions at the same time as certification. We think this is likely to be the most efficient option for the parties and the court, as it will avoid separate hearings and appeals which consider similar issues.  </w:t>
      </w:r>
    </w:p>
    <w:p w14:paraId="75D78237" w14:textId="18AC1D26" w:rsidR="00087189" w:rsidRDefault="00AB1554" w:rsidP="00087189">
      <w:pPr>
        <w:pStyle w:val="QuestionBox"/>
      </w:pPr>
      <w:r>
        <w:rPr>
          <w:noProof/>
        </w:rPr>
        <mc:AlternateContent>
          <mc:Choice Requires="wpg">
            <w:drawing>
              <wp:anchor distT="0" distB="0" distL="114300" distR="114300" simplePos="0" relativeHeight="251651122" behindDoc="1" locked="0" layoutInCell="1" allowOverlap="1" wp14:anchorId="1DE6FFD1" wp14:editId="3DC1E7C2">
                <wp:simplePos x="0" y="0"/>
                <wp:positionH relativeFrom="column">
                  <wp:posOffset>-3810</wp:posOffset>
                </wp:positionH>
                <wp:positionV relativeFrom="paragraph">
                  <wp:posOffset>3810</wp:posOffset>
                </wp:positionV>
                <wp:extent cx="5760085" cy="1943119"/>
                <wp:effectExtent l="0" t="0" r="0" b="0"/>
                <wp:wrapNone/>
                <wp:docPr id="145" name="Group 145"/>
                <wp:cNvGraphicFramePr/>
                <a:graphic xmlns:a="http://schemas.openxmlformats.org/drawingml/2006/main">
                  <a:graphicData uri="http://schemas.microsoft.com/office/word/2010/wordprocessingGroup">
                    <wpg:wgp>
                      <wpg:cNvGrpSpPr/>
                      <wpg:grpSpPr>
                        <a:xfrm>
                          <a:off x="0" y="0"/>
                          <a:ext cx="5760085" cy="1943119"/>
                          <a:chOff x="0" y="62865"/>
                          <a:chExt cx="5760085" cy="1943316"/>
                        </a:xfrm>
                      </wpg:grpSpPr>
                      <wps:wsp>
                        <wps:cNvPr id="76451812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AC147" w14:textId="77777777" w:rsidR="00A55F53" w:rsidRDefault="00A55F53" w:rsidP="00AB1554">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126" name="Group 53"/>
                        <wpg:cNvGrpSpPr>
                          <a:grpSpLocks/>
                        </wpg:cNvGrpSpPr>
                        <wpg:grpSpPr bwMode="auto">
                          <a:xfrm>
                            <a:off x="0" y="316263"/>
                            <a:ext cx="5760085" cy="1689918"/>
                            <a:chOff x="1837" y="1792"/>
                            <a:chExt cx="9302" cy="18254"/>
                          </a:xfrm>
                        </wpg:grpSpPr>
                        <wps:wsp>
                          <wps:cNvPr id="764518127" name="Freeform 54"/>
                          <wps:cNvSpPr>
                            <a:spLocks/>
                          </wps:cNvSpPr>
                          <wps:spPr bwMode="auto">
                            <a:xfrm>
                              <a:off x="1837" y="1792"/>
                              <a:ext cx="9302" cy="1825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128" name="Group 764518128"/>
                        <wpg:cNvGrpSpPr/>
                        <wpg:grpSpPr>
                          <a:xfrm>
                            <a:off x="0" y="494036"/>
                            <a:ext cx="1443794" cy="252000"/>
                            <a:chOff x="-15880" y="0"/>
                            <a:chExt cx="1444379" cy="252068"/>
                          </a:xfrm>
                        </wpg:grpSpPr>
                        <wps:wsp>
                          <wps:cNvPr id="764518129"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13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458FD8" w14:textId="0D8C95C5" w:rsidR="00A55F53" w:rsidRPr="00E700FF" w:rsidRDefault="00A55F53" w:rsidP="00AB1554">
                                <w:pPr>
                                  <w:pStyle w:val="BoxTitle"/>
                                  <w:spacing w:before="0" w:beforeAutospacing="0"/>
                                </w:pPr>
                                <w:r w:rsidRPr="001C1B37">
                                  <w:t>Q</w:t>
                                </w:r>
                                <w:r>
                                  <w:t>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DE6FFD1" id="Group 145" o:spid="_x0000_s1257" style="position:absolute;left:0;text-align:left;margin-left:-.3pt;margin-top:.3pt;width:453.55pt;height:153pt;z-index:-251665358;mso-height-relative:margin" coordorigin=",628" coordsize="57600,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">
                <v:shape id="_x0000_s125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A2AC147" w14:textId="77777777" w:rsidR="00A55F53" w:rsidRDefault="00A55F53" w:rsidP="00AB1554">
                        <w:pPr>
                          <w:pStyle w:val="BoxTitle"/>
                          <w:spacing w:before="0" w:beforeAutospacing="0"/>
                        </w:pPr>
                        <w:r w:rsidRPr="007F6876">
                          <w:t>QUESTION</w:t>
                        </w:r>
                      </w:p>
                    </w:txbxContent>
                  </v:textbox>
                </v:shape>
                <v:group id="Group 53" o:spid="_x0000_s1259" style="position:absolute;top:3162;width:57600;height:16899" coordorigin="1837,1792" coordsize="9302,1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">
                  <v:shape id="Freeform 54" o:spid="_x0000_s1260" style="position:absolute;left:1837;top:1792;width:9302;height:1825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" path="m,l9354,r,7809l,7809,,e" fillcolor="#edf2ea" stroked="f">
                    <v:path arrowok="t" o:connecttype="custom" o:connectlocs="0,2338;9302,2338;9302,20592;0,20592;0,2338" o:connectangles="0,0,0,0,0"/>
                  </v:shape>
                </v:group>
                <v:group id="Group 764518128" o:spid="_x0000_s126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">
                  <v:shape id="Freeform 58" o:spid="_x0000_s126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" path="m,l1815,e" filled="f" strokecolor="#72ab6a" strokeweight=".5pt">
                    <v:path arrowok="t" o:connecttype="custom" o:connectlocs="0,0;1073495,0" o:connectangles="0,0"/>
                  </v:shape>
                  <v:shape id="Freeform 66" o:spid="_x0000_s126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5458FD8" w14:textId="0D8C95C5" w:rsidR="00A55F53" w:rsidRPr="00E700FF" w:rsidRDefault="00A55F53" w:rsidP="00AB1554">
                          <w:pPr>
                            <w:pStyle w:val="BoxTitle"/>
                            <w:spacing w:before="0" w:beforeAutospacing="0"/>
                          </w:pPr>
                          <w:r w:rsidRPr="001C1B37">
                            <w:t>Q</w:t>
                          </w:r>
                          <w:r>
                            <w:t>9</w:t>
                          </w:r>
                        </w:p>
                      </w:txbxContent>
                    </v:textbox>
                  </v:shape>
                </v:group>
              </v:group>
            </w:pict>
          </mc:Fallback>
        </mc:AlternateContent>
      </w:r>
    </w:p>
    <w:p w14:paraId="53F5B1F4" w14:textId="77777777" w:rsidR="00087189" w:rsidRDefault="00087189" w:rsidP="00087189">
      <w:pPr>
        <w:pStyle w:val="QuestionBox"/>
      </w:pPr>
    </w:p>
    <w:p w14:paraId="76D07ACC" w14:textId="41A6B3D5" w:rsidR="006E03D8" w:rsidRDefault="00BD5C95" w:rsidP="00087189">
      <w:pPr>
        <w:pStyle w:val="QuestionBox"/>
      </w:pPr>
      <w:r>
        <w:rPr>
          <w:rFonts w:ascii="ZWAdobeF" w:hAnsi="ZWAdobeF" w:cs="ZWAdobeF"/>
          <w:color w:val="auto"/>
          <w:sz w:val="2"/>
          <w:szCs w:val="2"/>
        </w:rPr>
        <w:t>1397B</w:t>
      </w:r>
      <w:r w:rsidR="0049638A">
        <w:rPr>
          <w:rFonts w:ascii="ZWAdobeF" w:hAnsi="ZWAdobeF" w:cs="ZWAdobeF"/>
          <w:color w:val="auto"/>
          <w:sz w:val="2"/>
          <w:szCs w:val="2"/>
        </w:rPr>
        <w:t>1397B</w:t>
      </w:r>
      <w:r w:rsidR="00D629FA">
        <w:rPr>
          <w:rFonts w:ascii="ZWAdobeF" w:hAnsi="ZWAdobeF" w:cs="ZWAdobeF"/>
          <w:color w:val="auto"/>
          <w:sz w:val="2"/>
          <w:szCs w:val="2"/>
        </w:rPr>
        <w:t>1397B</w:t>
      </w:r>
      <w:r w:rsidR="006E03D8">
        <w:t>When should the court determine the issue of competing class actions?</w:t>
      </w:r>
    </w:p>
    <w:p w14:paraId="3703D448" w14:textId="1848F333" w:rsidR="006E03D8" w:rsidRDefault="00BD5C95" w:rsidP="00AB1554">
      <w:pPr>
        <w:pStyle w:val="Questionabc"/>
        <w:numPr>
          <w:ilvl w:val="0"/>
          <w:numId w:val="35"/>
        </w:numPr>
        <w:ind w:left="1418" w:hanging="425"/>
      </w:pPr>
      <w:r>
        <w:rPr>
          <w:rFonts w:ascii="ZWAdobeF" w:hAnsi="ZWAdobeF" w:cs="ZWAdobeF"/>
          <w:color w:val="auto"/>
          <w:sz w:val="2"/>
          <w:szCs w:val="2"/>
        </w:rPr>
        <w:t>1287B</w:t>
      </w:r>
      <w:r w:rsidR="0049638A">
        <w:rPr>
          <w:rFonts w:ascii="ZWAdobeF" w:hAnsi="ZWAdobeF" w:cs="ZWAdobeF"/>
          <w:color w:val="auto"/>
          <w:sz w:val="2"/>
          <w:szCs w:val="2"/>
        </w:rPr>
        <w:t>1287B</w:t>
      </w:r>
      <w:r w:rsidR="00D629FA">
        <w:rPr>
          <w:rFonts w:ascii="ZWAdobeF" w:hAnsi="ZWAdobeF" w:cs="ZWAdobeF"/>
          <w:color w:val="auto"/>
          <w:sz w:val="2"/>
          <w:szCs w:val="2"/>
        </w:rPr>
        <w:t>1287B</w:t>
      </w:r>
      <w:r w:rsidR="006E03D8">
        <w:t>Prior to certification.</w:t>
      </w:r>
    </w:p>
    <w:p w14:paraId="28F3956A" w14:textId="2ECA0C5C" w:rsidR="006E03D8" w:rsidRDefault="00BD5C95" w:rsidP="002F0862">
      <w:pPr>
        <w:pStyle w:val="Questionabc"/>
      </w:pPr>
      <w:r>
        <w:rPr>
          <w:rFonts w:ascii="ZWAdobeF" w:hAnsi="ZWAdobeF" w:cs="ZWAdobeF"/>
          <w:color w:val="auto"/>
          <w:sz w:val="2"/>
          <w:szCs w:val="2"/>
        </w:rPr>
        <w:t>1288B</w:t>
      </w:r>
      <w:r w:rsidR="0049638A">
        <w:rPr>
          <w:rFonts w:ascii="ZWAdobeF" w:hAnsi="ZWAdobeF" w:cs="ZWAdobeF"/>
          <w:color w:val="auto"/>
          <w:sz w:val="2"/>
          <w:szCs w:val="2"/>
        </w:rPr>
        <w:t>1288B</w:t>
      </w:r>
      <w:r w:rsidR="00D629FA">
        <w:rPr>
          <w:rFonts w:ascii="ZWAdobeF" w:hAnsi="ZWAdobeF" w:cs="ZWAdobeF"/>
          <w:color w:val="auto"/>
          <w:sz w:val="2"/>
          <w:szCs w:val="2"/>
        </w:rPr>
        <w:t>1288B</w:t>
      </w:r>
      <w:r w:rsidR="006E03D8">
        <w:t>At the same time as certification.</w:t>
      </w:r>
    </w:p>
    <w:p w14:paraId="23B7D362" w14:textId="1A0E39BF" w:rsidR="006E03D8" w:rsidRDefault="00BD5C95" w:rsidP="002F0862">
      <w:pPr>
        <w:pStyle w:val="Questionabc"/>
      </w:pPr>
      <w:r>
        <w:rPr>
          <w:rFonts w:ascii="ZWAdobeF" w:hAnsi="ZWAdobeF" w:cs="ZWAdobeF"/>
          <w:color w:val="auto"/>
          <w:sz w:val="2"/>
          <w:szCs w:val="2"/>
        </w:rPr>
        <w:t>1289B</w:t>
      </w:r>
      <w:r w:rsidR="0049638A">
        <w:rPr>
          <w:rFonts w:ascii="ZWAdobeF" w:hAnsi="ZWAdobeF" w:cs="ZWAdobeF"/>
          <w:color w:val="auto"/>
          <w:sz w:val="2"/>
          <w:szCs w:val="2"/>
        </w:rPr>
        <w:t>1289B</w:t>
      </w:r>
      <w:r w:rsidR="00D629FA">
        <w:rPr>
          <w:rFonts w:ascii="ZWAdobeF" w:hAnsi="ZWAdobeF" w:cs="ZWAdobeF"/>
          <w:color w:val="auto"/>
          <w:sz w:val="2"/>
          <w:szCs w:val="2"/>
        </w:rPr>
        <w:t>1289B</w:t>
      </w:r>
      <w:r w:rsidR="006E03D8">
        <w:t xml:space="preserve">The court should have discretion to determine the issue of competing class actions prior to certification or at certification. </w:t>
      </w:r>
    </w:p>
    <w:p w14:paraId="7885379E" w14:textId="77777777" w:rsidR="00087189" w:rsidRDefault="00087189" w:rsidP="00087189">
      <w:pPr>
        <w:pStyle w:val="QuestionBox"/>
      </w:pPr>
    </w:p>
    <w:p w14:paraId="5E352234" w14:textId="77777777" w:rsidR="006E03D8" w:rsidRDefault="006E03D8" w:rsidP="006E03D8">
      <w:pPr>
        <w:pStyle w:val="Heading2"/>
      </w:pPr>
      <w:bookmarkStart w:id="56" w:name="_Toc83895442"/>
      <w:r>
        <w:t>The Court’s powers to manage competing class actions</w:t>
      </w:r>
      <w:bookmarkEnd w:id="56"/>
      <w:r>
        <w:t xml:space="preserve"> </w:t>
      </w:r>
    </w:p>
    <w:p w14:paraId="376E094C" w14:textId="21D240D7" w:rsidR="006E03D8" w:rsidRDefault="00BD5C95" w:rsidP="009B37CB">
      <w:pPr>
        <w:pStyle w:val="BodyText"/>
      </w:pPr>
      <w:r>
        <w:rPr>
          <w:rFonts w:ascii="ZWAdobeF" w:hAnsi="ZWAdobeF" w:cs="ZWAdobeF"/>
          <w:color w:val="auto"/>
          <w:sz w:val="2"/>
          <w:szCs w:val="2"/>
        </w:rPr>
        <w:t>158B</w:t>
      </w:r>
      <w:r w:rsidR="0049638A">
        <w:rPr>
          <w:rFonts w:ascii="ZWAdobeF" w:hAnsi="ZWAdobeF" w:cs="ZWAdobeF"/>
          <w:color w:val="auto"/>
          <w:sz w:val="2"/>
          <w:szCs w:val="2"/>
        </w:rPr>
        <w:t>158B</w:t>
      </w:r>
      <w:r w:rsidR="00D629FA">
        <w:rPr>
          <w:rFonts w:ascii="ZWAdobeF" w:hAnsi="ZWAdobeF" w:cs="ZWAdobeF"/>
          <w:color w:val="auto"/>
          <w:sz w:val="2"/>
          <w:szCs w:val="2"/>
        </w:rPr>
        <w:t>158B</w:t>
      </w:r>
      <w:r w:rsidR="006E03D8">
        <w:t>We have considered what powers the court should have to manage competing class actions. One option is that the court could select one class action to progress and stay the other proceeding</w:t>
      </w:r>
      <w:r w:rsidR="00EE06AF">
        <w:t>(</w:t>
      </w:r>
      <w:r w:rsidR="006E03D8">
        <w:t>s</w:t>
      </w:r>
      <w:r w:rsidR="00EE06AF">
        <w:t>)</w:t>
      </w:r>
      <w:r w:rsidR="006E03D8">
        <w:t xml:space="preserve">. This is the approach taken in Canada. As discussed above, the carriage motion takes place prior to certification in Canada, so the class action which is allowed to progress must still succeed at a certification hearing. </w:t>
      </w:r>
    </w:p>
    <w:p w14:paraId="13676B60" w14:textId="51B24433" w:rsidR="006E03D8" w:rsidRDefault="00BD5C95" w:rsidP="009B37CB">
      <w:pPr>
        <w:pStyle w:val="BodyText"/>
      </w:pPr>
      <w:r>
        <w:rPr>
          <w:rFonts w:ascii="ZWAdobeF" w:hAnsi="ZWAdobeF" w:cs="ZWAdobeF"/>
          <w:color w:val="auto"/>
          <w:sz w:val="2"/>
          <w:szCs w:val="2"/>
        </w:rPr>
        <w:t>159B</w:t>
      </w:r>
      <w:r w:rsidR="0049638A">
        <w:rPr>
          <w:rFonts w:ascii="ZWAdobeF" w:hAnsi="ZWAdobeF" w:cs="ZWAdobeF"/>
          <w:color w:val="auto"/>
          <w:sz w:val="2"/>
          <w:szCs w:val="2"/>
        </w:rPr>
        <w:t>159B</w:t>
      </w:r>
      <w:r w:rsidR="00D629FA">
        <w:rPr>
          <w:rFonts w:ascii="ZWAdobeF" w:hAnsi="ZWAdobeF" w:cs="ZWAdobeF"/>
          <w:color w:val="auto"/>
          <w:sz w:val="2"/>
          <w:szCs w:val="2"/>
        </w:rPr>
        <w:t>159B</w:t>
      </w:r>
      <w:r w:rsidR="006E03D8">
        <w:t>Alternatively, the court could be empowered to make a wider range of orders when managing competing class actions, as in Australia.</w:t>
      </w:r>
      <w:r w:rsidR="00D629FA">
        <w:rPr>
          <w:rFonts w:ascii="ZWAdobeF" w:hAnsi="ZWAdobeF" w:cs="ZWAdobeF"/>
          <w:color w:val="auto"/>
          <w:sz w:val="2"/>
          <w:szCs w:val="2"/>
        </w:rPr>
        <w:t>267F</w:t>
      </w:r>
      <w:r w:rsidR="0049638A">
        <w:rPr>
          <w:rFonts w:ascii="ZWAdobeF" w:hAnsi="ZWAdobeF" w:cs="ZWAdobeF"/>
          <w:color w:val="auto"/>
          <w:sz w:val="2"/>
          <w:szCs w:val="2"/>
        </w:rPr>
        <w:t>267F</w:t>
      </w:r>
      <w:r w:rsidR="00317AE4">
        <w:rPr>
          <w:rFonts w:ascii="ZWAdobeF" w:hAnsi="ZWAdobeF" w:cs="ZWAdobeF"/>
          <w:color w:val="auto"/>
          <w:sz w:val="2"/>
          <w:szCs w:val="2"/>
        </w:rPr>
        <w:t>267F</w:t>
      </w:r>
      <w:r w:rsidR="006E03D8">
        <w:rPr>
          <w:rStyle w:val="FootnoteReference"/>
        </w:rPr>
        <w:footnoteReference w:id="269"/>
      </w:r>
      <w:r w:rsidR="006E03D8">
        <w:t xml:space="preserve"> For example:</w:t>
      </w:r>
    </w:p>
    <w:p w14:paraId="018EEF49" w14:textId="1392EE28" w:rsidR="006E03D8" w:rsidRDefault="00BD5C95" w:rsidP="00932DB9">
      <w:pPr>
        <w:pStyle w:val="BodyTextnonum"/>
        <w:numPr>
          <w:ilvl w:val="3"/>
          <w:numId w:val="14"/>
        </w:numPr>
      </w:pPr>
      <w:r>
        <w:rPr>
          <w:rFonts w:ascii="ZWAdobeF" w:hAnsi="ZWAdobeF" w:cs="ZWAdobeF"/>
          <w:color w:val="auto"/>
          <w:sz w:val="2"/>
          <w:szCs w:val="2"/>
        </w:rPr>
        <w:t>668B</w:t>
      </w:r>
      <w:r w:rsidR="0049638A">
        <w:rPr>
          <w:rFonts w:ascii="ZWAdobeF" w:hAnsi="ZWAdobeF" w:cs="ZWAdobeF"/>
          <w:color w:val="auto"/>
          <w:sz w:val="2"/>
          <w:szCs w:val="2"/>
        </w:rPr>
        <w:t>668B</w:t>
      </w:r>
      <w:r w:rsidR="00D629FA">
        <w:rPr>
          <w:rFonts w:ascii="ZWAdobeF" w:hAnsi="ZWAdobeF" w:cs="ZWAdobeF"/>
          <w:color w:val="auto"/>
          <w:sz w:val="2"/>
          <w:szCs w:val="2"/>
        </w:rPr>
        <w:t>668B</w:t>
      </w:r>
      <w:r w:rsidR="006E03D8">
        <w:t xml:space="preserve">Consolidating the proceedings. </w:t>
      </w:r>
    </w:p>
    <w:p w14:paraId="637E79D7" w14:textId="43118E75" w:rsidR="006E03D8" w:rsidRDefault="00BD5C95" w:rsidP="00932DB9">
      <w:pPr>
        <w:pStyle w:val="BodyTextnonum"/>
        <w:numPr>
          <w:ilvl w:val="3"/>
          <w:numId w:val="14"/>
        </w:numPr>
      </w:pPr>
      <w:r>
        <w:rPr>
          <w:rFonts w:ascii="ZWAdobeF" w:hAnsi="ZWAdobeF" w:cs="ZWAdobeF"/>
          <w:color w:val="auto"/>
          <w:sz w:val="2"/>
          <w:szCs w:val="2"/>
        </w:rPr>
        <w:t>669B</w:t>
      </w:r>
      <w:r w:rsidR="0049638A">
        <w:rPr>
          <w:rFonts w:ascii="ZWAdobeF" w:hAnsi="ZWAdobeF" w:cs="ZWAdobeF"/>
          <w:color w:val="auto"/>
          <w:sz w:val="2"/>
          <w:szCs w:val="2"/>
        </w:rPr>
        <w:t>669B</w:t>
      </w:r>
      <w:r w:rsidR="00D629FA">
        <w:rPr>
          <w:rFonts w:ascii="ZWAdobeF" w:hAnsi="ZWAdobeF" w:cs="ZWAdobeF"/>
          <w:color w:val="auto"/>
          <w:sz w:val="2"/>
          <w:szCs w:val="2"/>
        </w:rPr>
        <w:t>669B</w:t>
      </w:r>
      <w:r w:rsidR="006E03D8">
        <w:t xml:space="preserve">Ordering the proceedings to be tried simultaneously or successively. </w:t>
      </w:r>
    </w:p>
    <w:p w14:paraId="06152166" w14:textId="7CB4E712" w:rsidR="006E03D8" w:rsidRDefault="00BD5C95" w:rsidP="00932DB9">
      <w:pPr>
        <w:pStyle w:val="BodyTextnonum"/>
        <w:numPr>
          <w:ilvl w:val="3"/>
          <w:numId w:val="14"/>
        </w:numPr>
      </w:pPr>
      <w:r>
        <w:rPr>
          <w:rFonts w:ascii="ZWAdobeF" w:hAnsi="ZWAdobeF" w:cs="ZWAdobeF"/>
          <w:color w:val="auto"/>
          <w:sz w:val="2"/>
          <w:szCs w:val="2"/>
        </w:rPr>
        <w:t>670B</w:t>
      </w:r>
      <w:r w:rsidR="0049638A">
        <w:rPr>
          <w:rFonts w:ascii="ZWAdobeF" w:hAnsi="ZWAdobeF" w:cs="ZWAdobeF"/>
          <w:color w:val="auto"/>
          <w:sz w:val="2"/>
          <w:szCs w:val="2"/>
        </w:rPr>
        <w:t>670B</w:t>
      </w:r>
      <w:r w:rsidR="00D629FA">
        <w:rPr>
          <w:rFonts w:ascii="ZWAdobeF" w:hAnsi="ZWAdobeF" w:cs="ZWAdobeF"/>
          <w:color w:val="auto"/>
          <w:sz w:val="2"/>
          <w:szCs w:val="2"/>
        </w:rPr>
        <w:t>670B</w:t>
      </w:r>
      <w:r w:rsidR="006E03D8">
        <w:t xml:space="preserve">Selecting one class action as a test case, with other proceedings temporarily stayed. </w:t>
      </w:r>
    </w:p>
    <w:p w14:paraId="73AF0165" w14:textId="6F431CCD" w:rsidR="006E03D8" w:rsidRDefault="00BD5C95" w:rsidP="00932DB9">
      <w:pPr>
        <w:pStyle w:val="BodyTextnonum"/>
        <w:numPr>
          <w:ilvl w:val="3"/>
          <w:numId w:val="14"/>
        </w:numPr>
      </w:pPr>
      <w:r>
        <w:rPr>
          <w:rFonts w:ascii="ZWAdobeF" w:hAnsi="ZWAdobeF" w:cs="ZWAdobeF"/>
          <w:color w:val="auto"/>
          <w:sz w:val="2"/>
          <w:szCs w:val="2"/>
        </w:rPr>
        <w:t>671B</w:t>
      </w:r>
      <w:r w:rsidR="0049638A">
        <w:rPr>
          <w:rFonts w:ascii="ZWAdobeF" w:hAnsi="ZWAdobeF" w:cs="ZWAdobeF"/>
          <w:color w:val="auto"/>
          <w:sz w:val="2"/>
          <w:szCs w:val="2"/>
        </w:rPr>
        <w:t>671B</w:t>
      </w:r>
      <w:r w:rsidR="00D629FA">
        <w:rPr>
          <w:rFonts w:ascii="ZWAdobeF" w:hAnsi="ZWAdobeF" w:cs="ZWAdobeF"/>
          <w:color w:val="auto"/>
          <w:sz w:val="2"/>
          <w:szCs w:val="2"/>
        </w:rPr>
        <w:t>671B</w:t>
      </w:r>
      <w:r w:rsidR="006E03D8">
        <w:t>Requiring one or more of the class actions to proceed on an opt</w:t>
      </w:r>
      <w:r w:rsidR="003B24C7">
        <w:t>-</w:t>
      </w:r>
      <w:r w:rsidR="006E03D8">
        <w:t xml:space="preserve">in basis. </w:t>
      </w:r>
    </w:p>
    <w:p w14:paraId="1BD57A80" w14:textId="779A2324" w:rsidR="006E03D8" w:rsidRDefault="00BD5C95" w:rsidP="00932DB9">
      <w:pPr>
        <w:pStyle w:val="BodyTextnonum"/>
        <w:numPr>
          <w:ilvl w:val="3"/>
          <w:numId w:val="14"/>
        </w:numPr>
      </w:pPr>
      <w:r>
        <w:rPr>
          <w:rFonts w:ascii="ZWAdobeF" w:hAnsi="ZWAdobeF" w:cs="ZWAdobeF"/>
          <w:color w:val="auto"/>
          <w:sz w:val="2"/>
          <w:szCs w:val="2"/>
        </w:rPr>
        <w:t>672B</w:t>
      </w:r>
      <w:r w:rsidR="0049638A">
        <w:rPr>
          <w:rFonts w:ascii="ZWAdobeF" w:hAnsi="ZWAdobeF" w:cs="ZWAdobeF"/>
          <w:color w:val="auto"/>
          <w:sz w:val="2"/>
          <w:szCs w:val="2"/>
        </w:rPr>
        <w:t>672B</w:t>
      </w:r>
      <w:r w:rsidR="00D629FA">
        <w:rPr>
          <w:rFonts w:ascii="ZWAdobeF" w:hAnsi="ZWAdobeF" w:cs="ZWAdobeF"/>
          <w:color w:val="auto"/>
          <w:sz w:val="2"/>
          <w:szCs w:val="2"/>
        </w:rPr>
        <w:t>672B</w:t>
      </w:r>
      <w:r w:rsidR="006E03D8">
        <w:t xml:space="preserve">Requiring amendments to class definitions, for instance to avoid overlap. </w:t>
      </w:r>
    </w:p>
    <w:p w14:paraId="67C94F3F" w14:textId="78695D75" w:rsidR="006E03D8" w:rsidRDefault="00BD5C95" w:rsidP="009B37CB">
      <w:pPr>
        <w:pStyle w:val="BodyText"/>
      </w:pPr>
      <w:r>
        <w:rPr>
          <w:rFonts w:ascii="ZWAdobeF" w:hAnsi="ZWAdobeF" w:cs="ZWAdobeF"/>
          <w:color w:val="auto"/>
          <w:sz w:val="2"/>
          <w:szCs w:val="2"/>
        </w:rPr>
        <w:t>160B</w:t>
      </w:r>
      <w:r w:rsidR="0049638A">
        <w:rPr>
          <w:rFonts w:ascii="ZWAdobeF" w:hAnsi="ZWAdobeF" w:cs="ZWAdobeF"/>
          <w:color w:val="auto"/>
          <w:sz w:val="2"/>
          <w:szCs w:val="2"/>
        </w:rPr>
        <w:t>160B</w:t>
      </w:r>
      <w:r w:rsidR="00D629FA">
        <w:rPr>
          <w:rFonts w:ascii="ZWAdobeF" w:hAnsi="ZWAdobeF" w:cs="ZWAdobeF"/>
          <w:color w:val="auto"/>
          <w:sz w:val="2"/>
          <w:szCs w:val="2"/>
        </w:rPr>
        <w:t>160B</w:t>
      </w:r>
      <w:r w:rsidR="006E03D8">
        <w:t xml:space="preserve">A middle ground approach, as proposed by the ALRC, would be to have a presumption that only one class action will proceed with respect to a dispute, subject to the overriding discretion of the court to order otherwise where this would be inefficient or antithetical </w:t>
      </w:r>
      <w:r w:rsidR="006E03D8">
        <w:lastRenderedPageBreak/>
        <w:t>to the interests of justice.</w:t>
      </w:r>
      <w:r w:rsidR="00D629FA">
        <w:rPr>
          <w:rFonts w:ascii="ZWAdobeF" w:hAnsi="ZWAdobeF" w:cs="ZWAdobeF"/>
          <w:color w:val="auto"/>
          <w:sz w:val="2"/>
          <w:szCs w:val="2"/>
        </w:rPr>
        <w:t>268F</w:t>
      </w:r>
      <w:r w:rsidR="0049638A">
        <w:rPr>
          <w:rFonts w:ascii="ZWAdobeF" w:hAnsi="ZWAdobeF" w:cs="ZWAdobeF"/>
          <w:color w:val="auto"/>
          <w:sz w:val="2"/>
          <w:szCs w:val="2"/>
        </w:rPr>
        <w:t>268F</w:t>
      </w:r>
      <w:r w:rsidR="00317AE4">
        <w:rPr>
          <w:rFonts w:ascii="ZWAdobeF" w:hAnsi="ZWAdobeF" w:cs="ZWAdobeF"/>
          <w:color w:val="auto"/>
          <w:sz w:val="2"/>
          <w:szCs w:val="2"/>
        </w:rPr>
        <w:t>268F</w:t>
      </w:r>
      <w:r w:rsidR="006E03D8">
        <w:rPr>
          <w:rStyle w:val="FootnoteReference"/>
        </w:rPr>
        <w:footnoteReference w:id="270"/>
      </w:r>
      <w:r w:rsidR="006E03D8">
        <w:t xml:space="preserve"> The ALRC expected that situations where the court would allow more than one class action to proceed would be infrequent.</w:t>
      </w:r>
      <w:r w:rsidR="00D629FA">
        <w:rPr>
          <w:rFonts w:ascii="ZWAdobeF" w:hAnsi="ZWAdobeF" w:cs="ZWAdobeF"/>
          <w:color w:val="auto"/>
          <w:sz w:val="2"/>
          <w:szCs w:val="2"/>
        </w:rPr>
        <w:t>269F</w:t>
      </w:r>
      <w:r w:rsidR="0049638A">
        <w:rPr>
          <w:rFonts w:ascii="ZWAdobeF" w:hAnsi="ZWAdobeF" w:cs="ZWAdobeF"/>
          <w:color w:val="auto"/>
          <w:sz w:val="2"/>
          <w:szCs w:val="2"/>
        </w:rPr>
        <w:t>269F</w:t>
      </w:r>
      <w:r w:rsidR="00317AE4">
        <w:rPr>
          <w:rFonts w:ascii="ZWAdobeF" w:hAnsi="ZWAdobeF" w:cs="ZWAdobeF"/>
          <w:color w:val="auto"/>
          <w:sz w:val="2"/>
          <w:szCs w:val="2"/>
        </w:rPr>
        <w:t>269F</w:t>
      </w:r>
      <w:r w:rsidR="006E03D8">
        <w:rPr>
          <w:rStyle w:val="FootnoteReference"/>
        </w:rPr>
        <w:footnoteReference w:id="271"/>
      </w:r>
    </w:p>
    <w:p w14:paraId="30F2206B" w14:textId="71ED276E" w:rsidR="006E03D8" w:rsidRDefault="00BD5C95" w:rsidP="009B37CB">
      <w:pPr>
        <w:pStyle w:val="BodyText"/>
      </w:pPr>
      <w:r>
        <w:rPr>
          <w:rFonts w:ascii="ZWAdobeF" w:hAnsi="ZWAdobeF" w:cs="ZWAdobeF"/>
          <w:color w:val="auto"/>
          <w:sz w:val="2"/>
          <w:szCs w:val="2"/>
        </w:rPr>
        <w:t>161B</w:t>
      </w:r>
      <w:r w:rsidR="0049638A">
        <w:rPr>
          <w:rFonts w:ascii="ZWAdobeF" w:hAnsi="ZWAdobeF" w:cs="ZWAdobeF"/>
          <w:color w:val="auto"/>
          <w:sz w:val="2"/>
          <w:szCs w:val="2"/>
        </w:rPr>
        <w:t>161B</w:t>
      </w:r>
      <w:r w:rsidR="00D629FA">
        <w:rPr>
          <w:rFonts w:ascii="ZWAdobeF" w:hAnsi="ZWAdobeF" w:cs="ZWAdobeF"/>
          <w:color w:val="auto"/>
          <w:sz w:val="2"/>
          <w:szCs w:val="2"/>
        </w:rPr>
        <w:t>161B</w:t>
      </w:r>
      <w:r w:rsidR="006E03D8">
        <w:t xml:space="preserve">We think that in most cases, it will be desirable for only one class action to proceed. Having multiple class actions concerning the same matter is likely to be inefficient for the court, cause increased cost for defendants and be confusing for class members. However, this may not always be the case, particularly if the class actions are managed and heard together. There may be situations where it is desirable to give class members a choice between two opt-in class actions, particularly where the proceedings take very different approaches.  </w:t>
      </w:r>
    </w:p>
    <w:p w14:paraId="2A73A771" w14:textId="02DC9A2B" w:rsidR="00A40B80" w:rsidRDefault="008C18E0" w:rsidP="00A40B80">
      <w:pPr>
        <w:pStyle w:val="QuestionBox"/>
      </w:pPr>
      <w:r>
        <w:rPr>
          <w:noProof/>
        </w:rPr>
        <mc:AlternateContent>
          <mc:Choice Requires="wpg">
            <w:drawing>
              <wp:anchor distT="0" distB="0" distL="114300" distR="114300" simplePos="0" relativeHeight="251651123" behindDoc="1" locked="0" layoutInCell="1" allowOverlap="1" wp14:anchorId="64130A6F" wp14:editId="52E4CA5A">
                <wp:simplePos x="0" y="0"/>
                <wp:positionH relativeFrom="column">
                  <wp:posOffset>-3810</wp:posOffset>
                </wp:positionH>
                <wp:positionV relativeFrom="paragraph">
                  <wp:posOffset>3810</wp:posOffset>
                </wp:positionV>
                <wp:extent cx="5760085" cy="1638291"/>
                <wp:effectExtent l="0" t="0" r="0" b="635"/>
                <wp:wrapNone/>
                <wp:docPr id="764518053" name="Group 764518053"/>
                <wp:cNvGraphicFramePr/>
                <a:graphic xmlns:a="http://schemas.openxmlformats.org/drawingml/2006/main">
                  <a:graphicData uri="http://schemas.microsoft.com/office/word/2010/wordprocessingGroup">
                    <wpg:wgp>
                      <wpg:cNvGrpSpPr/>
                      <wpg:grpSpPr>
                        <a:xfrm>
                          <a:off x="0" y="0"/>
                          <a:ext cx="5760085" cy="1638291"/>
                          <a:chOff x="0" y="62865"/>
                          <a:chExt cx="5760085" cy="1638457"/>
                        </a:xfrm>
                      </wpg:grpSpPr>
                      <wps:wsp>
                        <wps:cNvPr id="76451805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20C383" w14:textId="77777777" w:rsidR="00A55F53" w:rsidRDefault="00A55F53" w:rsidP="008C18E0">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55" name="Group 53"/>
                        <wpg:cNvGrpSpPr>
                          <a:grpSpLocks/>
                        </wpg:cNvGrpSpPr>
                        <wpg:grpSpPr bwMode="auto">
                          <a:xfrm>
                            <a:off x="0" y="316263"/>
                            <a:ext cx="5760085" cy="1385059"/>
                            <a:chOff x="1837" y="1792"/>
                            <a:chExt cx="9302" cy="14961"/>
                          </a:xfrm>
                        </wpg:grpSpPr>
                        <wps:wsp>
                          <wps:cNvPr id="764518061" name="Freeform 54"/>
                          <wps:cNvSpPr>
                            <a:spLocks/>
                          </wps:cNvSpPr>
                          <wps:spPr bwMode="auto">
                            <a:xfrm>
                              <a:off x="1837" y="1792"/>
                              <a:ext cx="9302" cy="1496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69" name="Group 764518069"/>
                        <wpg:cNvGrpSpPr/>
                        <wpg:grpSpPr>
                          <a:xfrm>
                            <a:off x="0" y="494036"/>
                            <a:ext cx="1443794" cy="252000"/>
                            <a:chOff x="-15880" y="0"/>
                            <a:chExt cx="1444379" cy="252068"/>
                          </a:xfrm>
                        </wpg:grpSpPr>
                        <wps:wsp>
                          <wps:cNvPr id="76451807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7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F93E6C" w14:textId="0B7B8EEB" w:rsidR="00A55F53" w:rsidRPr="00E700FF" w:rsidRDefault="00A55F53" w:rsidP="008C18E0">
                                <w:pPr>
                                  <w:pStyle w:val="BoxTitle"/>
                                  <w:spacing w:before="0" w:beforeAutospacing="0"/>
                                </w:pPr>
                                <w:r w:rsidRPr="001C1B37">
                                  <w:t>Q</w:t>
                                </w:r>
                                <w:r>
                                  <w:t>10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4130A6F" id="Group 764518053" o:spid="_x0000_s1264" style="position:absolute;left:0;text-align:left;margin-left:-.3pt;margin-top:.3pt;width:453.55pt;height:129pt;z-index:-251665357;mso-height-relative:margin" coordorigin=",628" coordsize="57600,1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">
                <v:shape id="_x0000_s126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F20C383" w14:textId="77777777" w:rsidR="00A55F53" w:rsidRDefault="00A55F53" w:rsidP="008C18E0">
                        <w:pPr>
                          <w:pStyle w:val="BoxTitle"/>
                          <w:spacing w:before="0" w:beforeAutospacing="0"/>
                        </w:pPr>
                        <w:r w:rsidRPr="007F6876">
                          <w:t>QUESTION</w:t>
                        </w:r>
                      </w:p>
                    </w:txbxContent>
                  </v:textbox>
                </v:shape>
                <v:group id="Group 53" o:spid="_x0000_s1266" style="position:absolute;top:3162;width:57600;height:13851" coordorigin="1837,1792" coordsize="9302,1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">
                  <v:shape id="Freeform 54" o:spid="_x0000_s1267" style="position:absolute;left:1837;top:1792;width:9302;height:1496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" path="m,l9354,r,7809l,7809,,e" fillcolor="#edf2ea" stroked="f">
                    <v:path arrowok="t" o:connecttype="custom" o:connectlocs="0,1916;9302,1916;9302,16877;0,16877;0,1916" o:connectangles="0,0,0,0,0"/>
                  </v:shape>
                </v:group>
                <v:group id="Group 764518069" o:spid="_x0000_s126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">
                  <v:shape id="Freeform 58" o:spid="_x0000_s126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" path="m,l1815,e" filled="f" strokecolor="#72ab6a" strokeweight=".5pt">
                    <v:path arrowok="t" o:connecttype="custom" o:connectlocs="0,0;1073495,0" o:connectangles="0,0"/>
                  </v:shape>
                  <v:shape id="Freeform 66" o:spid="_x0000_s127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6F93E6C" w14:textId="0B7B8EEB" w:rsidR="00A55F53" w:rsidRPr="00E700FF" w:rsidRDefault="00A55F53" w:rsidP="008C18E0">
                          <w:pPr>
                            <w:pStyle w:val="BoxTitle"/>
                            <w:spacing w:before="0" w:beforeAutospacing="0"/>
                          </w:pPr>
                          <w:r w:rsidRPr="001C1B37">
                            <w:t>Q</w:t>
                          </w:r>
                          <w:r>
                            <w:t>10</w:t>
                          </w:r>
                        </w:p>
                      </w:txbxContent>
                    </v:textbox>
                  </v:shape>
                </v:group>
              </v:group>
            </w:pict>
          </mc:Fallback>
        </mc:AlternateContent>
      </w:r>
    </w:p>
    <w:p w14:paraId="3700D97B" w14:textId="77777777" w:rsidR="00A40B80" w:rsidRDefault="00A40B80" w:rsidP="00A40B80">
      <w:pPr>
        <w:pStyle w:val="QuestionBox"/>
      </w:pPr>
    </w:p>
    <w:p w14:paraId="53D27E5D" w14:textId="5029E2C3" w:rsidR="006E03D8" w:rsidRDefault="00BD5C95" w:rsidP="00A40B80">
      <w:pPr>
        <w:pStyle w:val="QuestionBox"/>
      </w:pPr>
      <w:r>
        <w:rPr>
          <w:rFonts w:ascii="ZWAdobeF" w:hAnsi="ZWAdobeF" w:cs="ZWAdobeF"/>
          <w:color w:val="auto"/>
          <w:sz w:val="2"/>
          <w:szCs w:val="2"/>
        </w:rPr>
        <w:t>1398B</w:t>
      </w:r>
      <w:r w:rsidR="0049638A">
        <w:rPr>
          <w:rFonts w:ascii="ZWAdobeF" w:hAnsi="ZWAdobeF" w:cs="ZWAdobeF"/>
          <w:color w:val="auto"/>
          <w:sz w:val="2"/>
          <w:szCs w:val="2"/>
        </w:rPr>
        <w:t>1398B</w:t>
      </w:r>
      <w:r w:rsidR="00D629FA">
        <w:rPr>
          <w:rFonts w:ascii="ZWAdobeF" w:hAnsi="ZWAdobeF" w:cs="ZWAdobeF"/>
          <w:color w:val="auto"/>
          <w:sz w:val="2"/>
          <w:szCs w:val="2"/>
        </w:rPr>
        <w:t>1398B</w:t>
      </w:r>
      <w:r w:rsidR="006E03D8">
        <w:t xml:space="preserve">What powers should the court have for managing competing class actions? </w:t>
      </w:r>
    </w:p>
    <w:p w14:paraId="4D46994A" w14:textId="1C4CFA45" w:rsidR="006E03D8" w:rsidRDefault="00BD5C95" w:rsidP="008C18E0">
      <w:pPr>
        <w:pStyle w:val="Questionabc"/>
        <w:numPr>
          <w:ilvl w:val="0"/>
          <w:numId w:val="36"/>
        </w:numPr>
        <w:ind w:left="1418" w:hanging="425"/>
      </w:pPr>
      <w:r>
        <w:rPr>
          <w:rFonts w:ascii="ZWAdobeF" w:hAnsi="ZWAdobeF" w:cs="ZWAdobeF"/>
          <w:color w:val="auto"/>
          <w:sz w:val="2"/>
          <w:szCs w:val="2"/>
        </w:rPr>
        <w:t>1290B</w:t>
      </w:r>
      <w:r w:rsidR="0049638A">
        <w:rPr>
          <w:rFonts w:ascii="ZWAdobeF" w:hAnsi="ZWAdobeF" w:cs="ZWAdobeF"/>
          <w:color w:val="auto"/>
          <w:sz w:val="2"/>
          <w:szCs w:val="2"/>
        </w:rPr>
        <w:t>1290B</w:t>
      </w:r>
      <w:r w:rsidR="00D629FA">
        <w:rPr>
          <w:rFonts w:ascii="ZWAdobeF" w:hAnsi="ZWAdobeF" w:cs="ZWAdobeF"/>
          <w:color w:val="auto"/>
          <w:sz w:val="2"/>
          <w:szCs w:val="2"/>
        </w:rPr>
        <w:t>1290B</w:t>
      </w:r>
      <w:r w:rsidR="006E03D8">
        <w:t xml:space="preserve">Should a court be required to select one class action to proceed and stay the other proceedings? </w:t>
      </w:r>
    </w:p>
    <w:p w14:paraId="28738E1E" w14:textId="449ED48D" w:rsidR="006E03D8" w:rsidRDefault="00BD5C95" w:rsidP="008C18E0">
      <w:pPr>
        <w:pStyle w:val="Questionabc"/>
        <w:numPr>
          <w:ilvl w:val="0"/>
          <w:numId w:val="36"/>
        </w:numPr>
        <w:ind w:left="1418" w:hanging="425"/>
      </w:pPr>
      <w:r>
        <w:rPr>
          <w:rFonts w:ascii="ZWAdobeF" w:hAnsi="ZWAdobeF" w:cs="ZWAdobeF"/>
          <w:color w:val="auto"/>
          <w:sz w:val="2"/>
          <w:szCs w:val="2"/>
        </w:rPr>
        <w:t>1291B</w:t>
      </w:r>
      <w:r w:rsidR="0049638A">
        <w:rPr>
          <w:rFonts w:ascii="ZWAdobeF" w:hAnsi="ZWAdobeF" w:cs="ZWAdobeF"/>
          <w:color w:val="auto"/>
          <w:sz w:val="2"/>
          <w:szCs w:val="2"/>
        </w:rPr>
        <w:t>1291B</w:t>
      </w:r>
      <w:r w:rsidR="00D629FA">
        <w:rPr>
          <w:rFonts w:ascii="ZWAdobeF" w:hAnsi="ZWAdobeF" w:cs="ZWAdobeF"/>
          <w:color w:val="auto"/>
          <w:sz w:val="2"/>
          <w:szCs w:val="2"/>
        </w:rPr>
        <w:t>1291B</w:t>
      </w:r>
      <w:r w:rsidR="006E03D8">
        <w:t xml:space="preserve">Or should the court have a broader range of powers available to it? </w:t>
      </w:r>
    </w:p>
    <w:p w14:paraId="0F09E54C" w14:textId="77777777" w:rsidR="005E4732" w:rsidRDefault="005E4732" w:rsidP="00A40B80">
      <w:pPr>
        <w:pStyle w:val="QuestionBox"/>
      </w:pPr>
    </w:p>
    <w:p w14:paraId="741FCD64" w14:textId="1886A881" w:rsidR="006E03D8" w:rsidRDefault="006E03D8" w:rsidP="006E03D8">
      <w:pPr>
        <w:pStyle w:val="Heading2"/>
      </w:pPr>
      <w:bookmarkStart w:id="57" w:name="_Toc83895443"/>
      <w:r>
        <w:t xml:space="preserve">Criteria </w:t>
      </w:r>
      <w:r w:rsidR="00675168">
        <w:t>to apply when determining how to manage competing class actions</w:t>
      </w:r>
      <w:bookmarkEnd w:id="57"/>
      <w:r w:rsidR="00675168">
        <w:t xml:space="preserve"> </w:t>
      </w:r>
    </w:p>
    <w:p w14:paraId="031773E3" w14:textId="58796830" w:rsidR="006E03D8" w:rsidRDefault="00BD5C95" w:rsidP="009B37CB">
      <w:pPr>
        <w:pStyle w:val="BodyText"/>
      </w:pPr>
      <w:r>
        <w:rPr>
          <w:rFonts w:ascii="ZWAdobeF" w:hAnsi="ZWAdobeF" w:cs="ZWAdobeF"/>
          <w:color w:val="auto"/>
          <w:sz w:val="2"/>
          <w:szCs w:val="2"/>
        </w:rPr>
        <w:t>162B</w:t>
      </w:r>
      <w:r w:rsidR="0049638A">
        <w:rPr>
          <w:rFonts w:ascii="ZWAdobeF" w:hAnsi="ZWAdobeF" w:cs="ZWAdobeF"/>
          <w:color w:val="auto"/>
          <w:sz w:val="2"/>
          <w:szCs w:val="2"/>
        </w:rPr>
        <w:t>162B</w:t>
      </w:r>
      <w:r w:rsidR="00D629FA">
        <w:rPr>
          <w:rFonts w:ascii="ZWAdobeF" w:hAnsi="ZWAdobeF" w:cs="ZWAdobeF"/>
          <w:color w:val="auto"/>
          <w:sz w:val="2"/>
          <w:szCs w:val="2"/>
        </w:rPr>
        <w:t>162B</w:t>
      </w:r>
      <w:r w:rsidR="006E03D8">
        <w:t xml:space="preserve">We think class actions legislation should provide an overarching test for courts to apply when determining how competing class actions should be managed. A list of relevant factors could also be provided for courts to consider when applying this test. </w:t>
      </w:r>
    </w:p>
    <w:p w14:paraId="35C57700" w14:textId="32D87543" w:rsidR="006E03D8" w:rsidRDefault="00BD5C95" w:rsidP="009B37CB">
      <w:pPr>
        <w:pStyle w:val="BodyText"/>
      </w:pPr>
      <w:r>
        <w:rPr>
          <w:rFonts w:ascii="ZWAdobeF" w:hAnsi="ZWAdobeF" w:cs="ZWAdobeF"/>
          <w:color w:val="auto"/>
          <w:sz w:val="2"/>
          <w:szCs w:val="2"/>
        </w:rPr>
        <w:t>163B</w:t>
      </w:r>
      <w:r w:rsidR="0049638A">
        <w:rPr>
          <w:rFonts w:ascii="ZWAdobeF" w:hAnsi="ZWAdobeF" w:cs="ZWAdobeF"/>
          <w:color w:val="auto"/>
          <w:sz w:val="2"/>
          <w:szCs w:val="2"/>
        </w:rPr>
        <w:t>163B</w:t>
      </w:r>
      <w:r w:rsidR="00D629FA">
        <w:rPr>
          <w:rFonts w:ascii="ZWAdobeF" w:hAnsi="ZWAdobeF" w:cs="ZWAdobeF"/>
          <w:color w:val="auto"/>
          <w:sz w:val="2"/>
          <w:szCs w:val="2"/>
        </w:rPr>
        <w:t>163B</w:t>
      </w:r>
      <w:r w:rsidR="006E03D8">
        <w:t>In both Canada and Australia, courts have developed lists of factors for choosing between competing class actions. Prior to the 2020 amendments to the relevant legislation, Ontario courts had identified up to 14 factors for determining which class action should proceed, which the LCO said was too complex and promoted uncertainty.</w:t>
      </w:r>
      <w:r w:rsidR="00D629FA">
        <w:rPr>
          <w:rFonts w:ascii="ZWAdobeF" w:hAnsi="ZWAdobeF" w:cs="ZWAdobeF"/>
          <w:color w:val="auto"/>
          <w:sz w:val="2"/>
          <w:szCs w:val="2"/>
        </w:rPr>
        <w:t>270F</w:t>
      </w:r>
      <w:r w:rsidR="0049638A">
        <w:rPr>
          <w:rFonts w:ascii="ZWAdobeF" w:hAnsi="ZWAdobeF" w:cs="ZWAdobeF"/>
          <w:color w:val="auto"/>
          <w:sz w:val="2"/>
          <w:szCs w:val="2"/>
        </w:rPr>
        <w:t>270F</w:t>
      </w:r>
      <w:r w:rsidR="00317AE4">
        <w:rPr>
          <w:rFonts w:ascii="ZWAdobeF" w:hAnsi="ZWAdobeF" w:cs="ZWAdobeF"/>
          <w:color w:val="auto"/>
          <w:sz w:val="2"/>
          <w:szCs w:val="2"/>
        </w:rPr>
        <w:t>270F</w:t>
      </w:r>
      <w:r w:rsidR="006E03D8">
        <w:rPr>
          <w:rStyle w:val="FootnoteReference"/>
        </w:rPr>
        <w:footnoteReference w:id="272"/>
      </w:r>
      <w:r w:rsidR="006E03D8">
        <w:t xml:space="preserve"> The LCO considered a limited number of statutory criteria should guide courts in their analysis of choosing between competing class actions.</w:t>
      </w:r>
      <w:r w:rsidR="00D629FA">
        <w:rPr>
          <w:rFonts w:ascii="ZWAdobeF" w:hAnsi="ZWAdobeF" w:cs="ZWAdobeF"/>
          <w:color w:val="auto"/>
          <w:sz w:val="2"/>
          <w:szCs w:val="2"/>
        </w:rPr>
        <w:t>271F</w:t>
      </w:r>
      <w:r w:rsidR="0049638A">
        <w:rPr>
          <w:rFonts w:ascii="ZWAdobeF" w:hAnsi="ZWAdobeF" w:cs="ZWAdobeF"/>
          <w:color w:val="auto"/>
          <w:sz w:val="2"/>
          <w:szCs w:val="2"/>
        </w:rPr>
        <w:t>271F</w:t>
      </w:r>
      <w:r w:rsidR="00317AE4">
        <w:rPr>
          <w:rFonts w:ascii="ZWAdobeF" w:hAnsi="ZWAdobeF" w:cs="ZWAdobeF"/>
          <w:color w:val="auto"/>
          <w:sz w:val="2"/>
          <w:szCs w:val="2"/>
        </w:rPr>
        <w:t>271F</w:t>
      </w:r>
      <w:r w:rsidR="006E03D8">
        <w:rPr>
          <w:rStyle w:val="FootnoteReference"/>
        </w:rPr>
        <w:footnoteReference w:id="273"/>
      </w:r>
      <w:r w:rsidR="006E03D8">
        <w:t xml:space="preserve"> </w:t>
      </w:r>
    </w:p>
    <w:p w14:paraId="737302EE" w14:textId="5E046235" w:rsidR="006E03D8" w:rsidRDefault="00BD5C95" w:rsidP="009B37CB">
      <w:pPr>
        <w:pStyle w:val="BodyText"/>
      </w:pPr>
      <w:r>
        <w:rPr>
          <w:rFonts w:ascii="ZWAdobeF" w:hAnsi="ZWAdobeF" w:cs="ZWAdobeF"/>
          <w:color w:val="auto"/>
          <w:sz w:val="2"/>
          <w:szCs w:val="2"/>
        </w:rPr>
        <w:t>164B</w:t>
      </w:r>
      <w:r w:rsidR="0049638A">
        <w:rPr>
          <w:rFonts w:ascii="ZWAdobeF" w:hAnsi="ZWAdobeF" w:cs="ZWAdobeF"/>
          <w:color w:val="auto"/>
          <w:sz w:val="2"/>
          <w:szCs w:val="2"/>
        </w:rPr>
        <w:t>164B</w:t>
      </w:r>
      <w:r w:rsidR="00D629FA">
        <w:rPr>
          <w:rFonts w:ascii="ZWAdobeF" w:hAnsi="ZWAdobeF" w:cs="ZWAdobeF"/>
          <w:color w:val="auto"/>
          <w:sz w:val="2"/>
          <w:szCs w:val="2"/>
        </w:rPr>
        <w:t>164B</w:t>
      </w:r>
      <w:r w:rsidR="006E03D8">
        <w:t xml:space="preserve">As recommended by the LCO, the Ontario legislation was amended in 2020 to require the court to determine “which proceeding would best advance the claims of the class </w:t>
      </w:r>
      <w:r w:rsidR="006E03D8">
        <w:lastRenderedPageBreak/>
        <w:t>members in an efficient and cost-effective matter</w:t>
      </w:r>
      <w:r w:rsidR="000A6BBD">
        <w:t>”.</w:t>
      </w:r>
      <w:r w:rsidR="00D629FA">
        <w:rPr>
          <w:rFonts w:ascii="ZWAdobeF" w:hAnsi="ZWAdobeF" w:cs="ZWAdobeF"/>
          <w:color w:val="auto"/>
          <w:sz w:val="2"/>
          <w:szCs w:val="2"/>
        </w:rPr>
        <w:t>272F</w:t>
      </w:r>
      <w:r w:rsidR="0049638A">
        <w:rPr>
          <w:rFonts w:ascii="ZWAdobeF" w:hAnsi="ZWAdobeF" w:cs="ZWAdobeF"/>
          <w:color w:val="auto"/>
          <w:sz w:val="2"/>
          <w:szCs w:val="2"/>
        </w:rPr>
        <w:t>272F</w:t>
      </w:r>
      <w:r w:rsidR="00317AE4">
        <w:rPr>
          <w:rFonts w:ascii="ZWAdobeF" w:hAnsi="ZWAdobeF" w:cs="ZWAdobeF"/>
          <w:color w:val="auto"/>
          <w:sz w:val="2"/>
          <w:szCs w:val="2"/>
        </w:rPr>
        <w:t>272F</w:t>
      </w:r>
      <w:r w:rsidR="009816D9">
        <w:rPr>
          <w:rStyle w:val="FootnoteReference"/>
        </w:rPr>
        <w:footnoteReference w:id="274"/>
      </w:r>
      <w:r w:rsidR="006E03D8">
        <w:t xml:space="preserve"> In doing so, the court must consider:</w:t>
      </w:r>
      <w:r w:rsidR="00D629FA">
        <w:rPr>
          <w:rFonts w:ascii="ZWAdobeF" w:hAnsi="ZWAdobeF" w:cs="ZWAdobeF"/>
          <w:color w:val="auto"/>
          <w:sz w:val="2"/>
          <w:szCs w:val="2"/>
        </w:rPr>
        <w:t>273F</w:t>
      </w:r>
      <w:r w:rsidR="0049638A">
        <w:rPr>
          <w:rFonts w:ascii="ZWAdobeF" w:hAnsi="ZWAdobeF" w:cs="ZWAdobeF"/>
          <w:color w:val="auto"/>
          <w:sz w:val="2"/>
          <w:szCs w:val="2"/>
        </w:rPr>
        <w:t>273F</w:t>
      </w:r>
      <w:r w:rsidR="00317AE4">
        <w:rPr>
          <w:rFonts w:ascii="ZWAdobeF" w:hAnsi="ZWAdobeF" w:cs="ZWAdobeF"/>
          <w:color w:val="auto"/>
          <w:sz w:val="2"/>
          <w:szCs w:val="2"/>
        </w:rPr>
        <w:t>273F</w:t>
      </w:r>
      <w:r w:rsidR="006E03D8">
        <w:rPr>
          <w:rStyle w:val="FootnoteReference"/>
        </w:rPr>
        <w:footnoteReference w:id="275"/>
      </w:r>
    </w:p>
    <w:p w14:paraId="1E4463B1" w14:textId="228553F4" w:rsidR="006E03D8" w:rsidRDefault="00BD5C95" w:rsidP="00932DB9">
      <w:pPr>
        <w:pStyle w:val="BodyTextnonum"/>
        <w:numPr>
          <w:ilvl w:val="3"/>
          <w:numId w:val="14"/>
        </w:numPr>
      </w:pPr>
      <w:r>
        <w:rPr>
          <w:rFonts w:ascii="ZWAdobeF" w:hAnsi="ZWAdobeF" w:cs="ZWAdobeF"/>
          <w:color w:val="auto"/>
          <w:sz w:val="2"/>
          <w:szCs w:val="2"/>
        </w:rPr>
        <w:t>673B</w:t>
      </w:r>
      <w:r w:rsidR="0049638A">
        <w:rPr>
          <w:rFonts w:ascii="ZWAdobeF" w:hAnsi="ZWAdobeF" w:cs="ZWAdobeF"/>
          <w:color w:val="auto"/>
          <w:sz w:val="2"/>
          <w:szCs w:val="2"/>
        </w:rPr>
        <w:t>673B</w:t>
      </w:r>
      <w:r w:rsidR="00D629FA">
        <w:rPr>
          <w:rFonts w:ascii="ZWAdobeF" w:hAnsi="ZWAdobeF" w:cs="ZWAdobeF"/>
          <w:color w:val="auto"/>
          <w:sz w:val="2"/>
          <w:szCs w:val="2"/>
        </w:rPr>
        <w:t>673B</w:t>
      </w:r>
      <w:r w:rsidR="006E03D8">
        <w:t>Each representative plaintiff’s theory of the case, including the amount of work carried out to develop and support the theory.</w:t>
      </w:r>
    </w:p>
    <w:p w14:paraId="40B14143" w14:textId="65199C12" w:rsidR="006E03D8" w:rsidRDefault="00BD5C95" w:rsidP="00932DB9">
      <w:pPr>
        <w:pStyle w:val="BodyTextnonum"/>
        <w:numPr>
          <w:ilvl w:val="3"/>
          <w:numId w:val="14"/>
        </w:numPr>
      </w:pPr>
      <w:r>
        <w:rPr>
          <w:rFonts w:ascii="ZWAdobeF" w:hAnsi="ZWAdobeF" w:cs="ZWAdobeF"/>
          <w:color w:val="auto"/>
          <w:sz w:val="2"/>
          <w:szCs w:val="2"/>
        </w:rPr>
        <w:t>674B</w:t>
      </w:r>
      <w:r w:rsidR="0049638A">
        <w:rPr>
          <w:rFonts w:ascii="ZWAdobeF" w:hAnsi="ZWAdobeF" w:cs="ZWAdobeF"/>
          <w:color w:val="auto"/>
          <w:sz w:val="2"/>
          <w:szCs w:val="2"/>
        </w:rPr>
        <w:t>674B</w:t>
      </w:r>
      <w:r w:rsidR="00D629FA">
        <w:rPr>
          <w:rFonts w:ascii="ZWAdobeF" w:hAnsi="ZWAdobeF" w:cs="ZWAdobeF"/>
          <w:color w:val="auto"/>
          <w:sz w:val="2"/>
          <w:szCs w:val="2"/>
        </w:rPr>
        <w:t>674B</w:t>
      </w:r>
      <w:r w:rsidR="006E03D8">
        <w:t>The relative likelihood of success in each proceeding, both as to certification and as a class action.</w:t>
      </w:r>
    </w:p>
    <w:p w14:paraId="6B217783" w14:textId="3DE3BEC0" w:rsidR="006E03D8" w:rsidRDefault="00BD5C95" w:rsidP="00932DB9">
      <w:pPr>
        <w:pStyle w:val="BodyTextnonum"/>
        <w:numPr>
          <w:ilvl w:val="3"/>
          <w:numId w:val="14"/>
        </w:numPr>
      </w:pPr>
      <w:r>
        <w:rPr>
          <w:rFonts w:ascii="ZWAdobeF" w:hAnsi="ZWAdobeF" w:cs="ZWAdobeF"/>
          <w:color w:val="auto"/>
          <w:sz w:val="2"/>
          <w:szCs w:val="2"/>
        </w:rPr>
        <w:t>675B</w:t>
      </w:r>
      <w:r w:rsidR="0049638A">
        <w:rPr>
          <w:rFonts w:ascii="ZWAdobeF" w:hAnsi="ZWAdobeF" w:cs="ZWAdobeF"/>
          <w:color w:val="auto"/>
          <w:sz w:val="2"/>
          <w:szCs w:val="2"/>
        </w:rPr>
        <w:t>675B</w:t>
      </w:r>
      <w:r w:rsidR="00D629FA">
        <w:rPr>
          <w:rFonts w:ascii="ZWAdobeF" w:hAnsi="ZWAdobeF" w:cs="ZWAdobeF"/>
          <w:color w:val="auto"/>
          <w:sz w:val="2"/>
          <w:szCs w:val="2"/>
        </w:rPr>
        <w:t>675B</w:t>
      </w:r>
      <w:r w:rsidR="006E03D8">
        <w:t xml:space="preserve">The expertise, experience and previous results of each </w:t>
      </w:r>
      <w:r w:rsidR="00EE06AF">
        <w:t>lawyer</w:t>
      </w:r>
      <w:r w:rsidR="006E03D8">
        <w:t xml:space="preserve"> (in class actions litigation or in the substantive areas of law at issue).</w:t>
      </w:r>
    </w:p>
    <w:p w14:paraId="7DF2C410" w14:textId="1E1C4730" w:rsidR="006E03D8" w:rsidRDefault="00BD5C95" w:rsidP="00932DB9">
      <w:pPr>
        <w:pStyle w:val="BodyTextnonum"/>
        <w:numPr>
          <w:ilvl w:val="3"/>
          <w:numId w:val="14"/>
        </w:numPr>
      </w:pPr>
      <w:r>
        <w:rPr>
          <w:rFonts w:ascii="ZWAdobeF" w:hAnsi="ZWAdobeF" w:cs="ZWAdobeF"/>
          <w:color w:val="auto"/>
          <w:sz w:val="2"/>
          <w:szCs w:val="2"/>
        </w:rPr>
        <w:t>676B</w:t>
      </w:r>
      <w:r w:rsidR="0049638A">
        <w:rPr>
          <w:rFonts w:ascii="ZWAdobeF" w:hAnsi="ZWAdobeF" w:cs="ZWAdobeF"/>
          <w:color w:val="auto"/>
          <w:sz w:val="2"/>
          <w:szCs w:val="2"/>
        </w:rPr>
        <w:t>676B</w:t>
      </w:r>
      <w:r w:rsidR="00D629FA">
        <w:rPr>
          <w:rFonts w:ascii="ZWAdobeF" w:hAnsi="ZWAdobeF" w:cs="ZWAdobeF"/>
          <w:color w:val="auto"/>
          <w:sz w:val="2"/>
          <w:szCs w:val="2"/>
        </w:rPr>
        <w:t>676B</w:t>
      </w:r>
      <w:r w:rsidR="006E03D8">
        <w:t xml:space="preserve">The funding of each proceeding, including the resources of the </w:t>
      </w:r>
      <w:r w:rsidR="00EE06AF">
        <w:t>lawyer</w:t>
      </w:r>
      <w:r w:rsidR="006E03D8">
        <w:t xml:space="preserve"> and any litigation funding arrangements. </w:t>
      </w:r>
    </w:p>
    <w:p w14:paraId="6558942B" w14:textId="7590DCD8" w:rsidR="006E03D8" w:rsidRDefault="00BD5C95" w:rsidP="009B37CB">
      <w:pPr>
        <w:pStyle w:val="BodyText"/>
      </w:pPr>
      <w:r>
        <w:rPr>
          <w:rFonts w:ascii="ZWAdobeF" w:hAnsi="ZWAdobeF" w:cs="ZWAdobeF"/>
          <w:color w:val="auto"/>
          <w:sz w:val="2"/>
          <w:szCs w:val="2"/>
        </w:rPr>
        <w:t>165B</w:t>
      </w:r>
      <w:r w:rsidR="0049638A">
        <w:rPr>
          <w:rFonts w:ascii="ZWAdobeF" w:hAnsi="ZWAdobeF" w:cs="ZWAdobeF"/>
          <w:color w:val="auto"/>
          <w:sz w:val="2"/>
          <w:szCs w:val="2"/>
        </w:rPr>
        <w:t>165B</w:t>
      </w:r>
      <w:r w:rsidR="00D629FA">
        <w:rPr>
          <w:rFonts w:ascii="ZWAdobeF" w:hAnsi="ZWAdobeF" w:cs="ZWAdobeF"/>
          <w:color w:val="auto"/>
          <w:sz w:val="2"/>
          <w:szCs w:val="2"/>
        </w:rPr>
        <w:t>165B</w:t>
      </w:r>
      <w:r w:rsidR="006E03D8">
        <w:t>Australian courts have also identified relevant factors to consider when deciding which proceeding should be stayed and which should proceed.</w:t>
      </w:r>
      <w:r w:rsidR="00D629FA">
        <w:rPr>
          <w:rFonts w:ascii="ZWAdobeF" w:hAnsi="ZWAdobeF" w:cs="ZWAdobeF"/>
          <w:color w:val="auto"/>
          <w:sz w:val="2"/>
          <w:szCs w:val="2"/>
        </w:rPr>
        <w:t>274F</w:t>
      </w:r>
      <w:r w:rsidR="0049638A">
        <w:rPr>
          <w:rFonts w:ascii="ZWAdobeF" w:hAnsi="ZWAdobeF" w:cs="ZWAdobeF"/>
          <w:color w:val="auto"/>
          <w:sz w:val="2"/>
          <w:szCs w:val="2"/>
        </w:rPr>
        <w:t>274F</w:t>
      </w:r>
      <w:r w:rsidR="00317AE4">
        <w:rPr>
          <w:rFonts w:ascii="ZWAdobeF" w:hAnsi="ZWAdobeF" w:cs="ZWAdobeF"/>
          <w:color w:val="auto"/>
          <w:sz w:val="2"/>
          <w:szCs w:val="2"/>
        </w:rPr>
        <w:t>274F</w:t>
      </w:r>
      <w:r w:rsidR="006E03D8">
        <w:rPr>
          <w:rStyle w:val="FootnoteReference"/>
        </w:rPr>
        <w:footnoteReference w:id="276"/>
      </w:r>
      <w:r w:rsidR="006E03D8">
        <w:t xml:space="preserve"> In </w:t>
      </w:r>
      <w:r w:rsidR="006E03D8">
        <w:rPr>
          <w:i/>
          <w:iCs/>
        </w:rPr>
        <w:t>Wigmans v AMP Ltd</w:t>
      </w:r>
      <w:r w:rsidR="006E03D8">
        <w:t>, t</w:t>
      </w:r>
      <w:r w:rsidR="006E03D8" w:rsidRPr="00DC7B6F">
        <w:t>he</w:t>
      </w:r>
      <w:r w:rsidR="006E03D8">
        <w:t xml:space="preserve"> High Court of Australia said that where the defendant’s interests are not differentially affected, the court must determine which proceeding going ahead would be in the best interests of class members.</w:t>
      </w:r>
      <w:r w:rsidR="00D629FA">
        <w:rPr>
          <w:rFonts w:ascii="ZWAdobeF" w:hAnsi="ZWAdobeF" w:cs="ZWAdobeF"/>
          <w:color w:val="auto"/>
          <w:sz w:val="2"/>
          <w:szCs w:val="2"/>
        </w:rPr>
        <w:t>275F</w:t>
      </w:r>
      <w:r w:rsidR="0049638A">
        <w:rPr>
          <w:rFonts w:ascii="ZWAdobeF" w:hAnsi="ZWAdobeF" w:cs="ZWAdobeF"/>
          <w:color w:val="auto"/>
          <w:sz w:val="2"/>
          <w:szCs w:val="2"/>
        </w:rPr>
        <w:t>275F</w:t>
      </w:r>
      <w:r w:rsidR="00317AE4">
        <w:rPr>
          <w:rFonts w:ascii="ZWAdobeF" w:hAnsi="ZWAdobeF" w:cs="ZWAdobeF"/>
          <w:color w:val="auto"/>
          <w:sz w:val="2"/>
          <w:szCs w:val="2"/>
        </w:rPr>
        <w:t>275F</w:t>
      </w:r>
      <w:r w:rsidR="006E03D8">
        <w:rPr>
          <w:rStyle w:val="FootnoteReference"/>
        </w:rPr>
        <w:footnoteReference w:id="277"/>
      </w:r>
      <w:r w:rsidR="006E03D8">
        <w:t xml:space="preserve"> The factors relevant to this cannot be exhaustively listed and will vary from case to case.</w:t>
      </w:r>
      <w:r w:rsidR="00D629FA">
        <w:rPr>
          <w:rFonts w:ascii="ZWAdobeF" w:hAnsi="ZWAdobeF" w:cs="ZWAdobeF"/>
          <w:color w:val="auto"/>
          <w:sz w:val="2"/>
          <w:szCs w:val="2"/>
        </w:rPr>
        <w:t>276F</w:t>
      </w:r>
      <w:r w:rsidR="0049638A">
        <w:rPr>
          <w:rFonts w:ascii="ZWAdobeF" w:hAnsi="ZWAdobeF" w:cs="ZWAdobeF"/>
          <w:color w:val="auto"/>
          <w:sz w:val="2"/>
          <w:szCs w:val="2"/>
        </w:rPr>
        <w:t>276F</w:t>
      </w:r>
      <w:r w:rsidR="00317AE4">
        <w:rPr>
          <w:rFonts w:ascii="ZWAdobeF" w:hAnsi="ZWAdobeF" w:cs="ZWAdobeF"/>
          <w:color w:val="auto"/>
          <w:sz w:val="2"/>
          <w:szCs w:val="2"/>
        </w:rPr>
        <w:t>276F</w:t>
      </w:r>
      <w:r w:rsidR="006E03D8">
        <w:rPr>
          <w:rStyle w:val="FootnoteReference"/>
        </w:rPr>
        <w:footnoteReference w:id="278"/>
      </w:r>
      <w:r w:rsidR="006E03D8">
        <w:t xml:space="preserve"> In </w:t>
      </w:r>
      <w:r w:rsidR="006E03D8">
        <w:rPr>
          <w:i/>
          <w:iCs/>
        </w:rPr>
        <w:t xml:space="preserve">Wigmans v AMP </w:t>
      </w:r>
      <w:r w:rsidR="006E03D8" w:rsidRPr="00943808">
        <w:rPr>
          <w:i/>
          <w:iCs/>
        </w:rPr>
        <w:t>Ltd</w:t>
      </w:r>
      <w:r w:rsidR="006E03D8">
        <w:rPr>
          <w:i/>
          <w:iCs/>
        </w:rPr>
        <w:t xml:space="preserve">, </w:t>
      </w:r>
      <w:r w:rsidR="006E03D8">
        <w:t>the lower court judge had identified the following factors as relevant:</w:t>
      </w:r>
      <w:r w:rsidR="00D629FA">
        <w:rPr>
          <w:rFonts w:ascii="ZWAdobeF" w:hAnsi="ZWAdobeF" w:cs="ZWAdobeF"/>
          <w:color w:val="auto"/>
          <w:sz w:val="2"/>
          <w:szCs w:val="2"/>
        </w:rPr>
        <w:t>277F</w:t>
      </w:r>
      <w:r w:rsidR="0049638A">
        <w:rPr>
          <w:rFonts w:ascii="ZWAdobeF" w:hAnsi="ZWAdobeF" w:cs="ZWAdobeF"/>
          <w:color w:val="auto"/>
          <w:sz w:val="2"/>
          <w:szCs w:val="2"/>
        </w:rPr>
        <w:t>277F</w:t>
      </w:r>
      <w:r w:rsidR="00317AE4">
        <w:rPr>
          <w:rFonts w:ascii="ZWAdobeF" w:hAnsi="ZWAdobeF" w:cs="ZWAdobeF"/>
          <w:color w:val="auto"/>
          <w:sz w:val="2"/>
          <w:szCs w:val="2"/>
        </w:rPr>
        <w:t>277F</w:t>
      </w:r>
      <w:r w:rsidR="006E03D8">
        <w:rPr>
          <w:rStyle w:val="FootnoteReference"/>
        </w:rPr>
        <w:footnoteReference w:id="279"/>
      </w:r>
      <w:r w:rsidR="006E03D8">
        <w:t xml:space="preserve"> </w:t>
      </w:r>
    </w:p>
    <w:p w14:paraId="1239274A" w14:textId="3FF3F360" w:rsidR="006E03D8" w:rsidRDefault="00BD5C95" w:rsidP="00932DB9">
      <w:pPr>
        <w:pStyle w:val="BodyTextnonum"/>
        <w:numPr>
          <w:ilvl w:val="3"/>
          <w:numId w:val="14"/>
        </w:numPr>
      </w:pPr>
      <w:r>
        <w:rPr>
          <w:rFonts w:ascii="ZWAdobeF" w:hAnsi="ZWAdobeF" w:cs="ZWAdobeF"/>
          <w:color w:val="auto"/>
          <w:sz w:val="2"/>
          <w:szCs w:val="2"/>
        </w:rPr>
        <w:t>677B</w:t>
      </w:r>
      <w:r w:rsidR="0049638A">
        <w:rPr>
          <w:rFonts w:ascii="ZWAdobeF" w:hAnsi="ZWAdobeF" w:cs="ZWAdobeF"/>
          <w:color w:val="auto"/>
          <w:sz w:val="2"/>
          <w:szCs w:val="2"/>
        </w:rPr>
        <w:t>677B</w:t>
      </w:r>
      <w:r w:rsidR="00D629FA">
        <w:rPr>
          <w:rFonts w:ascii="ZWAdobeF" w:hAnsi="ZWAdobeF" w:cs="ZWAdobeF"/>
          <w:color w:val="auto"/>
          <w:sz w:val="2"/>
          <w:szCs w:val="2"/>
        </w:rPr>
        <w:t>677B</w:t>
      </w:r>
      <w:r w:rsidR="006E03D8">
        <w:t>The competing funding proposals, costs estimates and net hypothetical return to class members.</w:t>
      </w:r>
    </w:p>
    <w:p w14:paraId="35A50A6A" w14:textId="7D2CEFAE" w:rsidR="006E03D8" w:rsidRDefault="00BD5C95" w:rsidP="00932DB9">
      <w:pPr>
        <w:pStyle w:val="BodyTextnonum"/>
        <w:numPr>
          <w:ilvl w:val="3"/>
          <w:numId w:val="14"/>
        </w:numPr>
      </w:pPr>
      <w:r>
        <w:rPr>
          <w:rFonts w:ascii="ZWAdobeF" w:hAnsi="ZWAdobeF" w:cs="ZWAdobeF"/>
          <w:color w:val="auto"/>
          <w:sz w:val="2"/>
          <w:szCs w:val="2"/>
        </w:rPr>
        <w:t>678B</w:t>
      </w:r>
      <w:r w:rsidR="0049638A">
        <w:rPr>
          <w:rFonts w:ascii="ZWAdobeF" w:hAnsi="ZWAdobeF" w:cs="ZWAdobeF"/>
          <w:color w:val="auto"/>
          <w:sz w:val="2"/>
          <w:szCs w:val="2"/>
        </w:rPr>
        <w:t>678B</w:t>
      </w:r>
      <w:r w:rsidR="00D629FA">
        <w:rPr>
          <w:rFonts w:ascii="ZWAdobeF" w:hAnsi="ZWAdobeF" w:cs="ZWAdobeF"/>
          <w:color w:val="auto"/>
          <w:sz w:val="2"/>
          <w:szCs w:val="2"/>
        </w:rPr>
        <w:t>678B</w:t>
      </w:r>
      <w:r w:rsidR="006E03D8">
        <w:t>Proposals for security for costs.</w:t>
      </w:r>
    </w:p>
    <w:p w14:paraId="178D57C2" w14:textId="129BC6F9" w:rsidR="006E03D8" w:rsidRDefault="00BD5C95" w:rsidP="00932DB9">
      <w:pPr>
        <w:pStyle w:val="BodyTextnonum"/>
        <w:numPr>
          <w:ilvl w:val="3"/>
          <w:numId w:val="14"/>
        </w:numPr>
      </w:pPr>
      <w:r>
        <w:rPr>
          <w:rFonts w:ascii="ZWAdobeF" w:hAnsi="ZWAdobeF" w:cs="ZWAdobeF"/>
          <w:color w:val="auto"/>
          <w:sz w:val="2"/>
          <w:szCs w:val="2"/>
        </w:rPr>
        <w:t>679B</w:t>
      </w:r>
      <w:r w:rsidR="0049638A">
        <w:rPr>
          <w:rFonts w:ascii="ZWAdobeF" w:hAnsi="ZWAdobeF" w:cs="ZWAdobeF"/>
          <w:color w:val="auto"/>
          <w:sz w:val="2"/>
          <w:szCs w:val="2"/>
        </w:rPr>
        <w:t>679B</w:t>
      </w:r>
      <w:r w:rsidR="00D629FA">
        <w:rPr>
          <w:rFonts w:ascii="ZWAdobeF" w:hAnsi="ZWAdobeF" w:cs="ZWAdobeF"/>
          <w:color w:val="auto"/>
          <w:sz w:val="2"/>
          <w:szCs w:val="2"/>
        </w:rPr>
        <w:t>679B</w:t>
      </w:r>
      <w:r w:rsidR="006E03D8">
        <w:t>The nature and scope of the causes of action advanced and relevant case theories.</w:t>
      </w:r>
    </w:p>
    <w:p w14:paraId="246C5963" w14:textId="76FAE7CE" w:rsidR="006E03D8" w:rsidRDefault="00BD5C95" w:rsidP="00932DB9">
      <w:pPr>
        <w:pStyle w:val="BodyTextnonum"/>
        <w:numPr>
          <w:ilvl w:val="3"/>
          <w:numId w:val="14"/>
        </w:numPr>
      </w:pPr>
      <w:r>
        <w:rPr>
          <w:rFonts w:ascii="ZWAdobeF" w:hAnsi="ZWAdobeF" w:cs="ZWAdobeF"/>
          <w:color w:val="auto"/>
          <w:sz w:val="2"/>
          <w:szCs w:val="2"/>
        </w:rPr>
        <w:t>680B</w:t>
      </w:r>
      <w:r w:rsidR="0049638A">
        <w:rPr>
          <w:rFonts w:ascii="ZWAdobeF" w:hAnsi="ZWAdobeF" w:cs="ZWAdobeF"/>
          <w:color w:val="auto"/>
          <w:sz w:val="2"/>
          <w:szCs w:val="2"/>
        </w:rPr>
        <w:t>680B</w:t>
      </w:r>
      <w:r w:rsidR="00D629FA">
        <w:rPr>
          <w:rFonts w:ascii="ZWAdobeF" w:hAnsi="ZWAdobeF" w:cs="ZWAdobeF"/>
          <w:color w:val="auto"/>
          <w:sz w:val="2"/>
          <w:szCs w:val="2"/>
        </w:rPr>
        <w:t>680B</w:t>
      </w:r>
      <w:r w:rsidR="006E03D8">
        <w:t>The size of the respective classes.</w:t>
      </w:r>
    </w:p>
    <w:p w14:paraId="6BADEF5F" w14:textId="02FE75D4" w:rsidR="006E03D8" w:rsidRDefault="00BD5C95" w:rsidP="00932DB9">
      <w:pPr>
        <w:pStyle w:val="BodyTextnonum"/>
        <w:numPr>
          <w:ilvl w:val="3"/>
          <w:numId w:val="14"/>
        </w:numPr>
      </w:pPr>
      <w:r>
        <w:rPr>
          <w:rFonts w:ascii="ZWAdobeF" w:hAnsi="ZWAdobeF" w:cs="ZWAdobeF"/>
          <w:color w:val="auto"/>
          <w:sz w:val="2"/>
          <w:szCs w:val="2"/>
        </w:rPr>
        <w:t>681B</w:t>
      </w:r>
      <w:r w:rsidR="0049638A">
        <w:rPr>
          <w:rFonts w:ascii="ZWAdobeF" w:hAnsi="ZWAdobeF" w:cs="ZWAdobeF"/>
          <w:color w:val="auto"/>
          <w:sz w:val="2"/>
          <w:szCs w:val="2"/>
        </w:rPr>
        <w:t>681B</w:t>
      </w:r>
      <w:r w:rsidR="00D629FA">
        <w:rPr>
          <w:rFonts w:ascii="ZWAdobeF" w:hAnsi="ZWAdobeF" w:cs="ZWAdobeF"/>
          <w:color w:val="auto"/>
          <w:sz w:val="2"/>
          <w:szCs w:val="2"/>
        </w:rPr>
        <w:t>681B</w:t>
      </w:r>
      <w:r w:rsidR="006E03D8">
        <w:t>The extent of any book building.</w:t>
      </w:r>
    </w:p>
    <w:p w14:paraId="0AC50980" w14:textId="68904D9D" w:rsidR="006E03D8" w:rsidRDefault="00BD5C95" w:rsidP="00932DB9">
      <w:pPr>
        <w:pStyle w:val="BodyTextnonum"/>
        <w:numPr>
          <w:ilvl w:val="3"/>
          <w:numId w:val="14"/>
        </w:numPr>
      </w:pPr>
      <w:r>
        <w:rPr>
          <w:rFonts w:ascii="ZWAdobeF" w:hAnsi="ZWAdobeF" w:cs="ZWAdobeF"/>
          <w:color w:val="auto"/>
          <w:sz w:val="2"/>
          <w:szCs w:val="2"/>
        </w:rPr>
        <w:t>682B</w:t>
      </w:r>
      <w:r w:rsidR="0049638A">
        <w:rPr>
          <w:rFonts w:ascii="ZWAdobeF" w:hAnsi="ZWAdobeF" w:cs="ZWAdobeF"/>
          <w:color w:val="auto"/>
          <w:sz w:val="2"/>
          <w:szCs w:val="2"/>
        </w:rPr>
        <w:t>682B</w:t>
      </w:r>
      <w:r w:rsidR="00D629FA">
        <w:rPr>
          <w:rFonts w:ascii="ZWAdobeF" w:hAnsi="ZWAdobeF" w:cs="ZWAdobeF"/>
          <w:color w:val="auto"/>
          <w:sz w:val="2"/>
          <w:szCs w:val="2"/>
        </w:rPr>
        <w:t>682B</w:t>
      </w:r>
      <w:r w:rsidR="006E03D8">
        <w:t>The experience of the legal practitioners (and any funders) and availability of resources.</w:t>
      </w:r>
    </w:p>
    <w:p w14:paraId="440A1BE3" w14:textId="51BD5C71" w:rsidR="006E03D8" w:rsidRDefault="00BD5C95" w:rsidP="00932DB9">
      <w:pPr>
        <w:pStyle w:val="BodyTextnonum"/>
        <w:numPr>
          <w:ilvl w:val="3"/>
          <w:numId w:val="14"/>
        </w:numPr>
      </w:pPr>
      <w:r>
        <w:rPr>
          <w:rFonts w:ascii="ZWAdobeF" w:hAnsi="ZWAdobeF" w:cs="ZWAdobeF"/>
          <w:color w:val="auto"/>
          <w:sz w:val="2"/>
          <w:szCs w:val="2"/>
        </w:rPr>
        <w:t>683B</w:t>
      </w:r>
      <w:r w:rsidR="0049638A">
        <w:rPr>
          <w:rFonts w:ascii="ZWAdobeF" w:hAnsi="ZWAdobeF" w:cs="ZWAdobeF"/>
          <w:color w:val="auto"/>
          <w:sz w:val="2"/>
          <w:szCs w:val="2"/>
        </w:rPr>
        <w:t>683B</w:t>
      </w:r>
      <w:r w:rsidR="00D629FA">
        <w:rPr>
          <w:rFonts w:ascii="ZWAdobeF" w:hAnsi="ZWAdobeF" w:cs="ZWAdobeF"/>
          <w:color w:val="auto"/>
          <w:sz w:val="2"/>
          <w:szCs w:val="2"/>
        </w:rPr>
        <w:t>683B</w:t>
      </w:r>
      <w:r w:rsidR="006E03D8">
        <w:t>The progress of the proceedings.</w:t>
      </w:r>
    </w:p>
    <w:p w14:paraId="52DCA9A2" w14:textId="3BF21932" w:rsidR="006E03D8" w:rsidRDefault="00BD5C95" w:rsidP="00932DB9">
      <w:pPr>
        <w:pStyle w:val="BodyTextnonum"/>
        <w:numPr>
          <w:ilvl w:val="3"/>
          <w:numId w:val="14"/>
        </w:numPr>
      </w:pPr>
      <w:r>
        <w:rPr>
          <w:rFonts w:ascii="ZWAdobeF" w:hAnsi="ZWAdobeF" w:cs="ZWAdobeF"/>
          <w:color w:val="auto"/>
          <w:sz w:val="2"/>
          <w:szCs w:val="2"/>
        </w:rPr>
        <w:t>684B</w:t>
      </w:r>
      <w:r w:rsidR="0049638A">
        <w:rPr>
          <w:rFonts w:ascii="ZWAdobeF" w:hAnsi="ZWAdobeF" w:cs="ZWAdobeF"/>
          <w:color w:val="auto"/>
          <w:sz w:val="2"/>
          <w:szCs w:val="2"/>
        </w:rPr>
        <w:t>684B</w:t>
      </w:r>
      <w:r w:rsidR="00D629FA">
        <w:rPr>
          <w:rFonts w:ascii="ZWAdobeF" w:hAnsi="ZWAdobeF" w:cs="ZWAdobeF"/>
          <w:color w:val="auto"/>
          <w:sz w:val="2"/>
          <w:szCs w:val="2"/>
        </w:rPr>
        <w:t>684B</w:t>
      </w:r>
      <w:r w:rsidR="006E03D8">
        <w:t>The conduct of the representative plaintiffs to date.</w:t>
      </w:r>
    </w:p>
    <w:p w14:paraId="76648157" w14:textId="51755011" w:rsidR="006E03D8" w:rsidRDefault="00BD5C95" w:rsidP="009B37CB">
      <w:pPr>
        <w:pStyle w:val="BodyText"/>
      </w:pPr>
      <w:r>
        <w:rPr>
          <w:rFonts w:ascii="ZWAdobeF" w:hAnsi="ZWAdobeF" w:cs="ZWAdobeF"/>
          <w:color w:val="auto"/>
          <w:sz w:val="2"/>
          <w:szCs w:val="2"/>
        </w:rPr>
        <w:t>166B</w:t>
      </w:r>
      <w:r w:rsidR="0049638A">
        <w:rPr>
          <w:rFonts w:ascii="ZWAdobeF" w:hAnsi="ZWAdobeF" w:cs="ZWAdobeF"/>
          <w:color w:val="auto"/>
          <w:sz w:val="2"/>
          <w:szCs w:val="2"/>
        </w:rPr>
        <w:t>166B</w:t>
      </w:r>
      <w:r w:rsidR="00D629FA">
        <w:rPr>
          <w:rFonts w:ascii="ZWAdobeF" w:hAnsi="ZWAdobeF" w:cs="ZWAdobeF"/>
          <w:color w:val="auto"/>
          <w:sz w:val="2"/>
          <w:szCs w:val="2"/>
        </w:rPr>
        <w:t>166B</w:t>
      </w:r>
      <w:r w:rsidR="006E03D8">
        <w:t xml:space="preserve">The ALRC favoured a principles-based approach rather than a long list of factors which it said could become unwieldy. It considered the court should choose the proceeding that </w:t>
      </w:r>
      <w:r w:rsidR="006E03D8">
        <w:lastRenderedPageBreak/>
        <w:t>best advances the claims and interests of class members in an efficient and cost-effective manner, having regard to the stated preferences of group members.</w:t>
      </w:r>
      <w:r w:rsidR="00D629FA">
        <w:rPr>
          <w:rFonts w:ascii="ZWAdobeF" w:hAnsi="ZWAdobeF" w:cs="ZWAdobeF"/>
          <w:color w:val="auto"/>
          <w:sz w:val="2"/>
          <w:szCs w:val="2"/>
        </w:rPr>
        <w:t>278F</w:t>
      </w:r>
      <w:r w:rsidR="0049638A">
        <w:rPr>
          <w:rFonts w:ascii="ZWAdobeF" w:hAnsi="ZWAdobeF" w:cs="ZWAdobeF"/>
          <w:color w:val="auto"/>
          <w:sz w:val="2"/>
          <w:szCs w:val="2"/>
        </w:rPr>
        <w:t>278F</w:t>
      </w:r>
      <w:r w:rsidR="00317AE4">
        <w:rPr>
          <w:rFonts w:ascii="ZWAdobeF" w:hAnsi="ZWAdobeF" w:cs="ZWAdobeF"/>
          <w:color w:val="auto"/>
          <w:sz w:val="2"/>
          <w:szCs w:val="2"/>
        </w:rPr>
        <w:t>278F</w:t>
      </w:r>
      <w:r w:rsidR="006E03D8">
        <w:rPr>
          <w:rStyle w:val="FootnoteReference"/>
        </w:rPr>
        <w:footnoteReference w:id="280"/>
      </w:r>
      <w:r w:rsidR="006E03D8">
        <w:t xml:space="preserve"> </w:t>
      </w:r>
    </w:p>
    <w:p w14:paraId="08C2F07A" w14:textId="1C8D70EC" w:rsidR="006E03D8" w:rsidRDefault="00BD5C95" w:rsidP="009B37CB">
      <w:pPr>
        <w:pStyle w:val="BodyText"/>
      </w:pPr>
      <w:r>
        <w:rPr>
          <w:rFonts w:ascii="ZWAdobeF" w:hAnsi="ZWAdobeF" w:cs="ZWAdobeF"/>
          <w:color w:val="auto"/>
          <w:sz w:val="2"/>
          <w:szCs w:val="2"/>
        </w:rPr>
        <w:t>167B</w:t>
      </w:r>
      <w:r w:rsidR="0049638A">
        <w:rPr>
          <w:rFonts w:ascii="ZWAdobeF" w:hAnsi="ZWAdobeF" w:cs="ZWAdobeF"/>
          <w:color w:val="auto"/>
          <w:sz w:val="2"/>
          <w:szCs w:val="2"/>
        </w:rPr>
        <w:t>167B</w:t>
      </w:r>
      <w:r w:rsidR="00D629FA">
        <w:rPr>
          <w:rFonts w:ascii="ZWAdobeF" w:hAnsi="ZWAdobeF" w:cs="ZWAdobeF"/>
          <w:color w:val="auto"/>
          <w:sz w:val="2"/>
          <w:szCs w:val="2"/>
        </w:rPr>
        <w:t>167B</w:t>
      </w:r>
      <w:r w:rsidR="006E03D8">
        <w:t>Our preliminary view is that when a court is determining how competing class actions should be managed, it should consider which approach would best allow class member claims to be resolved in a just and efficient way. This would reflect our proposed objectives for class actions as well as the objective of the civil procedure system in Aotearoa New Zealand (as set out in the High Court Rules).</w:t>
      </w:r>
      <w:r w:rsidR="00D629FA">
        <w:rPr>
          <w:rFonts w:ascii="ZWAdobeF" w:hAnsi="ZWAdobeF" w:cs="ZWAdobeF"/>
          <w:color w:val="auto"/>
          <w:sz w:val="2"/>
          <w:szCs w:val="2"/>
        </w:rPr>
        <w:t>279F</w:t>
      </w:r>
      <w:r w:rsidR="0049638A">
        <w:rPr>
          <w:rFonts w:ascii="ZWAdobeF" w:hAnsi="ZWAdobeF" w:cs="ZWAdobeF"/>
          <w:color w:val="auto"/>
          <w:sz w:val="2"/>
          <w:szCs w:val="2"/>
        </w:rPr>
        <w:t>279F</w:t>
      </w:r>
      <w:r w:rsidR="00317AE4">
        <w:rPr>
          <w:rFonts w:ascii="ZWAdobeF" w:hAnsi="ZWAdobeF" w:cs="ZWAdobeF"/>
          <w:color w:val="auto"/>
          <w:sz w:val="2"/>
          <w:szCs w:val="2"/>
        </w:rPr>
        <w:t>279F</w:t>
      </w:r>
      <w:r w:rsidR="006E03D8">
        <w:rPr>
          <w:rStyle w:val="FootnoteReference"/>
        </w:rPr>
        <w:footnoteReference w:id="281"/>
      </w:r>
      <w:r w:rsidR="006E03D8">
        <w:t xml:space="preserve"> </w:t>
      </w:r>
    </w:p>
    <w:p w14:paraId="72B98E56" w14:textId="76D6E1E6" w:rsidR="005E4732" w:rsidRDefault="00D652D3" w:rsidP="005E4732">
      <w:pPr>
        <w:pStyle w:val="QuestionBox"/>
      </w:pPr>
      <w:r>
        <w:rPr>
          <w:noProof/>
        </w:rPr>
        <mc:AlternateContent>
          <mc:Choice Requires="wpg">
            <w:drawing>
              <wp:anchor distT="0" distB="0" distL="114300" distR="114300" simplePos="0" relativeHeight="251651124" behindDoc="1" locked="0" layoutInCell="1" allowOverlap="1" wp14:anchorId="41BE592D" wp14:editId="2E33C679">
                <wp:simplePos x="0" y="0"/>
                <wp:positionH relativeFrom="column">
                  <wp:posOffset>-3810</wp:posOffset>
                </wp:positionH>
                <wp:positionV relativeFrom="paragraph">
                  <wp:posOffset>3810</wp:posOffset>
                </wp:positionV>
                <wp:extent cx="5760085" cy="1256665"/>
                <wp:effectExtent l="0" t="0" r="0" b="635"/>
                <wp:wrapNone/>
                <wp:docPr id="150" name="Group 150"/>
                <wp:cNvGraphicFramePr/>
                <a:graphic xmlns:a="http://schemas.openxmlformats.org/drawingml/2006/main">
                  <a:graphicData uri="http://schemas.microsoft.com/office/word/2010/wordprocessingGroup">
                    <wpg:wgp>
                      <wpg:cNvGrpSpPr/>
                      <wpg:grpSpPr>
                        <a:xfrm>
                          <a:off x="0" y="0"/>
                          <a:ext cx="5760085" cy="1256665"/>
                          <a:chOff x="0" y="62865"/>
                          <a:chExt cx="5760085" cy="1257406"/>
                        </a:xfrm>
                      </wpg:grpSpPr>
                      <wps:wsp>
                        <wps:cNvPr id="15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C74660" w14:textId="77777777" w:rsidR="00A55F53" w:rsidRDefault="00A55F53" w:rsidP="00D652D3">
                              <w:pPr>
                                <w:pStyle w:val="BoxTitle"/>
                                <w:spacing w:before="0" w:beforeAutospacing="0"/>
                              </w:pPr>
                              <w:r w:rsidRPr="007F6876">
                                <w:t>QUESTION</w:t>
                              </w:r>
                            </w:p>
                          </w:txbxContent>
                        </wps:txbx>
                        <wps:bodyPr rot="0" vert="horz" wrap="square" lIns="91440" tIns="0" rIns="0" bIns="45720" anchor="ctr" anchorCtr="0" upright="1">
                          <a:noAutofit/>
                        </wps:bodyPr>
                      </wps:wsp>
                      <wpg:grpSp>
                        <wpg:cNvPr id="152" name="Group 53"/>
                        <wpg:cNvGrpSpPr>
                          <a:grpSpLocks/>
                        </wpg:cNvGrpSpPr>
                        <wpg:grpSpPr bwMode="auto">
                          <a:xfrm>
                            <a:off x="0" y="316170"/>
                            <a:ext cx="5760085" cy="1004101"/>
                            <a:chOff x="1837" y="1791"/>
                            <a:chExt cx="9302" cy="10846"/>
                          </a:xfrm>
                        </wpg:grpSpPr>
                        <wps:wsp>
                          <wps:cNvPr id="153" name="Freeform 54"/>
                          <wps:cNvSpPr>
                            <a:spLocks/>
                          </wps:cNvSpPr>
                          <wps:spPr bwMode="auto">
                            <a:xfrm>
                              <a:off x="1837" y="1791"/>
                              <a:ext cx="9302" cy="1084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54"/>
                        <wpg:cNvGrpSpPr/>
                        <wpg:grpSpPr>
                          <a:xfrm>
                            <a:off x="0" y="494036"/>
                            <a:ext cx="1443794" cy="252000"/>
                            <a:chOff x="-15880" y="0"/>
                            <a:chExt cx="1444379" cy="252068"/>
                          </a:xfrm>
                        </wpg:grpSpPr>
                        <wps:wsp>
                          <wps:cNvPr id="15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E39A87" w14:textId="6991C007" w:rsidR="00A55F53" w:rsidRPr="00E700FF" w:rsidRDefault="00A55F53" w:rsidP="00D652D3">
                                <w:pPr>
                                  <w:pStyle w:val="BoxTitle"/>
                                  <w:spacing w:before="0" w:beforeAutospacing="0"/>
                                </w:pPr>
                                <w:r w:rsidRPr="001C1B37">
                                  <w:t>Q</w:t>
                                </w:r>
                                <w:r>
                                  <w:t>11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1BE592D" id="Group 150" o:spid="_x0000_s1271" style="position:absolute;left:0;text-align:left;margin-left:-.3pt;margin-top:.3pt;width:453.55pt;height:98.95pt;z-index:-251665356;mso-height-relative:margin" coordorigin=",628" coordsize="57600,1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">
                <v:shape id="_x0000_s127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3C74660" w14:textId="77777777" w:rsidR="00A55F53" w:rsidRDefault="00A55F53" w:rsidP="00D652D3">
                        <w:pPr>
                          <w:pStyle w:val="BoxTitle"/>
                          <w:spacing w:before="0" w:beforeAutospacing="0"/>
                        </w:pPr>
                        <w:r w:rsidRPr="007F6876">
                          <w:t>QUESTION</w:t>
                        </w:r>
                      </w:p>
                    </w:txbxContent>
                  </v:textbox>
                </v:shape>
                <v:group id="Group 53" o:spid="_x0000_s1273" style="position:absolute;top:3161;width:57600;height:10041" coordorigin="1837,1791" coordsize="9302,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54" o:spid="_x0000_s1274" style="position:absolute;left:1837;top:1791;width:9302;height:1084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" path="m,l9354,r,7809l,7809,,e" fillcolor="#edf2ea" stroked="f">
                    <v:path arrowok="t" o:connecttype="custom" o:connectlocs="0,1389;9302,1389;9302,12235;0,12235;0,1389" o:connectangles="0,0,0,0,0"/>
                  </v:shape>
                </v:group>
                <v:group id="Group 154" o:spid="_x0000_s127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8" o:spid="_x0000_s127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" path="m,l1815,e" filled="f" strokecolor="#72ab6a" strokeweight=".5pt">
                    <v:path arrowok="t" o:connecttype="custom" o:connectlocs="0,0;1073495,0" o:connectangles="0,0"/>
                  </v:shape>
                  <v:shape id="Freeform 66" o:spid="_x0000_s127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EE39A87" w14:textId="6991C007" w:rsidR="00A55F53" w:rsidRPr="00E700FF" w:rsidRDefault="00A55F53" w:rsidP="00D652D3">
                          <w:pPr>
                            <w:pStyle w:val="BoxTitle"/>
                            <w:spacing w:before="0" w:beforeAutospacing="0"/>
                          </w:pPr>
                          <w:r w:rsidRPr="001C1B37">
                            <w:t>Q</w:t>
                          </w:r>
                          <w:r>
                            <w:t>11</w:t>
                          </w:r>
                        </w:p>
                      </w:txbxContent>
                    </v:textbox>
                  </v:shape>
                </v:group>
              </v:group>
            </w:pict>
          </mc:Fallback>
        </mc:AlternateContent>
      </w:r>
    </w:p>
    <w:p w14:paraId="58C3D303" w14:textId="77777777" w:rsidR="005E4732" w:rsidRDefault="005E4732" w:rsidP="005E4732">
      <w:pPr>
        <w:pStyle w:val="QuestionBox"/>
      </w:pPr>
    </w:p>
    <w:p w14:paraId="39903430" w14:textId="2F6C7A9C" w:rsidR="006E03D8" w:rsidRDefault="00BD5C95" w:rsidP="005E4732">
      <w:pPr>
        <w:pStyle w:val="QuestionBox"/>
      </w:pPr>
      <w:r>
        <w:rPr>
          <w:rFonts w:ascii="ZWAdobeF" w:hAnsi="ZWAdobeF" w:cs="ZWAdobeF"/>
          <w:color w:val="auto"/>
          <w:sz w:val="2"/>
          <w:szCs w:val="2"/>
        </w:rPr>
        <w:t>1399B</w:t>
      </w:r>
      <w:r w:rsidR="0049638A">
        <w:rPr>
          <w:rFonts w:ascii="ZWAdobeF" w:hAnsi="ZWAdobeF" w:cs="ZWAdobeF"/>
          <w:color w:val="auto"/>
          <w:sz w:val="2"/>
          <w:szCs w:val="2"/>
        </w:rPr>
        <w:t>1399B</w:t>
      </w:r>
      <w:r w:rsidR="00D629FA">
        <w:rPr>
          <w:rFonts w:ascii="ZWAdobeF" w:hAnsi="ZWAdobeF" w:cs="ZWAdobeF"/>
          <w:color w:val="auto"/>
          <w:sz w:val="2"/>
          <w:szCs w:val="2"/>
        </w:rPr>
        <w:t>1399B</w:t>
      </w:r>
      <w:r w:rsidR="006E03D8" w:rsidRPr="004569B6">
        <w:t>When a court considers how competing class actions should be managed, should it consider which approach would</w:t>
      </w:r>
      <w:r w:rsidR="006E03D8">
        <w:t xml:space="preserve"> best</w:t>
      </w:r>
      <w:r w:rsidR="006E03D8" w:rsidRPr="004569B6">
        <w:t xml:space="preserve"> allow class member claims to be </w:t>
      </w:r>
      <w:r w:rsidR="006E03D8">
        <w:t>resolved</w:t>
      </w:r>
      <w:r w:rsidR="006E03D8" w:rsidRPr="004569B6">
        <w:t xml:space="preserve"> in a just</w:t>
      </w:r>
      <w:r w:rsidR="006E03D8">
        <w:t xml:space="preserve"> and</w:t>
      </w:r>
      <w:r w:rsidR="006E03D8" w:rsidRPr="004569B6">
        <w:t xml:space="preserve"> efficient way? If not, what test do you favour? </w:t>
      </w:r>
    </w:p>
    <w:p w14:paraId="19D2D2E5" w14:textId="77777777" w:rsidR="005E4732" w:rsidRPr="004569B6" w:rsidRDefault="005E4732" w:rsidP="005E4732">
      <w:pPr>
        <w:pStyle w:val="QuestionBox"/>
      </w:pPr>
    </w:p>
    <w:p w14:paraId="6C2EF44B" w14:textId="77777777" w:rsidR="006E03D8" w:rsidRDefault="006E03D8" w:rsidP="006E03D8">
      <w:pPr>
        <w:pStyle w:val="Heading3"/>
      </w:pPr>
      <w:r>
        <w:t xml:space="preserve">Relevant factors  </w:t>
      </w:r>
    </w:p>
    <w:p w14:paraId="605EDFCC" w14:textId="56D473D4" w:rsidR="006E03D8" w:rsidRDefault="00BD5C95" w:rsidP="005E4732">
      <w:pPr>
        <w:pStyle w:val="BodyText"/>
      </w:pPr>
      <w:r>
        <w:rPr>
          <w:rFonts w:ascii="ZWAdobeF" w:hAnsi="ZWAdobeF" w:cs="ZWAdobeF"/>
          <w:color w:val="auto"/>
          <w:sz w:val="2"/>
          <w:szCs w:val="2"/>
        </w:rPr>
        <w:t>168B</w:t>
      </w:r>
      <w:r w:rsidR="0049638A">
        <w:rPr>
          <w:rFonts w:ascii="ZWAdobeF" w:hAnsi="ZWAdobeF" w:cs="ZWAdobeF"/>
          <w:color w:val="auto"/>
          <w:sz w:val="2"/>
          <w:szCs w:val="2"/>
        </w:rPr>
        <w:t>168B</w:t>
      </w:r>
      <w:r w:rsidR="00D629FA">
        <w:rPr>
          <w:rFonts w:ascii="ZWAdobeF" w:hAnsi="ZWAdobeF" w:cs="ZWAdobeF"/>
          <w:color w:val="auto"/>
          <w:sz w:val="2"/>
          <w:szCs w:val="2"/>
        </w:rPr>
        <w:t>168B</w:t>
      </w:r>
      <w:r w:rsidR="006E03D8" w:rsidRPr="005E4732">
        <w:t>While</w:t>
      </w:r>
      <w:r w:rsidR="006E03D8">
        <w:t xml:space="preserve"> we think courts should have </w:t>
      </w:r>
      <w:r w:rsidR="00CB7DE4">
        <w:t xml:space="preserve">a </w:t>
      </w:r>
      <w:r w:rsidR="006E03D8">
        <w:t xml:space="preserve">broad discretion when determining which approach would best allow class member claims to be determined in a just and efficient way, it may be beneficial to set out some factors the courts may consider. </w:t>
      </w:r>
    </w:p>
    <w:p w14:paraId="32BC8D5F" w14:textId="69901076" w:rsidR="006E03D8" w:rsidRDefault="00BD5C95" w:rsidP="009B37CB">
      <w:pPr>
        <w:pStyle w:val="BodyText"/>
      </w:pPr>
      <w:r>
        <w:rPr>
          <w:rFonts w:ascii="ZWAdobeF" w:hAnsi="ZWAdobeF" w:cs="ZWAdobeF"/>
          <w:color w:val="auto"/>
          <w:sz w:val="2"/>
          <w:szCs w:val="2"/>
        </w:rPr>
        <w:t>169B</w:t>
      </w:r>
      <w:r w:rsidR="0049638A">
        <w:rPr>
          <w:rFonts w:ascii="ZWAdobeF" w:hAnsi="ZWAdobeF" w:cs="ZWAdobeF"/>
          <w:color w:val="auto"/>
          <w:sz w:val="2"/>
          <w:szCs w:val="2"/>
        </w:rPr>
        <w:t>169B</w:t>
      </w:r>
      <w:r w:rsidR="00D629FA">
        <w:rPr>
          <w:rFonts w:ascii="ZWAdobeF" w:hAnsi="ZWAdobeF" w:cs="ZWAdobeF"/>
          <w:color w:val="auto"/>
          <w:sz w:val="2"/>
          <w:szCs w:val="2"/>
        </w:rPr>
        <w:t>169B</w:t>
      </w:r>
      <w:r w:rsidR="006E03D8">
        <w:t>We consider the following factors may be appropriate for the court to consider when deciding between competing class actions (or exercising other powers to manage them):</w:t>
      </w:r>
    </w:p>
    <w:p w14:paraId="06883D72" w14:textId="2AA3D0DA" w:rsidR="006E03D8" w:rsidRDefault="00BD5C95" w:rsidP="00B73434">
      <w:pPr>
        <w:pStyle w:val="BodyTextnonum"/>
        <w:numPr>
          <w:ilvl w:val="3"/>
          <w:numId w:val="52"/>
        </w:numPr>
      </w:pPr>
      <w:r>
        <w:rPr>
          <w:rFonts w:ascii="ZWAdobeF" w:hAnsi="ZWAdobeF" w:cs="ZWAdobeF"/>
          <w:color w:val="auto"/>
          <w:sz w:val="2"/>
          <w:szCs w:val="2"/>
        </w:rPr>
        <w:t>685B</w:t>
      </w:r>
      <w:r w:rsidR="0049638A">
        <w:rPr>
          <w:rFonts w:ascii="ZWAdobeF" w:hAnsi="ZWAdobeF" w:cs="ZWAdobeF"/>
          <w:color w:val="auto"/>
          <w:sz w:val="2"/>
          <w:szCs w:val="2"/>
        </w:rPr>
        <w:t>685B</w:t>
      </w:r>
      <w:r w:rsidR="00D629FA">
        <w:rPr>
          <w:rFonts w:ascii="ZWAdobeF" w:hAnsi="ZWAdobeF" w:cs="ZWAdobeF"/>
          <w:color w:val="auto"/>
          <w:sz w:val="2"/>
          <w:szCs w:val="2"/>
        </w:rPr>
        <w:t>685B</w:t>
      </w:r>
      <w:r w:rsidR="006E03D8">
        <w:t>How the case has been formulated.</w:t>
      </w:r>
    </w:p>
    <w:p w14:paraId="33AA0047" w14:textId="693829AD" w:rsidR="006E03D8" w:rsidRDefault="00BD5C95" w:rsidP="00B73434">
      <w:pPr>
        <w:pStyle w:val="BodyTextnonum"/>
        <w:numPr>
          <w:ilvl w:val="3"/>
          <w:numId w:val="52"/>
        </w:numPr>
      </w:pPr>
      <w:r>
        <w:rPr>
          <w:rFonts w:ascii="ZWAdobeF" w:hAnsi="ZWAdobeF" w:cs="ZWAdobeF"/>
          <w:color w:val="auto"/>
          <w:sz w:val="2"/>
          <w:szCs w:val="2"/>
        </w:rPr>
        <w:t>686B</w:t>
      </w:r>
      <w:r w:rsidR="0049638A">
        <w:rPr>
          <w:rFonts w:ascii="ZWAdobeF" w:hAnsi="ZWAdobeF" w:cs="ZWAdobeF"/>
          <w:color w:val="auto"/>
          <w:sz w:val="2"/>
          <w:szCs w:val="2"/>
        </w:rPr>
        <w:t>686B</w:t>
      </w:r>
      <w:r w:rsidR="00D629FA">
        <w:rPr>
          <w:rFonts w:ascii="ZWAdobeF" w:hAnsi="ZWAdobeF" w:cs="ZWAdobeF"/>
          <w:color w:val="auto"/>
          <w:sz w:val="2"/>
          <w:szCs w:val="2"/>
        </w:rPr>
        <w:t>686B</w:t>
      </w:r>
      <w:r w:rsidR="006E03D8">
        <w:t>Preferences of potential class members.</w:t>
      </w:r>
    </w:p>
    <w:p w14:paraId="1BD970AC" w14:textId="5A938A94" w:rsidR="006E03D8" w:rsidRDefault="00BD5C95" w:rsidP="00B73434">
      <w:pPr>
        <w:pStyle w:val="BodyTextnonum"/>
        <w:numPr>
          <w:ilvl w:val="3"/>
          <w:numId w:val="52"/>
        </w:numPr>
      </w:pPr>
      <w:r>
        <w:rPr>
          <w:rFonts w:ascii="ZWAdobeF" w:hAnsi="ZWAdobeF" w:cs="ZWAdobeF"/>
          <w:color w:val="auto"/>
          <w:sz w:val="2"/>
          <w:szCs w:val="2"/>
        </w:rPr>
        <w:t>687B</w:t>
      </w:r>
      <w:r w:rsidR="0049638A">
        <w:rPr>
          <w:rFonts w:ascii="ZWAdobeF" w:hAnsi="ZWAdobeF" w:cs="ZWAdobeF"/>
          <w:color w:val="auto"/>
          <w:sz w:val="2"/>
          <w:szCs w:val="2"/>
        </w:rPr>
        <w:t>687B</w:t>
      </w:r>
      <w:r w:rsidR="00D629FA">
        <w:rPr>
          <w:rFonts w:ascii="ZWAdobeF" w:hAnsi="ZWAdobeF" w:cs="ZWAdobeF"/>
          <w:color w:val="auto"/>
          <w:sz w:val="2"/>
          <w:szCs w:val="2"/>
        </w:rPr>
        <w:t>687B</w:t>
      </w:r>
      <w:r w:rsidR="006E03D8">
        <w:t>Funding arrangements.</w:t>
      </w:r>
    </w:p>
    <w:p w14:paraId="7FC437E5" w14:textId="4B9CD491" w:rsidR="006E03D8" w:rsidRDefault="00BD5C95" w:rsidP="00B73434">
      <w:pPr>
        <w:pStyle w:val="BodyTextnonum"/>
        <w:numPr>
          <w:ilvl w:val="3"/>
          <w:numId w:val="52"/>
        </w:numPr>
      </w:pPr>
      <w:r>
        <w:rPr>
          <w:rFonts w:ascii="ZWAdobeF" w:hAnsi="ZWAdobeF" w:cs="ZWAdobeF"/>
          <w:color w:val="auto"/>
          <w:sz w:val="2"/>
          <w:szCs w:val="2"/>
        </w:rPr>
        <w:t>688B</w:t>
      </w:r>
      <w:r w:rsidR="0049638A">
        <w:rPr>
          <w:rFonts w:ascii="ZWAdobeF" w:hAnsi="ZWAdobeF" w:cs="ZWAdobeF"/>
          <w:color w:val="auto"/>
          <w:sz w:val="2"/>
          <w:szCs w:val="2"/>
        </w:rPr>
        <w:t>688B</w:t>
      </w:r>
      <w:r w:rsidR="00D629FA">
        <w:rPr>
          <w:rFonts w:ascii="ZWAdobeF" w:hAnsi="ZWAdobeF" w:cs="ZWAdobeF"/>
          <w:color w:val="auto"/>
          <w:sz w:val="2"/>
          <w:szCs w:val="2"/>
        </w:rPr>
        <w:t>688B</w:t>
      </w:r>
      <w:r w:rsidR="006E03D8">
        <w:t>Legal representation.</w:t>
      </w:r>
    </w:p>
    <w:p w14:paraId="25A13BFD" w14:textId="5D1A0E20" w:rsidR="006E03D8" w:rsidRDefault="00BD5C95" w:rsidP="009B37CB">
      <w:pPr>
        <w:pStyle w:val="BodyText"/>
      </w:pPr>
      <w:r>
        <w:rPr>
          <w:rFonts w:ascii="ZWAdobeF" w:hAnsi="ZWAdobeF" w:cs="ZWAdobeF"/>
          <w:color w:val="auto"/>
          <w:sz w:val="2"/>
          <w:szCs w:val="2"/>
        </w:rPr>
        <w:t>170B</w:t>
      </w:r>
      <w:r w:rsidR="0049638A">
        <w:rPr>
          <w:rFonts w:ascii="ZWAdobeF" w:hAnsi="ZWAdobeF" w:cs="ZWAdobeF"/>
          <w:color w:val="auto"/>
          <w:sz w:val="2"/>
          <w:szCs w:val="2"/>
        </w:rPr>
        <w:t>170B</w:t>
      </w:r>
      <w:r w:rsidR="00D629FA">
        <w:rPr>
          <w:rFonts w:ascii="ZWAdobeF" w:hAnsi="ZWAdobeF" w:cs="ZWAdobeF"/>
          <w:color w:val="auto"/>
          <w:sz w:val="2"/>
          <w:szCs w:val="2"/>
        </w:rPr>
        <w:t>170B</w:t>
      </w:r>
      <w:r w:rsidR="006E03D8">
        <w:t xml:space="preserve">We discuss each of these below, as well as two factors that we do not see as relevant or appropriate for the court to consider: which class action was filed first and prospects of success. </w:t>
      </w:r>
    </w:p>
    <w:p w14:paraId="35870CB0" w14:textId="77777777" w:rsidR="006E03D8" w:rsidRDefault="006E03D8" w:rsidP="006E03D8">
      <w:pPr>
        <w:pStyle w:val="Heading4"/>
      </w:pPr>
      <w:r>
        <w:t xml:space="preserve">Formulation of the case </w:t>
      </w:r>
    </w:p>
    <w:p w14:paraId="18FE831F" w14:textId="074F0974" w:rsidR="006E03D8" w:rsidRDefault="00BD5C95" w:rsidP="005E4732">
      <w:pPr>
        <w:pStyle w:val="BodyText"/>
      </w:pPr>
      <w:r>
        <w:rPr>
          <w:rFonts w:ascii="ZWAdobeF" w:hAnsi="ZWAdobeF" w:cs="ZWAdobeF"/>
          <w:color w:val="auto"/>
          <w:sz w:val="2"/>
          <w:szCs w:val="2"/>
        </w:rPr>
        <w:t>171B</w:t>
      </w:r>
      <w:r w:rsidR="0049638A">
        <w:rPr>
          <w:rFonts w:ascii="ZWAdobeF" w:hAnsi="ZWAdobeF" w:cs="ZWAdobeF"/>
          <w:color w:val="auto"/>
          <w:sz w:val="2"/>
          <w:szCs w:val="2"/>
        </w:rPr>
        <w:t>171B</w:t>
      </w:r>
      <w:r w:rsidR="00D629FA">
        <w:rPr>
          <w:rFonts w:ascii="ZWAdobeF" w:hAnsi="ZWAdobeF" w:cs="ZWAdobeF"/>
          <w:color w:val="auto"/>
          <w:sz w:val="2"/>
          <w:szCs w:val="2"/>
        </w:rPr>
        <w:t>171B</w:t>
      </w:r>
      <w:r w:rsidR="006E03D8">
        <w:t>In other jurisdictions, how each class action has been formulated is relevant. Ontario courts must consider each representative plaintiff’s theory of the case.</w:t>
      </w:r>
      <w:r w:rsidR="00D629FA">
        <w:rPr>
          <w:rFonts w:ascii="ZWAdobeF" w:hAnsi="ZWAdobeF" w:cs="ZWAdobeF"/>
          <w:color w:val="auto"/>
          <w:sz w:val="2"/>
          <w:szCs w:val="2"/>
        </w:rPr>
        <w:t>280F</w:t>
      </w:r>
      <w:r w:rsidR="0049638A">
        <w:rPr>
          <w:rFonts w:ascii="ZWAdobeF" w:hAnsi="ZWAdobeF" w:cs="ZWAdobeF"/>
          <w:color w:val="auto"/>
          <w:sz w:val="2"/>
          <w:szCs w:val="2"/>
        </w:rPr>
        <w:t>280F</w:t>
      </w:r>
      <w:r w:rsidR="00317AE4">
        <w:rPr>
          <w:rFonts w:ascii="ZWAdobeF" w:hAnsi="ZWAdobeF" w:cs="ZWAdobeF"/>
          <w:color w:val="auto"/>
          <w:sz w:val="2"/>
          <w:szCs w:val="2"/>
        </w:rPr>
        <w:t>280F</w:t>
      </w:r>
      <w:r w:rsidR="006E03D8">
        <w:rPr>
          <w:rStyle w:val="FootnoteReference"/>
        </w:rPr>
        <w:footnoteReference w:id="282"/>
      </w:r>
      <w:r w:rsidR="006E03D8">
        <w:t xml:space="preserve"> Some Australian cases have identified the nature and scope of the respective causes of action and relevant case theories as relevant.</w:t>
      </w:r>
      <w:r w:rsidR="00D629FA">
        <w:rPr>
          <w:rFonts w:ascii="ZWAdobeF" w:hAnsi="ZWAdobeF" w:cs="ZWAdobeF"/>
          <w:color w:val="auto"/>
          <w:sz w:val="2"/>
          <w:szCs w:val="2"/>
        </w:rPr>
        <w:t>281F</w:t>
      </w:r>
      <w:r w:rsidR="0049638A">
        <w:rPr>
          <w:rFonts w:ascii="ZWAdobeF" w:hAnsi="ZWAdobeF" w:cs="ZWAdobeF"/>
          <w:color w:val="auto"/>
          <w:sz w:val="2"/>
          <w:szCs w:val="2"/>
        </w:rPr>
        <w:t>281F</w:t>
      </w:r>
      <w:r w:rsidR="00317AE4">
        <w:rPr>
          <w:rFonts w:ascii="ZWAdobeF" w:hAnsi="ZWAdobeF" w:cs="ZWAdobeF"/>
          <w:color w:val="auto"/>
          <w:sz w:val="2"/>
          <w:szCs w:val="2"/>
        </w:rPr>
        <w:t>281F</w:t>
      </w:r>
      <w:r w:rsidR="006E03D8">
        <w:rPr>
          <w:rStyle w:val="FootnoteReference"/>
        </w:rPr>
        <w:footnoteReference w:id="283"/>
      </w:r>
    </w:p>
    <w:p w14:paraId="76F9052A" w14:textId="6EE3EAA0" w:rsidR="006E03D8" w:rsidRDefault="00BD5C95" w:rsidP="005E4732">
      <w:pPr>
        <w:pStyle w:val="BodyText"/>
      </w:pPr>
      <w:r>
        <w:rPr>
          <w:rFonts w:ascii="ZWAdobeF" w:hAnsi="ZWAdobeF" w:cs="ZWAdobeF"/>
          <w:color w:val="auto"/>
          <w:sz w:val="2"/>
          <w:szCs w:val="2"/>
        </w:rPr>
        <w:t>172B</w:t>
      </w:r>
      <w:r w:rsidR="0049638A">
        <w:rPr>
          <w:rFonts w:ascii="ZWAdobeF" w:hAnsi="ZWAdobeF" w:cs="ZWAdobeF"/>
          <w:color w:val="auto"/>
          <w:sz w:val="2"/>
          <w:szCs w:val="2"/>
        </w:rPr>
        <w:t>172B</w:t>
      </w:r>
      <w:r w:rsidR="00D629FA">
        <w:rPr>
          <w:rFonts w:ascii="ZWAdobeF" w:hAnsi="ZWAdobeF" w:cs="ZWAdobeF"/>
          <w:color w:val="auto"/>
          <w:sz w:val="2"/>
          <w:szCs w:val="2"/>
        </w:rPr>
        <w:t>172B</w:t>
      </w:r>
      <w:r w:rsidR="006E03D8">
        <w:t xml:space="preserve">We think </w:t>
      </w:r>
      <w:r w:rsidR="006E03D8" w:rsidRPr="005E4732">
        <w:t>the</w:t>
      </w:r>
      <w:r w:rsidR="006E03D8">
        <w:t xml:space="preserve"> way in which each case is formulated will be an important aspect of comparing the class actions. This might include: the nature and scope of the causes of </w:t>
      </w:r>
      <w:r w:rsidR="006E03D8">
        <w:lastRenderedPageBreak/>
        <w:t xml:space="preserve">action, what the common issues are, how manageable the individual issues will be to resolve once the common issues are determined, the relief sought, the class definition and likely class size, and whether the plaintiff proposes to bring the claim as an opt-in or opt-out class action. There is quite a degree of overlap between these issues and the certification criteria, which strengthens our view that competing class actions should be considered at the same time as certification. </w:t>
      </w:r>
    </w:p>
    <w:p w14:paraId="4A481258" w14:textId="25F2CE5F" w:rsidR="006E03D8" w:rsidRDefault="00BD5C95" w:rsidP="005E4732">
      <w:pPr>
        <w:pStyle w:val="BodyText"/>
      </w:pPr>
      <w:r>
        <w:rPr>
          <w:rFonts w:ascii="ZWAdobeF" w:hAnsi="ZWAdobeF" w:cs="ZWAdobeF"/>
          <w:color w:val="auto"/>
          <w:sz w:val="2"/>
          <w:szCs w:val="2"/>
        </w:rPr>
        <w:t>173B</w:t>
      </w:r>
      <w:r w:rsidR="0049638A">
        <w:rPr>
          <w:rFonts w:ascii="ZWAdobeF" w:hAnsi="ZWAdobeF" w:cs="ZWAdobeF"/>
          <w:color w:val="auto"/>
          <w:sz w:val="2"/>
          <w:szCs w:val="2"/>
        </w:rPr>
        <w:t>173B</w:t>
      </w:r>
      <w:r w:rsidR="00D629FA">
        <w:rPr>
          <w:rFonts w:ascii="ZWAdobeF" w:hAnsi="ZWAdobeF" w:cs="ZWAdobeF"/>
          <w:color w:val="auto"/>
          <w:sz w:val="2"/>
          <w:szCs w:val="2"/>
        </w:rPr>
        <w:t>173B</w:t>
      </w:r>
      <w:r w:rsidR="006E03D8" w:rsidRPr="005E4732">
        <w:t>Comparing</w:t>
      </w:r>
      <w:r w:rsidR="006E03D8">
        <w:t xml:space="preserve"> the way in which the cases are formulated might indicate that one should proceed while the other class actions should be stayed. It might also indicate that there is very little overlap between the class actions and that it would be just and efficient to allow more than one to proceed.  </w:t>
      </w:r>
    </w:p>
    <w:p w14:paraId="49F49DFF" w14:textId="77777777" w:rsidR="006E03D8" w:rsidRDefault="006E03D8" w:rsidP="006E03D8">
      <w:pPr>
        <w:pStyle w:val="Heading4"/>
      </w:pPr>
      <w:r>
        <w:t xml:space="preserve">Preferences of potential class members </w:t>
      </w:r>
    </w:p>
    <w:p w14:paraId="485E2C48" w14:textId="45CB5E70" w:rsidR="006E03D8" w:rsidRDefault="00BD5C95" w:rsidP="009B37CB">
      <w:pPr>
        <w:pStyle w:val="BodyText"/>
      </w:pPr>
      <w:r>
        <w:rPr>
          <w:rFonts w:ascii="ZWAdobeF" w:hAnsi="ZWAdobeF" w:cs="ZWAdobeF"/>
          <w:color w:val="auto"/>
          <w:sz w:val="2"/>
          <w:szCs w:val="2"/>
        </w:rPr>
        <w:t>174B</w:t>
      </w:r>
      <w:r w:rsidR="0049638A">
        <w:rPr>
          <w:rFonts w:ascii="ZWAdobeF" w:hAnsi="ZWAdobeF" w:cs="ZWAdobeF"/>
          <w:color w:val="auto"/>
          <w:sz w:val="2"/>
          <w:szCs w:val="2"/>
        </w:rPr>
        <w:t>174B</w:t>
      </w:r>
      <w:r w:rsidR="00D629FA">
        <w:rPr>
          <w:rFonts w:ascii="ZWAdobeF" w:hAnsi="ZWAdobeF" w:cs="ZWAdobeF"/>
          <w:color w:val="auto"/>
          <w:sz w:val="2"/>
          <w:szCs w:val="2"/>
        </w:rPr>
        <w:t>174B</w:t>
      </w:r>
      <w:r w:rsidR="006E03D8">
        <w:t xml:space="preserve">We also see the preferences of potential class members as relevant, to the extent this can be ascertained. In many cases, potential class members will be unaware of the class actions or will not have views on which is preferable. However, there may be cases where potential class members are highly engaged and have a preference for one class action or consider that both should be allowed to proceed. This seems more likely in smaller class actions, opt-in class actions and those where individual claims are sizeable. </w:t>
      </w:r>
    </w:p>
    <w:p w14:paraId="5FD5AE88" w14:textId="3A16EEBE" w:rsidR="006E03D8" w:rsidRDefault="00BD5C95" w:rsidP="009B37CB">
      <w:pPr>
        <w:pStyle w:val="BodyText"/>
      </w:pPr>
      <w:r>
        <w:rPr>
          <w:rFonts w:ascii="ZWAdobeF" w:hAnsi="ZWAdobeF" w:cs="ZWAdobeF"/>
          <w:color w:val="auto"/>
          <w:sz w:val="2"/>
          <w:szCs w:val="2"/>
        </w:rPr>
        <w:t>175B</w:t>
      </w:r>
      <w:r w:rsidR="0049638A">
        <w:rPr>
          <w:rFonts w:ascii="ZWAdobeF" w:hAnsi="ZWAdobeF" w:cs="ZWAdobeF"/>
          <w:color w:val="auto"/>
          <w:sz w:val="2"/>
          <w:szCs w:val="2"/>
        </w:rPr>
        <w:t>175B</w:t>
      </w:r>
      <w:r w:rsidR="00D629FA">
        <w:rPr>
          <w:rFonts w:ascii="ZWAdobeF" w:hAnsi="ZWAdobeF" w:cs="ZWAdobeF"/>
          <w:color w:val="auto"/>
          <w:sz w:val="2"/>
          <w:szCs w:val="2"/>
        </w:rPr>
        <w:t>175B</w:t>
      </w:r>
      <w:r w:rsidR="006E03D8">
        <w:t>We note that in Australia, the extent of any ‘book building’ for each class action may be relevant (a process where class members are identified and signed up to particular litigation funding arrangements).</w:t>
      </w:r>
      <w:r w:rsidR="00D629FA">
        <w:rPr>
          <w:rFonts w:ascii="ZWAdobeF" w:hAnsi="ZWAdobeF" w:cs="ZWAdobeF"/>
          <w:color w:val="auto"/>
          <w:sz w:val="2"/>
          <w:szCs w:val="2"/>
        </w:rPr>
        <w:t>282F</w:t>
      </w:r>
      <w:r w:rsidR="0049638A">
        <w:rPr>
          <w:rFonts w:ascii="ZWAdobeF" w:hAnsi="ZWAdobeF" w:cs="ZWAdobeF"/>
          <w:color w:val="auto"/>
          <w:sz w:val="2"/>
          <w:szCs w:val="2"/>
        </w:rPr>
        <w:t>282F</w:t>
      </w:r>
      <w:r w:rsidR="00317AE4">
        <w:rPr>
          <w:rFonts w:ascii="ZWAdobeF" w:hAnsi="ZWAdobeF" w:cs="ZWAdobeF"/>
          <w:color w:val="auto"/>
          <w:sz w:val="2"/>
          <w:szCs w:val="2"/>
        </w:rPr>
        <w:t>282F</w:t>
      </w:r>
      <w:r w:rsidR="006E03D8">
        <w:rPr>
          <w:rStyle w:val="FootnoteReference"/>
        </w:rPr>
        <w:footnoteReference w:id="284"/>
      </w:r>
      <w:r w:rsidR="006E03D8">
        <w:t xml:space="preserve"> However, it will not necessarily be a significant consideration as book building may not indicate an informed choice to select one class action over another.</w:t>
      </w:r>
      <w:r w:rsidR="00D629FA">
        <w:rPr>
          <w:rFonts w:ascii="ZWAdobeF" w:hAnsi="ZWAdobeF" w:cs="ZWAdobeF"/>
          <w:color w:val="auto"/>
          <w:sz w:val="2"/>
          <w:szCs w:val="2"/>
        </w:rPr>
        <w:t>283F</w:t>
      </w:r>
      <w:r w:rsidR="0049638A">
        <w:rPr>
          <w:rFonts w:ascii="ZWAdobeF" w:hAnsi="ZWAdobeF" w:cs="ZWAdobeF"/>
          <w:color w:val="auto"/>
          <w:sz w:val="2"/>
          <w:szCs w:val="2"/>
        </w:rPr>
        <w:t>283F</w:t>
      </w:r>
      <w:r w:rsidR="00317AE4">
        <w:rPr>
          <w:rFonts w:ascii="ZWAdobeF" w:hAnsi="ZWAdobeF" w:cs="ZWAdobeF"/>
          <w:color w:val="auto"/>
          <w:sz w:val="2"/>
          <w:szCs w:val="2"/>
        </w:rPr>
        <w:t>283F</w:t>
      </w:r>
      <w:r w:rsidR="006E03D8">
        <w:rPr>
          <w:rStyle w:val="FootnoteReference"/>
        </w:rPr>
        <w:footnoteReference w:id="285"/>
      </w:r>
      <w:r w:rsidR="006E03D8">
        <w:t xml:space="preserve"> We think there may be less emphasis on early book building in Aotearoa New Zealand because of the</w:t>
      </w:r>
      <w:r w:rsidR="00BE347D">
        <w:t xml:space="preserve"> uncertainty about whether a case will be </w:t>
      </w:r>
      <w:r w:rsidR="006E03D8">
        <w:t>certified. We do not think the number of class members signed up to each class action (and litigation funder) should be taken as a clear preference of class members for one class action over another. This could simply reflect which class action was commenced first or the method of advertising used.</w:t>
      </w:r>
    </w:p>
    <w:p w14:paraId="23957239" w14:textId="77777777" w:rsidR="006E03D8" w:rsidRDefault="006E03D8" w:rsidP="006E03D8">
      <w:pPr>
        <w:pStyle w:val="Heading4"/>
      </w:pPr>
      <w:r>
        <w:t xml:space="preserve">Funding arrangements </w:t>
      </w:r>
    </w:p>
    <w:p w14:paraId="374BADE1" w14:textId="1CD1CAF7" w:rsidR="006E03D8" w:rsidRDefault="00BD5C95" w:rsidP="005E4732">
      <w:pPr>
        <w:pStyle w:val="BodyText"/>
      </w:pPr>
      <w:r>
        <w:rPr>
          <w:rFonts w:ascii="ZWAdobeF" w:hAnsi="ZWAdobeF" w:cs="ZWAdobeF"/>
          <w:color w:val="auto"/>
          <w:sz w:val="2"/>
          <w:szCs w:val="2"/>
        </w:rPr>
        <w:t>176B</w:t>
      </w:r>
      <w:r w:rsidR="0049638A">
        <w:rPr>
          <w:rFonts w:ascii="ZWAdobeF" w:hAnsi="ZWAdobeF" w:cs="ZWAdobeF"/>
          <w:color w:val="auto"/>
          <w:sz w:val="2"/>
          <w:szCs w:val="2"/>
        </w:rPr>
        <w:t>176B</w:t>
      </w:r>
      <w:r w:rsidR="00D629FA">
        <w:rPr>
          <w:rFonts w:ascii="ZWAdobeF" w:hAnsi="ZWAdobeF" w:cs="ZWAdobeF"/>
          <w:color w:val="auto"/>
          <w:sz w:val="2"/>
          <w:szCs w:val="2"/>
        </w:rPr>
        <w:t>176B</w:t>
      </w:r>
      <w:r w:rsidR="006E03D8" w:rsidRPr="005E4732">
        <w:t>Consideration</w:t>
      </w:r>
      <w:r w:rsidR="006E03D8">
        <w:t xml:space="preserve"> of funding arrangements for a class action may be relevant. In Ontario, courts are required to consider the funding of each proceeding when assessing competing class actions, including any third-party funding agreements, and the sufficiency of that funding.</w:t>
      </w:r>
      <w:r w:rsidR="00D629FA">
        <w:rPr>
          <w:rFonts w:ascii="ZWAdobeF" w:hAnsi="ZWAdobeF" w:cs="ZWAdobeF"/>
          <w:color w:val="auto"/>
          <w:sz w:val="2"/>
          <w:szCs w:val="2"/>
        </w:rPr>
        <w:t>284F</w:t>
      </w:r>
      <w:r w:rsidR="0049638A">
        <w:rPr>
          <w:rFonts w:ascii="ZWAdobeF" w:hAnsi="ZWAdobeF" w:cs="ZWAdobeF"/>
          <w:color w:val="auto"/>
          <w:sz w:val="2"/>
          <w:szCs w:val="2"/>
        </w:rPr>
        <w:t>284F</w:t>
      </w:r>
      <w:r w:rsidR="00317AE4">
        <w:rPr>
          <w:rFonts w:ascii="ZWAdobeF" w:hAnsi="ZWAdobeF" w:cs="ZWAdobeF"/>
          <w:color w:val="auto"/>
          <w:sz w:val="2"/>
          <w:szCs w:val="2"/>
        </w:rPr>
        <w:t>284F</w:t>
      </w:r>
      <w:r w:rsidR="006E03D8">
        <w:rPr>
          <w:rStyle w:val="FootnoteReference"/>
        </w:rPr>
        <w:footnoteReference w:id="286"/>
      </w:r>
    </w:p>
    <w:p w14:paraId="6D5A5AEA" w14:textId="0B21C476" w:rsidR="006E03D8" w:rsidRDefault="00BD5C95" w:rsidP="009B37CB">
      <w:pPr>
        <w:pStyle w:val="BodyText"/>
      </w:pPr>
      <w:r>
        <w:rPr>
          <w:rFonts w:ascii="ZWAdobeF" w:hAnsi="ZWAdobeF" w:cs="ZWAdobeF"/>
          <w:color w:val="auto"/>
          <w:sz w:val="2"/>
          <w:szCs w:val="2"/>
        </w:rPr>
        <w:t>177B</w:t>
      </w:r>
      <w:r w:rsidR="0049638A">
        <w:rPr>
          <w:rFonts w:ascii="ZWAdobeF" w:hAnsi="ZWAdobeF" w:cs="ZWAdobeF"/>
          <w:color w:val="auto"/>
          <w:sz w:val="2"/>
          <w:szCs w:val="2"/>
        </w:rPr>
        <w:t>177B</w:t>
      </w:r>
      <w:r w:rsidR="00D629FA">
        <w:rPr>
          <w:rFonts w:ascii="ZWAdobeF" w:hAnsi="ZWAdobeF" w:cs="ZWAdobeF"/>
          <w:color w:val="auto"/>
          <w:sz w:val="2"/>
          <w:szCs w:val="2"/>
        </w:rPr>
        <w:t>177B</w:t>
      </w:r>
      <w:r w:rsidR="006E03D8">
        <w:t>The High Court of Australia has said that while litigation funding arrangements are not a mandatory consideration, they are not irrelevant.</w:t>
      </w:r>
      <w:r w:rsidR="00D629FA">
        <w:rPr>
          <w:rFonts w:ascii="ZWAdobeF" w:hAnsi="ZWAdobeF" w:cs="ZWAdobeF"/>
          <w:color w:val="auto"/>
          <w:sz w:val="2"/>
          <w:szCs w:val="2"/>
        </w:rPr>
        <w:t>285F</w:t>
      </w:r>
      <w:r w:rsidR="0049638A">
        <w:rPr>
          <w:rFonts w:ascii="ZWAdobeF" w:hAnsi="ZWAdobeF" w:cs="ZWAdobeF"/>
          <w:color w:val="auto"/>
          <w:sz w:val="2"/>
          <w:szCs w:val="2"/>
        </w:rPr>
        <w:t>285F</w:t>
      </w:r>
      <w:r w:rsidR="00317AE4">
        <w:rPr>
          <w:rFonts w:ascii="ZWAdobeF" w:hAnsi="ZWAdobeF" w:cs="ZWAdobeF"/>
          <w:color w:val="auto"/>
          <w:sz w:val="2"/>
          <w:szCs w:val="2"/>
        </w:rPr>
        <w:t>285F</w:t>
      </w:r>
      <w:r w:rsidR="006E03D8">
        <w:rPr>
          <w:rStyle w:val="FootnoteReference"/>
        </w:rPr>
        <w:footnoteReference w:id="287"/>
      </w:r>
      <w:r w:rsidR="006E03D8">
        <w:t xml:space="preserve"> It said there may be cases where the difference in funding arrangements “is so stark that to exclude it from consideration in determining whether to exercise the stay power would not be consistent with the court </w:t>
      </w:r>
      <w:r w:rsidR="006E03D8">
        <w:lastRenderedPageBreak/>
        <w:t>seeking to act in accordance with the dictates of justice</w:t>
      </w:r>
      <w:r w:rsidR="000A6BBD">
        <w:t>”.</w:t>
      </w:r>
      <w:r w:rsidR="00D629FA">
        <w:rPr>
          <w:rFonts w:ascii="ZWAdobeF" w:hAnsi="ZWAdobeF" w:cs="ZWAdobeF"/>
          <w:color w:val="auto"/>
          <w:sz w:val="2"/>
          <w:szCs w:val="2"/>
        </w:rPr>
        <w:t>286F</w:t>
      </w:r>
      <w:r w:rsidR="0049638A">
        <w:rPr>
          <w:rFonts w:ascii="ZWAdobeF" w:hAnsi="ZWAdobeF" w:cs="ZWAdobeF"/>
          <w:color w:val="auto"/>
          <w:sz w:val="2"/>
          <w:szCs w:val="2"/>
        </w:rPr>
        <w:t>286F</w:t>
      </w:r>
      <w:r w:rsidR="00317AE4">
        <w:rPr>
          <w:rFonts w:ascii="ZWAdobeF" w:hAnsi="ZWAdobeF" w:cs="ZWAdobeF"/>
          <w:color w:val="auto"/>
          <w:sz w:val="2"/>
          <w:szCs w:val="2"/>
        </w:rPr>
        <w:t>286F</w:t>
      </w:r>
      <w:r w:rsidR="006E03D8">
        <w:rPr>
          <w:rStyle w:val="FootnoteReference"/>
        </w:rPr>
        <w:footnoteReference w:id="288"/>
      </w:r>
      <w:r w:rsidR="006E03D8">
        <w:t xml:space="preserve"> The Court also noted that litigation funding arrangements may affect the likely success of a class action and would directly affect the quantum of recovery, matters which the court considers in other contexts.</w:t>
      </w:r>
      <w:r w:rsidR="00D629FA">
        <w:rPr>
          <w:rFonts w:ascii="ZWAdobeF" w:hAnsi="ZWAdobeF" w:cs="ZWAdobeF"/>
          <w:color w:val="auto"/>
          <w:sz w:val="2"/>
          <w:szCs w:val="2"/>
        </w:rPr>
        <w:t>287F</w:t>
      </w:r>
      <w:r w:rsidR="0049638A">
        <w:rPr>
          <w:rFonts w:ascii="ZWAdobeF" w:hAnsi="ZWAdobeF" w:cs="ZWAdobeF"/>
          <w:color w:val="auto"/>
          <w:sz w:val="2"/>
          <w:szCs w:val="2"/>
        </w:rPr>
        <w:t>287F</w:t>
      </w:r>
      <w:r w:rsidR="00317AE4">
        <w:rPr>
          <w:rFonts w:ascii="ZWAdobeF" w:hAnsi="ZWAdobeF" w:cs="ZWAdobeF"/>
          <w:color w:val="auto"/>
          <w:sz w:val="2"/>
          <w:szCs w:val="2"/>
        </w:rPr>
        <w:t>287F</w:t>
      </w:r>
      <w:r w:rsidR="006E03D8">
        <w:rPr>
          <w:rStyle w:val="FootnoteReference"/>
        </w:rPr>
        <w:footnoteReference w:id="289"/>
      </w:r>
      <w:r w:rsidR="006E03D8">
        <w:t xml:space="preserve"> In Australia, a funder’s proposed method of meeting security for costs may also be relevant when assessing competing class actions.</w:t>
      </w:r>
      <w:r w:rsidR="00D629FA">
        <w:rPr>
          <w:rFonts w:ascii="ZWAdobeF" w:hAnsi="ZWAdobeF" w:cs="ZWAdobeF"/>
          <w:color w:val="auto"/>
          <w:sz w:val="2"/>
          <w:szCs w:val="2"/>
        </w:rPr>
        <w:t>288F</w:t>
      </w:r>
      <w:r w:rsidR="0049638A">
        <w:rPr>
          <w:rFonts w:ascii="ZWAdobeF" w:hAnsi="ZWAdobeF" w:cs="ZWAdobeF"/>
          <w:color w:val="auto"/>
          <w:sz w:val="2"/>
          <w:szCs w:val="2"/>
        </w:rPr>
        <w:t>288F</w:t>
      </w:r>
      <w:r w:rsidR="00317AE4">
        <w:rPr>
          <w:rFonts w:ascii="ZWAdobeF" w:hAnsi="ZWAdobeF" w:cs="ZWAdobeF"/>
          <w:color w:val="auto"/>
          <w:sz w:val="2"/>
          <w:szCs w:val="2"/>
        </w:rPr>
        <w:t>288F</w:t>
      </w:r>
      <w:r w:rsidR="006E03D8">
        <w:rPr>
          <w:rStyle w:val="FootnoteReference"/>
        </w:rPr>
        <w:footnoteReference w:id="290"/>
      </w:r>
      <w:r w:rsidR="006E03D8">
        <w:t xml:space="preserve"> </w:t>
      </w:r>
    </w:p>
    <w:p w14:paraId="3E5EBC78" w14:textId="297A86FC" w:rsidR="006E03D8" w:rsidRDefault="00BD5C95" w:rsidP="009B37CB">
      <w:pPr>
        <w:pStyle w:val="BodyText"/>
        <w:tabs>
          <w:tab w:val="num" w:pos="709"/>
        </w:tabs>
      </w:pPr>
      <w:r>
        <w:rPr>
          <w:rFonts w:ascii="ZWAdobeF" w:hAnsi="ZWAdobeF" w:cs="ZWAdobeF"/>
          <w:color w:val="auto"/>
          <w:sz w:val="2"/>
          <w:szCs w:val="2"/>
        </w:rPr>
        <w:t>178B</w:t>
      </w:r>
      <w:r w:rsidR="0049638A">
        <w:rPr>
          <w:rFonts w:ascii="ZWAdobeF" w:hAnsi="ZWAdobeF" w:cs="ZWAdobeF"/>
          <w:color w:val="auto"/>
          <w:sz w:val="2"/>
          <w:szCs w:val="2"/>
        </w:rPr>
        <w:t>178B</w:t>
      </w:r>
      <w:r w:rsidR="00D629FA">
        <w:rPr>
          <w:rFonts w:ascii="ZWAdobeF" w:hAnsi="ZWAdobeF" w:cs="ZWAdobeF"/>
          <w:color w:val="auto"/>
          <w:sz w:val="2"/>
          <w:szCs w:val="2"/>
        </w:rPr>
        <w:t>178B</w:t>
      </w:r>
      <w:r w:rsidR="006E03D8">
        <w:t>We consider the funding arrangements for each class action are likely to be relevant, including whether litigation funding has been secured and on what basis. If there is insufficient funding in place for a class action, this could result in the proceeding being abandoned prior to a hearing. The proportion of a class member’s compensation that would be deducted in litigation funding commission may also be relevant to whether claims will be resolved in a just and efficient manner. However, we note the caution expressed by the Full Federal Court of Australia that the size of a funding commission should not be given undue weight when assessing competing class actions, to prevent a race to the bottom.</w:t>
      </w:r>
      <w:r w:rsidR="00D629FA">
        <w:rPr>
          <w:rFonts w:ascii="ZWAdobeF" w:hAnsi="ZWAdobeF" w:cs="ZWAdobeF"/>
          <w:color w:val="auto"/>
          <w:sz w:val="2"/>
          <w:szCs w:val="2"/>
        </w:rPr>
        <w:t>289F</w:t>
      </w:r>
      <w:r w:rsidR="0049638A">
        <w:rPr>
          <w:rFonts w:ascii="ZWAdobeF" w:hAnsi="ZWAdobeF" w:cs="ZWAdobeF"/>
          <w:color w:val="auto"/>
          <w:sz w:val="2"/>
          <w:szCs w:val="2"/>
        </w:rPr>
        <w:t>289F</w:t>
      </w:r>
      <w:r w:rsidR="00317AE4">
        <w:rPr>
          <w:rFonts w:ascii="ZWAdobeF" w:hAnsi="ZWAdobeF" w:cs="ZWAdobeF"/>
          <w:color w:val="auto"/>
          <w:sz w:val="2"/>
          <w:szCs w:val="2"/>
        </w:rPr>
        <w:t>289F</w:t>
      </w:r>
      <w:r w:rsidR="006E03D8">
        <w:rPr>
          <w:rStyle w:val="FootnoteReference"/>
        </w:rPr>
        <w:footnoteReference w:id="291"/>
      </w:r>
      <w:r w:rsidR="006E03D8">
        <w:t xml:space="preserve"> </w:t>
      </w:r>
    </w:p>
    <w:p w14:paraId="53710C01" w14:textId="5C993A27" w:rsidR="006E03D8" w:rsidRDefault="00BD5C95" w:rsidP="009B37CB">
      <w:pPr>
        <w:pStyle w:val="BodyText"/>
      </w:pPr>
      <w:r>
        <w:rPr>
          <w:rFonts w:ascii="ZWAdobeF" w:hAnsi="ZWAdobeF" w:cs="ZWAdobeF"/>
          <w:color w:val="auto"/>
          <w:sz w:val="2"/>
          <w:szCs w:val="2"/>
        </w:rPr>
        <w:t>179B</w:t>
      </w:r>
      <w:r w:rsidR="0049638A">
        <w:rPr>
          <w:rFonts w:ascii="ZWAdobeF" w:hAnsi="ZWAdobeF" w:cs="ZWAdobeF"/>
          <w:color w:val="auto"/>
          <w:sz w:val="2"/>
          <w:szCs w:val="2"/>
        </w:rPr>
        <w:t>179B</w:t>
      </w:r>
      <w:r w:rsidR="00D629FA">
        <w:rPr>
          <w:rFonts w:ascii="ZWAdobeF" w:hAnsi="ZWAdobeF" w:cs="ZWAdobeF"/>
          <w:color w:val="auto"/>
          <w:sz w:val="2"/>
          <w:szCs w:val="2"/>
        </w:rPr>
        <w:t>179B</w:t>
      </w:r>
      <w:r w:rsidR="006E03D8">
        <w:t>In Chapter 6, we ask whether the court should be able to appoint an expert at a settlement approval hearing to advise the court on particular aspects of the proposed settlement, such as</w:t>
      </w:r>
      <w:r w:rsidR="00544918">
        <w:t xml:space="preserve"> the</w:t>
      </w:r>
      <w:r w:rsidR="006E03D8">
        <w:t xml:space="preserve"> litigation funding commission. Similarly, it may be appropriate for the court to appoint an expert to advise on the merits of competing funding proposals when considering competing class actions. </w:t>
      </w:r>
      <w:r w:rsidR="006E03D8" w:rsidDel="001059B3">
        <w:t>In Australia, the court may appoint a special referee to enquire into the litigation funding arrangements of competing class actions</w:t>
      </w:r>
      <w:r w:rsidR="006E03D8">
        <w:t>.</w:t>
      </w:r>
      <w:r w:rsidR="00D629FA">
        <w:rPr>
          <w:rFonts w:ascii="ZWAdobeF" w:hAnsi="ZWAdobeF" w:cs="ZWAdobeF"/>
          <w:color w:val="auto"/>
          <w:sz w:val="2"/>
          <w:szCs w:val="2"/>
        </w:rPr>
        <w:t>290F</w:t>
      </w:r>
      <w:r w:rsidR="0049638A">
        <w:rPr>
          <w:rFonts w:ascii="ZWAdobeF" w:hAnsi="ZWAdobeF" w:cs="ZWAdobeF"/>
          <w:color w:val="auto"/>
          <w:sz w:val="2"/>
          <w:szCs w:val="2"/>
        </w:rPr>
        <w:t>290F</w:t>
      </w:r>
      <w:r w:rsidR="00317AE4">
        <w:rPr>
          <w:rFonts w:ascii="ZWAdobeF" w:hAnsi="ZWAdobeF" w:cs="ZWAdobeF"/>
          <w:color w:val="auto"/>
          <w:sz w:val="2"/>
          <w:szCs w:val="2"/>
        </w:rPr>
        <w:t>290F</w:t>
      </w:r>
      <w:r w:rsidR="006E03D8">
        <w:rPr>
          <w:rStyle w:val="FootnoteReference"/>
        </w:rPr>
        <w:footnoteReference w:id="292"/>
      </w:r>
    </w:p>
    <w:p w14:paraId="32E655FC" w14:textId="77777777" w:rsidR="006E03D8" w:rsidRDefault="006E03D8" w:rsidP="006E03D8">
      <w:pPr>
        <w:pStyle w:val="Heading4"/>
      </w:pPr>
      <w:r>
        <w:t xml:space="preserve">Legal representation </w:t>
      </w:r>
    </w:p>
    <w:p w14:paraId="497D734C" w14:textId="58311086" w:rsidR="006E03D8" w:rsidRDefault="00BD5C95" w:rsidP="009B37CB">
      <w:pPr>
        <w:pStyle w:val="BodyText"/>
        <w:tabs>
          <w:tab w:val="num" w:pos="709"/>
        </w:tabs>
      </w:pPr>
      <w:r>
        <w:rPr>
          <w:rFonts w:ascii="ZWAdobeF" w:hAnsi="ZWAdobeF" w:cs="ZWAdobeF"/>
          <w:color w:val="auto"/>
          <w:sz w:val="2"/>
          <w:szCs w:val="2"/>
        </w:rPr>
        <w:t>180B</w:t>
      </w:r>
      <w:r w:rsidR="0049638A">
        <w:rPr>
          <w:rFonts w:ascii="ZWAdobeF" w:hAnsi="ZWAdobeF" w:cs="ZWAdobeF"/>
          <w:color w:val="auto"/>
          <w:sz w:val="2"/>
          <w:szCs w:val="2"/>
        </w:rPr>
        <w:t>180B</w:t>
      </w:r>
      <w:r w:rsidR="00D629FA">
        <w:rPr>
          <w:rFonts w:ascii="ZWAdobeF" w:hAnsi="ZWAdobeF" w:cs="ZWAdobeF"/>
          <w:color w:val="auto"/>
          <w:sz w:val="2"/>
          <w:szCs w:val="2"/>
        </w:rPr>
        <w:t>180B</w:t>
      </w:r>
      <w:r w:rsidR="006E03D8">
        <w:t xml:space="preserve">The court could consider the respective legal representation of each class action. In Ontario, the court must consider </w:t>
      </w:r>
      <w:r w:rsidR="006E03D8" w:rsidRPr="001C1195">
        <w:t>the expertise</w:t>
      </w:r>
      <w:r w:rsidR="006E03D8">
        <w:t>, experience and previous results of each lawyer, either in class actions litigation or the substantive areas of law.</w:t>
      </w:r>
      <w:r w:rsidR="00D629FA">
        <w:rPr>
          <w:rFonts w:ascii="ZWAdobeF" w:hAnsi="ZWAdobeF" w:cs="ZWAdobeF"/>
          <w:color w:val="auto"/>
          <w:sz w:val="2"/>
          <w:szCs w:val="2"/>
        </w:rPr>
        <w:t>291F</w:t>
      </w:r>
      <w:r w:rsidR="0049638A">
        <w:rPr>
          <w:rFonts w:ascii="ZWAdobeF" w:hAnsi="ZWAdobeF" w:cs="ZWAdobeF"/>
          <w:color w:val="auto"/>
          <w:sz w:val="2"/>
          <w:szCs w:val="2"/>
        </w:rPr>
        <w:t>291F</w:t>
      </w:r>
      <w:r w:rsidR="00317AE4">
        <w:rPr>
          <w:rFonts w:ascii="ZWAdobeF" w:hAnsi="ZWAdobeF" w:cs="ZWAdobeF"/>
          <w:color w:val="auto"/>
          <w:sz w:val="2"/>
          <w:szCs w:val="2"/>
        </w:rPr>
        <w:t>291F</w:t>
      </w:r>
      <w:r w:rsidR="006E03D8">
        <w:rPr>
          <w:rStyle w:val="FootnoteReference"/>
        </w:rPr>
        <w:footnoteReference w:id="293"/>
      </w:r>
      <w:r w:rsidR="006E03D8">
        <w:t xml:space="preserve"> The LCO had recommended that experience should not be limited to class actions litigation as this could prevent new entrants to the plaintiff class action market.</w:t>
      </w:r>
      <w:r w:rsidR="00D629FA">
        <w:rPr>
          <w:rFonts w:ascii="ZWAdobeF" w:hAnsi="ZWAdobeF" w:cs="ZWAdobeF"/>
          <w:color w:val="auto"/>
          <w:sz w:val="2"/>
          <w:szCs w:val="2"/>
        </w:rPr>
        <w:t>292F</w:t>
      </w:r>
      <w:r w:rsidR="0049638A">
        <w:rPr>
          <w:rFonts w:ascii="ZWAdobeF" w:hAnsi="ZWAdobeF" w:cs="ZWAdobeF"/>
          <w:color w:val="auto"/>
          <w:sz w:val="2"/>
          <w:szCs w:val="2"/>
        </w:rPr>
        <w:t>292F</w:t>
      </w:r>
      <w:r w:rsidR="00317AE4">
        <w:rPr>
          <w:rFonts w:ascii="ZWAdobeF" w:hAnsi="ZWAdobeF" w:cs="ZWAdobeF"/>
          <w:color w:val="auto"/>
          <w:sz w:val="2"/>
          <w:szCs w:val="2"/>
        </w:rPr>
        <w:t>292F</w:t>
      </w:r>
      <w:r w:rsidR="006E03D8">
        <w:rPr>
          <w:rStyle w:val="FootnoteReference"/>
        </w:rPr>
        <w:footnoteReference w:id="294"/>
      </w:r>
      <w:r w:rsidR="006E03D8">
        <w:t xml:space="preserve"> Ontario courts have cautioned against consideration of lawyers at a carriage motion turning into a “beauty pageant</w:t>
      </w:r>
      <w:r w:rsidR="00347E0D">
        <w:t>”,</w:t>
      </w:r>
      <w:r w:rsidR="00D629FA">
        <w:rPr>
          <w:rFonts w:ascii="ZWAdobeF" w:hAnsi="ZWAdobeF" w:cs="ZWAdobeF"/>
          <w:color w:val="auto"/>
          <w:sz w:val="2"/>
          <w:szCs w:val="2"/>
        </w:rPr>
        <w:t>293F</w:t>
      </w:r>
      <w:r w:rsidR="0049638A">
        <w:rPr>
          <w:rFonts w:ascii="ZWAdobeF" w:hAnsi="ZWAdobeF" w:cs="ZWAdobeF"/>
          <w:color w:val="auto"/>
          <w:sz w:val="2"/>
          <w:szCs w:val="2"/>
        </w:rPr>
        <w:t>293F</w:t>
      </w:r>
      <w:r w:rsidR="00317AE4">
        <w:rPr>
          <w:rFonts w:ascii="ZWAdobeF" w:hAnsi="ZWAdobeF" w:cs="ZWAdobeF"/>
          <w:color w:val="auto"/>
          <w:sz w:val="2"/>
          <w:szCs w:val="2"/>
        </w:rPr>
        <w:t>293F</w:t>
      </w:r>
      <w:r w:rsidR="006E03D8">
        <w:rPr>
          <w:rStyle w:val="FootnoteReference"/>
        </w:rPr>
        <w:footnoteReference w:id="295"/>
      </w:r>
      <w:r w:rsidR="006E03D8">
        <w:t xml:space="preserve"> with one judge commenting that “the court should not be placed in the uncomfortable position of grading the lawyers making an appearance</w:t>
      </w:r>
      <w:r w:rsidR="000A6BBD">
        <w:t>”.</w:t>
      </w:r>
      <w:r w:rsidR="00D629FA">
        <w:rPr>
          <w:rFonts w:ascii="ZWAdobeF" w:hAnsi="ZWAdobeF" w:cs="ZWAdobeF"/>
          <w:color w:val="auto"/>
          <w:sz w:val="2"/>
          <w:szCs w:val="2"/>
        </w:rPr>
        <w:t>294F</w:t>
      </w:r>
      <w:r w:rsidR="0049638A">
        <w:rPr>
          <w:rFonts w:ascii="ZWAdobeF" w:hAnsi="ZWAdobeF" w:cs="ZWAdobeF"/>
          <w:color w:val="auto"/>
          <w:sz w:val="2"/>
          <w:szCs w:val="2"/>
        </w:rPr>
        <w:t>294F</w:t>
      </w:r>
      <w:r w:rsidR="00317AE4">
        <w:rPr>
          <w:rFonts w:ascii="ZWAdobeF" w:hAnsi="ZWAdobeF" w:cs="ZWAdobeF"/>
          <w:color w:val="auto"/>
          <w:sz w:val="2"/>
          <w:szCs w:val="2"/>
        </w:rPr>
        <w:t>294F</w:t>
      </w:r>
      <w:r w:rsidR="006E03D8">
        <w:rPr>
          <w:rStyle w:val="FootnoteReference"/>
        </w:rPr>
        <w:footnoteReference w:id="296"/>
      </w:r>
    </w:p>
    <w:p w14:paraId="6CBD00C6" w14:textId="6D53C110" w:rsidR="006E03D8" w:rsidRDefault="00BD5C95" w:rsidP="009B37CB">
      <w:pPr>
        <w:pStyle w:val="BodyText"/>
        <w:tabs>
          <w:tab w:val="num" w:pos="709"/>
        </w:tabs>
      </w:pPr>
      <w:r>
        <w:rPr>
          <w:rFonts w:ascii="ZWAdobeF" w:hAnsi="ZWAdobeF" w:cs="ZWAdobeF"/>
          <w:color w:val="auto"/>
          <w:sz w:val="2"/>
          <w:szCs w:val="2"/>
        </w:rPr>
        <w:lastRenderedPageBreak/>
        <w:t>181B</w:t>
      </w:r>
      <w:r w:rsidR="0049638A">
        <w:rPr>
          <w:rFonts w:ascii="ZWAdobeF" w:hAnsi="ZWAdobeF" w:cs="ZWAdobeF"/>
          <w:color w:val="auto"/>
          <w:sz w:val="2"/>
          <w:szCs w:val="2"/>
        </w:rPr>
        <w:t>181B</w:t>
      </w:r>
      <w:r w:rsidR="00D629FA">
        <w:rPr>
          <w:rFonts w:ascii="ZWAdobeF" w:hAnsi="ZWAdobeF" w:cs="ZWAdobeF"/>
          <w:color w:val="auto"/>
          <w:sz w:val="2"/>
          <w:szCs w:val="2"/>
        </w:rPr>
        <w:t>181B</w:t>
      </w:r>
      <w:r w:rsidR="006E03D8">
        <w:t>Australian courts have also considered legal representation to be relevant when assessing competing class actions. Considerations may include:</w:t>
      </w:r>
      <w:r w:rsidR="00D629FA">
        <w:rPr>
          <w:rFonts w:ascii="ZWAdobeF" w:hAnsi="ZWAdobeF" w:cs="ZWAdobeF"/>
          <w:color w:val="auto"/>
          <w:sz w:val="2"/>
          <w:szCs w:val="2"/>
        </w:rPr>
        <w:t>295F</w:t>
      </w:r>
      <w:r w:rsidR="0049638A">
        <w:rPr>
          <w:rFonts w:ascii="ZWAdobeF" w:hAnsi="ZWAdobeF" w:cs="ZWAdobeF"/>
          <w:color w:val="auto"/>
          <w:sz w:val="2"/>
          <w:szCs w:val="2"/>
        </w:rPr>
        <w:t>295F</w:t>
      </w:r>
      <w:r w:rsidR="00317AE4">
        <w:rPr>
          <w:rFonts w:ascii="ZWAdobeF" w:hAnsi="ZWAdobeF" w:cs="ZWAdobeF"/>
          <w:color w:val="auto"/>
          <w:sz w:val="2"/>
          <w:szCs w:val="2"/>
        </w:rPr>
        <w:t>295F</w:t>
      </w:r>
      <w:r w:rsidR="006E03D8">
        <w:rPr>
          <w:rStyle w:val="FootnoteReference"/>
        </w:rPr>
        <w:footnoteReference w:id="297"/>
      </w:r>
      <w:r w:rsidR="006E03D8">
        <w:t xml:space="preserve">   </w:t>
      </w:r>
    </w:p>
    <w:p w14:paraId="29D3A7CA" w14:textId="1E36C2DC" w:rsidR="006E03D8" w:rsidRDefault="00BD5C95" w:rsidP="00932DB9">
      <w:pPr>
        <w:pStyle w:val="BodyTextnonum"/>
        <w:numPr>
          <w:ilvl w:val="3"/>
          <w:numId w:val="14"/>
        </w:numPr>
        <w:tabs>
          <w:tab w:val="num" w:pos="709"/>
        </w:tabs>
      </w:pPr>
      <w:r>
        <w:rPr>
          <w:rFonts w:ascii="ZWAdobeF" w:hAnsi="ZWAdobeF" w:cs="ZWAdobeF"/>
          <w:color w:val="auto"/>
          <w:sz w:val="2"/>
          <w:szCs w:val="2"/>
        </w:rPr>
        <w:t>689B</w:t>
      </w:r>
      <w:r w:rsidR="0049638A">
        <w:rPr>
          <w:rFonts w:ascii="ZWAdobeF" w:hAnsi="ZWAdobeF" w:cs="ZWAdobeF"/>
          <w:color w:val="auto"/>
          <w:sz w:val="2"/>
          <w:szCs w:val="2"/>
        </w:rPr>
        <w:t>689B</w:t>
      </w:r>
      <w:r w:rsidR="00D629FA">
        <w:rPr>
          <w:rFonts w:ascii="ZWAdobeF" w:hAnsi="ZWAdobeF" w:cs="ZWAdobeF"/>
          <w:color w:val="auto"/>
          <w:sz w:val="2"/>
          <w:szCs w:val="2"/>
        </w:rPr>
        <w:t>689B</w:t>
      </w:r>
      <w:r w:rsidR="006E03D8">
        <w:t>The lawyers’ experience, although this may be limited to whether a lawyer has sufficient experience and competence to properly represent class members.</w:t>
      </w:r>
    </w:p>
    <w:p w14:paraId="37D8AD9A" w14:textId="1894C42D" w:rsidR="006E03D8" w:rsidRDefault="00BD5C95" w:rsidP="00932DB9">
      <w:pPr>
        <w:pStyle w:val="BodyTextnonum"/>
        <w:numPr>
          <w:ilvl w:val="3"/>
          <w:numId w:val="14"/>
        </w:numPr>
        <w:tabs>
          <w:tab w:val="num" w:pos="709"/>
        </w:tabs>
      </w:pPr>
      <w:r>
        <w:rPr>
          <w:rFonts w:ascii="ZWAdobeF" w:hAnsi="ZWAdobeF" w:cs="ZWAdobeF"/>
          <w:color w:val="auto"/>
          <w:sz w:val="2"/>
          <w:szCs w:val="2"/>
        </w:rPr>
        <w:t>690B</w:t>
      </w:r>
      <w:r w:rsidR="0049638A">
        <w:rPr>
          <w:rFonts w:ascii="ZWAdobeF" w:hAnsi="ZWAdobeF" w:cs="ZWAdobeF"/>
          <w:color w:val="auto"/>
          <w:sz w:val="2"/>
          <w:szCs w:val="2"/>
        </w:rPr>
        <w:t>690B</w:t>
      </w:r>
      <w:r w:rsidR="00D629FA">
        <w:rPr>
          <w:rFonts w:ascii="ZWAdobeF" w:hAnsi="ZWAdobeF" w:cs="ZWAdobeF"/>
          <w:color w:val="auto"/>
          <w:sz w:val="2"/>
          <w:szCs w:val="2"/>
        </w:rPr>
        <w:t>690B</w:t>
      </w:r>
      <w:r w:rsidR="006E03D8">
        <w:t>The resources available to each law firm.</w:t>
      </w:r>
    </w:p>
    <w:p w14:paraId="0E88AFC9" w14:textId="41228197" w:rsidR="006E03D8" w:rsidRDefault="00BD5C95" w:rsidP="00932DB9">
      <w:pPr>
        <w:pStyle w:val="BodyTextnonum"/>
        <w:numPr>
          <w:ilvl w:val="3"/>
          <w:numId w:val="14"/>
        </w:numPr>
        <w:tabs>
          <w:tab w:val="num" w:pos="709"/>
        </w:tabs>
      </w:pPr>
      <w:r>
        <w:rPr>
          <w:rFonts w:ascii="ZWAdobeF" w:hAnsi="ZWAdobeF" w:cs="ZWAdobeF"/>
          <w:color w:val="auto"/>
          <w:sz w:val="2"/>
          <w:szCs w:val="2"/>
        </w:rPr>
        <w:t>691B</w:t>
      </w:r>
      <w:r w:rsidR="0049638A">
        <w:rPr>
          <w:rFonts w:ascii="ZWAdobeF" w:hAnsi="ZWAdobeF" w:cs="ZWAdobeF"/>
          <w:color w:val="auto"/>
          <w:sz w:val="2"/>
          <w:szCs w:val="2"/>
        </w:rPr>
        <w:t>691B</w:t>
      </w:r>
      <w:r w:rsidR="00D629FA">
        <w:rPr>
          <w:rFonts w:ascii="ZWAdobeF" w:hAnsi="ZWAdobeF" w:cs="ZWAdobeF"/>
          <w:color w:val="auto"/>
          <w:sz w:val="2"/>
          <w:szCs w:val="2"/>
        </w:rPr>
        <w:t>691B</w:t>
      </w:r>
      <w:r w:rsidR="006E03D8">
        <w:t>The fees each lawyer expects to charge.</w:t>
      </w:r>
      <w:r w:rsidR="00D629FA">
        <w:rPr>
          <w:rFonts w:ascii="ZWAdobeF" w:hAnsi="ZWAdobeF" w:cs="ZWAdobeF"/>
          <w:color w:val="auto"/>
          <w:sz w:val="2"/>
          <w:szCs w:val="2"/>
        </w:rPr>
        <w:t>296F</w:t>
      </w:r>
      <w:r w:rsidR="0049638A">
        <w:rPr>
          <w:rFonts w:ascii="ZWAdobeF" w:hAnsi="ZWAdobeF" w:cs="ZWAdobeF"/>
          <w:color w:val="auto"/>
          <w:sz w:val="2"/>
          <w:szCs w:val="2"/>
        </w:rPr>
        <w:t>296F</w:t>
      </w:r>
      <w:r w:rsidR="00317AE4">
        <w:rPr>
          <w:rFonts w:ascii="ZWAdobeF" w:hAnsi="ZWAdobeF" w:cs="ZWAdobeF"/>
          <w:color w:val="auto"/>
          <w:sz w:val="2"/>
          <w:szCs w:val="2"/>
        </w:rPr>
        <w:t>296F</w:t>
      </w:r>
      <w:r w:rsidR="006E03D8">
        <w:rPr>
          <w:rStyle w:val="FootnoteReference"/>
        </w:rPr>
        <w:footnoteReference w:id="298"/>
      </w:r>
    </w:p>
    <w:p w14:paraId="2CCC6665" w14:textId="63D26495" w:rsidR="006E03D8" w:rsidRDefault="00BD5C95" w:rsidP="009B37CB">
      <w:pPr>
        <w:pStyle w:val="BodyText"/>
        <w:tabs>
          <w:tab w:val="num" w:pos="709"/>
        </w:tabs>
      </w:pPr>
      <w:r>
        <w:rPr>
          <w:rFonts w:ascii="ZWAdobeF" w:hAnsi="ZWAdobeF" w:cs="ZWAdobeF"/>
          <w:color w:val="auto"/>
          <w:sz w:val="2"/>
          <w:szCs w:val="2"/>
        </w:rPr>
        <w:t>182B</w:t>
      </w:r>
      <w:r w:rsidR="0049638A">
        <w:rPr>
          <w:rFonts w:ascii="ZWAdobeF" w:hAnsi="ZWAdobeF" w:cs="ZWAdobeF"/>
          <w:color w:val="auto"/>
          <w:sz w:val="2"/>
          <w:szCs w:val="2"/>
        </w:rPr>
        <w:t>182B</w:t>
      </w:r>
      <w:r w:rsidR="00D629FA">
        <w:rPr>
          <w:rFonts w:ascii="ZWAdobeF" w:hAnsi="ZWAdobeF" w:cs="ZWAdobeF"/>
          <w:color w:val="auto"/>
          <w:sz w:val="2"/>
          <w:szCs w:val="2"/>
        </w:rPr>
        <w:t>182B</w:t>
      </w:r>
      <w:r w:rsidR="00544918">
        <w:t>In the United States, b</w:t>
      </w:r>
      <w:r w:rsidR="006E03D8">
        <w:t>ecause competing class actions are determined through the court’s power to appoint class counsel, legal representation is the critical factor. Courts must consider counsel’s experience and resources and may consider legal fees.</w:t>
      </w:r>
      <w:r w:rsidR="00D629FA">
        <w:rPr>
          <w:rFonts w:ascii="ZWAdobeF" w:hAnsi="ZWAdobeF" w:cs="ZWAdobeF"/>
          <w:color w:val="auto"/>
          <w:sz w:val="2"/>
          <w:szCs w:val="2"/>
        </w:rPr>
        <w:t>297F</w:t>
      </w:r>
      <w:r w:rsidR="0049638A">
        <w:rPr>
          <w:rFonts w:ascii="ZWAdobeF" w:hAnsi="ZWAdobeF" w:cs="ZWAdobeF"/>
          <w:color w:val="auto"/>
          <w:sz w:val="2"/>
          <w:szCs w:val="2"/>
        </w:rPr>
        <w:t>297F</w:t>
      </w:r>
      <w:r w:rsidR="00317AE4">
        <w:rPr>
          <w:rFonts w:ascii="ZWAdobeF" w:hAnsi="ZWAdobeF" w:cs="ZWAdobeF"/>
          <w:color w:val="auto"/>
          <w:sz w:val="2"/>
          <w:szCs w:val="2"/>
        </w:rPr>
        <w:t>297F</w:t>
      </w:r>
      <w:r w:rsidR="006E03D8">
        <w:rPr>
          <w:rStyle w:val="FootnoteReference"/>
        </w:rPr>
        <w:footnoteReference w:id="299"/>
      </w:r>
      <w:r w:rsidR="006E03D8">
        <w:t xml:space="preserve"> </w:t>
      </w:r>
    </w:p>
    <w:p w14:paraId="38810942" w14:textId="2D145A1F" w:rsidR="006E03D8" w:rsidRDefault="00BD5C95" w:rsidP="009B37CB">
      <w:pPr>
        <w:pStyle w:val="BodyText"/>
        <w:tabs>
          <w:tab w:val="num" w:pos="709"/>
        </w:tabs>
      </w:pPr>
      <w:r>
        <w:rPr>
          <w:rFonts w:ascii="ZWAdobeF" w:hAnsi="ZWAdobeF" w:cs="ZWAdobeF"/>
          <w:color w:val="auto"/>
          <w:sz w:val="2"/>
          <w:szCs w:val="2"/>
        </w:rPr>
        <w:t>183B</w:t>
      </w:r>
      <w:r w:rsidR="0049638A">
        <w:rPr>
          <w:rFonts w:ascii="ZWAdobeF" w:hAnsi="ZWAdobeF" w:cs="ZWAdobeF"/>
          <w:color w:val="auto"/>
          <w:sz w:val="2"/>
          <w:szCs w:val="2"/>
        </w:rPr>
        <w:t>183B</w:t>
      </w:r>
      <w:r w:rsidR="00D629FA">
        <w:rPr>
          <w:rFonts w:ascii="ZWAdobeF" w:hAnsi="ZWAdobeF" w:cs="ZWAdobeF"/>
          <w:color w:val="auto"/>
          <w:sz w:val="2"/>
          <w:szCs w:val="2"/>
        </w:rPr>
        <w:t>183B</w:t>
      </w:r>
      <w:r w:rsidR="006E03D8" w:rsidRPr="0023393B">
        <w:t xml:space="preserve">We think the experience, resources and fees of the proposed legal representation </w:t>
      </w:r>
      <w:r w:rsidR="006B7870">
        <w:t>are</w:t>
      </w:r>
      <w:r w:rsidR="006E03D8" w:rsidRPr="0023393B">
        <w:t xml:space="preserve"> likely to be relevant to assessing competing class actions, although at a relatively general level. </w:t>
      </w:r>
      <w:r w:rsidR="006E03D8">
        <w:t xml:space="preserve">We suggest the court could consider </w:t>
      </w:r>
      <w:r w:rsidR="006E03D8" w:rsidRPr="0023393B">
        <w:t xml:space="preserve">whether there is appropriate legal representation for each class action. </w:t>
      </w:r>
      <w:r w:rsidR="006E03D8">
        <w:t>In many cases, this factor would be neutral.</w:t>
      </w:r>
    </w:p>
    <w:p w14:paraId="494CF747" w14:textId="77777777" w:rsidR="006E03D8" w:rsidRDefault="006E03D8" w:rsidP="006E03D8">
      <w:pPr>
        <w:pStyle w:val="Heading4"/>
      </w:pPr>
      <w:r>
        <w:t xml:space="preserve">Which class action was filed first  </w:t>
      </w:r>
    </w:p>
    <w:p w14:paraId="28B73184" w14:textId="19698318" w:rsidR="006E03D8" w:rsidRDefault="00BD5C95" w:rsidP="009B37CB">
      <w:pPr>
        <w:pStyle w:val="BodyText"/>
      </w:pPr>
      <w:r>
        <w:rPr>
          <w:rFonts w:ascii="ZWAdobeF" w:hAnsi="ZWAdobeF" w:cs="ZWAdobeF"/>
          <w:color w:val="auto"/>
          <w:sz w:val="2"/>
          <w:szCs w:val="2"/>
        </w:rPr>
        <w:t>184B</w:t>
      </w:r>
      <w:r w:rsidR="0049638A">
        <w:rPr>
          <w:rFonts w:ascii="ZWAdobeF" w:hAnsi="ZWAdobeF" w:cs="ZWAdobeF"/>
          <w:color w:val="auto"/>
          <w:sz w:val="2"/>
          <w:szCs w:val="2"/>
        </w:rPr>
        <w:t>184B</w:t>
      </w:r>
      <w:r w:rsidR="00D629FA">
        <w:rPr>
          <w:rFonts w:ascii="ZWAdobeF" w:hAnsi="ZWAdobeF" w:cs="ZWAdobeF"/>
          <w:color w:val="auto"/>
          <w:sz w:val="2"/>
          <w:szCs w:val="2"/>
        </w:rPr>
        <w:t>184B</w:t>
      </w:r>
      <w:r w:rsidR="006E03D8">
        <w:t>A court could apply a rule or presumption that the first class action to be filed will be selected. Such a presumption applies in Québec, for example. The LCO considered this approach and said that while efficient, the rule could promote a “race to the courthouse” and poorly drafted claims.</w:t>
      </w:r>
      <w:r w:rsidR="00D629FA">
        <w:rPr>
          <w:rFonts w:ascii="ZWAdobeF" w:hAnsi="ZWAdobeF" w:cs="ZWAdobeF"/>
          <w:color w:val="auto"/>
          <w:sz w:val="2"/>
          <w:szCs w:val="2"/>
        </w:rPr>
        <w:t>298F</w:t>
      </w:r>
      <w:r w:rsidR="0049638A">
        <w:rPr>
          <w:rFonts w:ascii="ZWAdobeF" w:hAnsi="ZWAdobeF" w:cs="ZWAdobeF"/>
          <w:color w:val="auto"/>
          <w:sz w:val="2"/>
          <w:szCs w:val="2"/>
        </w:rPr>
        <w:t>298F</w:t>
      </w:r>
      <w:r w:rsidR="00317AE4">
        <w:rPr>
          <w:rFonts w:ascii="ZWAdobeF" w:hAnsi="ZWAdobeF" w:cs="ZWAdobeF"/>
          <w:color w:val="auto"/>
          <w:sz w:val="2"/>
          <w:szCs w:val="2"/>
        </w:rPr>
        <w:t>298F</w:t>
      </w:r>
      <w:r w:rsidR="006E03D8">
        <w:rPr>
          <w:rStyle w:val="FootnoteReference"/>
        </w:rPr>
        <w:footnoteReference w:id="300"/>
      </w:r>
      <w:r w:rsidR="006E03D8">
        <w:t xml:space="preserve"> </w:t>
      </w:r>
    </w:p>
    <w:p w14:paraId="16F35CD0" w14:textId="74C7E4F3" w:rsidR="006E03D8" w:rsidRDefault="00BD5C95" w:rsidP="009B37CB">
      <w:pPr>
        <w:pStyle w:val="BodyText"/>
      </w:pPr>
      <w:r>
        <w:rPr>
          <w:rFonts w:ascii="ZWAdobeF" w:hAnsi="ZWAdobeF" w:cs="ZWAdobeF"/>
          <w:color w:val="auto"/>
          <w:sz w:val="2"/>
          <w:szCs w:val="2"/>
        </w:rPr>
        <w:t>185B</w:t>
      </w:r>
      <w:r w:rsidR="0049638A">
        <w:rPr>
          <w:rFonts w:ascii="ZWAdobeF" w:hAnsi="ZWAdobeF" w:cs="ZWAdobeF"/>
          <w:color w:val="auto"/>
          <w:sz w:val="2"/>
          <w:szCs w:val="2"/>
        </w:rPr>
        <w:t>185B</w:t>
      </w:r>
      <w:r w:rsidR="00D629FA">
        <w:rPr>
          <w:rFonts w:ascii="ZWAdobeF" w:hAnsi="ZWAdobeF" w:cs="ZWAdobeF"/>
          <w:color w:val="auto"/>
          <w:sz w:val="2"/>
          <w:szCs w:val="2"/>
        </w:rPr>
        <w:t>185B</w:t>
      </w:r>
      <w:r w:rsidR="006E03D8">
        <w:t xml:space="preserve">In Australia, </w:t>
      </w:r>
      <w:r w:rsidR="006B7870">
        <w:t xml:space="preserve">there was </w:t>
      </w:r>
      <w:r w:rsidR="006E03D8">
        <w:t>said to be an issue with competing class actions being hastily filed once the initial class action is brought, particularly shareholder claims, because of the perception that the first class action filed may have an advantage.</w:t>
      </w:r>
      <w:r w:rsidR="00D629FA">
        <w:rPr>
          <w:rFonts w:ascii="ZWAdobeF" w:hAnsi="ZWAdobeF" w:cs="ZWAdobeF"/>
          <w:color w:val="auto"/>
          <w:sz w:val="2"/>
          <w:szCs w:val="2"/>
        </w:rPr>
        <w:t>299F</w:t>
      </w:r>
      <w:r w:rsidR="0049638A">
        <w:rPr>
          <w:rFonts w:ascii="ZWAdobeF" w:hAnsi="ZWAdobeF" w:cs="ZWAdobeF"/>
          <w:color w:val="auto"/>
          <w:sz w:val="2"/>
          <w:szCs w:val="2"/>
        </w:rPr>
        <w:t>299F</w:t>
      </w:r>
      <w:r w:rsidR="00317AE4">
        <w:rPr>
          <w:rFonts w:ascii="ZWAdobeF" w:hAnsi="ZWAdobeF" w:cs="ZWAdobeF"/>
          <w:color w:val="auto"/>
          <w:sz w:val="2"/>
          <w:szCs w:val="2"/>
        </w:rPr>
        <w:t>299F</w:t>
      </w:r>
      <w:r w:rsidR="006E03D8">
        <w:rPr>
          <w:rStyle w:val="FootnoteReference"/>
        </w:rPr>
        <w:footnoteReference w:id="301"/>
      </w:r>
      <w:r w:rsidR="006E03D8">
        <w:t xml:space="preserve"> The ALRC’s proposed 90-day “standstill” period was intended to mitigate this.</w:t>
      </w:r>
      <w:r w:rsidR="00D629FA">
        <w:rPr>
          <w:rFonts w:ascii="ZWAdobeF" w:hAnsi="ZWAdobeF" w:cs="ZWAdobeF"/>
          <w:color w:val="auto"/>
          <w:sz w:val="2"/>
          <w:szCs w:val="2"/>
        </w:rPr>
        <w:t>300F</w:t>
      </w:r>
      <w:r w:rsidR="0049638A">
        <w:rPr>
          <w:rFonts w:ascii="ZWAdobeF" w:hAnsi="ZWAdobeF" w:cs="ZWAdobeF"/>
          <w:color w:val="auto"/>
          <w:sz w:val="2"/>
          <w:szCs w:val="2"/>
        </w:rPr>
        <w:t>300F</w:t>
      </w:r>
      <w:r w:rsidR="00317AE4">
        <w:rPr>
          <w:rFonts w:ascii="ZWAdobeF" w:hAnsi="ZWAdobeF" w:cs="ZWAdobeF"/>
          <w:color w:val="auto"/>
          <w:sz w:val="2"/>
          <w:szCs w:val="2"/>
        </w:rPr>
        <w:t>300F</w:t>
      </w:r>
      <w:r w:rsidR="006E03D8">
        <w:rPr>
          <w:rStyle w:val="FootnoteReference"/>
        </w:rPr>
        <w:footnoteReference w:id="302"/>
      </w:r>
      <w:r w:rsidR="006E03D8">
        <w:t xml:space="preserve"> </w:t>
      </w:r>
    </w:p>
    <w:p w14:paraId="113C5276" w14:textId="6C0C3310" w:rsidR="006E03D8" w:rsidRDefault="00BD5C95" w:rsidP="009B37CB">
      <w:pPr>
        <w:pStyle w:val="BodyText"/>
      </w:pPr>
      <w:r>
        <w:rPr>
          <w:rFonts w:ascii="ZWAdobeF" w:hAnsi="ZWAdobeF" w:cs="ZWAdobeF"/>
          <w:color w:val="auto"/>
          <w:sz w:val="2"/>
          <w:szCs w:val="2"/>
        </w:rPr>
        <w:t>186B</w:t>
      </w:r>
      <w:r w:rsidR="0049638A">
        <w:rPr>
          <w:rFonts w:ascii="ZWAdobeF" w:hAnsi="ZWAdobeF" w:cs="ZWAdobeF"/>
          <w:color w:val="auto"/>
          <w:sz w:val="2"/>
          <w:szCs w:val="2"/>
        </w:rPr>
        <w:t>186B</w:t>
      </w:r>
      <w:r w:rsidR="00D629FA">
        <w:rPr>
          <w:rFonts w:ascii="ZWAdobeF" w:hAnsi="ZWAdobeF" w:cs="ZWAdobeF"/>
          <w:color w:val="auto"/>
          <w:sz w:val="2"/>
          <w:szCs w:val="2"/>
        </w:rPr>
        <w:t>186B</w:t>
      </w:r>
      <w:r w:rsidR="006E03D8">
        <w:t>The High Court of Australia has held there is no rule or presumption that the class action commenced first in time should prevail.</w:t>
      </w:r>
      <w:r w:rsidR="00D629FA">
        <w:rPr>
          <w:rFonts w:ascii="ZWAdobeF" w:hAnsi="ZWAdobeF" w:cs="ZWAdobeF"/>
          <w:color w:val="auto"/>
          <w:sz w:val="2"/>
          <w:szCs w:val="2"/>
        </w:rPr>
        <w:t>301F</w:t>
      </w:r>
      <w:r w:rsidR="0049638A">
        <w:rPr>
          <w:rFonts w:ascii="ZWAdobeF" w:hAnsi="ZWAdobeF" w:cs="ZWAdobeF"/>
          <w:color w:val="auto"/>
          <w:sz w:val="2"/>
          <w:szCs w:val="2"/>
        </w:rPr>
        <w:t>301F</w:t>
      </w:r>
      <w:r w:rsidR="00317AE4">
        <w:rPr>
          <w:rFonts w:ascii="ZWAdobeF" w:hAnsi="ZWAdobeF" w:cs="ZWAdobeF"/>
          <w:color w:val="auto"/>
          <w:sz w:val="2"/>
          <w:szCs w:val="2"/>
        </w:rPr>
        <w:t>301F</w:t>
      </w:r>
      <w:r w:rsidR="006E03D8">
        <w:rPr>
          <w:rStyle w:val="FootnoteReference"/>
        </w:rPr>
        <w:footnoteReference w:id="303"/>
      </w:r>
      <w:r w:rsidR="006E03D8">
        <w:t xml:space="preserve"> The Court said that the order of filing would be a relevant consideration, although less relevant where the competing cases were </w:t>
      </w:r>
      <w:r w:rsidR="006E03D8">
        <w:lastRenderedPageBreak/>
        <w:t>commenced within a short time of each other.</w:t>
      </w:r>
      <w:r w:rsidR="00D629FA">
        <w:rPr>
          <w:rFonts w:ascii="ZWAdobeF" w:hAnsi="ZWAdobeF" w:cs="ZWAdobeF"/>
          <w:color w:val="auto"/>
          <w:sz w:val="2"/>
          <w:szCs w:val="2"/>
        </w:rPr>
        <w:t>302F</w:t>
      </w:r>
      <w:r w:rsidR="0049638A">
        <w:rPr>
          <w:rFonts w:ascii="ZWAdobeF" w:hAnsi="ZWAdobeF" w:cs="ZWAdobeF"/>
          <w:color w:val="auto"/>
          <w:sz w:val="2"/>
          <w:szCs w:val="2"/>
        </w:rPr>
        <w:t>302F</w:t>
      </w:r>
      <w:r w:rsidR="00317AE4">
        <w:rPr>
          <w:rFonts w:ascii="ZWAdobeF" w:hAnsi="ZWAdobeF" w:cs="ZWAdobeF"/>
          <w:color w:val="auto"/>
          <w:sz w:val="2"/>
          <w:szCs w:val="2"/>
        </w:rPr>
        <w:t>302F</w:t>
      </w:r>
      <w:r w:rsidR="006E03D8">
        <w:rPr>
          <w:rStyle w:val="FootnoteReference"/>
        </w:rPr>
        <w:footnoteReference w:id="304"/>
      </w:r>
      <w:r w:rsidR="006E03D8">
        <w:t xml:space="preserve"> Whether parties have been prompt in pursuing the proceeding may be relevant, including with respect to interlocutory matters.</w:t>
      </w:r>
      <w:r w:rsidR="00D629FA">
        <w:rPr>
          <w:rFonts w:ascii="ZWAdobeF" w:hAnsi="ZWAdobeF" w:cs="ZWAdobeF"/>
          <w:color w:val="auto"/>
          <w:sz w:val="2"/>
          <w:szCs w:val="2"/>
        </w:rPr>
        <w:t>303F</w:t>
      </w:r>
      <w:r w:rsidR="0049638A">
        <w:rPr>
          <w:rFonts w:ascii="ZWAdobeF" w:hAnsi="ZWAdobeF" w:cs="ZWAdobeF"/>
          <w:color w:val="auto"/>
          <w:sz w:val="2"/>
          <w:szCs w:val="2"/>
        </w:rPr>
        <w:t>303F</w:t>
      </w:r>
      <w:r w:rsidR="00317AE4">
        <w:rPr>
          <w:rFonts w:ascii="ZWAdobeF" w:hAnsi="ZWAdobeF" w:cs="ZWAdobeF"/>
          <w:color w:val="auto"/>
          <w:sz w:val="2"/>
          <w:szCs w:val="2"/>
        </w:rPr>
        <w:t>303F</w:t>
      </w:r>
      <w:r w:rsidR="006E03D8">
        <w:rPr>
          <w:rStyle w:val="FootnoteReference"/>
        </w:rPr>
        <w:footnoteReference w:id="305"/>
      </w:r>
      <w:r w:rsidR="006E03D8">
        <w:t xml:space="preserve">  </w:t>
      </w:r>
    </w:p>
    <w:p w14:paraId="52342380" w14:textId="57C0BBDE" w:rsidR="006E03D8" w:rsidRDefault="00BD5C95" w:rsidP="009B37CB">
      <w:pPr>
        <w:pStyle w:val="BodyText"/>
      </w:pPr>
      <w:r>
        <w:rPr>
          <w:rFonts w:ascii="ZWAdobeF" w:hAnsi="ZWAdobeF" w:cs="ZWAdobeF"/>
          <w:color w:val="auto"/>
          <w:sz w:val="2"/>
          <w:szCs w:val="2"/>
        </w:rPr>
        <w:t>187B</w:t>
      </w:r>
      <w:r w:rsidR="0049638A">
        <w:rPr>
          <w:rFonts w:ascii="ZWAdobeF" w:hAnsi="ZWAdobeF" w:cs="ZWAdobeF"/>
          <w:color w:val="auto"/>
          <w:sz w:val="2"/>
          <w:szCs w:val="2"/>
        </w:rPr>
        <w:t>187B</w:t>
      </w:r>
      <w:r w:rsidR="00D629FA">
        <w:rPr>
          <w:rFonts w:ascii="ZWAdobeF" w:hAnsi="ZWAdobeF" w:cs="ZWAdobeF"/>
          <w:color w:val="auto"/>
          <w:sz w:val="2"/>
          <w:szCs w:val="2"/>
        </w:rPr>
        <w:t>187B</w:t>
      </w:r>
      <w:r w:rsidR="006066B3">
        <w:t xml:space="preserve">We do not think </w:t>
      </w:r>
      <w:r w:rsidR="006E03D8">
        <w:t xml:space="preserve">there should not be a </w:t>
      </w:r>
      <w:r w:rsidR="003928C4">
        <w:t>‘</w:t>
      </w:r>
      <w:r w:rsidR="006E03D8">
        <w:t>first to file</w:t>
      </w:r>
      <w:r w:rsidR="003928C4">
        <w:t>’</w:t>
      </w:r>
      <w:r w:rsidR="006E03D8">
        <w:t xml:space="preserve"> rule or presumption as this may encourage hastily drafted claims, which are unlikely to be in the best interests of class members</w:t>
      </w:r>
      <w:r w:rsidR="006066B3">
        <w:t xml:space="preserve"> or defendants</w:t>
      </w:r>
      <w:r w:rsidR="006E03D8">
        <w:t xml:space="preserve">. The date of filing may be relevant, although less so if there is a set timeframe for bringing a competing class action.   </w:t>
      </w:r>
    </w:p>
    <w:p w14:paraId="3542CCE7" w14:textId="0CE1B226" w:rsidR="006E03D8" w:rsidRDefault="006E03D8" w:rsidP="006E03D8">
      <w:pPr>
        <w:pStyle w:val="Heading4"/>
      </w:pPr>
      <w:r>
        <w:t>Prospects of success</w:t>
      </w:r>
    </w:p>
    <w:p w14:paraId="5EBB86DE" w14:textId="1BEAD0E0" w:rsidR="006E03D8" w:rsidRDefault="00BD5C95" w:rsidP="009B37CB">
      <w:pPr>
        <w:pStyle w:val="BodyText"/>
      </w:pPr>
      <w:r>
        <w:rPr>
          <w:rFonts w:ascii="ZWAdobeF" w:hAnsi="ZWAdobeF" w:cs="ZWAdobeF"/>
          <w:color w:val="auto"/>
          <w:sz w:val="2"/>
          <w:szCs w:val="2"/>
        </w:rPr>
        <w:t>188B</w:t>
      </w:r>
      <w:r w:rsidR="0049638A">
        <w:rPr>
          <w:rFonts w:ascii="ZWAdobeF" w:hAnsi="ZWAdobeF" w:cs="ZWAdobeF"/>
          <w:color w:val="auto"/>
          <w:sz w:val="2"/>
          <w:szCs w:val="2"/>
        </w:rPr>
        <w:t>188B</w:t>
      </w:r>
      <w:r w:rsidR="00D629FA">
        <w:rPr>
          <w:rFonts w:ascii="ZWAdobeF" w:hAnsi="ZWAdobeF" w:cs="ZWAdobeF"/>
          <w:color w:val="auto"/>
          <w:sz w:val="2"/>
          <w:szCs w:val="2"/>
        </w:rPr>
        <w:t>188B</w:t>
      </w:r>
      <w:r w:rsidR="006E03D8">
        <w:t>In some jurisdictions, the prospect of success of each class action is relevant. In Ontario, for example, courts must consider “the relative likelihood of success in each proceeding, both on the motion for certification and as a class proceeding</w:t>
      </w:r>
      <w:r w:rsidR="000A6BBD">
        <w:t>”.</w:t>
      </w:r>
      <w:r w:rsidR="00D629FA">
        <w:rPr>
          <w:rFonts w:ascii="ZWAdobeF" w:hAnsi="ZWAdobeF" w:cs="ZWAdobeF"/>
          <w:color w:val="auto"/>
          <w:sz w:val="2"/>
          <w:szCs w:val="2"/>
        </w:rPr>
        <w:t>304F</w:t>
      </w:r>
      <w:r w:rsidR="0049638A">
        <w:rPr>
          <w:rFonts w:ascii="ZWAdobeF" w:hAnsi="ZWAdobeF" w:cs="ZWAdobeF"/>
          <w:color w:val="auto"/>
          <w:sz w:val="2"/>
          <w:szCs w:val="2"/>
        </w:rPr>
        <w:t>304F</w:t>
      </w:r>
      <w:r w:rsidR="00317AE4">
        <w:rPr>
          <w:rFonts w:ascii="ZWAdobeF" w:hAnsi="ZWAdobeF" w:cs="ZWAdobeF"/>
          <w:color w:val="auto"/>
          <w:sz w:val="2"/>
          <w:szCs w:val="2"/>
        </w:rPr>
        <w:t>304F</w:t>
      </w:r>
      <w:r w:rsidR="006E03D8">
        <w:rPr>
          <w:rStyle w:val="FootnoteReference"/>
        </w:rPr>
        <w:footnoteReference w:id="306"/>
      </w:r>
      <w:r w:rsidR="006E03D8">
        <w:t xml:space="preserve"> The respective merits of the cases may be a relevant factor in Australia.</w:t>
      </w:r>
      <w:r w:rsidR="00D629FA">
        <w:rPr>
          <w:rFonts w:ascii="ZWAdobeF" w:hAnsi="ZWAdobeF" w:cs="ZWAdobeF"/>
          <w:color w:val="auto"/>
          <w:sz w:val="2"/>
          <w:szCs w:val="2"/>
        </w:rPr>
        <w:t>305F</w:t>
      </w:r>
      <w:r w:rsidR="0049638A">
        <w:rPr>
          <w:rFonts w:ascii="ZWAdobeF" w:hAnsi="ZWAdobeF" w:cs="ZWAdobeF"/>
          <w:color w:val="auto"/>
          <w:sz w:val="2"/>
          <w:szCs w:val="2"/>
        </w:rPr>
        <w:t>305F</w:t>
      </w:r>
      <w:r w:rsidR="00317AE4">
        <w:rPr>
          <w:rFonts w:ascii="ZWAdobeF" w:hAnsi="ZWAdobeF" w:cs="ZWAdobeF"/>
          <w:color w:val="auto"/>
          <w:sz w:val="2"/>
          <w:szCs w:val="2"/>
        </w:rPr>
        <w:t>305F</w:t>
      </w:r>
      <w:r w:rsidR="006E03D8">
        <w:rPr>
          <w:rStyle w:val="FootnoteReference"/>
        </w:rPr>
        <w:footnoteReference w:id="307"/>
      </w:r>
    </w:p>
    <w:p w14:paraId="5B31E164" w14:textId="1B4D9D8C" w:rsidR="006E03D8" w:rsidRDefault="00BD5C95" w:rsidP="009B37CB">
      <w:pPr>
        <w:pStyle w:val="BodyText"/>
      </w:pPr>
      <w:r>
        <w:rPr>
          <w:rFonts w:ascii="ZWAdobeF" w:hAnsi="ZWAdobeF" w:cs="ZWAdobeF"/>
          <w:color w:val="auto"/>
          <w:sz w:val="2"/>
          <w:szCs w:val="2"/>
        </w:rPr>
        <w:t>189B</w:t>
      </w:r>
      <w:r w:rsidR="0049638A">
        <w:rPr>
          <w:rFonts w:ascii="ZWAdobeF" w:hAnsi="ZWAdobeF" w:cs="ZWAdobeF"/>
          <w:color w:val="auto"/>
          <w:sz w:val="2"/>
          <w:szCs w:val="2"/>
        </w:rPr>
        <w:t>189B</w:t>
      </w:r>
      <w:r w:rsidR="00D629FA">
        <w:rPr>
          <w:rFonts w:ascii="ZWAdobeF" w:hAnsi="ZWAdobeF" w:cs="ZWAdobeF"/>
          <w:color w:val="auto"/>
          <w:sz w:val="2"/>
          <w:szCs w:val="2"/>
        </w:rPr>
        <w:t>189B</w:t>
      </w:r>
      <w:r w:rsidR="006E03D8">
        <w:t xml:space="preserve">In our view, there is a risk of this factor turning into a burdensome preliminary merits test at an early stage, with each party filing evidence to establish the strength of its claims. As we have discussed in Chapter 1, we do not think there should be a preliminary merits test at an early stage and a class action should only have to disclose a reasonably arguable cause of action. We therefore do not think the prospects of success in the substantive proceeding should be relevant. </w:t>
      </w:r>
    </w:p>
    <w:p w14:paraId="23A0A501" w14:textId="476225B6" w:rsidR="006E03D8" w:rsidRDefault="00BD5C95" w:rsidP="009B37CB">
      <w:pPr>
        <w:pStyle w:val="BodyText"/>
      </w:pPr>
      <w:r>
        <w:rPr>
          <w:rFonts w:ascii="ZWAdobeF" w:hAnsi="ZWAdobeF" w:cs="ZWAdobeF"/>
          <w:color w:val="auto"/>
          <w:sz w:val="2"/>
          <w:szCs w:val="2"/>
        </w:rPr>
        <w:t>190B</w:t>
      </w:r>
      <w:r w:rsidR="0049638A">
        <w:rPr>
          <w:rFonts w:ascii="ZWAdobeF" w:hAnsi="ZWAdobeF" w:cs="ZWAdobeF"/>
          <w:color w:val="auto"/>
          <w:sz w:val="2"/>
          <w:szCs w:val="2"/>
        </w:rPr>
        <w:t>190B</w:t>
      </w:r>
      <w:r w:rsidR="00D629FA">
        <w:rPr>
          <w:rFonts w:ascii="ZWAdobeF" w:hAnsi="ZWAdobeF" w:cs="ZWAdobeF"/>
          <w:color w:val="auto"/>
          <w:sz w:val="2"/>
          <w:szCs w:val="2"/>
        </w:rPr>
        <w:t>190B</w:t>
      </w:r>
      <w:r w:rsidR="006E03D8">
        <w:t xml:space="preserve">We </w:t>
      </w:r>
      <w:r w:rsidR="00BE347D">
        <w:t xml:space="preserve">suggest </w:t>
      </w:r>
      <w:r w:rsidR="006E03D8">
        <w:t xml:space="preserve">the court would first consider whether each class action meets the certification criteria. If only one case meets the certification criteria, then the issue of competing class actions would not need to be considered. </w:t>
      </w:r>
    </w:p>
    <w:p w14:paraId="46B45B3B" w14:textId="7F75E29A" w:rsidR="00291DD8" w:rsidRDefault="00794A7E" w:rsidP="00794A7E">
      <w:pPr>
        <w:pStyle w:val="QuestionBox"/>
        <w:ind w:left="0"/>
      </w:pPr>
      <w:r>
        <w:rPr>
          <w:noProof/>
        </w:rPr>
        <mc:AlternateContent>
          <mc:Choice Requires="wpg">
            <w:drawing>
              <wp:anchor distT="0" distB="0" distL="114300" distR="114300" simplePos="0" relativeHeight="251651125" behindDoc="1" locked="0" layoutInCell="1" allowOverlap="1" wp14:anchorId="3B14379E" wp14:editId="1351D964">
                <wp:simplePos x="0" y="0"/>
                <wp:positionH relativeFrom="column">
                  <wp:posOffset>-3810</wp:posOffset>
                </wp:positionH>
                <wp:positionV relativeFrom="paragraph">
                  <wp:posOffset>2564</wp:posOffset>
                </wp:positionV>
                <wp:extent cx="5760085" cy="2409825"/>
                <wp:effectExtent l="0" t="0" r="0" b="9525"/>
                <wp:wrapNone/>
                <wp:docPr id="161" name="Group 161"/>
                <wp:cNvGraphicFramePr/>
                <a:graphic xmlns:a="http://schemas.openxmlformats.org/drawingml/2006/main">
                  <a:graphicData uri="http://schemas.microsoft.com/office/word/2010/wordprocessingGroup">
                    <wpg:wgp>
                      <wpg:cNvGrpSpPr/>
                      <wpg:grpSpPr>
                        <a:xfrm>
                          <a:off x="0" y="0"/>
                          <a:ext cx="5760085" cy="2409825"/>
                          <a:chOff x="0" y="62865"/>
                          <a:chExt cx="5760085" cy="2410094"/>
                        </a:xfrm>
                      </wpg:grpSpPr>
                      <wps:wsp>
                        <wps:cNvPr id="16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5D846B" w14:textId="77777777" w:rsidR="00A55F53" w:rsidRDefault="00A55F53" w:rsidP="00291DD8">
                              <w:pPr>
                                <w:pStyle w:val="BoxTitle"/>
                                <w:spacing w:before="0" w:beforeAutospacing="0"/>
                              </w:pPr>
                              <w:r w:rsidRPr="007F6876">
                                <w:t>QUESTION</w:t>
                              </w:r>
                            </w:p>
                          </w:txbxContent>
                        </wps:txbx>
                        <wps:bodyPr rot="0" vert="horz" wrap="square" lIns="91440" tIns="0" rIns="0" bIns="45720" anchor="ctr" anchorCtr="0" upright="1">
                          <a:noAutofit/>
                        </wps:bodyPr>
                      </wps:wsp>
                      <wpg:grpSp>
                        <wpg:cNvPr id="163" name="Group 53"/>
                        <wpg:cNvGrpSpPr>
                          <a:grpSpLocks/>
                        </wpg:cNvGrpSpPr>
                        <wpg:grpSpPr bwMode="auto">
                          <a:xfrm>
                            <a:off x="0" y="316170"/>
                            <a:ext cx="5760085" cy="2156789"/>
                            <a:chOff x="1837" y="1791"/>
                            <a:chExt cx="9302" cy="23297"/>
                          </a:xfrm>
                        </wpg:grpSpPr>
                        <wps:wsp>
                          <wps:cNvPr id="164" name="Freeform 54"/>
                          <wps:cNvSpPr>
                            <a:spLocks/>
                          </wps:cNvSpPr>
                          <wps:spPr bwMode="auto">
                            <a:xfrm>
                              <a:off x="1837" y="1791"/>
                              <a:ext cx="9302" cy="2329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67"/>
                        <wpg:cNvGrpSpPr/>
                        <wpg:grpSpPr>
                          <a:xfrm>
                            <a:off x="0" y="494036"/>
                            <a:ext cx="1443794" cy="252000"/>
                            <a:chOff x="-15880" y="0"/>
                            <a:chExt cx="1444379" cy="252068"/>
                          </a:xfrm>
                        </wpg:grpSpPr>
                        <wps:wsp>
                          <wps:cNvPr id="16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ADD98F" w14:textId="796DC7D6" w:rsidR="00A55F53" w:rsidRPr="00E700FF" w:rsidRDefault="00A55F53" w:rsidP="00291DD8">
                                <w:pPr>
                                  <w:pStyle w:val="BoxTitle"/>
                                  <w:spacing w:before="0" w:beforeAutospacing="0"/>
                                </w:pPr>
                                <w:r w:rsidRPr="001C1B37">
                                  <w:t>Q</w:t>
                                </w:r>
                                <w:r>
                                  <w:t>12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B14379E" id="Group 161" o:spid="_x0000_s1278" style="position:absolute;left:0;text-align:left;margin-left:-.3pt;margin-top:.2pt;width:453.55pt;height:189.75pt;z-index:-251665355;mso-height-relative:margin" coordorigin=",628" coordsize="57600,2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">
                <v:shape id="_x0000_s127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55D846B" w14:textId="77777777" w:rsidR="00A55F53" w:rsidRDefault="00A55F53" w:rsidP="00291DD8">
                        <w:pPr>
                          <w:pStyle w:val="BoxTitle"/>
                          <w:spacing w:before="0" w:beforeAutospacing="0"/>
                        </w:pPr>
                        <w:r w:rsidRPr="007F6876">
                          <w:t>QUESTION</w:t>
                        </w:r>
                      </w:p>
                    </w:txbxContent>
                  </v:textbox>
                </v:shape>
                <v:group id="Group 53" o:spid="_x0000_s1280" style="position:absolute;top:3161;width:57600;height:21568" coordorigin="1837,1791" coordsize="9302,2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54" o:spid="_x0000_s1281" style="position:absolute;left:1837;top:1791;width:9302;height:2329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" path="m,l9354,r,7809l,7809,,e" fillcolor="#edf2ea" stroked="f">
                    <v:path arrowok="t" o:connecttype="custom" o:connectlocs="0,2983;9302,2983;9302,26280;0,26280;0,2983" o:connectangles="0,0,0,0,0"/>
                  </v:shape>
                </v:group>
                <v:group id="Group 167" o:spid="_x0000_s128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58" o:spid="_x0000_s1283"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" path="m,l1815,e" filled="f" strokecolor="#72ab6a" strokeweight=".5pt">
                    <v:path arrowok="t" o:connecttype="custom" o:connectlocs="0,0;1073495,0" o:connectangles="0,0"/>
                  </v:shape>
                  <v:shape id="Freeform 66" o:spid="_x0000_s128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FADD98F" w14:textId="796DC7D6" w:rsidR="00A55F53" w:rsidRPr="00E700FF" w:rsidRDefault="00A55F53" w:rsidP="00291DD8">
                          <w:pPr>
                            <w:pStyle w:val="BoxTitle"/>
                            <w:spacing w:before="0" w:beforeAutospacing="0"/>
                          </w:pPr>
                          <w:r w:rsidRPr="001C1B37">
                            <w:t>Q</w:t>
                          </w:r>
                          <w:r>
                            <w:t>12</w:t>
                          </w:r>
                        </w:p>
                      </w:txbxContent>
                    </v:textbox>
                  </v:shape>
                </v:group>
              </v:group>
            </w:pict>
          </mc:Fallback>
        </mc:AlternateContent>
      </w:r>
    </w:p>
    <w:p w14:paraId="3B9E5CDE" w14:textId="77777777" w:rsidR="00291DD8" w:rsidRDefault="00291DD8" w:rsidP="005E4732">
      <w:pPr>
        <w:pStyle w:val="QuestionBox"/>
      </w:pPr>
    </w:p>
    <w:p w14:paraId="051A4A9E" w14:textId="7557E110" w:rsidR="006E03D8" w:rsidRDefault="00BD5C95" w:rsidP="005E4732">
      <w:pPr>
        <w:pStyle w:val="QuestionBox"/>
      </w:pPr>
      <w:r>
        <w:rPr>
          <w:rFonts w:ascii="ZWAdobeF" w:hAnsi="ZWAdobeF" w:cs="ZWAdobeF"/>
          <w:color w:val="auto"/>
          <w:sz w:val="2"/>
          <w:szCs w:val="2"/>
        </w:rPr>
        <w:t>1400B</w:t>
      </w:r>
      <w:r w:rsidR="0049638A">
        <w:rPr>
          <w:rFonts w:ascii="ZWAdobeF" w:hAnsi="ZWAdobeF" w:cs="ZWAdobeF"/>
          <w:color w:val="auto"/>
          <w:sz w:val="2"/>
          <w:szCs w:val="2"/>
        </w:rPr>
        <w:t>1400B</w:t>
      </w:r>
      <w:r w:rsidR="00D629FA">
        <w:rPr>
          <w:rFonts w:ascii="ZWAdobeF" w:hAnsi="ZWAdobeF" w:cs="ZWAdobeF"/>
          <w:color w:val="auto"/>
          <w:sz w:val="2"/>
          <w:szCs w:val="2"/>
        </w:rPr>
        <w:t>1400B</w:t>
      </w:r>
      <w:r w:rsidR="006E03D8">
        <w:t>What factors should be relevant to the court’s consideration of which approach would best allow class member claims to be resolved in a just and efficient way? For example, should the court consider:</w:t>
      </w:r>
    </w:p>
    <w:p w14:paraId="5CAD43B2" w14:textId="41C673DE" w:rsidR="006E03D8" w:rsidRDefault="00BD5C95" w:rsidP="003E2524">
      <w:pPr>
        <w:pStyle w:val="Questionabc"/>
        <w:numPr>
          <w:ilvl w:val="0"/>
          <w:numId w:val="37"/>
        </w:numPr>
      </w:pPr>
      <w:r>
        <w:rPr>
          <w:rFonts w:ascii="ZWAdobeF" w:hAnsi="ZWAdobeF" w:cs="ZWAdobeF"/>
          <w:color w:val="auto"/>
          <w:sz w:val="2"/>
          <w:szCs w:val="2"/>
        </w:rPr>
        <w:t>1292B</w:t>
      </w:r>
      <w:r w:rsidR="0049638A">
        <w:rPr>
          <w:rFonts w:ascii="ZWAdobeF" w:hAnsi="ZWAdobeF" w:cs="ZWAdobeF"/>
          <w:color w:val="auto"/>
          <w:sz w:val="2"/>
          <w:szCs w:val="2"/>
        </w:rPr>
        <w:t>1292B</w:t>
      </w:r>
      <w:r w:rsidR="00D629FA">
        <w:rPr>
          <w:rFonts w:ascii="ZWAdobeF" w:hAnsi="ZWAdobeF" w:cs="ZWAdobeF"/>
          <w:color w:val="auto"/>
          <w:sz w:val="2"/>
          <w:szCs w:val="2"/>
        </w:rPr>
        <w:t>1292B</w:t>
      </w:r>
      <w:r w:rsidR="006E03D8">
        <w:t xml:space="preserve">How each case is formulated? </w:t>
      </w:r>
    </w:p>
    <w:p w14:paraId="7E0AFB9F" w14:textId="4CF08260" w:rsidR="006E03D8" w:rsidRDefault="00BD5C95" w:rsidP="003E2524">
      <w:pPr>
        <w:pStyle w:val="Questionabc"/>
        <w:numPr>
          <w:ilvl w:val="0"/>
          <w:numId w:val="37"/>
        </w:numPr>
      </w:pPr>
      <w:r>
        <w:rPr>
          <w:rFonts w:ascii="ZWAdobeF" w:hAnsi="ZWAdobeF" w:cs="ZWAdobeF"/>
          <w:color w:val="auto"/>
          <w:sz w:val="2"/>
          <w:szCs w:val="2"/>
        </w:rPr>
        <w:t>1293B</w:t>
      </w:r>
      <w:r w:rsidR="0049638A">
        <w:rPr>
          <w:rFonts w:ascii="ZWAdobeF" w:hAnsi="ZWAdobeF" w:cs="ZWAdobeF"/>
          <w:color w:val="auto"/>
          <w:sz w:val="2"/>
          <w:szCs w:val="2"/>
        </w:rPr>
        <w:t>1293B</w:t>
      </w:r>
      <w:r w:rsidR="00D629FA">
        <w:rPr>
          <w:rFonts w:ascii="ZWAdobeF" w:hAnsi="ZWAdobeF" w:cs="ZWAdobeF"/>
          <w:color w:val="auto"/>
          <w:sz w:val="2"/>
          <w:szCs w:val="2"/>
        </w:rPr>
        <w:t>1293B</w:t>
      </w:r>
      <w:r w:rsidR="006E03D8">
        <w:t>The preferences of potential class members?</w:t>
      </w:r>
    </w:p>
    <w:p w14:paraId="0663FB8D" w14:textId="13696265" w:rsidR="006E03D8" w:rsidRDefault="00BD5C95" w:rsidP="003E2524">
      <w:pPr>
        <w:pStyle w:val="Questionabc"/>
        <w:numPr>
          <w:ilvl w:val="0"/>
          <w:numId w:val="37"/>
        </w:numPr>
      </w:pPr>
      <w:r>
        <w:rPr>
          <w:rFonts w:ascii="ZWAdobeF" w:hAnsi="ZWAdobeF" w:cs="ZWAdobeF"/>
          <w:color w:val="auto"/>
          <w:sz w:val="2"/>
          <w:szCs w:val="2"/>
        </w:rPr>
        <w:t>1294B</w:t>
      </w:r>
      <w:r w:rsidR="0049638A">
        <w:rPr>
          <w:rFonts w:ascii="ZWAdobeF" w:hAnsi="ZWAdobeF" w:cs="ZWAdobeF"/>
          <w:color w:val="auto"/>
          <w:sz w:val="2"/>
          <w:szCs w:val="2"/>
        </w:rPr>
        <w:t>1294B</w:t>
      </w:r>
      <w:r w:rsidR="00D629FA">
        <w:rPr>
          <w:rFonts w:ascii="ZWAdobeF" w:hAnsi="ZWAdobeF" w:cs="ZWAdobeF"/>
          <w:color w:val="auto"/>
          <w:sz w:val="2"/>
          <w:szCs w:val="2"/>
        </w:rPr>
        <w:t>1294B</w:t>
      </w:r>
      <w:r w:rsidR="006E03D8">
        <w:t>Litigation funding arrangements?</w:t>
      </w:r>
    </w:p>
    <w:p w14:paraId="44B5FC35" w14:textId="2708B08A" w:rsidR="006E03D8" w:rsidRDefault="00BD5C95" w:rsidP="003E2524">
      <w:pPr>
        <w:pStyle w:val="Questionabc"/>
        <w:numPr>
          <w:ilvl w:val="0"/>
          <w:numId w:val="37"/>
        </w:numPr>
      </w:pPr>
      <w:r>
        <w:rPr>
          <w:rFonts w:ascii="ZWAdobeF" w:hAnsi="ZWAdobeF" w:cs="ZWAdobeF"/>
          <w:color w:val="auto"/>
          <w:sz w:val="2"/>
          <w:szCs w:val="2"/>
        </w:rPr>
        <w:t>1295B</w:t>
      </w:r>
      <w:r w:rsidR="0049638A">
        <w:rPr>
          <w:rFonts w:ascii="ZWAdobeF" w:hAnsi="ZWAdobeF" w:cs="ZWAdobeF"/>
          <w:color w:val="auto"/>
          <w:sz w:val="2"/>
          <w:szCs w:val="2"/>
        </w:rPr>
        <w:t>1295B</w:t>
      </w:r>
      <w:r w:rsidR="00D629FA">
        <w:rPr>
          <w:rFonts w:ascii="ZWAdobeF" w:hAnsi="ZWAdobeF" w:cs="ZWAdobeF"/>
          <w:color w:val="auto"/>
          <w:sz w:val="2"/>
          <w:szCs w:val="2"/>
        </w:rPr>
        <w:t>1295B</w:t>
      </w:r>
      <w:r w:rsidR="006E03D8">
        <w:t>Legal representation?</w:t>
      </w:r>
    </w:p>
    <w:p w14:paraId="4911CCB8" w14:textId="131A67E9" w:rsidR="003D0F76" w:rsidRDefault="003D0F76" w:rsidP="005E4732">
      <w:pPr>
        <w:pStyle w:val="QuestionBox"/>
      </w:pPr>
    </w:p>
    <w:p w14:paraId="04F755A2" w14:textId="77777777" w:rsidR="00DE7563" w:rsidRDefault="00DE7563">
      <w:pPr>
        <w:widowControl w:val="0"/>
        <w:spacing w:after="200" w:line="276" w:lineRule="auto"/>
        <w:rPr>
          <w:rFonts w:ascii="Metropolis" w:hAnsi="Metropolis"/>
          <w:b/>
          <w:caps/>
          <w:color w:val="73AB6E"/>
          <w:sz w:val="22"/>
        </w:rPr>
      </w:pPr>
      <w:r>
        <w:br w:type="page"/>
      </w:r>
    </w:p>
    <w:p w14:paraId="57843E59" w14:textId="2F91BC73" w:rsidR="006E03D8" w:rsidRDefault="006E03D8" w:rsidP="006E03D8">
      <w:pPr>
        <w:pStyle w:val="Heading2"/>
      </w:pPr>
      <w:bookmarkStart w:id="60" w:name="_Toc83895444"/>
      <w:r>
        <w:lastRenderedPageBreak/>
        <w:t>Involvement of the defendant</w:t>
      </w:r>
      <w:bookmarkEnd w:id="60"/>
      <w:r>
        <w:t xml:space="preserve"> </w:t>
      </w:r>
    </w:p>
    <w:p w14:paraId="0758D1D3" w14:textId="5403B2B2" w:rsidR="006E03D8" w:rsidRDefault="00BD5C95" w:rsidP="009B37CB">
      <w:pPr>
        <w:pStyle w:val="BodyText"/>
      </w:pPr>
      <w:r>
        <w:rPr>
          <w:rFonts w:ascii="ZWAdobeF" w:hAnsi="ZWAdobeF" w:cs="ZWAdobeF"/>
          <w:color w:val="auto"/>
          <w:sz w:val="2"/>
          <w:szCs w:val="2"/>
        </w:rPr>
        <w:t>191B</w:t>
      </w:r>
      <w:r w:rsidR="0049638A">
        <w:rPr>
          <w:rFonts w:ascii="ZWAdobeF" w:hAnsi="ZWAdobeF" w:cs="ZWAdobeF"/>
          <w:color w:val="auto"/>
          <w:sz w:val="2"/>
          <w:szCs w:val="2"/>
        </w:rPr>
        <w:t>191B</w:t>
      </w:r>
      <w:r w:rsidR="00D629FA">
        <w:rPr>
          <w:rFonts w:ascii="ZWAdobeF" w:hAnsi="ZWAdobeF" w:cs="ZWAdobeF"/>
          <w:color w:val="auto"/>
          <w:sz w:val="2"/>
          <w:szCs w:val="2"/>
        </w:rPr>
        <w:t>191B</w:t>
      </w:r>
      <w:r w:rsidR="006E03D8">
        <w:t>A hearing on competing class actions may include discussion of case strategy or funding arrangements that plaintiffs do not want disclosed to defendants. The ALRC recommended that a defendant should not be involved in any hearing to determine which competing class action should proceed, other than on the issue of security for costs.</w:t>
      </w:r>
      <w:r w:rsidR="00D629FA">
        <w:rPr>
          <w:rFonts w:ascii="ZWAdobeF" w:hAnsi="ZWAdobeF" w:cs="ZWAdobeF"/>
          <w:color w:val="auto"/>
          <w:sz w:val="2"/>
          <w:szCs w:val="2"/>
        </w:rPr>
        <w:t>306F</w:t>
      </w:r>
      <w:r w:rsidR="0049638A">
        <w:rPr>
          <w:rFonts w:ascii="ZWAdobeF" w:hAnsi="ZWAdobeF" w:cs="ZWAdobeF"/>
          <w:color w:val="auto"/>
          <w:sz w:val="2"/>
          <w:szCs w:val="2"/>
        </w:rPr>
        <w:t>306F</w:t>
      </w:r>
      <w:r w:rsidR="00317AE4">
        <w:rPr>
          <w:rFonts w:ascii="ZWAdobeF" w:hAnsi="ZWAdobeF" w:cs="ZWAdobeF"/>
          <w:color w:val="auto"/>
          <w:sz w:val="2"/>
          <w:szCs w:val="2"/>
        </w:rPr>
        <w:t>306F</w:t>
      </w:r>
      <w:r w:rsidR="006E03D8">
        <w:rPr>
          <w:rStyle w:val="FootnoteReference"/>
        </w:rPr>
        <w:footnoteReference w:id="308"/>
      </w:r>
      <w:r w:rsidR="006E03D8">
        <w:t xml:space="preserve"> This was because information revealed in a selection hearing might provide a defendant with a tactical advantage.</w:t>
      </w:r>
      <w:r w:rsidR="00D629FA">
        <w:rPr>
          <w:rFonts w:ascii="ZWAdobeF" w:hAnsi="ZWAdobeF" w:cs="ZWAdobeF"/>
          <w:color w:val="auto"/>
          <w:sz w:val="2"/>
          <w:szCs w:val="2"/>
        </w:rPr>
        <w:t>307F</w:t>
      </w:r>
      <w:r w:rsidR="0049638A">
        <w:rPr>
          <w:rFonts w:ascii="ZWAdobeF" w:hAnsi="ZWAdobeF" w:cs="ZWAdobeF"/>
          <w:color w:val="auto"/>
          <w:sz w:val="2"/>
          <w:szCs w:val="2"/>
        </w:rPr>
        <w:t>307F</w:t>
      </w:r>
      <w:r w:rsidR="00317AE4">
        <w:rPr>
          <w:rFonts w:ascii="ZWAdobeF" w:hAnsi="ZWAdobeF" w:cs="ZWAdobeF"/>
          <w:color w:val="auto"/>
          <w:sz w:val="2"/>
          <w:szCs w:val="2"/>
        </w:rPr>
        <w:t>307F</w:t>
      </w:r>
      <w:r w:rsidR="006E03D8">
        <w:rPr>
          <w:rStyle w:val="FootnoteReference"/>
        </w:rPr>
        <w:footnoteReference w:id="309"/>
      </w:r>
      <w:r w:rsidR="006E03D8">
        <w:t xml:space="preserve"> </w:t>
      </w:r>
    </w:p>
    <w:p w14:paraId="757637EF" w14:textId="2CEB4902" w:rsidR="006E03D8" w:rsidRDefault="00BD5C95" w:rsidP="009B37CB">
      <w:pPr>
        <w:pStyle w:val="BodyText"/>
      </w:pPr>
      <w:r>
        <w:rPr>
          <w:rFonts w:ascii="ZWAdobeF" w:hAnsi="ZWAdobeF" w:cs="ZWAdobeF"/>
          <w:color w:val="auto"/>
          <w:sz w:val="2"/>
          <w:szCs w:val="2"/>
        </w:rPr>
        <w:t>192B</w:t>
      </w:r>
      <w:r w:rsidR="0049638A">
        <w:rPr>
          <w:rFonts w:ascii="ZWAdobeF" w:hAnsi="ZWAdobeF" w:cs="ZWAdobeF"/>
          <w:color w:val="auto"/>
          <w:sz w:val="2"/>
          <w:szCs w:val="2"/>
        </w:rPr>
        <w:t>192B</w:t>
      </w:r>
      <w:r w:rsidR="00D629FA">
        <w:rPr>
          <w:rFonts w:ascii="ZWAdobeF" w:hAnsi="ZWAdobeF" w:cs="ZWAdobeF"/>
          <w:color w:val="auto"/>
          <w:sz w:val="2"/>
          <w:szCs w:val="2"/>
        </w:rPr>
        <w:t>192B</w:t>
      </w:r>
      <w:r w:rsidR="006E03D8">
        <w:t>The LCO said it did not believe defendants could or should be barred from a hearing to determine carriage of a class action as this would offend the open court principle. It considered that concerns about giving defendants an unfair preview of the plaintiff’s strategy could be managed by redacting documents.</w:t>
      </w:r>
      <w:r w:rsidR="00D629FA">
        <w:rPr>
          <w:rFonts w:ascii="ZWAdobeF" w:hAnsi="ZWAdobeF" w:cs="ZWAdobeF"/>
          <w:color w:val="auto"/>
          <w:sz w:val="2"/>
          <w:szCs w:val="2"/>
        </w:rPr>
        <w:t>308F</w:t>
      </w:r>
      <w:r w:rsidR="0049638A">
        <w:rPr>
          <w:rFonts w:ascii="ZWAdobeF" w:hAnsi="ZWAdobeF" w:cs="ZWAdobeF"/>
          <w:color w:val="auto"/>
          <w:sz w:val="2"/>
          <w:szCs w:val="2"/>
        </w:rPr>
        <w:t>308F</w:t>
      </w:r>
      <w:r w:rsidR="00317AE4">
        <w:rPr>
          <w:rFonts w:ascii="ZWAdobeF" w:hAnsi="ZWAdobeF" w:cs="ZWAdobeF"/>
          <w:color w:val="auto"/>
          <w:sz w:val="2"/>
          <w:szCs w:val="2"/>
        </w:rPr>
        <w:t>308F</w:t>
      </w:r>
      <w:r w:rsidR="006E03D8">
        <w:rPr>
          <w:rStyle w:val="FootnoteReference"/>
        </w:rPr>
        <w:footnoteReference w:id="310"/>
      </w:r>
      <w:r w:rsidR="006E03D8">
        <w:t xml:space="preserve">  </w:t>
      </w:r>
    </w:p>
    <w:p w14:paraId="534CB313" w14:textId="052F8BC1" w:rsidR="006E03D8" w:rsidRDefault="00BD5C95" w:rsidP="009B37CB">
      <w:pPr>
        <w:pStyle w:val="BodyText"/>
      </w:pPr>
      <w:r>
        <w:rPr>
          <w:rFonts w:ascii="ZWAdobeF" w:hAnsi="ZWAdobeF" w:cs="ZWAdobeF"/>
          <w:color w:val="auto"/>
          <w:sz w:val="2"/>
          <w:szCs w:val="2"/>
        </w:rPr>
        <w:t>193B</w:t>
      </w:r>
      <w:r w:rsidR="0049638A">
        <w:rPr>
          <w:rFonts w:ascii="ZWAdobeF" w:hAnsi="ZWAdobeF" w:cs="ZWAdobeF"/>
          <w:color w:val="auto"/>
          <w:sz w:val="2"/>
          <w:szCs w:val="2"/>
        </w:rPr>
        <w:t>193B</w:t>
      </w:r>
      <w:r w:rsidR="00D629FA">
        <w:rPr>
          <w:rFonts w:ascii="ZWAdobeF" w:hAnsi="ZWAdobeF" w:cs="ZWAdobeF"/>
          <w:color w:val="auto"/>
          <w:sz w:val="2"/>
          <w:szCs w:val="2"/>
        </w:rPr>
        <w:t>193B</w:t>
      </w:r>
      <w:r w:rsidR="006E03D8">
        <w:t>We agree with the LCO’s view and consider that courts have the necessary powers to manage any confidentiality issues that arise. Given our view that the court’s power</w:t>
      </w:r>
      <w:r w:rsidR="003E2524">
        <w:t>s</w:t>
      </w:r>
      <w:r w:rsidR="006E03D8">
        <w:t xml:space="preserve"> should not be limited to staying proceedings, a defendant will likely want to submit on how competing class actions should be managed.  </w:t>
      </w:r>
    </w:p>
    <w:p w14:paraId="143C5876" w14:textId="09613372" w:rsidR="003F217A" w:rsidRDefault="00291DD8" w:rsidP="003F217A">
      <w:pPr>
        <w:pStyle w:val="QuestionBox"/>
      </w:pPr>
      <w:r>
        <w:rPr>
          <w:noProof/>
        </w:rPr>
        <mc:AlternateContent>
          <mc:Choice Requires="wpg">
            <w:drawing>
              <wp:anchor distT="0" distB="0" distL="114300" distR="114300" simplePos="0" relativeHeight="251651126" behindDoc="1" locked="0" layoutInCell="1" allowOverlap="1" wp14:anchorId="70FF5030" wp14:editId="460D851B">
                <wp:simplePos x="0" y="0"/>
                <wp:positionH relativeFrom="column">
                  <wp:posOffset>-3810</wp:posOffset>
                </wp:positionH>
                <wp:positionV relativeFrom="paragraph">
                  <wp:posOffset>635</wp:posOffset>
                </wp:positionV>
                <wp:extent cx="5760085" cy="1152490"/>
                <wp:effectExtent l="0" t="0" r="0" b="0"/>
                <wp:wrapNone/>
                <wp:docPr id="181" name="Group 181"/>
                <wp:cNvGraphicFramePr/>
                <a:graphic xmlns:a="http://schemas.openxmlformats.org/drawingml/2006/main">
                  <a:graphicData uri="http://schemas.microsoft.com/office/word/2010/wordprocessingGroup">
                    <wpg:wgp>
                      <wpg:cNvGrpSpPr/>
                      <wpg:grpSpPr>
                        <a:xfrm>
                          <a:off x="0" y="0"/>
                          <a:ext cx="5760085" cy="1152490"/>
                          <a:chOff x="0" y="62865"/>
                          <a:chExt cx="5760085" cy="1152607"/>
                        </a:xfrm>
                      </wpg:grpSpPr>
                      <wps:wsp>
                        <wps:cNvPr id="76451813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DFD3A4" w14:textId="77777777" w:rsidR="00A55F53" w:rsidRDefault="00A55F53" w:rsidP="00291DD8">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133" name="Group 53"/>
                        <wpg:cNvGrpSpPr>
                          <a:grpSpLocks/>
                        </wpg:cNvGrpSpPr>
                        <wpg:grpSpPr bwMode="auto">
                          <a:xfrm>
                            <a:off x="0" y="316170"/>
                            <a:ext cx="5760085" cy="899302"/>
                            <a:chOff x="1837" y="1791"/>
                            <a:chExt cx="9302" cy="9714"/>
                          </a:xfrm>
                        </wpg:grpSpPr>
                        <wps:wsp>
                          <wps:cNvPr id="764518134" name="Freeform 54"/>
                          <wps:cNvSpPr>
                            <a:spLocks/>
                          </wps:cNvSpPr>
                          <wps:spPr bwMode="auto">
                            <a:xfrm>
                              <a:off x="1837" y="1791"/>
                              <a:ext cx="9302" cy="971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135" name="Group 764518135"/>
                        <wpg:cNvGrpSpPr/>
                        <wpg:grpSpPr>
                          <a:xfrm>
                            <a:off x="0" y="494036"/>
                            <a:ext cx="1443794" cy="252000"/>
                            <a:chOff x="-15880" y="0"/>
                            <a:chExt cx="1444379" cy="252068"/>
                          </a:xfrm>
                        </wpg:grpSpPr>
                        <wps:wsp>
                          <wps:cNvPr id="76451813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13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C71AEF" w14:textId="5EC18025" w:rsidR="00A55F53" w:rsidRPr="00E700FF" w:rsidRDefault="00A55F53" w:rsidP="00291DD8">
                                <w:pPr>
                                  <w:pStyle w:val="BoxTitle"/>
                                  <w:spacing w:before="0" w:beforeAutospacing="0"/>
                                </w:pPr>
                                <w:r w:rsidRPr="001C1B37">
                                  <w:t>Q</w:t>
                                </w:r>
                                <w:r>
                                  <w:t>13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0FF5030" id="Group 181" o:spid="_x0000_s1285" style="position:absolute;left:0;text-align:left;margin-left:-.3pt;margin-top:.05pt;width:453.55pt;height:90.75pt;z-index:-251665354;mso-height-relative:margin" coordorigin=",628" coordsize="57600,1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">
                <v:shape id="_x0000_s128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FDFD3A4" w14:textId="77777777" w:rsidR="00A55F53" w:rsidRDefault="00A55F53" w:rsidP="00291DD8">
                        <w:pPr>
                          <w:pStyle w:val="BoxTitle"/>
                          <w:spacing w:before="0" w:beforeAutospacing="0"/>
                        </w:pPr>
                        <w:r w:rsidRPr="007F6876">
                          <w:t>QUESTION</w:t>
                        </w:r>
                      </w:p>
                    </w:txbxContent>
                  </v:textbox>
                </v:shape>
                <v:group id="Group 53" o:spid="_x0000_s1287" style="position:absolute;top:3161;width:57600;height:8993" coordorigin="1837,1791" coordsize="9302,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">
                  <v:shape id="Freeform 54" o:spid="_x0000_s1288" style="position:absolute;left:1837;top:1791;width:9302;height:971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" path="m,l9354,r,7809l,7809,,e" fillcolor="#edf2ea" stroked="f">
                    <v:path arrowok="t" o:connecttype="custom" o:connectlocs="0,1244;9302,1244;9302,10958;0,10958;0,1244" o:connectangles="0,0,0,0,0"/>
                  </v:shape>
                </v:group>
                <v:group id="Group 764518135" o:spid="_x0000_s128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">
                  <v:shape id="Freeform 58" o:spid="_x0000_s1290"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" path="m,l1815,e" filled="f" strokecolor="#72ab6a" strokeweight=".5pt">
                    <v:path arrowok="t" o:connecttype="custom" o:connectlocs="0,0;1073495,0" o:connectangles="0,0"/>
                  </v:shape>
                  <v:shape id="Freeform 66" o:spid="_x0000_s129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8C71AEF" w14:textId="5EC18025" w:rsidR="00A55F53" w:rsidRPr="00E700FF" w:rsidRDefault="00A55F53" w:rsidP="00291DD8">
                          <w:pPr>
                            <w:pStyle w:val="BoxTitle"/>
                            <w:spacing w:before="0" w:beforeAutospacing="0"/>
                          </w:pPr>
                          <w:r w:rsidRPr="001C1B37">
                            <w:t>Q</w:t>
                          </w:r>
                          <w:r>
                            <w:t>13</w:t>
                          </w:r>
                        </w:p>
                      </w:txbxContent>
                    </v:textbox>
                  </v:shape>
                </v:group>
              </v:group>
            </w:pict>
          </mc:Fallback>
        </mc:AlternateContent>
      </w:r>
    </w:p>
    <w:p w14:paraId="0F1CFE40" w14:textId="77777777" w:rsidR="003F217A" w:rsidRDefault="003F217A" w:rsidP="003F217A">
      <w:pPr>
        <w:pStyle w:val="QuestionBox"/>
      </w:pPr>
    </w:p>
    <w:p w14:paraId="407EC56E" w14:textId="304C9652" w:rsidR="006E03D8" w:rsidRDefault="00BD5C95" w:rsidP="003F217A">
      <w:pPr>
        <w:pStyle w:val="QuestionBox"/>
      </w:pPr>
      <w:r>
        <w:rPr>
          <w:rFonts w:ascii="ZWAdobeF" w:hAnsi="ZWAdobeF" w:cs="ZWAdobeF"/>
          <w:color w:val="auto"/>
          <w:sz w:val="2"/>
          <w:szCs w:val="2"/>
        </w:rPr>
        <w:t>1401B</w:t>
      </w:r>
      <w:r w:rsidR="0049638A">
        <w:rPr>
          <w:rFonts w:ascii="ZWAdobeF" w:hAnsi="ZWAdobeF" w:cs="ZWAdobeF"/>
          <w:color w:val="auto"/>
          <w:sz w:val="2"/>
          <w:szCs w:val="2"/>
        </w:rPr>
        <w:t>1401B</w:t>
      </w:r>
      <w:r w:rsidR="00D629FA">
        <w:rPr>
          <w:rFonts w:ascii="ZWAdobeF" w:hAnsi="ZWAdobeF" w:cs="ZWAdobeF"/>
          <w:color w:val="auto"/>
          <w:sz w:val="2"/>
          <w:szCs w:val="2"/>
        </w:rPr>
        <w:t>1401B</w:t>
      </w:r>
      <w:r w:rsidR="006E03D8">
        <w:t>Do you have any concerns about defendants gaining a tactical advantage from a competing class action hearing? If so, how should they be managed?</w:t>
      </w:r>
    </w:p>
    <w:p w14:paraId="2101E152" w14:textId="77777777" w:rsidR="006C53EB" w:rsidRDefault="006C53EB" w:rsidP="00FC2F1E">
      <w:pPr>
        <w:pStyle w:val="BodyText"/>
        <w:numPr>
          <w:ilvl w:val="0"/>
          <w:numId w:val="0"/>
        </w:numPr>
        <w:ind w:left="709"/>
      </w:pPr>
    </w:p>
    <w:p w14:paraId="4223B07E" w14:textId="3D9037C8" w:rsidR="003F217A" w:rsidRDefault="003F217A" w:rsidP="00FC2F1E">
      <w:pPr>
        <w:pStyle w:val="BodyText"/>
        <w:numPr>
          <w:ilvl w:val="0"/>
          <w:numId w:val="0"/>
        </w:numPr>
        <w:ind w:left="709"/>
      </w:pPr>
    </w:p>
    <w:p w14:paraId="2A48F6C7" w14:textId="4A15B9DF" w:rsidR="000A52E8" w:rsidRDefault="00EB79A6" w:rsidP="00794A7E">
      <w:pPr>
        <w:pStyle w:val="BodyText"/>
        <w:numPr>
          <w:ilvl w:val="0"/>
          <w:numId w:val="0"/>
        </w:numPr>
        <w:ind w:left="709" w:hanging="709"/>
        <w:sectPr w:rsidR="000A52E8" w:rsidSect="00FD6721">
          <w:headerReference w:type="even" r:id="rId35"/>
          <w:headerReference w:type="default" r:id="rId36"/>
          <w:footerReference w:type="even" r:id="rId37"/>
          <w:footnotePr>
            <w:numRestart w:val="eachSect"/>
          </w:footnotePr>
          <w:type w:val="nextColumn"/>
          <w:pgSz w:w="11907" w:h="16840" w:code="9"/>
          <w:pgMar w:top="1134" w:right="1134" w:bottom="1134" w:left="1701" w:header="499" w:footer="499" w:gutter="0"/>
          <w:cols w:space="720"/>
          <w:noEndnote/>
        </w:sectPr>
      </w:pPr>
      <w:r w:rsidRPr="00D37FCE">
        <w:rPr>
          <w:rFonts w:eastAsiaTheme="minorHAnsi"/>
          <w:noProof/>
          <w:lang w:eastAsia="en-NZ"/>
        </w:rPr>
        <mc:AlternateContent>
          <mc:Choice Requires="wpg">
            <w:drawing>
              <wp:anchor distT="0" distB="0" distL="114300" distR="114300" simplePos="0" relativeHeight="251651104" behindDoc="1" locked="0" layoutInCell="1" allowOverlap="1" wp14:anchorId="0BCB46D0" wp14:editId="0FB823FE">
                <wp:simplePos x="0" y="0"/>
                <wp:positionH relativeFrom="page">
                  <wp:posOffset>1078865</wp:posOffset>
                </wp:positionH>
                <wp:positionV relativeFrom="paragraph">
                  <wp:posOffset>464520</wp:posOffset>
                </wp:positionV>
                <wp:extent cx="2411730" cy="1270"/>
                <wp:effectExtent l="0" t="19050" r="26670" b="17780"/>
                <wp:wrapNone/>
                <wp:docPr id="22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22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F8354" id="Group 135" o:spid="_x0000_s1026" style="position:absolute;margin-left:84.95pt;margin-top:36.6pt;width:189.9pt;height:.1pt;z-index:-25166537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" path="m,l2097,e" filled="f" strokecolor="#72ab6a" strokeweight="3pt">
                  <v:path arrowok="t" o:connecttype="custom" o:connectlocs="0,0;2097,0" o:connectangles="0,0"/>
                </v:shape>
                <w10:wrap anchorx="page"/>
              </v:group>
            </w:pict>
          </mc:Fallback>
        </mc:AlternateContent>
      </w:r>
    </w:p>
    <w:p w14:paraId="4C2FEE42" w14:textId="7B817403" w:rsidR="006E2256" w:rsidRPr="00D37FCE" w:rsidRDefault="00BD5C95" w:rsidP="006E2256">
      <w:pPr>
        <w:pStyle w:val="HEADING2topchapter-notinTOC"/>
        <w:rPr>
          <w:sz w:val="21"/>
          <w:szCs w:val="21"/>
        </w:rPr>
      </w:pPr>
      <w:r>
        <w:rPr>
          <w:rFonts w:ascii="ZWAdobeF" w:hAnsi="ZWAdobeF" w:cs="ZWAdobeF"/>
          <w:b w:val="0"/>
          <w:color w:val="auto"/>
          <w:sz w:val="2"/>
          <w:szCs w:val="2"/>
        </w:rPr>
        <w:lastRenderedPageBreak/>
        <w:t>938B</w:t>
      </w:r>
      <w:r w:rsidR="0049638A">
        <w:rPr>
          <w:rFonts w:ascii="ZWAdobeF" w:hAnsi="ZWAdobeF" w:cs="ZWAdobeF"/>
          <w:b w:val="0"/>
          <w:color w:val="auto"/>
          <w:sz w:val="2"/>
          <w:szCs w:val="2"/>
        </w:rPr>
        <w:t>938B</w:t>
      </w:r>
      <w:r w:rsidR="00D629FA">
        <w:rPr>
          <w:rFonts w:ascii="ZWAdobeF" w:hAnsi="ZWAdobeF" w:cs="ZWAdobeF"/>
          <w:b w:val="0"/>
          <w:color w:val="auto"/>
          <w:sz w:val="2"/>
          <w:szCs w:val="2"/>
        </w:rPr>
        <w:t>938B</w:t>
      </w:r>
      <w:r w:rsidR="006E2256" w:rsidRPr="00D37FCE">
        <w:t>CHAPTER 3</w:t>
      </w:r>
    </w:p>
    <w:p w14:paraId="65D43C21" w14:textId="77777777" w:rsidR="006E2256" w:rsidRPr="00D37FCE" w:rsidRDefault="006E2256" w:rsidP="006E2256">
      <w:pPr>
        <w:spacing w:line="200" w:lineRule="exact"/>
        <w:rPr>
          <w:szCs w:val="20"/>
        </w:rPr>
      </w:pPr>
      <w:r w:rsidRPr="00D37FCE">
        <w:rPr>
          <w:noProof/>
          <w:lang w:eastAsia="en-NZ"/>
        </w:rPr>
        <mc:AlternateContent>
          <mc:Choice Requires="wpg">
            <w:drawing>
              <wp:anchor distT="0" distB="0" distL="114300" distR="114300" simplePos="0" relativeHeight="251651082" behindDoc="1" locked="0" layoutInCell="1" allowOverlap="1" wp14:anchorId="1EBF6048" wp14:editId="2649902E">
                <wp:simplePos x="0" y="0"/>
                <wp:positionH relativeFrom="page">
                  <wp:posOffset>1076653</wp:posOffset>
                </wp:positionH>
                <wp:positionV relativeFrom="paragraph">
                  <wp:posOffset>53975</wp:posOffset>
                </wp:positionV>
                <wp:extent cx="1332230" cy="1270"/>
                <wp:effectExtent l="0" t="19050" r="1270" b="1778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2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B32F0" id="Group 524" o:spid="_x0000_s1026" style="position:absolute;margin-left:84.8pt;margin-top:4.25pt;width:104.9pt;height:.1pt;z-index:-25166539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1A13BC3F" w14:textId="0C71C233" w:rsidR="005513F7" w:rsidRPr="00D37FCE" w:rsidRDefault="006E2256" w:rsidP="005513F7">
      <w:pPr>
        <w:pStyle w:val="Heading1"/>
        <w:rPr>
          <w:rFonts w:eastAsia="Metropolis Black"/>
        </w:rPr>
      </w:pPr>
      <w:bookmarkStart w:id="61" w:name="_Toc83895445"/>
      <w:r w:rsidRPr="00D37FCE">
        <w:rPr>
          <w:color w:val="FFFFFF" w:themeColor="background1"/>
          <w:sz w:val="2"/>
          <w:szCs w:val="2"/>
        </w:rPr>
        <w:t xml:space="preserve">3 </w:t>
      </w:r>
      <w:r w:rsidR="005513F7" w:rsidRPr="00D37FCE">
        <w:rPr>
          <w:rFonts w:eastAsia="Metropolis Black"/>
        </w:rPr>
        <w:t>R</w:t>
      </w:r>
      <w:r w:rsidR="00CD785D">
        <w:rPr>
          <w:rFonts w:eastAsia="Metropolis Black"/>
        </w:rPr>
        <w:t>elationships with class members</w:t>
      </w:r>
      <w:bookmarkEnd w:id="61"/>
    </w:p>
    <w:p w14:paraId="022972D7" w14:textId="77777777" w:rsidR="005513F7" w:rsidRPr="00D37FCE" w:rsidRDefault="005513F7" w:rsidP="005513F7">
      <w:pPr>
        <w:spacing w:line="200" w:lineRule="exact"/>
        <w:rPr>
          <w:szCs w:val="20"/>
        </w:rPr>
      </w:pPr>
      <w:r w:rsidRPr="00D37FCE">
        <w:rPr>
          <w:noProof/>
          <w:lang w:eastAsia="en-NZ"/>
        </w:rPr>
        <mc:AlternateContent>
          <mc:Choice Requires="wpg">
            <w:drawing>
              <wp:anchor distT="0" distB="0" distL="114300" distR="114300" simplePos="0" relativeHeight="251651089" behindDoc="1" locked="0" layoutInCell="1" allowOverlap="1" wp14:anchorId="7D04C587" wp14:editId="6F2D046F">
                <wp:simplePos x="0" y="0"/>
                <wp:positionH relativeFrom="page">
                  <wp:posOffset>1087427</wp:posOffset>
                </wp:positionH>
                <wp:positionV relativeFrom="paragraph">
                  <wp:posOffset>71755</wp:posOffset>
                </wp:positionV>
                <wp:extent cx="1332230" cy="1270"/>
                <wp:effectExtent l="0" t="19050" r="1270" b="17780"/>
                <wp:wrapNone/>
                <wp:docPr id="764518059" name="Group 764518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6451806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FCEC3" id="Group 764518059" o:spid="_x0000_s1026" style="position:absolute;margin-left:85.6pt;margin-top:5.65pt;width:104.9pt;height:.1pt;z-index:-25166539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" path="m,l2098,e" filled="f" strokecolor="#73ab6e" strokeweight="3pt">
                  <v:path arrowok="t" o:connecttype="custom" o:connectlocs="0,0;2098,0" o:connectangles="0,0"/>
                </v:shape>
                <w10:wrap anchorx="page"/>
              </v:group>
            </w:pict>
          </mc:Fallback>
        </mc:AlternateContent>
      </w:r>
    </w:p>
    <w:p w14:paraId="0B274D31" w14:textId="5EA906A4" w:rsidR="00EC1A82" w:rsidRPr="00D37FCE" w:rsidRDefault="00EC1A82" w:rsidP="0031006F">
      <w:pPr>
        <w:pStyle w:val="BodyText"/>
        <w:numPr>
          <w:ilvl w:val="0"/>
          <w:numId w:val="0"/>
        </w:numPr>
        <w:ind w:left="709"/>
      </w:pPr>
      <w:bookmarkStart w:id="62" w:name="_Toc55557638"/>
    </w:p>
    <w:p w14:paraId="7DC91549" w14:textId="1570B259" w:rsidR="00EC1A82" w:rsidRPr="00D37FCE" w:rsidRDefault="009A4A15" w:rsidP="0031006F">
      <w:pPr>
        <w:pStyle w:val="BodyText"/>
        <w:numPr>
          <w:ilvl w:val="0"/>
          <w:numId w:val="0"/>
        </w:numPr>
        <w:ind w:left="709"/>
      </w:pPr>
      <w:r w:rsidRPr="00D37FCE">
        <w:rPr>
          <w:rFonts w:eastAsia="Metropolis"/>
          <w:noProof/>
        </w:rPr>
        <mc:AlternateContent>
          <mc:Choice Requires="wpg">
            <w:drawing>
              <wp:anchor distT="0" distB="0" distL="114300" distR="114300" simplePos="0" relativeHeight="251651127" behindDoc="1" locked="0" layoutInCell="1" allowOverlap="1" wp14:anchorId="0FEEE9A2" wp14:editId="2D0FFA5B">
                <wp:simplePos x="0" y="0"/>
                <wp:positionH relativeFrom="column">
                  <wp:posOffset>-1833</wp:posOffset>
                </wp:positionH>
                <wp:positionV relativeFrom="paragraph">
                  <wp:posOffset>54850</wp:posOffset>
                </wp:positionV>
                <wp:extent cx="5792470" cy="1751135"/>
                <wp:effectExtent l="0" t="0" r="0" b="1905"/>
                <wp:wrapNone/>
                <wp:docPr id="764518294" name="Group 764518294"/>
                <wp:cNvGraphicFramePr/>
                <a:graphic xmlns:a="http://schemas.openxmlformats.org/drawingml/2006/main">
                  <a:graphicData uri="http://schemas.microsoft.com/office/word/2010/wordprocessingGroup">
                    <wpg:wgp>
                      <wpg:cNvGrpSpPr/>
                      <wpg:grpSpPr>
                        <a:xfrm>
                          <a:off x="0" y="0"/>
                          <a:ext cx="5792470" cy="1751135"/>
                          <a:chOff x="0" y="-4768"/>
                          <a:chExt cx="5793105" cy="1752145"/>
                        </a:xfrm>
                      </wpg:grpSpPr>
                      <wpg:grpSp>
                        <wpg:cNvPr id="764518295" name="Group 53"/>
                        <wpg:cNvGrpSpPr>
                          <a:grpSpLocks/>
                        </wpg:cNvGrpSpPr>
                        <wpg:grpSpPr bwMode="auto">
                          <a:xfrm>
                            <a:off x="0" y="314368"/>
                            <a:ext cx="5793105" cy="1433009"/>
                            <a:chOff x="1837" y="1793"/>
                            <a:chExt cx="9354" cy="15472"/>
                          </a:xfrm>
                        </wpg:grpSpPr>
                        <wps:wsp>
                          <wps:cNvPr id="764518296" name="Freeform 54"/>
                          <wps:cNvSpPr>
                            <a:spLocks/>
                          </wps:cNvSpPr>
                          <wps:spPr bwMode="auto">
                            <a:xfrm>
                              <a:off x="1837" y="1793"/>
                              <a:ext cx="9354" cy="1547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297"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D40FD4" w14:textId="3D353717" w:rsidR="00A55F53" w:rsidRPr="00B106DA" w:rsidRDefault="00A55F53" w:rsidP="008B5537">
                              <w:pPr>
                                <w:pStyle w:val="BoxTitle"/>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FEEE9A2" id="Group 764518294" o:spid="_x0000_s1292" style="position:absolute;left:0;text-align:left;margin-left:-.15pt;margin-top:4.3pt;width:456.1pt;height:137.9pt;z-index:-251665353;mso-height-relative:margin" coordorigin=",-47" coordsize="57931,17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">
                <v:group id="Group 53" o:spid="_x0000_s1293" style="position:absolute;top:3143;width:57931;height:14330" coordorigin="1837,1793" coordsize="9354,1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">
                  <v:shape id="Freeform 54" o:spid="_x0000_s1294" style="position:absolute;left:1837;top:1793;width:9354;height:1547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" path="m,l9354,r,7809l,7809,,e" fillcolor="#edf2ea" stroked="f">
                    <v:path arrowok="t" o:connecttype="custom" o:connectlocs="0,1981;9354,1981;9354,17453;0,17453;0,1981" o:connectangles="0,0,0,0,0"/>
                  </v:shape>
                </v:group>
                <v:shape id="_x0000_s1295"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5AD40FD4" w14:textId="3D353717" w:rsidR="00A55F53" w:rsidRPr="00B106DA" w:rsidRDefault="00A55F53" w:rsidP="008B5537">
                        <w:pPr>
                          <w:pStyle w:val="BoxTitle"/>
                        </w:pPr>
                        <w:r>
                          <w:t>INTRODUCTION</w:t>
                        </w:r>
                      </w:p>
                    </w:txbxContent>
                  </v:textbox>
                </v:shape>
              </v:group>
            </w:pict>
          </mc:Fallback>
        </mc:AlternateContent>
      </w:r>
    </w:p>
    <w:p w14:paraId="2642831A" w14:textId="77777777" w:rsidR="00A61527" w:rsidRPr="00D37FCE" w:rsidRDefault="00A61527" w:rsidP="00A61527">
      <w:pPr>
        <w:pStyle w:val="QuestionBox"/>
        <w:tabs>
          <w:tab w:val="clear" w:pos="709"/>
        </w:tabs>
        <w:ind w:left="709"/>
      </w:pPr>
    </w:p>
    <w:p w14:paraId="1E592BD4" w14:textId="40F7BFAF" w:rsidR="00A1095A" w:rsidRDefault="00BD5C95" w:rsidP="00A1095A">
      <w:pPr>
        <w:pStyle w:val="QuestionBox"/>
        <w:tabs>
          <w:tab w:val="clear" w:pos="709"/>
        </w:tabs>
        <w:ind w:left="426"/>
      </w:pPr>
      <w:r>
        <w:rPr>
          <w:rFonts w:ascii="ZWAdobeF" w:hAnsi="ZWAdobeF" w:cs="ZWAdobeF"/>
          <w:color w:val="auto"/>
          <w:sz w:val="2"/>
          <w:szCs w:val="2"/>
        </w:rPr>
        <w:t>1402B</w:t>
      </w:r>
      <w:r w:rsidR="0049638A">
        <w:rPr>
          <w:rFonts w:ascii="ZWAdobeF" w:hAnsi="ZWAdobeF" w:cs="ZWAdobeF"/>
          <w:color w:val="auto"/>
          <w:sz w:val="2"/>
          <w:szCs w:val="2"/>
        </w:rPr>
        <w:t>1402B</w:t>
      </w:r>
      <w:r w:rsidR="00D629FA">
        <w:rPr>
          <w:rFonts w:ascii="ZWAdobeF" w:hAnsi="ZWAdobeF" w:cs="ZWAdobeF"/>
          <w:color w:val="auto"/>
          <w:sz w:val="2"/>
          <w:szCs w:val="2"/>
        </w:rPr>
        <w:t>1402B</w:t>
      </w:r>
      <w:r w:rsidR="00A1095A">
        <w:t>In this chapter</w:t>
      </w:r>
      <w:r w:rsidR="00D31C5D">
        <w:t>,</w:t>
      </w:r>
      <w:r w:rsidR="00A1095A">
        <w:t xml:space="preserve"> </w:t>
      </w:r>
      <w:r w:rsidR="00A1095A" w:rsidRPr="008161D9">
        <w:t>we</w:t>
      </w:r>
      <w:r w:rsidR="00A1095A">
        <w:t xml:space="preserve"> discuss:</w:t>
      </w:r>
    </w:p>
    <w:p w14:paraId="45CDAC1D" w14:textId="30AEE79A" w:rsidR="00A42ED0" w:rsidRDefault="00BD5C95" w:rsidP="003E2524">
      <w:pPr>
        <w:pStyle w:val="QuestionBox"/>
        <w:numPr>
          <w:ilvl w:val="0"/>
          <w:numId w:val="22"/>
        </w:numPr>
        <w:tabs>
          <w:tab w:val="clear" w:pos="709"/>
        </w:tabs>
        <w:ind w:left="709" w:hanging="283"/>
      </w:pPr>
      <w:r>
        <w:rPr>
          <w:rFonts w:ascii="ZWAdobeF" w:hAnsi="ZWAdobeF" w:cs="ZWAdobeF"/>
          <w:color w:val="auto"/>
          <w:sz w:val="2"/>
          <w:szCs w:val="2"/>
        </w:rPr>
        <w:t>1403B</w:t>
      </w:r>
      <w:r w:rsidR="0049638A">
        <w:rPr>
          <w:rFonts w:ascii="ZWAdobeF" w:hAnsi="ZWAdobeF" w:cs="ZWAdobeF"/>
          <w:color w:val="auto"/>
          <w:sz w:val="2"/>
          <w:szCs w:val="2"/>
        </w:rPr>
        <w:t>1403B</w:t>
      </w:r>
      <w:r w:rsidR="00D629FA">
        <w:rPr>
          <w:rFonts w:ascii="ZWAdobeF" w:hAnsi="ZWAdobeF" w:cs="ZWAdobeF"/>
          <w:color w:val="auto"/>
          <w:sz w:val="2"/>
          <w:szCs w:val="2"/>
        </w:rPr>
        <w:t>1403B</w:t>
      </w:r>
      <w:r w:rsidR="00A42ED0">
        <w:t xml:space="preserve">The </w:t>
      </w:r>
      <w:r w:rsidR="004868C6">
        <w:t>role</w:t>
      </w:r>
      <w:r w:rsidR="00A42ED0">
        <w:t xml:space="preserve"> of the representative plaintiff</w:t>
      </w:r>
      <w:r w:rsidR="004868C6">
        <w:t xml:space="preserve"> and their </w:t>
      </w:r>
      <w:r w:rsidR="00212616">
        <w:t xml:space="preserve">relationship </w:t>
      </w:r>
      <w:r w:rsidR="004868C6">
        <w:t>with</w:t>
      </w:r>
      <w:r w:rsidR="00212616">
        <w:t xml:space="preserve"> class members</w:t>
      </w:r>
      <w:r w:rsidR="00A42ED0">
        <w:t>.</w:t>
      </w:r>
    </w:p>
    <w:p w14:paraId="7E50BC62" w14:textId="6054CFA5" w:rsidR="00A42ED0" w:rsidRDefault="00BD5C95" w:rsidP="003E2524">
      <w:pPr>
        <w:pStyle w:val="QuestionBox"/>
        <w:numPr>
          <w:ilvl w:val="0"/>
          <w:numId w:val="22"/>
        </w:numPr>
        <w:tabs>
          <w:tab w:val="clear" w:pos="709"/>
        </w:tabs>
        <w:ind w:left="709" w:hanging="283"/>
      </w:pPr>
      <w:r>
        <w:rPr>
          <w:rFonts w:ascii="ZWAdobeF" w:hAnsi="ZWAdobeF" w:cs="ZWAdobeF"/>
          <w:color w:val="auto"/>
          <w:sz w:val="2"/>
          <w:szCs w:val="2"/>
        </w:rPr>
        <w:t>1404B</w:t>
      </w:r>
      <w:r w:rsidR="0049638A">
        <w:rPr>
          <w:rFonts w:ascii="ZWAdobeF" w:hAnsi="ZWAdobeF" w:cs="ZWAdobeF"/>
          <w:color w:val="auto"/>
          <w:sz w:val="2"/>
          <w:szCs w:val="2"/>
        </w:rPr>
        <w:t>1404B</w:t>
      </w:r>
      <w:r w:rsidR="00D629FA">
        <w:rPr>
          <w:rFonts w:ascii="ZWAdobeF" w:hAnsi="ZWAdobeF" w:cs="ZWAdobeF"/>
          <w:color w:val="auto"/>
          <w:sz w:val="2"/>
          <w:szCs w:val="2"/>
        </w:rPr>
        <w:t>1404B</w:t>
      </w:r>
      <w:r w:rsidR="00A42ED0">
        <w:t>The relationship between the representative plaintiff’s lawyer and</w:t>
      </w:r>
      <w:r w:rsidR="00A42ED0" w:rsidRPr="007A75C8">
        <w:t xml:space="preserve"> </w:t>
      </w:r>
      <w:r w:rsidR="00A42ED0">
        <w:t>class members.</w:t>
      </w:r>
    </w:p>
    <w:p w14:paraId="28C449F8" w14:textId="63BCE2C7" w:rsidR="00A1095A" w:rsidRDefault="00BD5C95" w:rsidP="003E2524">
      <w:pPr>
        <w:pStyle w:val="QuestionBox"/>
        <w:numPr>
          <w:ilvl w:val="0"/>
          <w:numId w:val="22"/>
        </w:numPr>
        <w:tabs>
          <w:tab w:val="clear" w:pos="709"/>
        </w:tabs>
        <w:ind w:left="709" w:hanging="283"/>
      </w:pPr>
      <w:r>
        <w:rPr>
          <w:rFonts w:ascii="ZWAdobeF" w:hAnsi="ZWAdobeF" w:cs="ZWAdobeF"/>
          <w:color w:val="auto"/>
          <w:sz w:val="2"/>
          <w:szCs w:val="2"/>
        </w:rPr>
        <w:t>1405B</w:t>
      </w:r>
      <w:r w:rsidR="0049638A">
        <w:rPr>
          <w:rFonts w:ascii="ZWAdobeF" w:hAnsi="ZWAdobeF" w:cs="ZWAdobeF"/>
          <w:color w:val="auto"/>
          <w:sz w:val="2"/>
          <w:szCs w:val="2"/>
        </w:rPr>
        <w:t>1405B</w:t>
      </w:r>
      <w:r w:rsidR="00D629FA">
        <w:rPr>
          <w:rFonts w:ascii="ZWAdobeF" w:hAnsi="ZWAdobeF" w:cs="ZWAdobeF"/>
          <w:color w:val="auto"/>
          <w:sz w:val="2"/>
          <w:szCs w:val="2"/>
        </w:rPr>
        <w:t>1405B</w:t>
      </w:r>
      <w:r w:rsidR="00A42ED0">
        <w:t>Whether the defendant and their lawyer can contact class members directly.</w:t>
      </w:r>
    </w:p>
    <w:bookmarkEnd w:id="62"/>
    <w:p w14:paraId="55AB69FD" w14:textId="77777777" w:rsidR="00253C06" w:rsidRDefault="00253C06" w:rsidP="0031006F">
      <w:pPr>
        <w:pStyle w:val="BodyText"/>
        <w:numPr>
          <w:ilvl w:val="0"/>
          <w:numId w:val="0"/>
        </w:numPr>
        <w:ind w:left="709"/>
      </w:pPr>
    </w:p>
    <w:p w14:paraId="665F640E" w14:textId="333C649F" w:rsidR="00253C06" w:rsidRDefault="00253C06" w:rsidP="009A4A15">
      <w:pPr>
        <w:pStyle w:val="Heading2"/>
      </w:pPr>
      <w:bookmarkStart w:id="63" w:name="_Toc83895446"/>
      <w:r>
        <w:t xml:space="preserve">The representative plaintiff </w:t>
      </w:r>
      <w:r w:rsidR="00695CC3">
        <w:t>and class members</w:t>
      </w:r>
      <w:bookmarkEnd w:id="63"/>
      <w:r>
        <w:t xml:space="preserve"> </w:t>
      </w:r>
    </w:p>
    <w:p w14:paraId="471C774C" w14:textId="77777777" w:rsidR="00A1095A" w:rsidRPr="00A1095A" w:rsidRDefault="00A1095A" w:rsidP="003E2524">
      <w:pPr>
        <w:pStyle w:val="ListParagraph"/>
        <w:numPr>
          <w:ilvl w:val="0"/>
          <w:numId w:val="19"/>
        </w:numPr>
        <w:spacing w:before="80"/>
        <w:contextualSpacing w:val="0"/>
        <w:jc w:val="both"/>
        <w:rPr>
          <w:vanish/>
          <w:color w:val="000000" w:themeColor="text1"/>
          <w:sz w:val="20"/>
        </w:rPr>
      </w:pPr>
    </w:p>
    <w:p w14:paraId="748E5276" w14:textId="595C8C3F" w:rsidR="00253C06" w:rsidRDefault="00BD5C95" w:rsidP="003E2524">
      <w:pPr>
        <w:pStyle w:val="BodyText"/>
        <w:numPr>
          <w:ilvl w:val="1"/>
          <w:numId w:val="19"/>
        </w:numPr>
        <w:tabs>
          <w:tab w:val="clear" w:pos="709"/>
        </w:tabs>
      </w:pPr>
      <w:r>
        <w:rPr>
          <w:rFonts w:ascii="ZWAdobeF" w:hAnsi="ZWAdobeF" w:cs="ZWAdobeF"/>
          <w:color w:val="auto"/>
          <w:sz w:val="2"/>
          <w:szCs w:val="2"/>
        </w:rPr>
        <w:t>194B</w:t>
      </w:r>
      <w:r w:rsidR="0049638A">
        <w:rPr>
          <w:rFonts w:ascii="ZWAdobeF" w:hAnsi="ZWAdobeF" w:cs="ZWAdobeF"/>
          <w:color w:val="auto"/>
          <w:sz w:val="2"/>
          <w:szCs w:val="2"/>
        </w:rPr>
        <w:t>194B</w:t>
      </w:r>
      <w:r w:rsidR="00D629FA">
        <w:rPr>
          <w:rFonts w:ascii="ZWAdobeF" w:hAnsi="ZWAdobeF" w:cs="ZWAdobeF"/>
          <w:color w:val="auto"/>
          <w:sz w:val="2"/>
          <w:szCs w:val="2"/>
        </w:rPr>
        <w:t>194B</w:t>
      </w:r>
      <w:r w:rsidR="00253C06">
        <w:t>The representative plaintiff is a party to the proceeding and has the important role of representing the other class members.</w:t>
      </w:r>
      <w:r w:rsidR="00D629FA">
        <w:rPr>
          <w:rFonts w:ascii="ZWAdobeF" w:hAnsi="ZWAdobeF" w:cs="ZWAdobeF"/>
          <w:color w:val="auto"/>
          <w:sz w:val="2"/>
          <w:szCs w:val="2"/>
        </w:rPr>
        <w:t>309F</w:t>
      </w:r>
      <w:r w:rsidR="0049638A">
        <w:rPr>
          <w:rFonts w:ascii="ZWAdobeF" w:hAnsi="ZWAdobeF" w:cs="ZWAdobeF"/>
          <w:color w:val="auto"/>
          <w:sz w:val="2"/>
          <w:szCs w:val="2"/>
        </w:rPr>
        <w:t>309F</w:t>
      </w:r>
      <w:r w:rsidR="00317AE4">
        <w:rPr>
          <w:rFonts w:ascii="ZWAdobeF" w:hAnsi="ZWAdobeF" w:cs="ZWAdobeF"/>
          <w:color w:val="auto"/>
          <w:sz w:val="2"/>
          <w:szCs w:val="2"/>
        </w:rPr>
        <w:t>309F</w:t>
      </w:r>
      <w:r w:rsidR="00253C06">
        <w:rPr>
          <w:rStyle w:val="FootnoteReference"/>
        </w:rPr>
        <w:footnoteReference w:id="311"/>
      </w:r>
      <w:r w:rsidR="00253C06">
        <w:t xml:space="preserve"> In this section we discuss the various sources of a representative plaintiff’s obligations and </w:t>
      </w:r>
      <w:r w:rsidR="002F4C78">
        <w:t xml:space="preserve">explain </w:t>
      </w:r>
      <w:r w:rsidR="00253C06">
        <w:t xml:space="preserve">what </w:t>
      </w:r>
      <w:r w:rsidR="002F4C78">
        <w:t xml:space="preserve">we think </w:t>
      </w:r>
      <w:r w:rsidR="00253C06">
        <w:t xml:space="preserve">the obligations of the representative plaintiff should be. We also discuss </w:t>
      </w:r>
      <w:r w:rsidR="00403BAD">
        <w:t>how the representative plaintiff can be supported to carry out their role.</w:t>
      </w:r>
    </w:p>
    <w:p w14:paraId="12FE6FDB" w14:textId="77777777" w:rsidR="00253C06" w:rsidRDefault="00253C06" w:rsidP="009A4A15">
      <w:pPr>
        <w:pStyle w:val="Heading3"/>
      </w:pPr>
      <w:r>
        <w:t>Sources of obligations</w:t>
      </w:r>
    </w:p>
    <w:p w14:paraId="4615E91E" w14:textId="6A21626D" w:rsidR="00253C06" w:rsidRDefault="00BD5C95" w:rsidP="009B37CB">
      <w:pPr>
        <w:pStyle w:val="BodyText"/>
      </w:pPr>
      <w:r>
        <w:rPr>
          <w:rFonts w:ascii="ZWAdobeF" w:hAnsi="ZWAdobeF" w:cs="ZWAdobeF"/>
          <w:color w:val="auto"/>
          <w:sz w:val="2"/>
          <w:szCs w:val="2"/>
        </w:rPr>
        <w:t>195B</w:t>
      </w:r>
      <w:r w:rsidR="0049638A">
        <w:rPr>
          <w:rFonts w:ascii="ZWAdobeF" w:hAnsi="ZWAdobeF" w:cs="ZWAdobeF"/>
          <w:color w:val="auto"/>
          <w:sz w:val="2"/>
          <w:szCs w:val="2"/>
        </w:rPr>
        <w:t>195B</w:t>
      </w:r>
      <w:r w:rsidR="00D629FA">
        <w:rPr>
          <w:rFonts w:ascii="ZWAdobeF" w:hAnsi="ZWAdobeF" w:cs="ZWAdobeF"/>
          <w:color w:val="auto"/>
          <w:sz w:val="2"/>
          <w:szCs w:val="2"/>
        </w:rPr>
        <w:t>195B</w:t>
      </w:r>
      <w:r w:rsidR="00253C06">
        <w:t>Sources</w:t>
      </w:r>
      <w:r w:rsidR="00253C06" w:rsidDel="00503142">
        <w:t xml:space="preserve"> </w:t>
      </w:r>
      <w:r w:rsidR="00253C06">
        <w:t>of the representative plaintiff’s obligations in a class action include:</w:t>
      </w:r>
    </w:p>
    <w:p w14:paraId="519D0574" w14:textId="6A76C99C" w:rsidR="00253C06" w:rsidRDefault="00BD5C95" w:rsidP="003E2524">
      <w:pPr>
        <w:pStyle w:val="BodyText2"/>
        <w:numPr>
          <w:ilvl w:val="3"/>
          <w:numId w:val="20"/>
        </w:numPr>
      </w:pPr>
      <w:r>
        <w:rPr>
          <w:rFonts w:ascii="ZWAdobeF" w:hAnsi="ZWAdobeF" w:cs="ZWAdobeF"/>
          <w:color w:val="auto"/>
          <w:sz w:val="2"/>
          <w:szCs w:val="2"/>
        </w:rPr>
        <w:t>919B</w:t>
      </w:r>
      <w:r w:rsidR="0049638A">
        <w:rPr>
          <w:rFonts w:ascii="ZWAdobeF" w:hAnsi="ZWAdobeF" w:cs="ZWAdobeF"/>
          <w:color w:val="auto"/>
          <w:sz w:val="2"/>
          <w:szCs w:val="2"/>
        </w:rPr>
        <w:t>919B</w:t>
      </w:r>
      <w:r w:rsidR="00D629FA">
        <w:rPr>
          <w:rFonts w:ascii="ZWAdobeF" w:hAnsi="ZWAdobeF" w:cs="ZWAdobeF"/>
          <w:color w:val="auto"/>
          <w:sz w:val="2"/>
          <w:szCs w:val="2"/>
        </w:rPr>
        <w:t>919B</w:t>
      </w:r>
      <w:r w:rsidR="00253C06">
        <w:t xml:space="preserve">A representative plaintiff’s status as a party to the proceeding. </w:t>
      </w:r>
    </w:p>
    <w:p w14:paraId="0FE72004" w14:textId="0AB8B14F" w:rsidR="00253C06" w:rsidRDefault="00BD5C95" w:rsidP="003E2524">
      <w:pPr>
        <w:pStyle w:val="BodyText2"/>
        <w:numPr>
          <w:ilvl w:val="3"/>
          <w:numId w:val="38"/>
        </w:numPr>
      </w:pPr>
      <w:r>
        <w:rPr>
          <w:rFonts w:ascii="ZWAdobeF" w:hAnsi="ZWAdobeF" w:cs="ZWAdobeF"/>
          <w:color w:val="auto"/>
          <w:sz w:val="2"/>
          <w:szCs w:val="2"/>
        </w:rPr>
        <w:t>920B</w:t>
      </w:r>
      <w:r w:rsidR="0049638A">
        <w:rPr>
          <w:rFonts w:ascii="ZWAdobeF" w:hAnsi="ZWAdobeF" w:cs="ZWAdobeF"/>
          <w:color w:val="auto"/>
          <w:sz w:val="2"/>
          <w:szCs w:val="2"/>
        </w:rPr>
        <w:t>920B</w:t>
      </w:r>
      <w:r w:rsidR="00D629FA">
        <w:rPr>
          <w:rFonts w:ascii="ZWAdobeF" w:hAnsi="ZWAdobeF" w:cs="ZWAdobeF"/>
          <w:color w:val="auto"/>
          <w:sz w:val="2"/>
          <w:szCs w:val="2"/>
        </w:rPr>
        <w:t>920B</w:t>
      </w:r>
      <w:r w:rsidR="00253C06">
        <w:t xml:space="preserve">A representative plaintiff’s role as the representative of class members, which may invoke fiduciary obligations. </w:t>
      </w:r>
    </w:p>
    <w:p w14:paraId="30C3EA02" w14:textId="49422CAC" w:rsidR="00253C06" w:rsidRDefault="00BD5C95" w:rsidP="003E2524">
      <w:pPr>
        <w:pStyle w:val="BodyText2"/>
        <w:numPr>
          <w:ilvl w:val="3"/>
          <w:numId w:val="39"/>
        </w:numPr>
      </w:pPr>
      <w:r>
        <w:rPr>
          <w:rFonts w:ascii="ZWAdobeF" w:hAnsi="ZWAdobeF" w:cs="ZWAdobeF"/>
          <w:color w:val="auto"/>
          <w:sz w:val="2"/>
          <w:szCs w:val="2"/>
        </w:rPr>
        <w:t>921B</w:t>
      </w:r>
      <w:r w:rsidR="0049638A">
        <w:rPr>
          <w:rFonts w:ascii="ZWAdobeF" w:hAnsi="ZWAdobeF" w:cs="ZWAdobeF"/>
          <w:color w:val="auto"/>
          <w:sz w:val="2"/>
          <w:szCs w:val="2"/>
        </w:rPr>
        <w:t>921B</w:t>
      </w:r>
      <w:r w:rsidR="00D629FA">
        <w:rPr>
          <w:rFonts w:ascii="ZWAdobeF" w:hAnsi="ZWAdobeF" w:cs="ZWAdobeF"/>
          <w:color w:val="auto"/>
          <w:sz w:val="2"/>
          <w:szCs w:val="2"/>
        </w:rPr>
        <w:t>921B</w:t>
      </w:r>
      <w:r w:rsidR="00253C06">
        <w:t xml:space="preserve">Any obligations on a representative plaintiff that are prescribed by a class actions regime. </w:t>
      </w:r>
    </w:p>
    <w:p w14:paraId="66F51D2D" w14:textId="0C7A41FD" w:rsidR="00253C06" w:rsidRDefault="00BD5C95" w:rsidP="00253C06">
      <w:pPr>
        <w:pStyle w:val="BodyText2"/>
      </w:pPr>
      <w:r>
        <w:rPr>
          <w:rFonts w:ascii="ZWAdobeF" w:hAnsi="ZWAdobeF" w:cs="ZWAdobeF"/>
          <w:color w:val="auto"/>
          <w:sz w:val="2"/>
          <w:szCs w:val="2"/>
        </w:rPr>
        <w:t>922B</w:t>
      </w:r>
      <w:r w:rsidR="0049638A">
        <w:rPr>
          <w:rFonts w:ascii="ZWAdobeF" w:hAnsi="ZWAdobeF" w:cs="ZWAdobeF"/>
          <w:color w:val="auto"/>
          <w:sz w:val="2"/>
          <w:szCs w:val="2"/>
        </w:rPr>
        <w:t>922B</w:t>
      </w:r>
      <w:r w:rsidR="00D629FA">
        <w:rPr>
          <w:rFonts w:ascii="ZWAdobeF" w:hAnsi="ZWAdobeF" w:cs="ZWAdobeF"/>
          <w:color w:val="auto"/>
          <w:sz w:val="2"/>
          <w:szCs w:val="2"/>
        </w:rPr>
        <w:t>922B</w:t>
      </w:r>
      <w:r w:rsidR="00253C06">
        <w:t>Obligations imposed by the court, as part of its supervisory jurisdiction.</w:t>
      </w:r>
    </w:p>
    <w:p w14:paraId="646D2801" w14:textId="5E01F754" w:rsidR="00253C06" w:rsidRDefault="00BD5C95" w:rsidP="009B37CB">
      <w:pPr>
        <w:pStyle w:val="BodyText"/>
      </w:pPr>
      <w:r>
        <w:rPr>
          <w:rFonts w:ascii="ZWAdobeF" w:hAnsi="ZWAdobeF" w:cs="ZWAdobeF"/>
          <w:color w:val="auto"/>
          <w:sz w:val="2"/>
          <w:szCs w:val="2"/>
        </w:rPr>
        <w:t>196B</w:t>
      </w:r>
      <w:r w:rsidR="0049638A">
        <w:rPr>
          <w:rFonts w:ascii="ZWAdobeF" w:hAnsi="ZWAdobeF" w:cs="ZWAdobeF"/>
          <w:color w:val="auto"/>
          <w:sz w:val="2"/>
          <w:szCs w:val="2"/>
        </w:rPr>
        <w:t>196B</w:t>
      </w:r>
      <w:r w:rsidR="00D629FA">
        <w:rPr>
          <w:rFonts w:ascii="ZWAdobeF" w:hAnsi="ZWAdobeF" w:cs="ZWAdobeF"/>
          <w:color w:val="auto"/>
          <w:sz w:val="2"/>
          <w:szCs w:val="2"/>
        </w:rPr>
        <w:t>196B</w:t>
      </w:r>
      <w:r w:rsidR="00253C06">
        <w:t xml:space="preserve">We discuss each of these below, noting that these obligations will likely overlap and interact with each other. </w:t>
      </w:r>
    </w:p>
    <w:p w14:paraId="4AA49457" w14:textId="77777777" w:rsidR="00253C06" w:rsidRDefault="00253C06" w:rsidP="009A4A15">
      <w:pPr>
        <w:pStyle w:val="Heading4"/>
      </w:pPr>
      <w:r>
        <w:lastRenderedPageBreak/>
        <w:t xml:space="preserve">Party to the proceeding </w:t>
      </w:r>
    </w:p>
    <w:p w14:paraId="26DBAF9D" w14:textId="153CF14E" w:rsidR="00253C06" w:rsidRDefault="00BD5C95" w:rsidP="009B37CB">
      <w:pPr>
        <w:pStyle w:val="BodyText"/>
      </w:pPr>
      <w:r>
        <w:rPr>
          <w:rFonts w:ascii="ZWAdobeF" w:hAnsi="ZWAdobeF" w:cs="ZWAdobeF"/>
          <w:color w:val="auto"/>
          <w:sz w:val="2"/>
          <w:szCs w:val="2"/>
        </w:rPr>
        <w:t>197B</w:t>
      </w:r>
      <w:r w:rsidR="0049638A">
        <w:rPr>
          <w:rFonts w:ascii="ZWAdobeF" w:hAnsi="ZWAdobeF" w:cs="ZWAdobeF"/>
          <w:color w:val="auto"/>
          <w:sz w:val="2"/>
          <w:szCs w:val="2"/>
        </w:rPr>
        <w:t>197B</w:t>
      </w:r>
      <w:r w:rsidR="00D629FA">
        <w:rPr>
          <w:rFonts w:ascii="ZWAdobeF" w:hAnsi="ZWAdobeF" w:cs="ZWAdobeF"/>
          <w:color w:val="auto"/>
          <w:sz w:val="2"/>
          <w:szCs w:val="2"/>
        </w:rPr>
        <w:t>197B</w:t>
      </w:r>
      <w:r w:rsidR="00953684">
        <w:t xml:space="preserve">The representative plaintiff is a named party to the proceeding. </w:t>
      </w:r>
      <w:r w:rsidR="00FC5A6D">
        <w:t xml:space="preserve">Matters </w:t>
      </w:r>
      <w:r w:rsidR="00253C06">
        <w:t xml:space="preserve">that often flow from being a </w:t>
      </w:r>
      <w:r w:rsidR="009C72B5">
        <w:t xml:space="preserve">named </w:t>
      </w:r>
      <w:r w:rsidR="00253C06">
        <w:t>party to the proceeding include:</w:t>
      </w:r>
    </w:p>
    <w:p w14:paraId="4C245699" w14:textId="4119C8E6" w:rsidR="00403BAD" w:rsidRDefault="00BD5C95" w:rsidP="00B73434">
      <w:pPr>
        <w:pStyle w:val="BodyTextnonum"/>
        <w:numPr>
          <w:ilvl w:val="3"/>
          <w:numId w:val="52"/>
        </w:numPr>
      </w:pPr>
      <w:r>
        <w:rPr>
          <w:rFonts w:ascii="ZWAdobeF" w:hAnsi="ZWAdobeF" w:cs="ZWAdobeF"/>
          <w:color w:val="auto"/>
          <w:sz w:val="2"/>
          <w:szCs w:val="2"/>
        </w:rPr>
        <w:t>692B</w:t>
      </w:r>
      <w:r w:rsidR="0049638A">
        <w:rPr>
          <w:rFonts w:ascii="ZWAdobeF" w:hAnsi="ZWAdobeF" w:cs="ZWAdobeF"/>
          <w:color w:val="auto"/>
          <w:sz w:val="2"/>
          <w:szCs w:val="2"/>
        </w:rPr>
        <w:t>692B</w:t>
      </w:r>
      <w:r w:rsidR="00D629FA">
        <w:rPr>
          <w:rFonts w:ascii="ZWAdobeF" w:hAnsi="ZWAdobeF" w:cs="ZWAdobeF"/>
          <w:color w:val="auto"/>
          <w:sz w:val="2"/>
          <w:szCs w:val="2"/>
        </w:rPr>
        <w:t>692B</w:t>
      </w:r>
      <w:r w:rsidR="00403BAD">
        <w:t xml:space="preserve">Prosecuting </w:t>
      </w:r>
      <w:r w:rsidR="00FF3CA4">
        <w:t>(or defending)</w:t>
      </w:r>
      <w:r w:rsidR="00403BAD">
        <w:t xml:space="preserve"> the proceeding</w:t>
      </w:r>
      <w:r w:rsidR="00223D27">
        <w:t xml:space="preserve">. This includes meeting any evidential obligations, including discovery, giving evidence and answering interrogatories.  </w:t>
      </w:r>
    </w:p>
    <w:p w14:paraId="75BCB6ED" w14:textId="3119AD4A" w:rsidR="00253C06" w:rsidRPr="00C835F7" w:rsidRDefault="00BD5C95" w:rsidP="00B73434">
      <w:pPr>
        <w:pStyle w:val="BodyTextnonum"/>
        <w:numPr>
          <w:ilvl w:val="3"/>
          <w:numId w:val="52"/>
        </w:numPr>
      </w:pPr>
      <w:r>
        <w:rPr>
          <w:rFonts w:ascii="ZWAdobeF" w:hAnsi="ZWAdobeF" w:cs="ZWAdobeF"/>
          <w:color w:val="auto"/>
          <w:sz w:val="2"/>
          <w:szCs w:val="2"/>
        </w:rPr>
        <w:t>693B</w:t>
      </w:r>
      <w:r w:rsidR="0049638A">
        <w:rPr>
          <w:rFonts w:ascii="ZWAdobeF" w:hAnsi="ZWAdobeF" w:cs="ZWAdobeF"/>
          <w:color w:val="auto"/>
          <w:sz w:val="2"/>
          <w:szCs w:val="2"/>
        </w:rPr>
        <w:t>693B</w:t>
      </w:r>
      <w:r w:rsidR="00D629FA">
        <w:rPr>
          <w:rFonts w:ascii="ZWAdobeF" w:hAnsi="ZWAdobeF" w:cs="ZWAdobeF"/>
          <w:color w:val="auto"/>
          <w:sz w:val="2"/>
          <w:szCs w:val="2"/>
        </w:rPr>
        <w:t>693B</w:t>
      </w:r>
      <w:r w:rsidR="00253C06" w:rsidRPr="00C835F7">
        <w:t>Accepting service of documents (which in practice, will involve authorising lawyers to accept service).</w:t>
      </w:r>
    </w:p>
    <w:p w14:paraId="63C293FD" w14:textId="4E7D2168" w:rsidR="00253C06" w:rsidRPr="00C835F7" w:rsidRDefault="00BD5C95" w:rsidP="00B73434">
      <w:pPr>
        <w:pStyle w:val="BodyTextnonum"/>
        <w:numPr>
          <w:ilvl w:val="3"/>
          <w:numId w:val="52"/>
        </w:numPr>
      </w:pPr>
      <w:r>
        <w:rPr>
          <w:rFonts w:ascii="ZWAdobeF" w:hAnsi="ZWAdobeF" w:cs="ZWAdobeF"/>
          <w:color w:val="auto"/>
          <w:sz w:val="2"/>
          <w:szCs w:val="2"/>
        </w:rPr>
        <w:t>694B</w:t>
      </w:r>
      <w:r w:rsidR="0049638A">
        <w:rPr>
          <w:rFonts w:ascii="ZWAdobeF" w:hAnsi="ZWAdobeF" w:cs="ZWAdobeF"/>
          <w:color w:val="auto"/>
          <w:sz w:val="2"/>
          <w:szCs w:val="2"/>
        </w:rPr>
        <w:t>694B</w:t>
      </w:r>
      <w:r w:rsidR="00D629FA">
        <w:rPr>
          <w:rFonts w:ascii="ZWAdobeF" w:hAnsi="ZWAdobeF" w:cs="ZWAdobeF"/>
          <w:color w:val="auto"/>
          <w:sz w:val="2"/>
          <w:szCs w:val="2"/>
        </w:rPr>
        <w:t>694B</w:t>
      </w:r>
      <w:r w:rsidR="00253C06" w:rsidRPr="00C835F7">
        <w:t>Liability for any award of adverse costs. In Aotearoa New Zealand, the losing party is generally liable for a portion of the successful party’s legal costs.</w:t>
      </w:r>
      <w:r w:rsidR="00D629FA">
        <w:rPr>
          <w:rFonts w:ascii="ZWAdobeF" w:hAnsi="ZWAdobeF" w:cs="ZWAdobeF"/>
          <w:color w:val="auto"/>
          <w:sz w:val="2"/>
          <w:szCs w:val="2"/>
        </w:rPr>
        <w:t>310F</w:t>
      </w:r>
      <w:r w:rsidR="0049638A">
        <w:rPr>
          <w:rFonts w:ascii="ZWAdobeF" w:hAnsi="ZWAdobeF" w:cs="ZWAdobeF"/>
          <w:color w:val="auto"/>
          <w:sz w:val="2"/>
          <w:szCs w:val="2"/>
        </w:rPr>
        <w:t>310F</w:t>
      </w:r>
      <w:r w:rsidR="00317AE4">
        <w:rPr>
          <w:rFonts w:ascii="ZWAdobeF" w:hAnsi="ZWAdobeF" w:cs="ZWAdobeF"/>
          <w:color w:val="auto"/>
          <w:sz w:val="2"/>
          <w:szCs w:val="2"/>
        </w:rPr>
        <w:t>310F</w:t>
      </w:r>
      <w:r w:rsidR="00253C06" w:rsidRPr="00C421B1">
        <w:rPr>
          <w:vertAlign w:val="superscript"/>
        </w:rPr>
        <w:footnoteReference w:id="312"/>
      </w:r>
      <w:r w:rsidR="00253C06" w:rsidRPr="00C835F7">
        <w:t xml:space="preserve"> </w:t>
      </w:r>
    </w:p>
    <w:p w14:paraId="3AB42E59" w14:textId="46519C9C" w:rsidR="00253C06" w:rsidRDefault="00BD5C95" w:rsidP="00B73434">
      <w:pPr>
        <w:pStyle w:val="BodyTextnonum"/>
        <w:numPr>
          <w:ilvl w:val="3"/>
          <w:numId w:val="52"/>
        </w:numPr>
      </w:pPr>
      <w:r>
        <w:rPr>
          <w:rFonts w:ascii="ZWAdobeF" w:hAnsi="ZWAdobeF" w:cs="ZWAdobeF"/>
          <w:color w:val="auto"/>
          <w:sz w:val="2"/>
          <w:szCs w:val="2"/>
        </w:rPr>
        <w:t>695B</w:t>
      </w:r>
      <w:r w:rsidR="0049638A">
        <w:rPr>
          <w:rFonts w:ascii="ZWAdobeF" w:hAnsi="ZWAdobeF" w:cs="ZWAdobeF"/>
          <w:color w:val="auto"/>
          <w:sz w:val="2"/>
          <w:szCs w:val="2"/>
        </w:rPr>
        <w:t>695B</w:t>
      </w:r>
      <w:r w:rsidR="00D629FA">
        <w:rPr>
          <w:rFonts w:ascii="ZWAdobeF" w:hAnsi="ZWAdobeF" w:cs="ZWAdobeF"/>
          <w:color w:val="auto"/>
          <w:sz w:val="2"/>
          <w:szCs w:val="2"/>
        </w:rPr>
        <w:t>695B</w:t>
      </w:r>
      <w:r w:rsidR="00253C06" w:rsidRPr="00C835F7">
        <w:t>Bein</w:t>
      </w:r>
      <w:r w:rsidR="00253C06">
        <w:t xml:space="preserve">g party to any settlement. </w:t>
      </w:r>
    </w:p>
    <w:p w14:paraId="2D62D337" w14:textId="3177686D" w:rsidR="00253C06" w:rsidRDefault="00BD5C95" w:rsidP="009B37CB">
      <w:pPr>
        <w:pStyle w:val="BodyText"/>
      </w:pPr>
      <w:r>
        <w:rPr>
          <w:rFonts w:ascii="ZWAdobeF" w:hAnsi="ZWAdobeF" w:cs="ZWAdobeF"/>
          <w:color w:val="auto"/>
          <w:sz w:val="2"/>
          <w:szCs w:val="2"/>
        </w:rPr>
        <w:t>198B</w:t>
      </w:r>
      <w:r w:rsidR="0049638A">
        <w:rPr>
          <w:rFonts w:ascii="ZWAdobeF" w:hAnsi="ZWAdobeF" w:cs="ZWAdobeF"/>
          <w:color w:val="auto"/>
          <w:sz w:val="2"/>
          <w:szCs w:val="2"/>
        </w:rPr>
        <w:t>198B</w:t>
      </w:r>
      <w:r w:rsidR="00D629FA">
        <w:rPr>
          <w:rFonts w:ascii="ZWAdobeF" w:hAnsi="ZWAdobeF" w:cs="ZWAdobeF"/>
          <w:color w:val="auto"/>
          <w:sz w:val="2"/>
          <w:szCs w:val="2"/>
        </w:rPr>
        <w:t>198B</w:t>
      </w:r>
      <w:r w:rsidR="00253C06">
        <w:t xml:space="preserve">If the </w:t>
      </w:r>
      <w:r w:rsidR="00FC5A6D">
        <w:t xml:space="preserve">party </w:t>
      </w:r>
      <w:r w:rsidR="00253C06">
        <w:t>is represented in the proceeding by a lawyer, they must also enter into a retainer with that lawyer and provide instructions.</w:t>
      </w:r>
      <w:r w:rsidR="00D629FA">
        <w:rPr>
          <w:rFonts w:ascii="ZWAdobeF" w:hAnsi="ZWAdobeF" w:cs="ZWAdobeF"/>
          <w:color w:val="auto"/>
          <w:sz w:val="2"/>
          <w:szCs w:val="2"/>
        </w:rPr>
        <w:t>311F</w:t>
      </w:r>
      <w:r w:rsidR="0049638A">
        <w:rPr>
          <w:rFonts w:ascii="ZWAdobeF" w:hAnsi="ZWAdobeF" w:cs="ZWAdobeF"/>
          <w:color w:val="auto"/>
          <w:sz w:val="2"/>
          <w:szCs w:val="2"/>
        </w:rPr>
        <w:t>311F</w:t>
      </w:r>
      <w:r w:rsidR="00317AE4">
        <w:rPr>
          <w:rFonts w:ascii="ZWAdobeF" w:hAnsi="ZWAdobeF" w:cs="ZWAdobeF"/>
          <w:color w:val="auto"/>
          <w:sz w:val="2"/>
          <w:szCs w:val="2"/>
        </w:rPr>
        <w:t>311F</w:t>
      </w:r>
      <w:r w:rsidR="00253C06">
        <w:rPr>
          <w:rStyle w:val="FootnoteReference"/>
        </w:rPr>
        <w:footnoteReference w:id="313"/>
      </w:r>
      <w:r w:rsidR="00253C06">
        <w:t xml:space="preserve"> </w:t>
      </w:r>
    </w:p>
    <w:p w14:paraId="434DB860" w14:textId="77777777" w:rsidR="00253C06" w:rsidRDefault="00253C06" w:rsidP="009A4A15">
      <w:pPr>
        <w:pStyle w:val="Heading4"/>
      </w:pPr>
      <w:r>
        <w:t xml:space="preserve">Role as the class representative </w:t>
      </w:r>
    </w:p>
    <w:p w14:paraId="17A71B16" w14:textId="4CEDE8AD" w:rsidR="00253C06" w:rsidRDefault="00BD5C95" w:rsidP="009B37CB">
      <w:pPr>
        <w:pStyle w:val="BodyText"/>
      </w:pPr>
      <w:r>
        <w:rPr>
          <w:rFonts w:ascii="ZWAdobeF" w:hAnsi="ZWAdobeF" w:cs="ZWAdobeF"/>
          <w:color w:val="auto"/>
          <w:sz w:val="2"/>
          <w:szCs w:val="2"/>
        </w:rPr>
        <w:t>199B</w:t>
      </w:r>
      <w:r w:rsidR="0049638A">
        <w:rPr>
          <w:rFonts w:ascii="ZWAdobeF" w:hAnsi="ZWAdobeF" w:cs="ZWAdobeF"/>
          <w:color w:val="auto"/>
          <w:sz w:val="2"/>
          <w:szCs w:val="2"/>
        </w:rPr>
        <w:t>199B</w:t>
      </w:r>
      <w:r w:rsidR="00D629FA">
        <w:rPr>
          <w:rFonts w:ascii="ZWAdobeF" w:hAnsi="ZWAdobeF" w:cs="ZWAdobeF"/>
          <w:color w:val="auto"/>
          <w:sz w:val="2"/>
          <w:szCs w:val="2"/>
        </w:rPr>
        <w:t>199B</w:t>
      </w:r>
      <w:r w:rsidR="00253C06">
        <w:t>The representative plaintiff in a class action represents all class members and needs to act on their behalf and in their interests. In some jurisdictions, this means the role of the representative plaintiff carries fiduciary obligations.</w:t>
      </w:r>
      <w:r w:rsidR="00D629FA">
        <w:rPr>
          <w:rFonts w:ascii="ZWAdobeF" w:hAnsi="ZWAdobeF" w:cs="ZWAdobeF"/>
          <w:color w:val="auto"/>
          <w:sz w:val="2"/>
          <w:szCs w:val="2"/>
        </w:rPr>
        <w:t>312F</w:t>
      </w:r>
      <w:r w:rsidR="0049638A">
        <w:rPr>
          <w:rFonts w:ascii="ZWAdobeF" w:hAnsi="ZWAdobeF" w:cs="ZWAdobeF"/>
          <w:color w:val="auto"/>
          <w:sz w:val="2"/>
          <w:szCs w:val="2"/>
        </w:rPr>
        <w:t>312F</w:t>
      </w:r>
      <w:r w:rsidR="00317AE4">
        <w:rPr>
          <w:rFonts w:ascii="ZWAdobeF" w:hAnsi="ZWAdobeF" w:cs="ZWAdobeF"/>
          <w:color w:val="auto"/>
          <w:sz w:val="2"/>
          <w:szCs w:val="2"/>
        </w:rPr>
        <w:t>312F</w:t>
      </w:r>
      <w:r w:rsidR="00253C06">
        <w:rPr>
          <w:rStyle w:val="FootnoteReference"/>
        </w:rPr>
        <w:footnoteReference w:id="314"/>
      </w:r>
      <w:r w:rsidR="00253C06">
        <w:t xml:space="preserve"> </w:t>
      </w:r>
    </w:p>
    <w:p w14:paraId="00C6D72A" w14:textId="67B8D8D7" w:rsidR="00253C06" w:rsidRDefault="00BD5C95" w:rsidP="009B37CB">
      <w:pPr>
        <w:pStyle w:val="BodyText"/>
      </w:pPr>
      <w:r>
        <w:rPr>
          <w:rFonts w:ascii="ZWAdobeF" w:hAnsi="ZWAdobeF" w:cs="ZWAdobeF"/>
          <w:color w:val="auto"/>
          <w:sz w:val="2"/>
          <w:szCs w:val="2"/>
        </w:rPr>
        <w:t>200B</w:t>
      </w:r>
      <w:r w:rsidR="0049638A">
        <w:rPr>
          <w:rFonts w:ascii="ZWAdobeF" w:hAnsi="ZWAdobeF" w:cs="ZWAdobeF"/>
          <w:color w:val="auto"/>
          <w:sz w:val="2"/>
          <w:szCs w:val="2"/>
        </w:rPr>
        <w:t>200B</w:t>
      </w:r>
      <w:r w:rsidR="00D629FA">
        <w:rPr>
          <w:rFonts w:ascii="ZWAdobeF" w:hAnsi="ZWAdobeF" w:cs="ZWAdobeF"/>
          <w:color w:val="auto"/>
          <w:sz w:val="2"/>
          <w:szCs w:val="2"/>
        </w:rPr>
        <w:t>200B</w:t>
      </w:r>
      <w:r w:rsidR="00253C06">
        <w:t>In Aotearoa New Zealand, a relationship can be fiduciary either because it falls within one of the established categories of fiduciary relationship (such as trustee-beneficiary)</w:t>
      </w:r>
      <w:r w:rsidR="00D629FA">
        <w:rPr>
          <w:rFonts w:ascii="ZWAdobeF" w:hAnsi="ZWAdobeF" w:cs="ZWAdobeF"/>
          <w:color w:val="auto"/>
          <w:sz w:val="2"/>
          <w:szCs w:val="2"/>
        </w:rPr>
        <w:t>313F</w:t>
      </w:r>
      <w:r w:rsidR="0049638A">
        <w:rPr>
          <w:rFonts w:ascii="ZWAdobeF" w:hAnsi="ZWAdobeF" w:cs="ZWAdobeF"/>
          <w:color w:val="auto"/>
          <w:sz w:val="2"/>
          <w:szCs w:val="2"/>
        </w:rPr>
        <w:t>313F</w:t>
      </w:r>
      <w:r w:rsidR="00317AE4">
        <w:rPr>
          <w:rFonts w:ascii="ZWAdobeF" w:hAnsi="ZWAdobeF" w:cs="ZWAdobeF"/>
          <w:color w:val="auto"/>
          <w:sz w:val="2"/>
          <w:szCs w:val="2"/>
        </w:rPr>
        <w:t>313F</w:t>
      </w:r>
      <w:r w:rsidR="00253C06">
        <w:rPr>
          <w:rStyle w:val="FootnoteReference"/>
        </w:rPr>
        <w:footnoteReference w:id="315"/>
      </w:r>
      <w:r w:rsidR="00253C06">
        <w:t xml:space="preserve"> or because it has been recognised as such on a case-by-case basis.</w:t>
      </w:r>
      <w:r w:rsidR="00D629FA">
        <w:rPr>
          <w:rFonts w:ascii="ZWAdobeF" w:hAnsi="ZWAdobeF" w:cs="ZWAdobeF"/>
          <w:color w:val="auto"/>
          <w:sz w:val="2"/>
          <w:szCs w:val="2"/>
        </w:rPr>
        <w:t>314F</w:t>
      </w:r>
      <w:r w:rsidR="0049638A">
        <w:rPr>
          <w:rFonts w:ascii="ZWAdobeF" w:hAnsi="ZWAdobeF" w:cs="ZWAdobeF"/>
          <w:color w:val="auto"/>
          <w:sz w:val="2"/>
          <w:szCs w:val="2"/>
        </w:rPr>
        <w:t>314F</w:t>
      </w:r>
      <w:r w:rsidR="00317AE4">
        <w:rPr>
          <w:rFonts w:ascii="ZWAdobeF" w:hAnsi="ZWAdobeF" w:cs="ZWAdobeF"/>
          <w:color w:val="auto"/>
          <w:sz w:val="2"/>
          <w:szCs w:val="2"/>
        </w:rPr>
        <w:t>314F</w:t>
      </w:r>
      <w:r w:rsidR="00253C06">
        <w:rPr>
          <w:rStyle w:val="FootnoteReference"/>
        </w:rPr>
        <w:footnoteReference w:id="316"/>
      </w:r>
      <w:r w:rsidR="00253C06">
        <w:t xml:space="preserve"> Courts have not </w:t>
      </w:r>
      <w:r w:rsidR="00253C06">
        <w:lastRenderedPageBreak/>
        <w:t>directly considered whether there is a fiduciary relationship between a representative plaintiff and a group member in a representative action under HCR 4.24.</w:t>
      </w:r>
      <w:r w:rsidR="00D629FA">
        <w:rPr>
          <w:rFonts w:ascii="ZWAdobeF" w:hAnsi="ZWAdobeF" w:cs="ZWAdobeF"/>
          <w:color w:val="auto"/>
          <w:sz w:val="2"/>
          <w:szCs w:val="2"/>
        </w:rPr>
        <w:t>315F</w:t>
      </w:r>
      <w:r w:rsidR="0049638A">
        <w:rPr>
          <w:rFonts w:ascii="ZWAdobeF" w:hAnsi="ZWAdobeF" w:cs="ZWAdobeF"/>
          <w:color w:val="auto"/>
          <w:sz w:val="2"/>
          <w:szCs w:val="2"/>
        </w:rPr>
        <w:t>315F</w:t>
      </w:r>
      <w:r w:rsidR="00317AE4">
        <w:rPr>
          <w:rFonts w:ascii="ZWAdobeF" w:hAnsi="ZWAdobeF" w:cs="ZWAdobeF"/>
          <w:color w:val="auto"/>
          <w:sz w:val="2"/>
          <w:szCs w:val="2"/>
        </w:rPr>
        <w:t>315F</w:t>
      </w:r>
      <w:r w:rsidR="00253C06">
        <w:rPr>
          <w:rStyle w:val="FootnoteReference"/>
        </w:rPr>
        <w:footnoteReference w:id="317"/>
      </w:r>
      <w:r w:rsidR="00253C06">
        <w:t xml:space="preserve"> </w:t>
      </w:r>
    </w:p>
    <w:p w14:paraId="67391443" w14:textId="3ECECB20" w:rsidR="00253C06" w:rsidRDefault="00BD5C95" w:rsidP="009B37CB">
      <w:pPr>
        <w:pStyle w:val="BodyText"/>
      </w:pPr>
      <w:r>
        <w:rPr>
          <w:rFonts w:ascii="ZWAdobeF" w:hAnsi="ZWAdobeF" w:cs="ZWAdobeF"/>
          <w:color w:val="auto"/>
          <w:sz w:val="2"/>
          <w:szCs w:val="2"/>
        </w:rPr>
        <w:t>201B</w:t>
      </w:r>
      <w:r w:rsidR="0049638A">
        <w:rPr>
          <w:rFonts w:ascii="ZWAdobeF" w:hAnsi="ZWAdobeF" w:cs="ZWAdobeF"/>
          <w:color w:val="auto"/>
          <w:sz w:val="2"/>
          <w:szCs w:val="2"/>
        </w:rPr>
        <w:t>201B</w:t>
      </w:r>
      <w:r w:rsidR="00D629FA">
        <w:rPr>
          <w:rFonts w:ascii="ZWAdobeF" w:hAnsi="ZWAdobeF" w:cs="ZWAdobeF"/>
          <w:color w:val="auto"/>
          <w:sz w:val="2"/>
          <w:szCs w:val="2"/>
        </w:rPr>
        <w:t>201B</w:t>
      </w:r>
      <w:r w:rsidR="00253C06">
        <w:t>We think it is likely the representative plaintiff’s role in a class action has a fiduciary aspect to it. Class</w:t>
      </w:r>
      <w:r w:rsidR="00253C06" w:rsidRPr="003C51DC">
        <w:t xml:space="preserve"> members, as non-parties, are reliant on the representative plaintiff to prosecute the action for them.</w:t>
      </w:r>
      <w:r w:rsidR="00253C06">
        <w:t xml:space="preserve"> As well, the representative plaintiff can affect class members’ legal interests, given that a </w:t>
      </w:r>
      <w:r w:rsidR="00253C06" w:rsidRPr="00FB0A66">
        <w:t xml:space="preserve">judgment on the common issues </w:t>
      </w:r>
      <w:r w:rsidR="00253C06">
        <w:t>will</w:t>
      </w:r>
      <w:r w:rsidR="00253C06" w:rsidRPr="00FB0A66">
        <w:t xml:space="preserve"> bind class members</w:t>
      </w:r>
      <w:r w:rsidR="00253C06">
        <w:t xml:space="preserve"> and a representative plaintiff can settle a claim on behalf of the class</w:t>
      </w:r>
      <w:r w:rsidR="00253C06" w:rsidRPr="00FB0A66">
        <w:t xml:space="preserve">. </w:t>
      </w:r>
      <w:r w:rsidR="00253C06">
        <w:t>The High Court of Australia has noted that other representative roles (such as representation by an agent, trustee or guardian) typically involve the imposition of fiduciary duties on the representative, court oversight, or both.</w:t>
      </w:r>
      <w:r w:rsidR="00D629FA">
        <w:rPr>
          <w:rFonts w:ascii="ZWAdobeF" w:hAnsi="ZWAdobeF" w:cs="ZWAdobeF"/>
          <w:color w:val="auto"/>
          <w:sz w:val="2"/>
          <w:szCs w:val="2"/>
        </w:rPr>
        <w:t>316F</w:t>
      </w:r>
      <w:r w:rsidR="0049638A">
        <w:rPr>
          <w:rFonts w:ascii="ZWAdobeF" w:hAnsi="ZWAdobeF" w:cs="ZWAdobeF"/>
          <w:color w:val="auto"/>
          <w:sz w:val="2"/>
          <w:szCs w:val="2"/>
        </w:rPr>
        <w:t>316F</w:t>
      </w:r>
      <w:r w:rsidR="00317AE4">
        <w:rPr>
          <w:rFonts w:ascii="ZWAdobeF" w:hAnsi="ZWAdobeF" w:cs="ZWAdobeF"/>
          <w:color w:val="auto"/>
          <w:sz w:val="2"/>
          <w:szCs w:val="2"/>
        </w:rPr>
        <w:t>316F</w:t>
      </w:r>
      <w:r w:rsidR="00253C06">
        <w:rPr>
          <w:rStyle w:val="FootnoteReference"/>
        </w:rPr>
        <w:footnoteReference w:id="318"/>
      </w:r>
      <w:r w:rsidR="00253C06">
        <w:t xml:space="preserve"> The roles of agent and trustee are established categories of fiduciary relationship.</w:t>
      </w:r>
      <w:r w:rsidR="00D629FA">
        <w:rPr>
          <w:rFonts w:ascii="ZWAdobeF" w:hAnsi="ZWAdobeF" w:cs="ZWAdobeF"/>
          <w:color w:val="auto"/>
          <w:sz w:val="2"/>
          <w:szCs w:val="2"/>
        </w:rPr>
        <w:t>317F</w:t>
      </w:r>
      <w:r w:rsidR="0049638A">
        <w:rPr>
          <w:rFonts w:ascii="ZWAdobeF" w:hAnsi="ZWAdobeF" w:cs="ZWAdobeF"/>
          <w:color w:val="auto"/>
          <w:sz w:val="2"/>
          <w:szCs w:val="2"/>
        </w:rPr>
        <w:t>317F</w:t>
      </w:r>
      <w:r w:rsidR="00317AE4">
        <w:rPr>
          <w:rFonts w:ascii="ZWAdobeF" w:hAnsi="ZWAdobeF" w:cs="ZWAdobeF"/>
          <w:color w:val="auto"/>
          <w:sz w:val="2"/>
          <w:szCs w:val="2"/>
        </w:rPr>
        <w:t>317F</w:t>
      </w:r>
      <w:r w:rsidR="00253C06">
        <w:rPr>
          <w:rStyle w:val="FootnoteReference"/>
        </w:rPr>
        <w:footnoteReference w:id="319"/>
      </w:r>
    </w:p>
    <w:p w14:paraId="13CB3C6A" w14:textId="7DC0F7BD" w:rsidR="00253C06" w:rsidRDefault="00BD5C95" w:rsidP="009B37CB">
      <w:pPr>
        <w:pStyle w:val="BodyText"/>
      </w:pPr>
      <w:r>
        <w:rPr>
          <w:rFonts w:ascii="ZWAdobeF" w:hAnsi="ZWAdobeF" w:cs="ZWAdobeF"/>
          <w:color w:val="auto"/>
          <w:sz w:val="2"/>
          <w:szCs w:val="2"/>
        </w:rPr>
        <w:t>202B</w:t>
      </w:r>
      <w:r w:rsidR="0049638A">
        <w:rPr>
          <w:rFonts w:ascii="ZWAdobeF" w:hAnsi="ZWAdobeF" w:cs="ZWAdobeF"/>
          <w:color w:val="auto"/>
          <w:sz w:val="2"/>
          <w:szCs w:val="2"/>
        </w:rPr>
        <w:t>202B</w:t>
      </w:r>
      <w:r w:rsidR="00D629FA">
        <w:rPr>
          <w:rFonts w:ascii="ZWAdobeF" w:hAnsi="ZWAdobeF" w:cs="ZWAdobeF"/>
          <w:color w:val="auto"/>
          <w:sz w:val="2"/>
          <w:szCs w:val="2"/>
        </w:rPr>
        <w:t>202B</w:t>
      </w:r>
      <w:r w:rsidR="00253C06">
        <w:t>If the representative plaintiff has fiduciary obligations to class members, the contents of those obligations needs consideration.</w:t>
      </w:r>
      <w:r w:rsidR="00D629FA">
        <w:rPr>
          <w:rFonts w:ascii="ZWAdobeF" w:hAnsi="ZWAdobeF" w:cs="ZWAdobeF"/>
          <w:color w:val="auto"/>
          <w:sz w:val="2"/>
          <w:szCs w:val="2"/>
        </w:rPr>
        <w:t>318F</w:t>
      </w:r>
      <w:r w:rsidR="0049638A">
        <w:rPr>
          <w:rFonts w:ascii="ZWAdobeF" w:hAnsi="ZWAdobeF" w:cs="ZWAdobeF"/>
          <w:color w:val="auto"/>
          <w:sz w:val="2"/>
          <w:szCs w:val="2"/>
        </w:rPr>
        <w:t>318F</w:t>
      </w:r>
      <w:r w:rsidR="00317AE4">
        <w:rPr>
          <w:rFonts w:ascii="ZWAdobeF" w:hAnsi="ZWAdobeF" w:cs="ZWAdobeF"/>
          <w:color w:val="auto"/>
          <w:sz w:val="2"/>
          <w:szCs w:val="2"/>
        </w:rPr>
        <w:t>318F</w:t>
      </w:r>
      <w:r w:rsidR="00253C06">
        <w:rPr>
          <w:rStyle w:val="FootnoteReference"/>
        </w:rPr>
        <w:footnoteReference w:id="320"/>
      </w:r>
      <w:r w:rsidR="00253C06">
        <w:t xml:space="preserve"> At a general level, core fiduciary duties are:</w:t>
      </w:r>
      <w:r w:rsidR="00D629FA">
        <w:rPr>
          <w:rFonts w:ascii="ZWAdobeF" w:hAnsi="ZWAdobeF" w:cs="ZWAdobeF"/>
          <w:color w:val="auto"/>
          <w:sz w:val="2"/>
          <w:szCs w:val="2"/>
        </w:rPr>
        <w:t>319F</w:t>
      </w:r>
      <w:r w:rsidR="0049638A">
        <w:rPr>
          <w:rFonts w:ascii="ZWAdobeF" w:hAnsi="ZWAdobeF" w:cs="ZWAdobeF"/>
          <w:color w:val="auto"/>
          <w:sz w:val="2"/>
          <w:szCs w:val="2"/>
        </w:rPr>
        <w:t>319F</w:t>
      </w:r>
      <w:r w:rsidR="00317AE4">
        <w:rPr>
          <w:rFonts w:ascii="ZWAdobeF" w:hAnsi="ZWAdobeF" w:cs="ZWAdobeF"/>
          <w:color w:val="auto"/>
          <w:sz w:val="2"/>
          <w:szCs w:val="2"/>
        </w:rPr>
        <w:t>319F</w:t>
      </w:r>
      <w:r w:rsidR="00253C06">
        <w:rPr>
          <w:rStyle w:val="FootnoteReference"/>
        </w:rPr>
        <w:footnoteReference w:id="321"/>
      </w:r>
      <w:r w:rsidR="00253C06">
        <w:t xml:space="preserve"> </w:t>
      </w:r>
    </w:p>
    <w:p w14:paraId="76D966ED" w14:textId="4B99225E" w:rsidR="00253C06" w:rsidRDefault="00BD5C95" w:rsidP="00B73434">
      <w:pPr>
        <w:pStyle w:val="BodyTextnonum"/>
        <w:numPr>
          <w:ilvl w:val="3"/>
          <w:numId w:val="52"/>
        </w:numPr>
      </w:pPr>
      <w:r>
        <w:rPr>
          <w:rFonts w:ascii="ZWAdobeF" w:hAnsi="ZWAdobeF" w:cs="ZWAdobeF"/>
          <w:color w:val="auto"/>
          <w:sz w:val="2"/>
          <w:szCs w:val="2"/>
        </w:rPr>
        <w:t>696B</w:t>
      </w:r>
      <w:r w:rsidR="0049638A">
        <w:rPr>
          <w:rFonts w:ascii="ZWAdobeF" w:hAnsi="ZWAdobeF" w:cs="ZWAdobeF"/>
          <w:color w:val="auto"/>
          <w:sz w:val="2"/>
          <w:szCs w:val="2"/>
        </w:rPr>
        <w:t>696B</w:t>
      </w:r>
      <w:r w:rsidR="00D629FA">
        <w:rPr>
          <w:rFonts w:ascii="ZWAdobeF" w:hAnsi="ZWAdobeF" w:cs="ZWAdobeF"/>
          <w:color w:val="auto"/>
          <w:sz w:val="2"/>
          <w:szCs w:val="2"/>
        </w:rPr>
        <w:t>696B</w:t>
      </w:r>
      <w:r w:rsidR="00253C06">
        <w:t>To avoid unauthorised personal profit or benefit from the relationship.</w:t>
      </w:r>
    </w:p>
    <w:p w14:paraId="0D4E89B0" w14:textId="6F8B3C67" w:rsidR="00253C06" w:rsidRDefault="00BD5C95" w:rsidP="00B73434">
      <w:pPr>
        <w:pStyle w:val="BodyTextnonum"/>
        <w:numPr>
          <w:ilvl w:val="3"/>
          <w:numId w:val="52"/>
        </w:numPr>
      </w:pPr>
      <w:r>
        <w:rPr>
          <w:rFonts w:ascii="ZWAdobeF" w:hAnsi="ZWAdobeF" w:cs="ZWAdobeF"/>
          <w:color w:val="auto"/>
          <w:sz w:val="2"/>
          <w:szCs w:val="2"/>
        </w:rPr>
        <w:t>697B</w:t>
      </w:r>
      <w:r w:rsidR="0049638A">
        <w:rPr>
          <w:rFonts w:ascii="ZWAdobeF" w:hAnsi="ZWAdobeF" w:cs="ZWAdobeF"/>
          <w:color w:val="auto"/>
          <w:sz w:val="2"/>
          <w:szCs w:val="2"/>
        </w:rPr>
        <w:t>697B</w:t>
      </w:r>
      <w:r w:rsidR="00D629FA">
        <w:rPr>
          <w:rFonts w:ascii="ZWAdobeF" w:hAnsi="ZWAdobeF" w:cs="ZWAdobeF"/>
          <w:color w:val="auto"/>
          <w:sz w:val="2"/>
          <w:szCs w:val="2"/>
        </w:rPr>
        <w:t>697B</w:t>
      </w:r>
      <w:r w:rsidR="00253C06">
        <w:t>To avoid conflict between personal interest and duty to the beneficiary.</w:t>
      </w:r>
    </w:p>
    <w:p w14:paraId="1904D485" w14:textId="4B21ECEE" w:rsidR="00253C06" w:rsidRDefault="00BD5C95" w:rsidP="00B73434">
      <w:pPr>
        <w:pStyle w:val="BodyTextnonum"/>
        <w:numPr>
          <w:ilvl w:val="3"/>
          <w:numId w:val="52"/>
        </w:numPr>
      </w:pPr>
      <w:r>
        <w:rPr>
          <w:rFonts w:ascii="ZWAdobeF" w:hAnsi="ZWAdobeF" w:cs="ZWAdobeF"/>
          <w:color w:val="auto"/>
          <w:sz w:val="2"/>
          <w:szCs w:val="2"/>
        </w:rPr>
        <w:t>698B</w:t>
      </w:r>
      <w:r w:rsidR="0049638A">
        <w:rPr>
          <w:rFonts w:ascii="ZWAdobeF" w:hAnsi="ZWAdobeF" w:cs="ZWAdobeF"/>
          <w:color w:val="auto"/>
          <w:sz w:val="2"/>
          <w:szCs w:val="2"/>
        </w:rPr>
        <w:t>698B</w:t>
      </w:r>
      <w:r w:rsidR="00D629FA">
        <w:rPr>
          <w:rFonts w:ascii="ZWAdobeF" w:hAnsi="ZWAdobeF" w:cs="ZWAdobeF"/>
          <w:color w:val="auto"/>
          <w:sz w:val="2"/>
          <w:szCs w:val="2"/>
        </w:rPr>
        <w:t>698B</w:t>
      </w:r>
      <w:r w:rsidR="00253C06">
        <w:t>To avoid divided loyalties.</w:t>
      </w:r>
    </w:p>
    <w:p w14:paraId="6959B2E7" w14:textId="7FDFE35A" w:rsidR="00253C06" w:rsidRDefault="00BD5C95" w:rsidP="00B73434">
      <w:pPr>
        <w:pStyle w:val="BodyTextnonum"/>
        <w:numPr>
          <w:ilvl w:val="3"/>
          <w:numId w:val="52"/>
        </w:numPr>
      </w:pPr>
      <w:r>
        <w:rPr>
          <w:rFonts w:ascii="ZWAdobeF" w:hAnsi="ZWAdobeF" w:cs="ZWAdobeF"/>
          <w:color w:val="auto"/>
          <w:sz w:val="2"/>
          <w:szCs w:val="2"/>
        </w:rPr>
        <w:t>699B</w:t>
      </w:r>
      <w:r w:rsidR="0049638A">
        <w:rPr>
          <w:rFonts w:ascii="ZWAdobeF" w:hAnsi="ZWAdobeF" w:cs="ZWAdobeF"/>
          <w:color w:val="auto"/>
          <w:sz w:val="2"/>
          <w:szCs w:val="2"/>
        </w:rPr>
        <w:t>699B</w:t>
      </w:r>
      <w:r w:rsidR="00D629FA">
        <w:rPr>
          <w:rFonts w:ascii="ZWAdobeF" w:hAnsi="ZWAdobeF" w:cs="ZWAdobeF"/>
          <w:color w:val="auto"/>
          <w:sz w:val="2"/>
          <w:szCs w:val="2"/>
        </w:rPr>
        <w:t>699B</w:t>
      </w:r>
      <w:r w:rsidR="00253C06">
        <w:t xml:space="preserve">To report to the beneficiary when a breach of fiduciary duty has been committed by the fiduciary. </w:t>
      </w:r>
    </w:p>
    <w:p w14:paraId="4835FB20" w14:textId="6EED0BB0" w:rsidR="00253C06" w:rsidRDefault="00BD5C95" w:rsidP="009B37CB">
      <w:pPr>
        <w:pStyle w:val="BodyText"/>
      </w:pPr>
      <w:r>
        <w:rPr>
          <w:rFonts w:ascii="ZWAdobeF" w:hAnsi="ZWAdobeF" w:cs="ZWAdobeF"/>
          <w:color w:val="auto"/>
          <w:sz w:val="2"/>
          <w:szCs w:val="2"/>
        </w:rPr>
        <w:t>203B</w:t>
      </w:r>
      <w:r w:rsidR="0049638A">
        <w:rPr>
          <w:rFonts w:ascii="ZWAdobeF" w:hAnsi="ZWAdobeF" w:cs="ZWAdobeF"/>
          <w:color w:val="auto"/>
          <w:sz w:val="2"/>
          <w:szCs w:val="2"/>
        </w:rPr>
        <w:t>203B</w:t>
      </w:r>
      <w:r w:rsidR="00D629FA">
        <w:rPr>
          <w:rFonts w:ascii="ZWAdobeF" w:hAnsi="ZWAdobeF" w:cs="ZWAdobeF"/>
          <w:color w:val="auto"/>
          <w:sz w:val="2"/>
          <w:szCs w:val="2"/>
        </w:rPr>
        <w:t>203B</w:t>
      </w:r>
      <w:r w:rsidR="00253C06">
        <w:t>Many of these duties fit with our proposed requirement that a representative plaintiff must fairly and adequately represent the class.</w:t>
      </w:r>
      <w:r w:rsidR="00D629FA">
        <w:rPr>
          <w:rFonts w:ascii="ZWAdobeF" w:hAnsi="ZWAdobeF" w:cs="ZWAdobeF"/>
          <w:color w:val="auto"/>
          <w:sz w:val="2"/>
          <w:szCs w:val="2"/>
        </w:rPr>
        <w:t>320F</w:t>
      </w:r>
      <w:r w:rsidR="0049638A">
        <w:rPr>
          <w:rFonts w:ascii="ZWAdobeF" w:hAnsi="ZWAdobeF" w:cs="ZWAdobeF"/>
          <w:color w:val="auto"/>
          <w:sz w:val="2"/>
          <w:szCs w:val="2"/>
        </w:rPr>
        <w:t>320F</w:t>
      </w:r>
      <w:r w:rsidR="00317AE4">
        <w:rPr>
          <w:rFonts w:ascii="ZWAdobeF" w:hAnsi="ZWAdobeF" w:cs="ZWAdobeF"/>
          <w:color w:val="auto"/>
          <w:sz w:val="2"/>
          <w:szCs w:val="2"/>
        </w:rPr>
        <w:t>320F</w:t>
      </w:r>
      <w:r w:rsidR="00253C06">
        <w:rPr>
          <w:rStyle w:val="FootnoteReference"/>
        </w:rPr>
        <w:footnoteReference w:id="322"/>
      </w:r>
      <w:r w:rsidR="00253C06" w:rsidDel="000E0622">
        <w:t xml:space="preserve"> </w:t>
      </w:r>
      <w:r w:rsidR="00253C06">
        <w:t>We also think the representative plaintiff could, in acting in the best interests of the class, take reasonable steps to ensure</w:t>
      </w:r>
      <w:r w:rsidR="00253C06" w:rsidRPr="006033AD">
        <w:t xml:space="preserve"> that legal fees incurred on their behalf are reasonable and appropriat</w:t>
      </w:r>
      <w:r w:rsidR="00253C06">
        <w:t xml:space="preserve">e. </w:t>
      </w:r>
    </w:p>
    <w:p w14:paraId="59EFE40C" w14:textId="77777777" w:rsidR="00253C06" w:rsidRDefault="00253C06" w:rsidP="00BA3420">
      <w:pPr>
        <w:pStyle w:val="Heading4"/>
      </w:pPr>
      <w:r>
        <w:t>Requirements of a class actions regime</w:t>
      </w:r>
    </w:p>
    <w:p w14:paraId="630C9000" w14:textId="16E64CDC" w:rsidR="00253C06" w:rsidRDefault="00BD5C95" w:rsidP="009B37CB">
      <w:pPr>
        <w:pStyle w:val="BodyText"/>
      </w:pPr>
      <w:r>
        <w:rPr>
          <w:rFonts w:ascii="ZWAdobeF" w:hAnsi="ZWAdobeF" w:cs="ZWAdobeF"/>
          <w:color w:val="auto"/>
          <w:sz w:val="2"/>
          <w:szCs w:val="2"/>
        </w:rPr>
        <w:t>204B</w:t>
      </w:r>
      <w:r w:rsidR="0049638A">
        <w:rPr>
          <w:rFonts w:ascii="ZWAdobeF" w:hAnsi="ZWAdobeF" w:cs="ZWAdobeF"/>
          <w:color w:val="auto"/>
          <w:sz w:val="2"/>
          <w:szCs w:val="2"/>
        </w:rPr>
        <w:t>204B</w:t>
      </w:r>
      <w:r w:rsidR="00D629FA">
        <w:rPr>
          <w:rFonts w:ascii="ZWAdobeF" w:hAnsi="ZWAdobeF" w:cs="ZWAdobeF"/>
          <w:color w:val="auto"/>
          <w:sz w:val="2"/>
          <w:szCs w:val="2"/>
        </w:rPr>
        <w:t>204B</w:t>
      </w:r>
      <w:r w:rsidR="00253C06">
        <w:t>Class actions legislation and rules could also impose obligations on the representative plaintiff. As we discuss in our Issues Paper, our main comparator jurisdictions require the representative plaintiff to provide adequate representation and avoid conflicts of interest.</w:t>
      </w:r>
      <w:r w:rsidR="00D629FA">
        <w:rPr>
          <w:rFonts w:ascii="ZWAdobeF" w:hAnsi="ZWAdobeF" w:cs="ZWAdobeF"/>
          <w:color w:val="auto"/>
          <w:sz w:val="2"/>
          <w:szCs w:val="2"/>
        </w:rPr>
        <w:t>321F</w:t>
      </w:r>
      <w:r w:rsidR="0049638A">
        <w:rPr>
          <w:rFonts w:ascii="ZWAdobeF" w:hAnsi="ZWAdobeF" w:cs="ZWAdobeF"/>
          <w:color w:val="auto"/>
          <w:sz w:val="2"/>
          <w:szCs w:val="2"/>
        </w:rPr>
        <w:t>321F</w:t>
      </w:r>
      <w:r w:rsidR="00317AE4">
        <w:rPr>
          <w:rFonts w:ascii="ZWAdobeF" w:hAnsi="ZWAdobeF" w:cs="ZWAdobeF"/>
          <w:color w:val="auto"/>
          <w:sz w:val="2"/>
          <w:szCs w:val="2"/>
        </w:rPr>
        <w:t>321F</w:t>
      </w:r>
      <w:r w:rsidR="009862F9">
        <w:rPr>
          <w:rStyle w:val="FootnoteReference"/>
        </w:rPr>
        <w:footnoteReference w:id="323"/>
      </w:r>
      <w:r w:rsidR="00253C06">
        <w:t xml:space="preserve"> The certification test we have proposed in Chapter 1 requires a representative plaintiff to fairly and adequately represent the class, which requires a court to consider whether there are any conflicts of interest which would prevent them from properly </w:t>
      </w:r>
      <w:r w:rsidR="00253C06">
        <w:lastRenderedPageBreak/>
        <w:t xml:space="preserve">fulfilling their role. Similarly, in Chapter 6, we propose that any settlement must be approved by a court. This means the representative plaintiff (along with the defendant) must apply to settle the proceeding. </w:t>
      </w:r>
    </w:p>
    <w:p w14:paraId="73FD4290" w14:textId="77777777" w:rsidR="00253C06" w:rsidRDefault="00253C06" w:rsidP="00BA3420">
      <w:pPr>
        <w:pStyle w:val="Heading4"/>
      </w:pPr>
      <w:r>
        <w:t>Obligations imposed by the court</w:t>
      </w:r>
    </w:p>
    <w:p w14:paraId="55EF8419" w14:textId="1C1F5962" w:rsidR="00253C06" w:rsidRDefault="00BD5C95" w:rsidP="009B37CB">
      <w:pPr>
        <w:pStyle w:val="BodyText"/>
      </w:pPr>
      <w:r>
        <w:rPr>
          <w:rFonts w:ascii="ZWAdobeF" w:hAnsi="ZWAdobeF" w:cs="ZWAdobeF"/>
          <w:color w:val="auto"/>
          <w:sz w:val="2"/>
          <w:szCs w:val="2"/>
        </w:rPr>
        <w:t>205B</w:t>
      </w:r>
      <w:r w:rsidR="0049638A">
        <w:rPr>
          <w:rFonts w:ascii="ZWAdobeF" w:hAnsi="ZWAdobeF" w:cs="ZWAdobeF"/>
          <w:color w:val="auto"/>
          <w:sz w:val="2"/>
          <w:szCs w:val="2"/>
        </w:rPr>
        <w:t>205B</w:t>
      </w:r>
      <w:r w:rsidR="00D629FA">
        <w:rPr>
          <w:rFonts w:ascii="ZWAdobeF" w:hAnsi="ZWAdobeF" w:cs="ZWAdobeF"/>
          <w:color w:val="auto"/>
          <w:sz w:val="2"/>
          <w:szCs w:val="2"/>
        </w:rPr>
        <w:t>205B</w:t>
      </w:r>
      <w:r w:rsidR="00253C06">
        <w:t xml:space="preserve">In appropriate circumstances, a court could use its inherent jurisdiction to require the representative plaintiff to act consistently with class member interests. For example, </w:t>
      </w:r>
      <w:r w:rsidR="00613E9D">
        <w:t>there is</w:t>
      </w:r>
      <w:r w:rsidR="009862F9">
        <w:t xml:space="preserve"> Canadian </w:t>
      </w:r>
      <w:r w:rsidR="00613E9D">
        <w:t xml:space="preserve">authority that a </w:t>
      </w:r>
      <w:r w:rsidR="00253C06">
        <w:t xml:space="preserve">court </w:t>
      </w:r>
      <w:r w:rsidR="00613E9D">
        <w:t>can</w:t>
      </w:r>
      <w:r w:rsidR="00253C06">
        <w:t xml:space="preserve"> review a representative plaintiff’s decision to change counsel in the middle of a class action.</w:t>
      </w:r>
      <w:r w:rsidR="00D629FA">
        <w:rPr>
          <w:rFonts w:ascii="ZWAdobeF" w:hAnsi="ZWAdobeF" w:cs="ZWAdobeF"/>
          <w:color w:val="auto"/>
          <w:sz w:val="2"/>
          <w:szCs w:val="2"/>
        </w:rPr>
        <w:t>322F</w:t>
      </w:r>
      <w:r w:rsidR="0049638A">
        <w:rPr>
          <w:rFonts w:ascii="ZWAdobeF" w:hAnsi="ZWAdobeF" w:cs="ZWAdobeF"/>
          <w:color w:val="auto"/>
          <w:sz w:val="2"/>
          <w:szCs w:val="2"/>
        </w:rPr>
        <w:t>322F</w:t>
      </w:r>
      <w:r w:rsidR="00317AE4">
        <w:rPr>
          <w:rFonts w:ascii="ZWAdobeF" w:hAnsi="ZWAdobeF" w:cs="ZWAdobeF"/>
          <w:color w:val="auto"/>
          <w:sz w:val="2"/>
          <w:szCs w:val="2"/>
        </w:rPr>
        <w:t>322F</w:t>
      </w:r>
      <w:r w:rsidR="00253C06">
        <w:rPr>
          <w:rStyle w:val="FootnoteReference"/>
        </w:rPr>
        <w:footnoteReference w:id="324"/>
      </w:r>
      <w:r w:rsidR="00253C06" w:rsidRPr="008E4B7A">
        <w:t xml:space="preserve"> </w:t>
      </w:r>
    </w:p>
    <w:p w14:paraId="60ABA199" w14:textId="59A26E98" w:rsidR="00253C06" w:rsidRDefault="00253C06" w:rsidP="00BA3420">
      <w:pPr>
        <w:pStyle w:val="Heading3"/>
      </w:pPr>
      <w:r>
        <w:t>Our view</w:t>
      </w:r>
      <w:r w:rsidR="006D2486">
        <w:t xml:space="preserve"> on the representative plaintiff’s obligations</w:t>
      </w:r>
    </w:p>
    <w:p w14:paraId="336367B7" w14:textId="0232E19C" w:rsidR="00253C06" w:rsidRDefault="00BD5C95" w:rsidP="009B37CB">
      <w:pPr>
        <w:pStyle w:val="BodyText"/>
      </w:pPr>
      <w:r>
        <w:rPr>
          <w:rFonts w:ascii="ZWAdobeF" w:hAnsi="ZWAdobeF" w:cs="ZWAdobeF"/>
          <w:color w:val="auto"/>
          <w:sz w:val="2"/>
          <w:szCs w:val="2"/>
        </w:rPr>
        <w:t>206B</w:t>
      </w:r>
      <w:r w:rsidR="0049638A">
        <w:rPr>
          <w:rFonts w:ascii="ZWAdobeF" w:hAnsi="ZWAdobeF" w:cs="ZWAdobeF"/>
          <w:color w:val="auto"/>
          <w:sz w:val="2"/>
          <w:szCs w:val="2"/>
        </w:rPr>
        <w:t>206B</w:t>
      </w:r>
      <w:r w:rsidR="00D629FA">
        <w:rPr>
          <w:rFonts w:ascii="ZWAdobeF" w:hAnsi="ZWAdobeF" w:cs="ZWAdobeF"/>
          <w:color w:val="auto"/>
          <w:sz w:val="2"/>
          <w:szCs w:val="2"/>
        </w:rPr>
        <w:t>206B</w:t>
      </w:r>
      <w:r w:rsidR="00253C06">
        <w:t>We intend to develop recommendations on the representative plaintiff’s obligations. In view of the various sources of the representative plaintiff’s obligations, we consider the role of the representative plaintiff carries the following obligations:</w:t>
      </w:r>
    </w:p>
    <w:p w14:paraId="078E97FF" w14:textId="50846566" w:rsidR="00253C06" w:rsidRDefault="00BD5C95" w:rsidP="00B73434">
      <w:pPr>
        <w:pStyle w:val="BodyText2"/>
        <w:numPr>
          <w:ilvl w:val="3"/>
          <w:numId w:val="52"/>
        </w:numPr>
      </w:pPr>
      <w:r>
        <w:rPr>
          <w:rFonts w:ascii="ZWAdobeF" w:hAnsi="ZWAdobeF" w:cs="ZWAdobeF"/>
          <w:color w:val="auto"/>
          <w:sz w:val="2"/>
          <w:szCs w:val="2"/>
        </w:rPr>
        <w:t>923B</w:t>
      </w:r>
      <w:r w:rsidR="0049638A">
        <w:rPr>
          <w:rFonts w:ascii="ZWAdobeF" w:hAnsi="ZWAdobeF" w:cs="ZWAdobeF"/>
          <w:color w:val="auto"/>
          <w:sz w:val="2"/>
          <w:szCs w:val="2"/>
        </w:rPr>
        <w:t>923B</w:t>
      </w:r>
      <w:r w:rsidR="00D629FA">
        <w:rPr>
          <w:rFonts w:ascii="ZWAdobeF" w:hAnsi="ZWAdobeF" w:cs="ZWAdobeF"/>
          <w:color w:val="auto"/>
          <w:sz w:val="2"/>
          <w:szCs w:val="2"/>
        </w:rPr>
        <w:t>923B</w:t>
      </w:r>
      <w:r w:rsidR="00253C06">
        <w:t xml:space="preserve">Acting in the best interests of class members, including by avoiding any conflicts of interest that may prevent them from properly fulfilling their role. </w:t>
      </w:r>
    </w:p>
    <w:p w14:paraId="0469D42D" w14:textId="79B4C6AF" w:rsidR="00253C06" w:rsidRDefault="00BD5C95" w:rsidP="00B73434">
      <w:pPr>
        <w:pStyle w:val="BodyTextnonum"/>
        <w:numPr>
          <w:ilvl w:val="3"/>
          <w:numId w:val="52"/>
        </w:numPr>
      </w:pPr>
      <w:r>
        <w:rPr>
          <w:rFonts w:ascii="ZWAdobeF" w:hAnsi="ZWAdobeF" w:cs="ZWAdobeF"/>
          <w:color w:val="auto"/>
          <w:sz w:val="2"/>
          <w:szCs w:val="2"/>
        </w:rPr>
        <w:t>700B</w:t>
      </w:r>
      <w:r w:rsidR="0049638A">
        <w:rPr>
          <w:rFonts w:ascii="ZWAdobeF" w:hAnsi="ZWAdobeF" w:cs="ZWAdobeF"/>
          <w:color w:val="auto"/>
          <w:sz w:val="2"/>
          <w:szCs w:val="2"/>
        </w:rPr>
        <w:t>700B</w:t>
      </w:r>
      <w:r w:rsidR="00D629FA">
        <w:rPr>
          <w:rFonts w:ascii="ZWAdobeF" w:hAnsi="ZWAdobeF" w:cs="ZWAdobeF"/>
          <w:color w:val="auto"/>
          <w:sz w:val="2"/>
          <w:szCs w:val="2"/>
        </w:rPr>
        <w:t>700B</w:t>
      </w:r>
      <w:r w:rsidR="00253C06">
        <w:t>Ensuring the case is properly prosecuted, which in practice is likely to mean retaining and instructing a lawyer</w:t>
      </w:r>
      <w:r w:rsidR="00D629FA">
        <w:rPr>
          <w:rFonts w:ascii="ZWAdobeF" w:hAnsi="ZWAdobeF" w:cs="ZWAdobeF"/>
          <w:color w:val="auto"/>
          <w:sz w:val="2"/>
          <w:szCs w:val="2"/>
        </w:rPr>
        <w:t>323F</w:t>
      </w:r>
      <w:r w:rsidR="0049638A">
        <w:rPr>
          <w:rFonts w:ascii="ZWAdobeF" w:hAnsi="ZWAdobeF" w:cs="ZWAdobeF"/>
          <w:color w:val="auto"/>
          <w:sz w:val="2"/>
          <w:szCs w:val="2"/>
        </w:rPr>
        <w:t>323F</w:t>
      </w:r>
      <w:r w:rsidR="00317AE4">
        <w:rPr>
          <w:rFonts w:ascii="ZWAdobeF" w:hAnsi="ZWAdobeF" w:cs="ZWAdobeF"/>
          <w:color w:val="auto"/>
          <w:sz w:val="2"/>
          <w:szCs w:val="2"/>
        </w:rPr>
        <w:t>323F</w:t>
      </w:r>
      <w:r w:rsidR="00253C06">
        <w:rPr>
          <w:rStyle w:val="FootnoteReference"/>
        </w:rPr>
        <w:footnoteReference w:id="325"/>
      </w:r>
      <w:r w:rsidR="00253C06">
        <w:t xml:space="preserve"> and </w:t>
      </w:r>
      <w:r w:rsidR="00E32AA5">
        <w:t xml:space="preserve">meeting any evidential obligations, including discovery, </w:t>
      </w:r>
      <w:r w:rsidR="00253C06">
        <w:t>giving evidence</w:t>
      </w:r>
      <w:r w:rsidR="00E32AA5">
        <w:t xml:space="preserve"> and answering interrogatories</w:t>
      </w:r>
      <w:r w:rsidR="00253C06">
        <w:t xml:space="preserve">. We also think, as part of this, the representative plaintiff would be responsible for taking reasonable steps to </w:t>
      </w:r>
      <w:r w:rsidR="00253C06" w:rsidRPr="006033AD">
        <w:t>ensur</w:t>
      </w:r>
      <w:r w:rsidR="00253C06">
        <w:t>e</w:t>
      </w:r>
      <w:r w:rsidR="00253C06" w:rsidRPr="006033AD">
        <w:t xml:space="preserve"> that</w:t>
      </w:r>
      <w:r w:rsidR="00253C06">
        <w:t xml:space="preserve"> the</w:t>
      </w:r>
      <w:r w:rsidR="00253C06" w:rsidRPr="006033AD">
        <w:t xml:space="preserve"> legal fees incurred are reasonable and appropriat</w:t>
      </w:r>
      <w:r w:rsidR="00253C06">
        <w:t xml:space="preserve">e. </w:t>
      </w:r>
    </w:p>
    <w:p w14:paraId="1A52DDAB" w14:textId="27372FB9" w:rsidR="00253C06" w:rsidRDefault="00BD5C95" w:rsidP="00B73434">
      <w:pPr>
        <w:pStyle w:val="BodyText2"/>
        <w:numPr>
          <w:ilvl w:val="3"/>
          <w:numId w:val="52"/>
        </w:numPr>
      </w:pPr>
      <w:r>
        <w:rPr>
          <w:rFonts w:ascii="ZWAdobeF" w:hAnsi="ZWAdobeF" w:cs="ZWAdobeF"/>
          <w:color w:val="auto"/>
          <w:sz w:val="2"/>
          <w:szCs w:val="2"/>
        </w:rPr>
        <w:t>924B</w:t>
      </w:r>
      <w:r w:rsidR="0049638A">
        <w:rPr>
          <w:rFonts w:ascii="ZWAdobeF" w:hAnsi="ZWAdobeF" w:cs="ZWAdobeF"/>
          <w:color w:val="auto"/>
          <w:sz w:val="2"/>
          <w:szCs w:val="2"/>
        </w:rPr>
        <w:t>924B</w:t>
      </w:r>
      <w:r w:rsidR="00D629FA">
        <w:rPr>
          <w:rFonts w:ascii="ZWAdobeF" w:hAnsi="ZWAdobeF" w:cs="ZWAdobeF"/>
          <w:color w:val="auto"/>
          <w:sz w:val="2"/>
          <w:szCs w:val="2"/>
        </w:rPr>
        <w:t>924B</w:t>
      </w:r>
      <w:r w:rsidR="00253C06">
        <w:t>Being liable for adverse costs (or ensuring an indemnity is in place).</w:t>
      </w:r>
      <w:r w:rsidR="00540C21">
        <w:t xml:space="preserve"> </w:t>
      </w:r>
      <w:r w:rsidR="00540C21" w:rsidRPr="00C835F7">
        <w:t>In funded class actions, litigation funders usually indemnify representative plaintiffs against any adverse costs. Class members, as non-parties, will rarely be liable for adverse costs.</w:t>
      </w:r>
      <w:r w:rsidR="00D629FA">
        <w:rPr>
          <w:rFonts w:ascii="ZWAdobeF" w:hAnsi="ZWAdobeF" w:cs="ZWAdobeF"/>
          <w:color w:val="auto"/>
          <w:sz w:val="2"/>
          <w:szCs w:val="2"/>
        </w:rPr>
        <w:t>324F</w:t>
      </w:r>
      <w:r w:rsidR="0049638A">
        <w:rPr>
          <w:rFonts w:ascii="ZWAdobeF" w:hAnsi="ZWAdobeF" w:cs="ZWAdobeF"/>
          <w:color w:val="auto"/>
          <w:sz w:val="2"/>
          <w:szCs w:val="2"/>
        </w:rPr>
        <w:t>324F</w:t>
      </w:r>
      <w:r w:rsidR="00317AE4">
        <w:rPr>
          <w:rFonts w:ascii="ZWAdobeF" w:hAnsi="ZWAdobeF" w:cs="ZWAdobeF"/>
          <w:color w:val="auto"/>
          <w:sz w:val="2"/>
          <w:szCs w:val="2"/>
        </w:rPr>
        <w:t>324F</w:t>
      </w:r>
      <w:r w:rsidR="00540C21" w:rsidRPr="00C421B1">
        <w:rPr>
          <w:vertAlign w:val="superscript"/>
        </w:rPr>
        <w:footnoteReference w:id="326"/>
      </w:r>
    </w:p>
    <w:p w14:paraId="780EB612" w14:textId="0B2E8156" w:rsidR="00253C06" w:rsidRDefault="00BD5C95" w:rsidP="00B73434">
      <w:pPr>
        <w:pStyle w:val="BodyText2"/>
        <w:numPr>
          <w:ilvl w:val="3"/>
          <w:numId w:val="52"/>
        </w:numPr>
      </w:pPr>
      <w:r>
        <w:rPr>
          <w:rFonts w:ascii="ZWAdobeF" w:hAnsi="ZWAdobeF" w:cs="ZWAdobeF"/>
          <w:color w:val="auto"/>
          <w:sz w:val="2"/>
          <w:szCs w:val="2"/>
        </w:rPr>
        <w:t>925B</w:t>
      </w:r>
      <w:r w:rsidR="0049638A">
        <w:rPr>
          <w:rFonts w:ascii="ZWAdobeF" w:hAnsi="ZWAdobeF" w:cs="ZWAdobeF"/>
          <w:color w:val="auto"/>
          <w:sz w:val="2"/>
          <w:szCs w:val="2"/>
        </w:rPr>
        <w:t>925B</w:t>
      </w:r>
      <w:r w:rsidR="00D629FA">
        <w:rPr>
          <w:rFonts w:ascii="ZWAdobeF" w:hAnsi="ZWAdobeF" w:cs="ZWAdobeF"/>
          <w:color w:val="auto"/>
          <w:sz w:val="2"/>
          <w:szCs w:val="2"/>
        </w:rPr>
        <w:t>925B</w:t>
      </w:r>
      <w:r w:rsidR="00253C06">
        <w:t>Making decisions on any settlement, including applying for court approval of settlement.</w:t>
      </w:r>
      <w:r w:rsidR="00D629FA">
        <w:rPr>
          <w:rFonts w:ascii="ZWAdobeF" w:hAnsi="ZWAdobeF" w:cs="ZWAdobeF"/>
          <w:color w:val="auto"/>
          <w:sz w:val="2"/>
          <w:szCs w:val="2"/>
        </w:rPr>
        <w:t>325F</w:t>
      </w:r>
      <w:r w:rsidR="0049638A">
        <w:rPr>
          <w:rFonts w:ascii="ZWAdobeF" w:hAnsi="ZWAdobeF" w:cs="ZWAdobeF"/>
          <w:color w:val="auto"/>
          <w:sz w:val="2"/>
          <w:szCs w:val="2"/>
        </w:rPr>
        <w:t>325F</w:t>
      </w:r>
      <w:r w:rsidR="00317AE4">
        <w:rPr>
          <w:rFonts w:ascii="ZWAdobeF" w:hAnsi="ZWAdobeF" w:cs="ZWAdobeF"/>
          <w:color w:val="auto"/>
          <w:sz w:val="2"/>
          <w:szCs w:val="2"/>
        </w:rPr>
        <w:t>325F</w:t>
      </w:r>
      <w:r w:rsidR="00540C21">
        <w:rPr>
          <w:rStyle w:val="FootnoteReference"/>
        </w:rPr>
        <w:footnoteReference w:id="327"/>
      </w:r>
    </w:p>
    <w:p w14:paraId="676BBF48" w14:textId="60365D9E" w:rsidR="00253C06" w:rsidRPr="00F771BB" w:rsidRDefault="00BD5C95" w:rsidP="009B37CB">
      <w:pPr>
        <w:pStyle w:val="BodyText"/>
      </w:pPr>
      <w:r>
        <w:rPr>
          <w:rFonts w:ascii="ZWAdobeF" w:hAnsi="ZWAdobeF" w:cs="ZWAdobeF"/>
          <w:color w:val="auto"/>
          <w:sz w:val="2"/>
          <w:szCs w:val="2"/>
        </w:rPr>
        <w:t>207B</w:t>
      </w:r>
      <w:r w:rsidR="0049638A">
        <w:rPr>
          <w:rFonts w:ascii="ZWAdobeF" w:hAnsi="ZWAdobeF" w:cs="ZWAdobeF"/>
          <w:color w:val="auto"/>
          <w:sz w:val="2"/>
          <w:szCs w:val="2"/>
        </w:rPr>
        <w:t>207B</w:t>
      </w:r>
      <w:r w:rsidR="00D629FA">
        <w:rPr>
          <w:rFonts w:ascii="ZWAdobeF" w:hAnsi="ZWAdobeF" w:cs="ZWAdobeF"/>
          <w:color w:val="auto"/>
          <w:sz w:val="2"/>
          <w:szCs w:val="2"/>
        </w:rPr>
        <w:t>207B</w:t>
      </w:r>
      <w:r w:rsidR="00253C06" w:rsidRPr="00F771BB">
        <w:t xml:space="preserve">We acknowledge these may sometimes be substantial obligations and we understand that presently representative plaintiffs may </w:t>
      </w:r>
      <w:r w:rsidR="00253C06">
        <w:t xml:space="preserve">sometimes </w:t>
      </w:r>
      <w:r w:rsidR="00253C06" w:rsidRPr="00F771BB">
        <w:t xml:space="preserve">be selected on a more nominal basis. However, we think many of these obligations </w:t>
      </w:r>
      <w:r w:rsidR="00253C06">
        <w:t xml:space="preserve">will already </w:t>
      </w:r>
      <w:r w:rsidR="00C86D96">
        <w:t xml:space="preserve">apply </w:t>
      </w:r>
      <w:r w:rsidR="00253C06" w:rsidRPr="00F771BB">
        <w:t xml:space="preserve">to </w:t>
      </w:r>
      <w:r w:rsidR="00253C06">
        <w:t xml:space="preserve">a representative plaintiff </w:t>
      </w:r>
      <w:r w:rsidR="00253C06" w:rsidRPr="00F771BB">
        <w:t xml:space="preserve">and, to the extent they do not, the obligations are important to protect class member interests. We think the representative plaintiff’s lawyer can help them to manage their </w:t>
      </w:r>
      <w:r w:rsidR="00253C06">
        <w:t xml:space="preserve">obligations. There will also be circumstances where a litigation committee can assist the representative plaintiff to carry out their role, </w:t>
      </w:r>
      <w:r w:rsidR="00253C06" w:rsidRPr="00F771BB">
        <w:t xml:space="preserve">discussed </w:t>
      </w:r>
      <w:r w:rsidR="009F1D4B">
        <w:t>in the next section</w:t>
      </w:r>
      <w:r w:rsidR="00253C06" w:rsidRPr="00F771BB">
        <w:t>.</w:t>
      </w:r>
      <w:r w:rsidR="00253C06">
        <w:t xml:space="preserve"> As well, a litigation funder will likely assist with payment of legal fees and adverse costs. </w:t>
      </w:r>
    </w:p>
    <w:p w14:paraId="2B9618FB" w14:textId="40BE5101" w:rsidR="00253C06" w:rsidRDefault="00BD5C95" w:rsidP="009B37CB">
      <w:pPr>
        <w:pStyle w:val="BodyText"/>
      </w:pPr>
      <w:r>
        <w:rPr>
          <w:rFonts w:ascii="ZWAdobeF" w:hAnsi="ZWAdobeF" w:cs="ZWAdobeF"/>
          <w:color w:val="auto"/>
          <w:sz w:val="2"/>
          <w:szCs w:val="2"/>
        </w:rPr>
        <w:t>208B</w:t>
      </w:r>
      <w:r w:rsidR="0049638A">
        <w:rPr>
          <w:rFonts w:ascii="ZWAdobeF" w:hAnsi="ZWAdobeF" w:cs="ZWAdobeF"/>
          <w:color w:val="auto"/>
          <w:sz w:val="2"/>
          <w:szCs w:val="2"/>
        </w:rPr>
        <w:t>208B</w:t>
      </w:r>
      <w:r w:rsidR="00D629FA">
        <w:rPr>
          <w:rFonts w:ascii="ZWAdobeF" w:hAnsi="ZWAdobeF" w:cs="ZWAdobeF"/>
          <w:color w:val="auto"/>
          <w:sz w:val="2"/>
          <w:szCs w:val="2"/>
        </w:rPr>
        <w:t>208B</w:t>
      </w:r>
      <w:r w:rsidR="00253C06" w:rsidRPr="00BB3757">
        <w:t xml:space="preserve">In cases involving a litigation funder, a representative plaintiff may have additional obligations imposed by the litigation funding agreement. </w:t>
      </w:r>
      <w:r w:rsidR="00253C06">
        <w:t xml:space="preserve">If there is any conflict between </w:t>
      </w:r>
      <w:r w:rsidR="00253C06">
        <w:lastRenderedPageBreak/>
        <w:t xml:space="preserve">contractual </w:t>
      </w:r>
      <w:r w:rsidR="00540C21">
        <w:t xml:space="preserve">commitments </w:t>
      </w:r>
      <w:r w:rsidR="00253C06">
        <w:t xml:space="preserve">and the obligations of the representative plaintiff, set out above, we think the </w:t>
      </w:r>
      <w:r w:rsidR="00540C21">
        <w:t>latter</w:t>
      </w:r>
      <w:r w:rsidR="00253C06">
        <w:t xml:space="preserve"> should take priority.</w:t>
      </w:r>
    </w:p>
    <w:p w14:paraId="38491745" w14:textId="076820C8" w:rsidR="00253C06" w:rsidRDefault="00BD5C95" w:rsidP="009B37CB">
      <w:pPr>
        <w:pStyle w:val="BodyText"/>
      </w:pPr>
      <w:r>
        <w:rPr>
          <w:rFonts w:ascii="ZWAdobeF" w:hAnsi="ZWAdobeF" w:cs="ZWAdobeF"/>
          <w:color w:val="auto"/>
          <w:sz w:val="2"/>
          <w:szCs w:val="2"/>
        </w:rPr>
        <w:t>209B</w:t>
      </w:r>
      <w:r w:rsidR="0049638A">
        <w:rPr>
          <w:rFonts w:ascii="ZWAdobeF" w:hAnsi="ZWAdobeF" w:cs="ZWAdobeF"/>
          <w:color w:val="auto"/>
          <w:sz w:val="2"/>
          <w:szCs w:val="2"/>
        </w:rPr>
        <w:t>209B</w:t>
      </w:r>
      <w:r w:rsidR="00D629FA">
        <w:rPr>
          <w:rFonts w:ascii="ZWAdobeF" w:hAnsi="ZWAdobeF" w:cs="ZWAdobeF"/>
          <w:color w:val="auto"/>
          <w:sz w:val="2"/>
          <w:szCs w:val="2"/>
        </w:rPr>
        <w:t>209B</w:t>
      </w:r>
      <w:r w:rsidR="00253C06">
        <w:t xml:space="preserve">At this stage, we have not formed a view on whether the representative plaintiff’s obligations should be included in a class actions statute. We think the obligations exist independently of any statute. However, it could be helpful to compile them in one place. Including them in a statute could also ensure their priority over contractual </w:t>
      </w:r>
      <w:r w:rsidR="00540C21">
        <w:t>commitments</w:t>
      </w:r>
      <w:r w:rsidR="00253C06">
        <w:t>.</w:t>
      </w:r>
    </w:p>
    <w:p w14:paraId="07BBF4D5" w14:textId="159C651E" w:rsidR="008C459B" w:rsidRDefault="00DE7563" w:rsidP="008C459B">
      <w:pPr>
        <w:pStyle w:val="QuestionBox"/>
      </w:pPr>
      <w:r>
        <w:rPr>
          <w:noProof/>
        </w:rPr>
        <mc:AlternateContent>
          <mc:Choice Requires="wpg">
            <w:drawing>
              <wp:anchor distT="0" distB="0" distL="114300" distR="114300" simplePos="0" relativeHeight="251652152" behindDoc="1" locked="0" layoutInCell="1" allowOverlap="1" wp14:anchorId="2BDFF31C" wp14:editId="59043B6A">
                <wp:simplePos x="0" y="0"/>
                <wp:positionH relativeFrom="column">
                  <wp:posOffset>-1962</wp:posOffset>
                </wp:positionH>
                <wp:positionV relativeFrom="paragraph">
                  <wp:posOffset>4379</wp:posOffset>
                </wp:positionV>
                <wp:extent cx="5760085" cy="2700053"/>
                <wp:effectExtent l="0" t="0" r="0" b="5080"/>
                <wp:wrapNone/>
                <wp:docPr id="38" name="Group 38"/>
                <wp:cNvGraphicFramePr/>
                <a:graphic xmlns:a="http://schemas.openxmlformats.org/drawingml/2006/main">
                  <a:graphicData uri="http://schemas.microsoft.com/office/word/2010/wordprocessingGroup">
                    <wpg:wgp>
                      <wpg:cNvGrpSpPr/>
                      <wpg:grpSpPr>
                        <a:xfrm>
                          <a:off x="0" y="0"/>
                          <a:ext cx="5760085" cy="2700053"/>
                          <a:chOff x="0" y="0"/>
                          <a:chExt cx="5760085" cy="2700053"/>
                        </a:xfrm>
                      </wpg:grpSpPr>
                      <wpg:grpSp>
                        <wpg:cNvPr id="764518140" name="Group 764518140"/>
                        <wpg:cNvGrpSpPr/>
                        <wpg:grpSpPr>
                          <a:xfrm>
                            <a:off x="0" y="0"/>
                            <a:ext cx="5760085" cy="2700053"/>
                            <a:chOff x="0" y="62865"/>
                            <a:chExt cx="5760085" cy="2700326"/>
                          </a:xfrm>
                        </wpg:grpSpPr>
                        <wps:wsp>
                          <wps:cNvPr id="76451814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7B522D" w14:textId="7CA74745" w:rsidR="00A55F53" w:rsidRDefault="00A55F53" w:rsidP="00BA3420">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764518142" name="Group 53"/>
                          <wpg:cNvGrpSpPr>
                            <a:grpSpLocks/>
                          </wpg:cNvGrpSpPr>
                          <wpg:grpSpPr bwMode="auto">
                            <a:xfrm>
                              <a:off x="0" y="316077"/>
                              <a:ext cx="5760085" cy="2447114"/>
                              <a:chOff x="1837" y="1790"/>
                              <a:chExt cx="9302" cy="26433"/>
                            </a:xfrm>
                          </wpg:grpSpPr>
                          <wps:wsp>
                            <wps:cNvPr id="764518143" name="Freeform 54"/>
                            <wps:cNvSpPr>
                              <a:spLocks/>
                            </wps:cNvSpPr>
                            <wps:spPr bwMode="auto">
                              <a:xfrm>
                                <a:off x="1837" y="1790"/>
                                <a:ext cx="9302" cy="2643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92"/>
                          <wpg:cNvGrpSpPr/>
                          <wpg:grpSpPr>
                            <a:xfrm>
                              <a:off x="0" y="494036"/>
                              <a:ext cx="1443794" cy="252000"/>
                              <a:chOff x="-15880" y="0"/>
                              <a:chExt cx="1444379" cy="252068"/>
                            </a:xfrm>
                          </wpg:grpSpPr>
                          <wps:wsp>
                            <wps:cNvPr id="19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0C6AF5" w14:textId="0EFB39BD" w:rsidR="00A55F53" w:rsidRPr="00E700FF" w:rsidRDefault="00A55F53" w:rsidP="00BA3420">
                                  <w:pPr>
                                    <w:pStyle w:val="BoxTitle"/>
                                    <w:spacing w:before="0" w:beforeAutospacing="0"/>
                                  </w:pPr>
                                  <w:r w:rsidRPr="001C1B37">
                                    <w:t>Q</w:t>
                                  </w:r>
                                  <w:r>
                                    <w:t>14</w:t>
                                  </w:r>
                                </w:p>
                              </w:txbxContent>
                            </wps:txbx>
                            <wps:bodyPr rot="0" vert="horz" wrap="square" lIns="54000" tIns="82800" rIns="91440" bIns="45720" anchor="ctr" anchorCtr="0" upright="1">
                              <a:noAutofit/>
                            </wps:bodyPr>
                          </wps:wsp>
                        </wpg:grpSp>
                      </wpg:grpSp>
                      <wpg:grpSp>
                        <wpg:cNvPr id="195" name="Group 195"/>
                        <wpg:cNvGrpSpPr/>
                        <wpg:grpSpPr>
                          <a:xfrm>
                            <a:off x="0" y="2183641"/>
                            <a:ext cx="1443794" cy="252000"/>
                            <a:chOff x="-15880" y="0"/>
                            <a:chExt cx="1444379" cy="252068"/>
                          </a:xfrm>
                        </wpg:grpSpPr>
                        <wps:wsp>
                          <wps:cNvPr id="19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77D22A" w14:textId="6353584D" w:rsidR="00A55F53" w:rsidRPr="00E700FF" w:rsidRDefault="00A55F53" w:rsidP="000F43A1">
                                <w:pPr>
                                  <w:pStyle w:val="BoxTitle"/>
                                  <w:spacing w:before="0" w:beforeAutospacing="0"/>
                                </w:pPr>
                                <w:r w:rsidRPr="001C1B37">
                                  <w:t>Q</w:t>
                                </w:r>
                                <w:r>
                                  <w:t>15</w:t>
                                </w:r>
                              </w:p>
                            </w:txbxContent>
                          </wps:txbx>
                          <wps:bodyPr rot="0" vert="horz" wrap="square" lIns="54000" tIns="82800" rIns="91440" bIns="45720" anchor="ctr" anchorCtr="0" upright="1">
                            <a:noAutofit/>
                          </wps:bodyPr>
                        </wps:wsp>
                      </wpg:grpSp>
                    </wpg:wgp>
                  </a:graphicData>
                </a:graphic>
              </wp:anchor>
            </w:drawing>
          </mc:Choice>
          <mc:Fallback>
            <w:pict>
              <v:group w14:anchorId="2BDFF31C" id="Group 38" o:spid="_x0000_s1296" style="position:absolute;left:0;text-align:left;margin-left:-.15pt;margin-top:.35pt;width:453.55pt;height:212.6pt;z-index:-251664328" coordsize="57600,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">
                <v:group id="Group 764518140" o:spid="_x0000_s1297" style="position:absolute;width:57600;height:27000" coordorigin=",628" coordsize="57600,2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">
                  <v:shape id="_x0000_s129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B7B522D" w14:textId="7CA74745" w:rsidR="00A55F53" w:rsidRDefault="00A55F53" w:rsidP="00BA3420">
                          <w:pPr>
                            <w:pStyle w:val="BoxTitle"/>
                            <w:spacing w:before="0" w:beforeAutospacing="0"/>
                          </w:pPr>
                          <w:r w:rsidRPr="007F6876">
                            <w:t>QUESTION</w:t>
                          </w:r>
                          <w:r>
                            <w:t>S</w:t>
                          </w:r>
                        </w:p>
                      </w:txbxContent>
                    </v:textbox>
                  </v:shape>
                  <v:group id="Group 53" o:spid="_x0000_s1299" style="position:absolute;top:3160;width:57600;height:24471" coordorigin="1837,1790" coordsize="9302,2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">
                    <v:shape id="Freeform 54" o:spid="_x0000_s1300" style="position:absolute;left:1837;top:1790;width:9302;height:2643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" path="m,l9354,r,7809l,7809,,e" fillcolor="#edf2ea" stroked="f">
                      <v:path arrowok="t" o:connecttype="custom" o:connectlocs="0,3385;9302,3385;9302,29818;0,29818;0,3385" o:connectangles="0,0,0,0,0"/>
                    </v:shape>
                  </v:group>
                  <v:group id="Group 192" o:spid="_x0000_s130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58" o:spid="_x0000_s130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" path="m,l1815,e" filled="f" strokecolor="#72ab6a" strokeweight=".5pt">
                      <v:path arrowok="t" o:connecttype="custom" o:connectlocs="0,0;1073495,0" o:connectangles="0,0"/>
                    </v:shape>
                    <v:shape id="Freeform 66" o:spid="_x0000_s130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50C6AF5" w14:textId="0EFB39BD" w:rsidR="00A55F53" w:rsidRPr="00E700FF" w:rsidRDefault="00A55F53" w:rsidP="00BA3420">
                            <w:pPr>
                              <w:pStyle w:val="BoxTitle"/>
                              <w:spacing w:before="0" w:beforeAutospacing="0"/>
                            </w:pPr>
                            <w:r w:rsidRPr="001C1B37">
                              <w:t>Q</w:t>
                            </w:r>
                            <w:r>
                              <w:t>14</w:t>
                            </w:r>
                          </w:p>
                        </w:txbxContent>
                      </v:textbox>
                    </v:shape>
                  </v:group>
                </v:group>
                <v:group id="Group 195" o:spid="_x0000_s1304" style="position:absolute;top:21836;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58" o:spid="_x0000_s130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" path="m,l1815,e" filled="f" strokecolor="#72ab6a" strokeweight=".5pt">
                    <v:path arrowok="t" o:connecttype="custom" o:connectlocs="0,0;1073495,0" o:connectangles="0,0"/>
                  </v:shape>
                  <v:shape id="Freeform 66" o:spid="_x0000_s130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B77D22A" w14:textId="6353584D" w:rsidR="00A55F53" w:rsidRPr="00E700FF" w:rsidRDefault="00A55F53" w:rsidP="000F43A1">
                          <w:pPr>
                            <w:pStyle w:val="BoxTitle"/>
                            <w:spacing w:before="0" w:beforeAutospacing="0"/>
                          </w:pPr>
                          <w:r w:rsidRPr="001C1B37">
                            <w:t>Q</w:t>
                          </w:r>
                          <w:r>
                            <w:t>15</w:t>
                          </w:r>
                        </w:p>
                      </w:txbxContent>
                    </v:textbox>
                  </v:shape>
                </v:group>
              </v:group>
            </w:pict>
          </mc:Fallback>
        </mc:AlternateContent>
      </w:r>
    </w:p>
    <w:p w14:paraId="7B9864BE" w14:textId="2E98393E" w:rsidR="008C459B" w:rsidRDefault="008C459B" w:rsidP="008C459B">
      <w:pPr>
        <w:pStyle w:val="QuestionBox"/>
      </w:pPr>
    </w:p>
    <w:p w14:paraId="670E93D9" w14:textId="0F09D61F" w:rsidR="00253C06" w:rsidRDefault="00BD5C95" w:rsidP="008C459B">
      <w:pPr>
        <w:pStyle w:val="QuestionBox"/>
      </w:pPr>
      <w:r>
        <w:rPr>
          <w:rFonts w:ascii="ZWAdobeF" w:hAnsi="ZWAdobeF" w:cs="ZWAdobeF"/>
          <w:color w:val="auto"/>
          <w:sz w:val="2"/>
          <w:szCs w:val="2"/>
        </w:rPr>
        <w:t>1406B</w:t>
      </w:r>
      <w:r w:rsidR="0049638A">
        <w:rPr>
          <w:rFonts w:ascii="ZWAdobeF" w:hAnsi="ZWAdobeF" w:cs="ZWAdobeF"/>
          <w:color w:val="auto"/>
          <w:sz w:val="2"/>
          <w:szCs w:val="2"/>
        </w:rPr>
        <w:t>1406B</w:t>
      </w:r>
      <w:r w:rsidR="00D629FA">
        <w:rPr>
          <w:rFonts w:ascii="ZWAdobeF" w:hAnsi="ZWAdobeF" w:cs="ZWAdobeF"/>
          <w:color w:val="auto"/>
          <w:sz w:val="2"/>
          <w:szCs w:val="2"/>
        </w:rPr>
        <w:t>1406B</w:t>
      </w:r>
      <w:r w:rsidR="00253C06" w:rsidRPr="001039D3">
        <w:t xml:space="preserve">What obligations should the </w:t>
      </w:r>
      <w:r w:rsidR="00253C06">
        <w:t xml:space="preserve">representative plaintiff have? For example: </w:t>
      </w:r>
    </w:p>
    <w:p w14:paraId="354AC73F" w14:textId="071D6DCC" w:rsidR="00253C06" w:rsidRPr="0088096F" w:rsidRDefault="00BD5C95" w:rsidP="003E2524">
      <w:pPr>
        <w:pStyle w:val="Questionabc"/>
        <w:numPr>
          <w:ilvl w:val="0"/>
          <w:numId w:val="40"/>
        </w:numPr>
        <w:ind w:left="1418" w:hanging="425"/>
      </w:pPr>
      <w:r>
        <w:rPr>
          <w:rFonts w:ascii="ZWAdobeF" w:hAnsi="ZWAdobeF" w:cs="ZWAdobeF"/>
          <w:color w:val="auto"/>
          <w:sz w:val="2"/>
          <w:szCs w:val="2"/>
        </w:rPr>
        <w:t>1296B</w:t>
      </w:r>
      <w:r w:rsidR="0049638A">
        <w:rPr>
          <w:rFonts w:ascii="ZWAdobeF" w:hAnsi="ZWAdobeF" w:cs="ZWAdobeF"/>
          <w:color w:val="auto"/>
          <w:sz w:val="2"/>
          <w:szCs w:val="2"/>
        </w:rPr>
        <w:t>1296B</w:t>
      </w:r>
      <w:r w:rsidR="00D629FA">
        <w:rPr>
          <w:rFonts w:ascii="ZWAdobeF" w:hAnsi="ZWAdobeF" w:cs="ZWAdobeF"/>
          <w:color w:val="auto"/>
          <w:sz w:val="2"/>
          <w:szCs w:val="2"/>
        </w:rPr>
        <w:t>1296B</w:t>
      </w:r>
      <w:r w:rsidR="00253C06" w:rsidRPr="0088096F">
        <w:t xml:space="preserve">Acting </w:t>
      </w:r>
      <w:r w:rsidR="00253C06" w:rsidRPr="002F0862">
        <w:t>in</w:t>
      </w:r>
      <w:r w:rsidR="00253C06" w:rsidRPr="0088096F">
        <w:t xml:space="preserve"> the best interests of the class. </w:t>
      </w:r>
    </w:p>
    <w:p w14:paraId="10CA8672" w14:textId="546378C8" w:rsidR="00253C06" w:rsidRPr="0088096F" w:rsidRDefault="00BD5C95" w:rsidP="002F0862">
      <w:pPr>
        <w:pStyle w:val="Questionabc"/>
      </w:pPr>
      <w:r>
        <w:rPr>
          <w:rFonts w:ascii="ZWAdobeF" w:hAnsi="ZWAdobeF" w:cs="ZWAdobeF"/>
          <w:color w:val="auto"/>
          <w:sz w:val="2"/>
          <w:szCs w:val="2"/>
        </w:rPr>
        <w:t>1297B</w:t>
      </w:r>
      <w:r w:rsidR="0049638A">
        <w:rPr>
          <w:rFonts w:ascii="ZWAdobeF" w:hAnsi="ZWAdobeF" w:cs="ZWAdobeF"/>
          <w:color w:val="auto"/>
          <w:sz w:val="2"/>
          <w:szCs w:val="2"/>
        </w:rPr>
        <w:t>1297B</w:t>
      </w:r>
      <w:r w:rsidR="00D629FA">
        <w:rPr>
          <w:rFonts w:ascii="ZWAdobeF" w:hAnsi="ZWAdobeF" w:cs="ZWAdobeF"/>
          <w:color w:val="auto"/>
          <w:sz w:val="2"/>
          <w:szCs w:val="2"/>
        </w:rPr>
        <w:t>1297B</w:t>
      </w:r>
      <w:r w:rsidR="00253C06" w:rsidRPr="0088096F">
        <w:t xml:space="preserve">Ensuring the case is properly prosecuted. </w:t>
      </w:r>
    </w:p>
    <w:p w14:paraId="0D180C39" w14:textId="7FFE2878" w:rsidR="00253C06" w:rsidRPr="0088096F" w:rsidRDefault="00BD5C95" w:rsidP="002F0862">
      <w:pPr>
        <w:pStyle w:val="Questionabc"/>
      </w:pPr>
      <w:r>
        <w:rPr>
          <w:rFonts w:ascii="ZWAdobeF" w:hAnsi="ZWAdobeF" w:cs="ZWAdobeF"/>
          <w:color w:val="auto"/>
          <w:sz w:val="2"/>
          <w:szCs w:val="2"/>
        </w:rPr>
        <w:t>1298B</w:t>
      </w:r>
      <w:r w:rsidR="0049638A">
        <w:rPr>
          <w:rFonts w:ascii="ZWAdobeF" w:hAnsi="ZWAdobeF" w:cs="ZWAdobeF"/>
          <w:color w:val="auto"/>
          <w:sz w:val="2"/>
          <w:szCs w:val="2"/>
        </w:rPr>
        <w:t>1298B</w:t>
      </w:r>
      <w:r w:rsidR="00D629FA">
        <w:rPr>
          <w:rFonts w:ascii="ZWAdobeF" w:hAnsi="ZWAdobeF" w:cs="ZWAdobeF"/>
          <w:color w:val="auto"/>
          <w:sz w:val="2"/>
          <w:szCs w:val="2"/>
        </w:rPr>
        <w:t>1298B</w:t>
      </w:r>
      <w:r w:rsidR="00253C06" w:rsidRPr="0088096F">
        <w:t>Being liable for adverse costs (or ensuring an indemnity is in place).</w:t>
      </w:r>
    </w:p>
    <w:p w14:paraId="6E998EDE" w14:textId="55FA5791" w:rsidR="00253C06" w:rsidRDefault="00BD5C95" w:rsidP="002F0862">
      <w:pPr>
        <w:pStyle w:val="Questionabc"/>
      </w:pPr>
      <w:r>
        <w:rPr>
          <w:rFonts w:ascii="ZWAdobeF" w:hAnsi="ZWAdobeF" w:cs="ZWAdobeF"/>
          <w:color w:val="auto"/>
          <w:sz w:val="2"/>
          <w:szCs w:val="2"/>
        </w:rPr>
        <w:t>1299B</w:t>
      </w:r>
      <w:r w:rsidR="0049638A">
        <w:rPr>
          <w:rFonts w:ascii="ZWAdobeF" w:hAnsi="ZWAdobeF" w:cs="ZWAdobeF"/>
          <w:color w:val="auto"/>
          <w:sz w:val="2"/>
          <w:szCs w:val="2"/>
        </w:rPr>
        <w:t>1299B</w:t>
      </w:r>
      <w:r w:rsidR="00D629FA">
        <w:rPr>
          <w:rFonts w:ascii="ZWAdobeF" w:hAnsi="ZWAdobeF" w:cs="ZWAdobeF"/>
          <w:color w:val="auto"/>
          <w:sz w:val="2"/>
          <w:szCs w:val="2"/>
        </w:rPr>
        <w:t>1299B</w:t>
      </w:r>
      <w:r w:rsidR="00253C06" w:rsidRPr="0088096F">
        <w:t>Making decisions on any settlement</w:t>
      </w:r>
      <w:r w:rsidR="00253C06">
        <w:t>, including applying for court approval of settlement</w:t>
      </w:r>
    </w:p>
    <w:p w14:paraId="151A3A3C" w14:textId="64CAF7A6" w:rsidR="002F0862" w:rsidRDefault="002F0862" w:rsidP="008C459B">
      <w:pPr>
        <w:pStyle w:val="QuestionBox"/>
      </w:pPr>
    </w:p>
    <w:p w14:paraId="140AC247" w14:textId="48C20303" w:rsidR="00253C06" w:rsidRDefault="00BD5C95" w:rsidP="008C459B">
      <w:pPr>
        <w:pStyle w:val="QuestionBox"/>
      </w:pPr>
      <w:r>
        <w:rPr>
          <w:rFonts w:ascii="ZWAdobeF" w:hAnsi="ZWAdobeF" w:cs="ZWAdobeF"/>
          <w:color w:val="auto"/>
          <w:sz w:val="2"/>
          <w:szCs w:val="2"/>
        </w:rPr>
        <w:t>1407B</w:t>
      </w:r>
      <w:r w:rsidR="0049638A">
        <w:rPr>
          <w:rFonts w:ascii="ZWAdobeF" w:hAnsi="ZWAdobeF" w:cs="ZWAdobeF"/>
          <w:color w:val="auto"/>
          <w:sz w:val="2"/>
          <w:szCs w:val="2"/>
        </w:rPr>
        <w:t>1407B</w:t>
      </w:r>
      <w:r w:rsidR="00D629FA">
        <w:rPr>
          <w:rFonts w:ascii="ZWAdobeF" w:hAnsi="ZWAdobeF" w:cs="ZWAdobeF"/>
          <w:color w:val="auto"/>
          <w:sz w:val="2"/>
          <w:szCs w:val="2"/>
        </w:rPr>
        <w:t>1407B</w:t>
      </w:r>
      <w:r w:rsidR="00253C06">
        <w:t xml:space="preserve">Should the representative plaintiff’s obligations be set out in a class actions statute? </w:t>
      </w:r>
    </w:p>
    <w:p w14:paraId="459D0790" w14:textId="77777777" w:rsidR="0088096F" w:rsidRDefault="0088096F" w:rsidP="008C459B">
      <w:pPr>
        <w:pStyle w:val="QuestionBox"/>
      </w:pPr>
    </w:p>
    <w:p w14:paraId="7BCBD95C" w14:textId="4E6C25B1" w:rsidR="00253C06" w:rsidRDefault="00D66822" w:rsidP="00BA3420">
      <w:pPr>
        <w:pStyle w:val="Heading3"/>
      </w:pPr>
      <w:r>
        <w:t xml:space="preserve">Supporting the representative plaintiff </w:t>
      </w:r>
    </w:p>
    <w:p w14:paraId="565E87C5" w14:textId="1A3919E0" w:rsidR="00253C06" w:rsidRDefault="00BD5C95" w:rsidP="009B37CB">
      <w:pPr>
        <w:pStyle w:val="BodyText"/>
      </w:pPr>
      <w:r>
        <w:rPr>
          <w:rFonts w:ascii="ZWAdobeF" w:hAnsi="ZWAdobeF" w:cs="ZWAdobeF"/>
          <w:color w:val="auto"/>
          <w:sz w:val="2"/>
          <w:szCs w:val="2"/>
        </w:rPr>
        <w:t>210B</w:t>
      </w:r>
      <w:r w:rsidR="0049638A">
        <w:rPr>
          <w:rFonts w:ascii="ZWAdobeF" w:hAnsi="ZWAdobeF" w:cs="ZWAdobeF"/>
          <w:color w:val="auto"/>
          <w:sz w:val="2"/>
          <w:szCs w:val="2"/>
        </w:rPr>
        <w:t>210B</w:t>
      </w:r>
      <w:r w:rsidR="00D629FA">
        <w:rPr>
          <w:rFonts w:ascii="ZWAdobeF" w:hAnsi="ZWAdobeF" w:cs="ZWAdobeF"/>
          <w:color w:val="auto"/>
          <w:sz w:val="2"/>
          <w:szCs w:val="2"/>
        </w:rPr>
        <w:t>210B</w:t>
      </w:r>
      <w:r w:rsidR="00253C06">
        <w:t>One way a representative plaintiff may be able to manage their obligations to the class is through a litigation committee. Litigation committees have been used in some representative actions in Aotearoa New Zealand and are also known as plaintiff committees.</w:t>
      </w:r>
      <w:r w:rsidR="00D629FA">
        <w:rPr>
          <w:rFonts w:ascii="ZWAdobeF" w:hAnsi="ZWAdobeF" w:cs="ZWAdobeF"/>
          <w:color w:val="auto"/>
          <w:sz w:val="2"/>
          <w:szCs w:val="2"/>
        </w:rPr>
        <w:t>326F</w:t>
      </w:r>
      <w:r w:rsidR="0049638A">
        <w:rPr>
          <w:rFonts w:ascii="ZWAdobeF" w:hAnsi="ZWAdobeF" w:cs="ZWAdobeF"/>
          <w:color w:val="auto"/>
          <w:sz w:val="2"/>
          <w:szCs w:val="2"/>
        </w:rPr>
        <w:t>326F</w:t>
      </w:r>
      <w:r w:rsidR="00317AE4">
        <w:rPr>
          <w:rFonts w:ascii="ZWAdobeF" w:hAnsi="ZWAdobeF" w:cs="ZWAdobeF"/>
          <w:color w:val="auto"/>
          <w:sz w:val="2"/>
          <w:szCs w:val="2"/>
        </w:rPr>
        <w:t>326F</w:t>
      </w:r>
      <w:r w:rsidR="00253C06">
        <w:rPr>
          <w:rStyle w:val="FootnoteReference"/>
        </w:rPr>
        <w:footnoteReference w:id="328"/>
      </w:r>
      <w:r w:rsidR="00253C06">
        <w:t xml:space="preserve"> </w:t>
      </w:r>
      <w:r w:rsidR="00253C06" w:rsidRPr="00766611">
        <w:rPr>
          <w:lang w:val="mi-NZ"/>
        </w:rPr>
        <w:t xml:space="preserve">Litigation committees </w:t>
      </w:r>
      <w:r w:rsidR="00253C06">
        <w:rPr>
          <w:lang w:val="mi-NZ"/>
        </w:rPr>
        <w:t xml:space="preserve">can </w:t>
      </w:r>
      <w:r w:rsidR="00253C06" w:rsidRPr="00766611">
        <w:rPr>
          <w:lang w:val="mi-NZ"/>
        </w:rPr>
        <w:t xml:space="preserve">help to ensure the interests of class members are </w:t>
      </w:r>
      <w:r w:rsidR="00147032">
        <w:rPr>
          <w:lang w:val="mi-NZ"/>
        </w:rPr>
        <w:t xml:space="preserve">protected and </w:t>
      </w:r>
      <w:r w:rsidR="00253C06" w:rsidRPr="00766611">
        <w:rPr>
          <w:lang w:val="mi-NZ"/>
        </w:rPr>
        <w:t xml:space="preserve">promoted </w:t>
      </w:r>
      <w:r w:rsidR="00253C06" w:rsidRPr="00766611" w:rsidDel="00147032">
        <w:rPr>
          <w:lang w:val="mi-NZ"/>
        </w:rPr>
        <w:t xml:space="preserve">and </w:t>
      </w:r>
      <w:r w:rsidR="00253C06" w:rsidRPr="00766611">
        <w:rPr>
          <w:lang w:val="mi-NZ"/>
        </w:rPr>
        <w:t>can assist the representative plaintiff to perform their role</w:t>
      </w:r>
      <w:r w:rsidR="00253C06">
        <w:t>.</w:t>
      </w:r>
      <w:r w:rsidR="00D629FA">
        <w:rPr>
          <w:rFonts w:ascii="ZWAdobeF" w:hAnsi="ZWAdobeF" w:cs="ZWAdobeF"/>
          <w:color w:val="auto"/>
          <w:sz w:val="2"/>
          <w:szCs w:val="2"/>
        </w:rPr>
        <w:t>327F</w:t>
      </w:r>
      <w:r w:rsidR="0049638A">
        <w:rPr>
          <w:rFonts w:ascii="ZWAdobeF" w:hAnsi="ZWAdobeF" w:cs="ZWAdobeF"/>
          <w:color w:val="auto"/>
          <w:sz w:val="2"/>
          <w:szCs w:val="2"/>
        </w:rPr>
        <w:t>327F</w:t>
      </w:r>
      <w:r w:rsidR="00317AE4">
        <w:rPr>
          <w:rFonts w:ascii="ZWAdobeF" w:hAnsi="ZWAdobeF" w:cs="ZWAdobeF"/>
          <w:color w:val="auto"/>
          <w:sz w:val="2"/>
          <w:szCs w:val="2"/>
        </w:rPr>
        <w:t>327F</w:t>
      </w:r>
      <w:r w:rsidR="00253C06">
        <w:rPr>
          <w:rStyle w:val="FootnoteReference"/>
        </w:rPr>
        <w:footnoteReference w:id="329"/>
      </w:r>
    </w:p>
    <w:p w14:paraId="038B7965" w14:textId="7BCF93EC" w:rsidR="00253C06" w:rsidRDefault="00BD5C95" w:rsidP="009B37CB">
      <w:pPr>
        <w:pStyle w:val="BodyText"/>
      </w:pPr>
      <w:r>
        <w:rPr>
          <w:rFonts w:ascii="ZWAdobeF" w:hAnsi="ZWAdobeF" w:cs="ZWAdobeF"/>
          <w:color w:val="auto"/>
          <w:sz w:val="2"/>
          <w:szCs w:val="2"/>
        </w:rPr>
        <w:t>211B</w:t>
      </w:r>
      <w:r w:rsidR="0049638A">
        <w:rPr>
          <w:rFonts w:ascii="ZWAdobeF" w:hAnsi="ZWAdobeF" w:cs="ZWAdobeF"/>
          <w:color w:val="auto"/>
          <w:sz w:val="2"/>
          <w:szCs w:val="2"/>
        </w:rPr>
        <w:t>211B</w:t>
      </w:r>
      <w:r w:rsidR="00D629FA">
        <w:rPr>
          <w:rFonts w:ascii="ZWAdobeF" w:hAnsi="ZWAdobeF" w:cs="ZWAdobeF"/>
          <w:color w:val="auto"/>
          <w:sz w:val="2"/>
          <w:szCs w:val="2"/>
        </w:rPr>
        <w:t>211B</w:t>
      </w:r>
      <w:r w:rsidR="00253C06">
        <w:t xml:space="preserve">In funded proceedings, the involvement of litigation committees may </w:t>
      </w:r>
      <w:r w:rsidR="00253C06" w:rsidRPr="00766611">
        <w:rPr>
          <w:lang w:val="mi-NZ"/>
        </w:rPr>
        <w:t xml:space="preserve">mitigate the risk of conflicts of interest, which can arise where </w:t>
      </w:r>
      <w:r w:rsidR="00CF6026">
        <w:rPr>
          <w:lang w:val="mi-NZ"/>
        </w:rPr>
        <w:t xml:space="preserve">a </w:t>
      </w:r>
      <w:r w:rsidR="00253C06" w:rsidRPr="00766611">
        <w:rPr>
          <w:lang w:val="mi-NZ"/>
        </w:rPr>
        <w:t>funder</w:t>
      </w:r>
      <w:r w:rsidR="00CF6026">
        <w:rPr>
          <w:lang w:val="mi-NZ"/>
        </w:rPr>
        <w:t xml:space="preserve"> is </w:t>
      </w:r>
      <w:r w:rsidR="00253C06" w:rsidRPr="00766611">
        <w:rPr>
          <w:lang w:val="mi-NZ"/>
        </w:rPr>
        <w:t xml:space="preserve">able to exercise control over proceedings and </w:t>
      </w:r>
      <w:r w:rsidR="00CF6026">
        <w:rPr>
          <w:lang w:val="mi-NZ"/>
        </w:rPr>
        <w:t xml:space="preserve">a representative </w:t>
      </w:r>
      <w:r w:rsidR="00253C06" w:rsidRPr="00766611">
        <w:rPr>
          <w:lang w:val="mi-NZ"/>
        </w:rPr>
        <w:t>plaintiff ha</w:t>
      </w:r>
      <w:r w:rsidR="00CF6026">
        <w:rPr>
          <w:lang w:val="mi-NZ"/>
        </w:rPr>
        <w:t>s</w:t>
      </w:r>
      <w:r w:rsidR="00253C06" w:rsidRPr="00766611">
        <w:rPr>
          <w:lang w:val="mi-NZ"/>
        </w:rPr>
        <w:t xml:space="preserve"> very little involvement in their case</w:t>
      </w:r>
      <w:r w:rsidR="00253C06">
        <w:rPr>
          <w:lang w:val="mi-NZ"/>
        </w:rPr>
        <w:t xml:space="preserve">. </w:t>
      </w:r>
      <w:r w:rsidR="00253C06" w:rsidRPr="00766611">
        <w:rPr>
          <w:lang w:val="mi-NZ"/>
        </w:rPr>
        <w:t>However, we understand in some cases the litigation funder will be involved in appointing the litigation committee, which limits the independent role the committee can play.</w:t>
      </w:r>
    </w:p>
    <w:p w14:paraId="18BCCF97" w14:textId="57DE076C" w:rsidR="00253C06" w:rsidRDefault="00BD5C95" w:rsidP="009B37CB">
      <w:pPr>
        <w:pStyle w:val="BodyText"/>
      </w:pPr>
      <w:r>
        <w:rPr>
          <w:rFonts w:ascii="ZWAdobeF" w:hAnsi="ZWAdobeF" w:cs="ZWAdobeF"/>
          <w:color w:val="auto"/>
          <w:sz w:val="2"/>
          <w:szCs w:val="2"/>
        </w:rPr>
        <w:t>212B</w:t>
      </w:r>
      <w:r w:rsidR="0049638A">
        <w:rPr>
          <w:rFonts w:ascii="ZWAdobeF" w:hAnsi="ZWAdobeF" w:cs="ZWAdobeF"/>
          <w:color w:val="auto"/>
          <w:sz w:val="2"/>
          <w:szCs w:val="2"/>
        </w:rPr>
        <w:t>212B</w:t>
      </w:r>
      <w:r w:rsidR="00D629FA">
        <w:rPr>
          <w:rFonts w:ascii="ZWAdobeF" w:hAnsi="ZWAdobeF" w:cs="ZWAdobeF"/>
          <w:color w:val="auto"/>
          <w:sz w:val="2"/>
          <w:szCs w:val="2"/>
        </w:rPr>
        <w:t>212B</w:t>
      </w:r>
      <w:r w:rsidR="00253C06" w:rsidRPr="001D12B5">
        <w:t>Meredith Connell submitted</w:t>
      </w:r>
      <w:r w:rsidR="00253C06">
        <w:t xml:space="preserve"> there is an important distinction between the representative plaintiff (who should effectively represent the common factual and legal issues in dispute) and the governance arrangements of the class. It said a litigation committee was a highly effective means of protecting claimant interests and promoting the efficient conduct of a representative action. Members of the committee can be selected for particular skills and expertise, such as legal or accounting experience, risk management skills, and professional or personal experience of the facts giving rise to the dispute. Meredith </w:t>
      </w:r>
      <w:r w:rsidR="00253C06">
        <w:lastRenderedPageBreak/>
        <w:t>Connell considered any class action</w:t>
      </w:r>
      <w:r w:rsidR="00805C83">
        <w:t>s</w:t>
      </w:r>
      <w:r w:rsidR="00253C06">
        <w:t xml:space="preserve"> regime should distinguish between the role of the representative plaintiff and governance arrangements for the class and permit the responsibilities and risks of those two roles to be separated. </w:t>
      </w:r>
    </w:p>
    <w:p w14:paraId="1E749AAA" w14:textId="5A06F47B" w:rsidR="00253C06" w:rsidRDefault="00BD5C95" w:rsidP="009B37CB">
      <w:pPr>
        <w:pStyle w:val="BodyText"/>
      </w:pPr>
      <w:r>
        <w:rPr>
          <w:rFonts w:ascii="ZWAdobeF" w:hAnsi="ZWAdobeF" w:cs="ZWAdobeF"/>
          <w:color w:val="auto"/>
          <w:sz w:val="2"/>
          <w:szCs w:val="2"/>
        </w:rPr>
        <w:t>213B</w:t>
      </w:r>
      <w:r w:rsidR="0049638A">
        <w:rPr>
          <w:rFonts w:ascii="ZWAdobeF" w:hAnsi="ZWAdobeF" w:cs="ZWAdobeF"/>
          <w:color w:val="auto"/>
          <w:sz w:val="2"/>
          <w:szCs w:val="2"/>
        </w:rPr>
        <w:t>213B</w:t>
      </w:r>
      <w:r w:rsidR="00D629FA">
        <w:rPr>
          <w:rFonts w:ascii="ZWAdobeF" w:hAnsi="ZWAdobeF" w:cs="ZWAdobeF"/>
          <w:color w:val="auto"/>
          <w:sz w:val="2"/>
          <w:szCs w:val="2"/>
        </w:rPr>
        <w:t>213B</w:t>
      </w:r>
      <w:r w:rsidR="00253C06">
        <w:t xml:space="preserve">We acknowledge that a litigation committee can assist the representative plaintiff to carry out their role, particularly in giving instructions to lawyers. A litigation committee appointed for their expertise may be more able to act in a governance capacity than an individual representative plaintiff. However, we think it should be up to the representative plaintiff and their lawyers to decide whether a litigation committee is appropriate in each class action. Class members may not want to participate in a litigation committee, nor have the desired skill sets. As well, if a litigation committee is appointed, it will not remove </w:t>
      </w:r>
      <w:r w:rsidR="00E704C2">
        <w:t xml:space="preserve">a representative plaintiff’s </w:t>
      </w:r>
      <w:r w:rsidR="00253C06">
        <w:t>obligations. The committee is not a party to proceeding, nor is it the formal representative of the class members. As our view is a litigation committee should be permissible but not required, we do not think specific rules on litigation committees are needed in class actions legislation. However, we welcome submitters’ feedback on this.</w:t>
      </w:r>
    </w:p>
    <w:p w14:paraId="3849A5B6" w14:textId="1BA2567B" w:rsidR="00147032" w:rsidRDefault="00BD5C95" w:rsidP="009B37CB">
      <w:pPr>
        <w:pStyle w:val="BodyText"/>
      </w:pPr>
      <w:r>
        <w:rPr>
          <w:rFonts w:ascii="ZWAdobeF" w:hAnsi="ZWAdobeF" w:cs="ZWAdobeF"/>
          <w:color w:val="auto"/>
          <w:sz w:val="2"/>
          <w:szCs w:val="2"/>
        </w:rPr>
        <w:t>214B</w:t>
      </w:r>
      <w:r w:rsidR="0049638A">
        <w:rPr>
          <w:rFonts w:ascii="ZWAdobeF" w:hAnsi="ZWAdobeF" w:cs="ZWAdobeF"/>
          <w:color w:val="auto"/>
          <w:sz w:val="2"/>
          <w:szCs w:val="2"/>
        </w:rPr>
        <w:t>214B</w:t>
      </w:r>
      <w:r w:rsidR="00D629FA">
        <w:rPr>
          <w:rFonts w:ascii="ZWAdobeF" w:hAnsi="ZWAdobeF" w:cs="ZWAdobeF"/>
          <w:color w:val="auto"/>
          <w:sz w:val="2"/>
          <w:szCs w:val="2"/>
        </w:rPr>
        <w:t>214B</w:t>
      </w:r>
      <w:r w:rsidR="00147032">
        <w:t>Another way of supporting a representative plaintiff is to ensure they are aware of the obligations of the role.</w:t>
      </w:r>
      <w:r w:rsidR="00D629FA">
        <w:rPr>
          <w:rFonts w:ascii="ZWAdobeF" w:hAnsi="ZWAdobeF" w:cs="ZWAdobeF"/>
          <w:color w:val="auto"/>
          <w:sz w:val="2"/>
          <w:szCs w:val="2"/>
        </w:rPr>
        <w:t>328F</w:t>
      </w:r>
      <w:r w:rsidR="0049638A">
        <w:rPr>
          <w:rFonts w:ascii="ZWAdobeF" w:hAnsi="ZWAdobeF" w:cs="ZWAdobeF"/>
          <w:color w:val="auto"/>
          <w:sz w:val="2"/>
          <w:szCs w:val="2"/>
        </w:rPr>
        <w:t>328F</w:t>
      </w:r>
      <w:r w:rsidR="00317AE4">
        <w:rPr>
          <w:rFonts w:ascii="ZWAdobeF" w:hAnsi="ZWAdobeF" w:cs="ZWAdobeF"/>
          <w:color w:val="auto"/>
          <w:sz w:val="2"/>
          <w:szCs w:val="2"/>
        </w:rPr>
        <w:t>328F</w:t>
      </w:r>
      <w:r w:rsidR="00B848B2">
        <w:rPr>
          <w:rStyle w:val="FootnoteReference"/>
        </w:rPr>
        <w:footnoteReference w:id="330"/>
      </w:r>
      <w:r w:rsidR="00147032">
        <w:t xml:space="preserve"> </w:t>
      </w:r>
      <w:r w:rsidR="006E7665">
        <w:t>Our draft provision allows the court to consider whether a proposed representative plaintiff has a reasonable understanding of the obligations of the role. It might also be appropriate for a representative plaintiff to be paid an honorarium</w:t>
      </w:r>
      <w:r w:rsidR="006C34FE">
        <w:t xml:space="preserve"> during the litigation</w:t>
      </w:r>
      <w:r w:rsidR="006E7665">
        <w:t xml:space="preserve"> </w:t>
      </w:r>
      <w:r w:rsidR="004C75AE">
        <w:t xml:space="preserve">to recognise the time spent on the duties of the role. However, in Chapter 6 we express the view this should not be a lump sum paid at settlement because of the risk this would cause a conflict of interest. </w:t>
      </w:r>
    </w:p>
    <w:p w14:paraId="3BB6D68A" w14:textId="687DDF23" w:rsidR="00346BEF" w:rsidRDefault="006A7425" w:rsidP="00184CA2">
      <w:pPr>
        <w:pStyle w:val="BodyText"/>
        <w:numPr>
          <w:ilvl w:val="0"/>
          <w:numId w:val="0"/>
        </w:numPr>
        <w:ind w:left="709"/>
      </w:pPr>
      <w:r>
        <w:rPr>
          <w:noProof/>
        </w:rPr>
        <mc:AlternateContent>
          <mc:Choice Requires="wpg">
            <w:drawing>
              <wp:anchor distT="0" distB="0" distL="114300" distR="114300" simplePos="0" relativeHeight="251652153" behindDoc="1" locked="0" layoutInCell="1" allowOverlap="1" wp14:anchorId="3FE61E2D" wp14:editId="126840DB">
                <wp:simplePos x="0" y="0"/>
                <wp:positionH relativeFrom="column">
                  <wp:posOffset>-3810</wp:posOffset>
                </wp:positionH>
                <wp:positionV relativeFrom="paragraph">
                  <wp:posOffset>3810</wp:posOffset>
                </wp:positionV>
                <wp:extent cx="5760085" cy="971519"/>
                <wp:effectExtent l="0" t="0" r="0" b="635"/>
                <wp:wrapNone/>
                <wp:docPr id="199" name="Group 199"/>
                <wp:cNvGraphicFramePr/>
                <a:graphic xmlns:a="http://schemas.openxmlformats.org/drawingml/2006/main">
                  <a:graphicData uri="http://schemas.microsoft.com/office/word/2010/wordprocessingGroup">
                    <wpg:wgp>
                      <wpg:cNvGrpSpPr/>
                      <wpg:grpSpPr>
                        <a:xfrm>
                          <a:off x="0" y="0"/>
                          <a:ext cx="5760085" cy="971519"/>
                          <a:chOff x="0" y="62865"/>
                          <a:chExt cx="5760085" cy="971617"/>
                        </a:xfrm>
                      </wpg:grpSpPr>
                      <wps:wsp>
                        <wps:cNvPr id="2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8EA36B" w14:textId="5104618B" w:rsidR="00A55F53" w:rsidRDefault="00A55F53" w:rsidP="006A7425">
                              <w:pPr>
                                <w:pStyle w:val="BoxTitle"/>
                                <w:spacing w:before="0" w:beforeAutospacing="0"/>
                              </w:pPr>
                              <w:r w:rsidRPr="007F6876">
                                <w:t>QUESTION</w:t>
                              </w:r>
                            </w:p>
                          </w:txbxContent>
                        </wps:txbx>
                        <wps:bodyPr rot="0" vert="horz" wrap="square" lIns="91440" tIns="0" rIns="0" bIns="45720" anchor="ctr" anchorCtr="0" upright="1">
                          <a:noAutofit/>
                        </wps:bodyPr>
                      </wps:wsp>
                      <wpg:grpSp>
                        <wpg:cNvPr id="206" name="Group 53"/>
                        <wpg:cNvGrpSpPr>
                          <a:grpSpLocks/>
                        </wpg:cNvGrpSpPr>
                        <wpg:grpSpPr bwMode="auto">
                          <a:xfrm>
                            <a:off x="0" y="316077"/>
                            <a:ext cx="5760085" cy="718405"/>
                            <a:chOff x="1837" y="1790"/>
                            <a:chExt cx="9302" cy="7760"/>
                          </a:xfrm>
                        </wpg:grpSpPr>
                        <wps:wsp>
                          <wps:cNvPr id="207" name="Freeform 54"/>
                          <wps:cNvSpPr>
                            <a:spLocks/>
                          </wps:cNvSpPr>
                          <wps:spPr bwMode="auto">
                            <a:xfrm>
                              <a:off x="1837" y="1790"/>
                              <a:ext cx="9302" cy="776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8"/>
                        <wpg:cNvGrpSpPr/>
                        <wpg:grpSpPr>
                          <a:xfrm>
                            <a:off x="0" y="494036"/>
                            <a:ext cx="1443794" cy="252000"/>
                            <a:chOff x="-15880" y="0"/>
                            <a:chExt cx="1444379" cy="252068"/>
                          </a:xfrm>
                        </wpg:grpSpPr>
                        <wps:wsp>
                          <wps:cNvPr id="22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203429" w14:textId="1FAC224E" w:rsidR="00A55F53" w:rsidRPr="00E700FF" w:rsidRDefault="00A55F53" w:rsidP="006A7425">
                                <w:pPr>
                                  <w:pStyle w:val="BoxTitle"/>
                                  <w:spacing w:before="0" w:beforeAutospacing="0"/>
                                </w:pPr>
                                <w:r w:rsidRPr="001C1B37">
                                  <w:t>Q</w:t>
                                </w:r>
                                <w:r>
                                  <w:t>16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FE61E2D" id="Group 199" o:spid="_x0000_s1307" style="position:absolute;left:0;text-align:left;margin-left:-.3pt;margin-top:.3pt;width:453.55pt;height:76.5pt;z-index:-251664327;mso-height-relative:margin" coordorigin=",628" coordsize="57600,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">
                <v:shape id="_x0000_s130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38EA36B" w14:textId="5104618B" w:rsidR="00A55F53" w:rsidRDefault="00A55F53" w:rsidP="006A7425">
                        <w:pPr>
                          <w:pStyle w:val="BoxTitle"/>
                          <w:spacing w:before="0" w:beforeAutospacing="0"/>
                        </w:pPr>
                        <w:r w:rsidRPr="007F6876">
                          <w:t>QUESTION</w:t>
                        </w:r>
                      </w:p>
                    </w:txbxContent>
                  </v:textbox>
                </v:shape>
                <v:group id="Group 53" o:spid="_x0000_s1309" style="position:absolute;top:3160;width:57600;height:7184" coordorigin="1837,1790" coordsize="9302,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54" o:spid="_x0000_s1310" style="position:absolute;left:1837;top:1790;width:9302;height:776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" path="m,l9354,r,7809l,7809,,e" fillcolor="#edf2ea" stroked="f">
                    <v:path arrowok="t" o:connecttype="custom" o:connectlocs="0,994;9302,994;9302,8754;0,8754;0,994" o:connectangles="0,0,0,0,0"/>
                  </v:shape>
                </v:group>
                <v:group id="Group 208" o:spid="_x0000_s131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58" o:spid="_x0000_s131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" path="m,l1815,e" filled="f" strokecolor="#72ab6a" strokeweight=".5pt">
                    <v:path arrowok="t" o:connecttype="custom" o:connectlocs="0,0;1073495,0" o:connectangles="0,0"/>
                  </v:shape>
                  <v:shape id="Freeform 66" o:spid="_x0000_s131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2203429" w14:textId="1FAC224E" w:rsidR="00A55F53" w:rsidRPr="00E700FF" w:rsidRDefault="00A55F53" w:rsidP="006A7425">
                          <w:pPr>
                            <w:pStyle w:val="BoxTitle"/>
                            <w:spacing w:before="0" w:beforeAutospacing="0"/>
                          </w:pPr>
                          <w:r w:rsidRPr="001C1B37">
                            <w:t>Q</w:t>
                          </w:r>
                          <w:r>
                            <w:t>16</w:t>
                          </w:r>
                        </w:p>
                      </w:txbxContent>
                    </v:textbox>
                  </v:shape>
                </v:group>
              </v:group>
            </w:pict>
          </mc:Fallback>
        </mc:AlternateContent>
      </w:r>
    </w:p>
    <w:p w14:paraId="71E4DFFB" w14:textId="0C58F4BB" w:rsidR="00F020ED" w:rsidRDefault="00F020ED" w:rsidP="00F020ED">
      <w:pPr>
        <w:pStyle w:val="QuestionBox"/>
      </w:pPr>
    </w:p>
    <w:p w14:paraId="151673B5" w14:textId="6DF5E3A8" w:rsidR="00253C06" w:rsidRDefault="00BD5C95" w:rsidP="00F020ED">
      <w:pPr>
        <w:pStyle w:val="QuestionBox"/>
      </w:pPr>
      <w:r>
        <w:rPr>
          <w:rFonts w:ascii="ZWAdobeF" w:hAnsi="ZWAdobeF" w:cs="ZWAdobeF"/>
          <w:color w:val="auto"/>
          <w:sz w:val="2"/>
          <w:szCs w:val="2"/>
        </w:rPr>
        <w:t>1408B</w:t>
      </w:r>
      <w:r w:rsidR="0049638A">
        <w:rPr>
          <w:rFonts w:ascii="ZWAdobeF" w:hAnsi="ZWAdobeF" w:cs="ZWAdobeF"/>
          <w:color w:val="auto"/>
          <w:sz w:val="2"/>
          <w:szCs w:val="2"/>
        </w:rPr>
        <w:t>1408B</w:t>
      </w:r>
      <w:r w:rsidR="00D629FA">
        <w:rPr>
          <w:rFonts w:ascii="ZWAdobeF" w:hAnsi="ZWAdobeF" w:cs="ZWAdobeF"/>
          <w:color w:val="auto"/>
          <w:sz w:val="2"/>
          <w:szCs w:val="2"/>
        </w:rPr>
        <w:t>1408B</w:t>
      </w:r>
      <w:r w:rsidR="00147032">
        <w:t>How can a represen</w:t>
      </w:r>
      <w:r w:rsidR="006B41C2">
        <w:t>ta</w:t>
      </w:r>
      <w:r w:rsidR="00147032">
        <w:t>tive plaintiff be supported to meet their obligations</w:t>
      </w:r>
      <w:r w:rsidR="00253C06">
        <w:t xml:space="preserve">? </w:t>
      </w:r>
    </w:p>
    <w:p w14:paraId="18372BC7" w14:textId="79FEA1B7" w:rsidR="00F020ED" w:rsidRDefault="00F020ED" w:rsidP="00F020ED">
      <w:pPr>
        <w:pStyle w:val="QuestionBox"/>
      </w:pPr>
    </w:p>
    <w:p w14:paraId="196193DD" w14:textId="2EECEE32" w:rsidR="00253C06" w:rsidRDefault="00253C06" w:rsidP="006A7425">
      <w:pPr>
        <w:pStyle w:val="Heading2"/>
      </w:pPr>
      <w:bookmarkStart w:id="65" w:name="_Toc83895447"/>
      <w:r>
        <w:t>The representative plaintiff’s lawyer and class members</w:t>
      </w:r>
      <w:bookmarkEnd w:id="65"/>
      <w:r>
        <w:t xml:space="preserve"> </w:t>
      </w:r>
    </w:p>
    <w:p w14:paraId="4F724619" w14:textId="3DDC77B0" w:rsidR="00253C06" w:rsidRDefault="00BD5C95" w:rsidP="00932DB9">
      <w:pPr>
        <w:pStyle w:val="BodyText"/>
        <w:numPr>
          <w:ilvl w:val="1"/>
          <w:numId w:val="15"/>
        </w:numPr>
      </w:pPr>
      <w:r>
        <w:rPr>
          <w:rFonts w:ascii="ZWAdobeF" w:hAnsi="ZWAdobeF" w:cs="ZWAdobeF"/>
          <w:color w:val="auto"/>
          <w:sz w:val="2"/>
          <w:szCs w:val="2"/>
        </w:rPr>
        <w:t>215B</w:t>
      </w:r>
      <w:r w:rsidR="0049638A">
        <w:rPr>
          <w:rFonts w:ascii="ZWAdobeF" w:hAnsi="ZWAdobeF" w:cs="ZWAdobeF"/>
          <w:color w:val="auto"/>
          <w:sz w:val="2"/>
          <w:szCs w:val="2"/>
        </w:rPr>
        <w:t>215B</w:t>
      </w:r>
      <w:r w:rsidR="00D629FA">
        <w:rPr>
          <w:rFonts w:ascii="ZWAdobeF" w:hAnsi="ZWAdobeF" w:cs="ZWAdobeF"/>
          <w:color w:val="auto"/>
          <w:sz w:val="2"/>
          <w:szCs w:val="2"/>
        </w:rPr>
        <w:t>215B</w:t>
      </w:r>
      <w:r w:rsidR="00253C06">
        <w:t xml:space="preserve">As the law stands in Aotearoa New Zealand, the representative plaintiff in a class action </w:t>
      </w:r>
      <w:r w:rsidR="004C75AE">
        <w:t xml:space="preserve">would </w:t>
      </w:r>
      <w:r w:rsidR="00253C06">
        <w:t xml:space="preserve">be in a solicitor-client relationship with their lawyer. That lawyer </w:t>
      </w:r>
      <w:r w:rsidR="009542EB">
        <w:t xml:space="preserve">would </w:t>
      </w:r>
      <w:r w:rsidR="00253C06">
        <w:t xml:space="preserve">also have a solicitor-client relationship with any </w:t>
      </w:r>
      <w:r w:rsidR="009542EB">
        <w:t xml:space="preserve">class </w:t>
      </w:r>
      <w:r w:rsidR="00253C06">
        <w:t xml:space="preserve">members who enter into a retainer with them. However, the nature of the relationship between the lawyer and any unrepresented </w:t>
      </w:r>
      <w:r w:rsidR="009542EB">
        <w:t>class</w:t>
      </w:r>
      <w:r w:rsidR="00253C06">
        <w:t xml:space="preserve"> members is unclear.</w:t>
      </w:r>
      <w:r w:rsidR="00D629FA">
        <w:rPr>
          <w:rFonts w:ascii="ZWAdobeF" w:hAnsi="ZWAdobeF" w:cs="ZWAdobeF"/>
          <w:color w:val="auto"/>
          <w:sz w:val="2"/>
          <w:szCs w:val="2"/>
        </w:rPr>
        <w:t>329F</w:t>
      </w:r>
      <w:r w:rsidR="0049638A">
        <w:rPr>
          <w:rFonts w:ascii="ZWAdobeF" w:hAnsi="ZWAdobeF" w:cs="ZWAdobeF"/>
          <w:color w:val="auto"/>
          <w:sz w:val="2"/>
          <w:szCs w:val="2"/>
        </w:rPr>
        <w:t>329F</w:t>
      </w:r>
      <w:r w:rsidR="00317AE4">
        <w:rPr>
          <w:rFonts w:ascii="ZWAdobeF" w:hAnsi="ZWAdobeF" w:cs="ZWAdobeF"/>
          <w:color w:val="auto"/>
          <w:sz w:val="2"/>
          <w:szCs w:val="2"/>
        </w:rPr>
        <w:t>329F</w:t>
      </w:r>
      <w:r w:rsidR="00253C06">
        <w:rPr>
          <w:rStyle w:val="FootnoteReference"/>
        </w:rPr>
        <w:footnoteReference w:id="331"/>
      </w:r>
      <w:r w:rsidR="00253C06">
        <w:t xml:space="preserve"> Several submissions indicated this was an issue that requires clarification.</w:t>
      </w:r>
    </w:p>
    <w:p w14:paraId="6DF80B7D" w14:textId="4DE86DF5" w:rsidR="00253C06" w:rsidRDefault="00BD5C95" w:rsidP="00932DB9">
      <w:pPr>
        <w:pStyle w:val="BodyText"/>
        <w:numPr>
          <w:ilvl w:val="1"/>
          <w:numId w:val="15"/>
        </w:numPr>
      </w:pPr>
      <w:r>
        <w:rPr>
          <w:rFonts w:ascii="ZWAdobeF" w:hAnsi="ZWAdobeF" w:cs="ZWAdobeF"/>
          <w:color w:val="auto"/>
          <w:sz w:val="2"/>
          <w:szCs w:val="2"/>
        </w:rPr>
        <w:t>216B</w:t>
      </w:r>
      <w:r w:rsidR="0049638A">
        <w:rPr>
          <w:rFonts w:ascii="ZWAdobeF" w:hAnsi="ZWAdobeF" w:cs="ZWAdobeF"/>
          <w:color w:val="auto"/>
          <w:sz w:val="2"/>
          <w:szCs w:val="2"/>
        </w:rPr>
        <w:t>216B</w:t>
      </w:r>
      <w:r w:rsidR="00D629FA">
        <w:rPr>
          <w:rFonts w:ascii="ZWAdobeF" w:hAnsi="ZWAdobeF" w:cs="ZWAdobeF"/>
          <w:color w:val="auto"/>
          <w:sz w:val="2"/>
          <w:szCs w:val="2"/>
        </w:rPr>
        <w:t>216B</w:t>
      </w:r>
      <w:r w:rsidR="00253C06">
        <w:t xml:space="preserve">This may be an issue in opt-out proceedings in particular. We understand that in opt-in representative actions to date, signing up to the retainer has been part of the opt-in </w:t>
      </w:r>
      <w:r w:rsidR="00253C06">
        <w:lastRenderedPageBreak/>
        <w:t>procedure. In an opt-out proceeding, it is not possible to get all class members to sign up to a retainer as some of them will be unknown.</w:t>
      </w:r>
      <w:r w:rsidR="00D629FA">
        <w:rPr>
          <w:rFonts w:ascii="ZWAdobeF" w:hAnsi="ZWAdobeF" w:cs="ZWAdobeF"/>
          <w:color w:val="auto"/>
          <w:sz w:val="2"/>
          <w:szCs w:val="2"/>
        </w:rPr>
        <w:t>330F</w:t>
      </w:r>
      <w:r w:rsidR="0049638A">
        <w:rPr>
          <w:rFonts w:ascii="ZWAdobeF" w:hAnsi="ZWAdobeF" w:cs="ZWAdobeF"/>
          <w:color w:val="auto"/>
          <w:sz w:val="2"/>
          <w:szCs w:val="2"/>
        </w:rPr>
        <w:t>330F</w:t>
      </w:r>
      <w:r w:rsidR="00317AE4">
        <w:rPr>
          <w:rFonts w:ascii="ZWAdobeF" w:hAnsi="ZWAdobeF" w:cs="ZWAdobeF"/>
          <w:color w:val="auto"/>
          <w:sz w:val="2"/>
          <w:szCs w:val="2"/>
        </w:rPr>
        <w:t>330F</w:t>
      </w:r>
      <w:r w:rsidR="00253C06">
        <w:rPr>
          <w:rStyle w:val="FootnoteReference"/>
        </w:rPr>
        <w:footnoteReference w:id="332"/>
      </w:r>
      <w:r w:rsidR="00253C06">
        <w:t xml:space="preserve"> </w:t>
      </w:r>
    </w:p>
    <w:p w14:paraId="5FDDB584" w14:textId="477E8718" w:rsidR="00253C06" w:rsidRDefault="00BD5C95" w:rsidP="00932DB9">
      <w:pPr>
        <w:pStyle w:val="BodyText"/>
        <w:numPr>
          <w:ilvl w:val="1"/>
          <w:numId w:val="15"/>
        </w:numPr>
      </w:pPr>
      <w:r>
        <w:rPr>
          <w:rFonts w:ascii="ZWAdobeF" w:hAnsi="ZWAdobeF" w:cs="ZWAdobeF"/>
          <w:color w:val="auto"/>
          <w:sz w:val="2"/>
          <w:szCs w:val="2"/>
        </w:rPr>
        <w:t>217B</w:t>
      </w:r>
      <w:r w:rsidR="0049638A">
        <w:rPr>
          <w:rFonts w:ascii="ZWAdobeF" w:hAnsi="ZWAdobeF" w:cs="ZWAdobeF"/>
          <w:color w:val="auto"/>
          <w:sz w:val="2"/>
          <w:szCs w:val="2"/>
        </w:rPr>
        <w:t>217B</w:t>
      </w:r>
      <w:r w:rsidR="00D629FA">
        <w:rPr>
          <w:rFonts w:ascii="ZWAdobeF" w:hAnsi="ZWAdobeF" w:cs="ZWAdobeF"/>
          <w:color w:val="auto"/>
          <w:sz w:val="2"/>
          <w:szCs w:val="2"/>
        </w:rPr>
        <w:t>217B</w:t>
      </w:r>
      <w:r w:rsidR="00253C06">
        <w:t xml:space="preserve">Our analysis of the relationship between the representative plaintiff’s lawyer and class members is focussed on two issues:  </w:t>
      </w:r>
    </w:p>
    <w:p w14:paraId="57897393" w14:textId="778F1751" w:rsidR="00253C06" w:rsidRDefault="00BD5C95" w:rsidP="00932DB9">
      <w:pPr>
        <w:pStyle w:val="BodyTextnonum"/>
        <w:numPr>
          <w:ilvl w:val="3"/>
          <w:numId w:val="15"/>
        </w:numPr>
      </w:pPr>
      <w:r>
        <w:rPr>
          <w:rFonts w:ascii="ZWAdobeF" w:hAnsi="ZWAdobeF" w:cs="ZWAdobeF"/>
          <w:color w:val="auto"/>
          <w:sz w:val="2"/>
          <w:szCs w:val="2"/>
        </w:rPr>
        <w:t>701B</w:t>
      </w:r>
      <w:r w:rsidR="0049638A">
        <w:rPr>
          <w:rFonts w:ascii="ZWAdobeF" w:hAnsi="ZWAdobeF" w:cs="ZWAdobeF"/>
          <w:color w:val="auto"/>
          <w:sz w:val="2"/>
          <w:szCs w:val="2"/>
        </w:rPr>
        <w:t>701B</w:t>
      </w:r>
      <w:r w:rsidR="00D629FA">
        <w:rPr>
          <w:rFonts w:ascii="ZWAdobeF" w:hAnsi="ZWAdobeF" w:cs="ZWAdobeF"/>
          <w:color w:val="auto"/>
          <w:sz w:val="2"/>
          <w:szCs w:val="2"/>
        </w:rPr>
        <w:t>701B</w:t>
      </w:r>
      <w:r w:rsidR="00253C06">
        <w:t xml:space="preserve">What is the relationship between a lawyer and class members where there is no express retainer agreement? This may include situations where the identity of all class members is unknown. </w:t>
      </w:r>
    </w:p>
    <w:p w14:paraId="4F23BA73" w14:textId="6031F4F4" w:rsidR="00253C06" w:rsidRDefault="00BD5C95" w:rsidP="00932DB9">
      <w:pPr>
        <w:pStyle w:val="BodyTextnonum"/>
        <w:numPr>
          <w:ilvl w:val="3"/>
          <w:numId w:val="15"/>
        </w:numPr>
      </w:pPr>
      <w:r>
        <w:rPr>
          <w:rFonts w:ascii="ZWAdobeF" w:hAnsi="ZWAdobeF" w:cs="ZWAdobeF"/>
          <w:color w:val="auto"/>
          <w:sz w:val="2"/>
          <w:szCs w:val="2"/>
        </w:rPr>
        <w:t>702B</w:t>
      </w:r>
      <w:r w:rsidR="0049638A">
        <w:rPr>
          <w:rFonts w:ascii="ZWAdobeF" w:hAnsi="ZWAdobeF" w:cs="ZWAdobeF"/>
          <w:color w:val="auto"/>
          <w:sz w:val="2"/>
          <w:szCs w:val="2"/>
        </w:rPr>
        <w:t>702B</w:t>
      </w:r>
      <w:r w:rsidR="00D629FA">
        <w:rPr>
          <w:rFonts w:ascii="ZWAdobeF" w:hAnsi="ZWAdobeF" w:cs="ZWAdobeF"/>
          <w:color w:val="auto"/>
          <w:sz w:val="2"/>
          <w:szCs w:val="2"/>
        </w:rPr>
        <w:t>702B</w:t>
      </w:r>
      <w:r w:rsidR="00253C06">
        <w:t xml:space="preserve">Should the lawyer owe any obligations either to the class as a whole or to individual class members, irrespective of any retainer?  </w:t>
      </w:r>
    </w:p>
    <w:p w14:paraId="37735069" w14:textId="7B6EAEB9" w:rsidR="00200074" w:rsidRPr="009946A0" w:rsidRDefault="00BD5C95" w:rsidP="00200074">
      <w:pPr>
        <w:pStyle w:val="BodyText"/>
        <w:numPr>
          <w:ilvl w:val="1"/>
          <w:numId w:val="15"/>
        </w:numPr>
      </w:pPr>
      <w:r>
        <w:rPr>
          <w:rFonts w:ascii="ZWAdobeF" w:hAnsi="ZWAdobeF" w:cs="ZWAdobeF"/>
          <w:color w:val="auto"/>
          <w:sz w:val="2"/>
          <w:szCs w:val="2"/>
        </w:rPr>
        <w:t>218B</w:t>
      </w:r>
      <w:r w:rsidR="0049638A">
        <w:rPr>
          <w:rFonts w:ascii="ZWAdobeF" w:hAnsi="ZWAdobeF" w:cs="ZWAdobeF"/>
          <w:color w:val="auto"/>
          <w:sz w:val="2"/>
          <w:szCs w:val="2"/>
        </w:rPr>
        <w:t>218B</w:t>
      </w:r>
      <w:r w:rsidR="00D629FA">
        <w:rPr>
          <w:rFonts w:ascii="ZWAdobeF" w:hAnsi="ZWAdobeF" w:cs="ZWAdobeF"/>
          <w:color w:val="auto"/>
          <w:sz w:val="2"/>
          <w:szCs w:val="2"/>
        </w:rPr>
        <w:t>218B</w:t>
      </w:r>
      <w:r w:rsidR="00200074">
        <w:t>We first discuss the approaches taken in Aotearoa New Zealand and other jurisdictions to these issues.</w:t>
      </w:r>
    </w:p>
    <w:p w14:paraId="28B4A4C5" w14:textId="27F582B4" w:rsidR="00253C06" w:rsidRDefault="00253C06" w:rsidP="006B41C2">
      <w:pPr>
        <w:pStyle w:val="Heading3"/>
      </w:pPr>
      <w:r>
        <w:t xml:space="preserve">Aotearoa New Zealand </w:t>
      </w:r>
    </w:p>
    <w:p w14:paraId="71DA1615" w14:textId="5ED77909" w:rsidR="00253C06" w:rsidRDefault="00BD5C95" w:rsidP="009B37CB">
      <w:pPr>
        <w:pStyle w:val="BodyText"/>
      </w:pPr>
      <w:r>
        <w:rPr>
          <w:rFonts w:ascii="ZWAdobeF" w:hAnsi="ZWAdobeF" w:cs="ZWAdobeF"/>
          <w:color w:val="auto"/>
          <w:sz w:val="2"/>
          <w:szCs w:val="2"/>
        </w:rPr>
        <w:t>219B</w:t>
      </w:r>
      <w:r w:rsidR="0049638A">
        <w:rPr>
          <w:rFonts w:ascii="ZWAdobeF" w:hAnsi="ZWAdobeF" w:cs="ZWAdobeF"/>
          <w:color w:val="auto"/>
          <w:sz w:val="2"/>
          <w:szCs w:val="2"/>
        </w:rPr>
        <w:t>219B</w:t>
      </w:r>
      <w:r w:rsidR="00D629FA">
        <w:rPr>
          <w:rFonts w:ascii="ZWAdobeF" w:hAnsi="ZWAdobeF" w:cs="ZWAdobeF"/>
          <w:color w:val="auto"/>
          <w:sz w:val="2"/>
          <w:szCs w:val="2"/>
        </w:rPr>
        <w:t>219B</w:t>
      </w:r>
      <w:r w:rsidR="00253C06">
        <w:t xml:space="preserve">In </w:t>
      </w:r>
      <w:r w:rsidR="00253C06">
        <w:rPr>
          <w:i/>
          <w:iCs/>
        </w:rPr>
        <w:t xml:space="preserve">Ross v Sothern Response Earthquake Services Ltd </w:t>
      </w:r>
      <w:r w:rsidR="00253C06">
        <w:t>the High Court considered the relationship between unrepresented group members and the representative plaintiff’s counsel in an opt-out representative action. The High Court considered the requirement to obtain leave to bring a representative action under HCR</w:t>
      </w:r>
      <w:r w:rsidR="00253C06">
        <w:rPr>
          <w:rFonts w:ascii="Calibri" w:hAnsi="Calibri" w:cs="Calibri"/>
        </w:rPr>
        <w:t> </w:t>
      </w:r>
      <w:r w:rsidR="00253C06">
        <w:t>4.24 did not impose a solicitor-client relationship between the representative plaintiff’s lawyer and any unrepresented group members.</w:t>
      </w:r>
      <w:r w:rsidR="00D629FA">
        <w:rPr>
          <w:rFonts w:ascii="ZWAdobeF" w:hAnsi="ZWAdobeF" w:cs="ZWAdobeF"/>
          <w:color w:val="auto"/>
          <w:sz w:val="2"/>
          <w:szCs w:val="2"/>
        </w:rPr>
        <w:t>331F</w:t>
      </w:r>
      <w:r w:rsidR="0049638A">
        <w:rPr>
          <w:rFonts w:ascii="ZWAdobeF" w:hAnsi="ZWAdobeF" w:cs="ZWAdobeF"/>
          <w:color w:val="auto"/>
          <w:sz w:val="2"/>
          <w:szCs w:val="2"/>
        </w:rPr>
        <w:t>331F</w:t>
      </w:r>
      <w:r w:rsidR="00317AE4">
        <w:rPr>
          <w:rFonts w:ascii="ZWAdobeF" w:hAnsi="ZWAdobeF" w:cs="ZWAdobeF"/>
          <w:color w:val="auto"/>
          <w:sz w:val="2"/>
          <w:szCs w:val="2"/>
        </w:rPr>
        <w:t>331F</w:t>
      </w:r>
      <w:r w:rsidR="00253C06">
        <w:rPr>
          <w:rStyle w:val="FootnoteReference"/>
        </w:rPr>
        <w:footnoteReference w:id="333"/>
      </w:r>
      <w:r w:rsidR="00253C06">
        <w:t xml:space="preserve"> In reaching this conclusion, the Court </w:t>
      </w:r>
      <w:r w:rsidR="00C216BD">
        <w:t xml:space="preserve">observed that case law in Canada and the United States indicated that </w:t>
      </w:r>
      <w:r w:rsidR="00B668F0">
        <w:t xml:space="preserve">a solicitor-client relationship </w:t>
      </w:r>
      <w:r w:rsidR="00D70A25">
        <w:t>was imposed on the</w:t>
      </w:r>
      <w:r w:rsidR="00676CDD">
        <w:t xml:space="preserve"> entire class upon </w:t>
      </w:r>
      <w:r w:rsidR="00253C06">
        <w:t>certification.</w:t>
      </w:r>
      <w:r w:rsidR="00D629FA">
        <w:rPr>
          <w:rFonts w:ascii="ZWAdobeF" w:hAnsi="ZWAdobeF" w:cs="ZWAdobeF"/>
          <w:color w:val="auto"/>
          <w:sz w:val="2"/>
          <w:szCs w:val="2"/>
        </w:rPr>
        <w:t>332F</w:t>
      </w:r>
      <w:r w:rsidR="0049638A">
        <w:rPr>
          <w:rFonts w:ascii="ZWAdobeF" w:hAnsi="ZWAdobeF" w:cs="ZWAdobeF"/>
          <w:color w:val="auto"/>
          <w:sz w:val="2"/>
          <w:szCs w:val="2"/>
        </w:rPr>
        <w:t>332F</w:t>
      </w:r>
      <w:r w:rsidR="00317AE4">
        <w:rPr>
          <w:rFonts w:ascii="ZWAdobeF" w:hAnsi="ZWAdobeF" w:cs="ZWAdobeF"/>
          <w:color w:val="auto"/>
          <w:sz w:val="2"/>
          <w:szCs w:val="2"/>
        </w:rPr>
        <w:t>332F</w:t>
      </w:r>
      <w:r w:rsidR="00253C06">
        <w:rPr>
          <w:rStyle w:val="FootnoteReference"/>
        </w:rPr>
        <w:footnoteReference w:id="334"/>
      </w:r>
      <w:r w:rsidR="00253C06">
        <w:t xml:space="preserve"> However, the Court did not think there was sufficient similarity between certification and the leave requirement under HCR 4.24 for those cases to apply by analogy.</w:t>
      </w:r>
      <w:r w:rsidR="00D629FA">
        <w:rPr>
          <w:rFonts w:ascii="ZWAdobeF" w:hAnsi="ZWAdobeF" w:cs="ZWAdobeF"/>
          <w:color w:val="auto"/>
          <w:sz w:val="2"/>
          <w:szCs w:val="2"/>
        </w:rPr>
        <w:t>333F</w:t>
      </w:r>
      <w:r w:rsidR="0049638A">
        <w:rPr>
          <w:rFonts w:ascii="ZWAdobeF" w:hAnsi="ZWAdobeF" w:cs="ZWAdobeF"/>
          <w:color w:val="auto"/>
          <w:sz w:val="2"/>
          <w:szCs w:val="2"/>
        </w:rPr>
        <w:t>333F</w:t>
      </w:r>
      <w:r w:rsidR="00317AE4">
        <w:rPr>
          <w:rFonts w:ascii="ZWAdobeF" w:hAnsi="ZWAdobeF" w:cs="ZWAdobeF"/>
          <w:color w:val="auto"/>
          <w:sz w:val="2"/>
          <w:szCs w:val="2"/>
        </w:rPr>
        <w:t>333F</w:t>
      </w:r>
      <w:r w:rsidR="00253C06">
        <w:rPr>
          <w:rStyle w:val="FootnoteReference"/>
        </w:rPr>
        <w:footnoteReference w:id="335"/>
      </w:r>
    </w:p>
    <w:p w14:paraId="568E09FB" w14:textId="77777777" w:rsidR="00253C06" w:rsidRPr="0024500A" w:rsidRDefault="00253C06" w:rsidP="00475B0E">
      <w:pPr>
        <w:pStyle w:val="Heading3"/>
      </w:pPr>
      <w:r>
        <w:t>Comparator jurisdictions</w:t>
      </w:r>
    </w:p>
    <w:p w14:paraId="2221C0D2" w14:textId="144082CF" w:rsidR="00253C06" w:rsidRDefault="00BD5C95" w:rsidP="009B37CB">
      <w:pPr>
        <w:pStyle w:val="BodyText"/>
      </w:pPr>
      <w:r>
        <w:rPr>
          <w:rFonts w:ascii="ZWAdobeF" w:hAnsi="ZWAdobeF" w:cs="ZWAdobeF"/>
          <w:color w:val="auto"/>
          <w:sz w:val="2"/>
          <w:szCs w:val="2"/>
        </w:rPr>
        <w:t>220B</w:t>
      </w:r>
      <w:r w:rsidR="0049638A">
        <w:rPr>
          <w:rFonts w:ascii="ZWAdobeF" w:hAnsi="ZWAdobeF" w:cs="ZWAdobeF"/>
          <w:color w:val="auto"/>
          <w:sz w:val="2"/>
          <w:szCs w:val="2"/>
        </w:rPr>
        <w:t>220B</w:t>
      </w:r>
      <w:r w:rsidR="00D629FA">
        <w:rPr>
          <w:rFonts w:ascii="ZWAdobeF" w:hAnsi="ZWAdobeF" w:cs="ZWAdobeF"/>
          <w:color w:val="auto"/>
          <w:sz w:val="2"/>
          <w:szCs w:val="2"/>
        </w:rPr>
        <w:t>220B</w:t>
      </w:r>
      <w:r w:rsidR="00253C06">
        <w:t xml:space="preserve">Our main comparator jurisdictions have taken different approaches to the relationship between the representative plaintiff’s lawyer and class members. </w:t>
      </w:r>
    </w:p>
    <w:p w14:paraId="03EEFB94" w14:textId="3007157D" w:rsidR="00253C06" w:rsidRDefault="00BD5C95" w:rsidP="009B37CB">
      <w:pPr>
        <w:pStyle w:val="BodyText"/>
        <w:tabs>
          <w:tab w:val="clear" w:pos="709"/>
        </w:tabs>
      </w:pPr>
      <w:r>
        <w:rPr>
          <w:rFonts w:ascii="ZWAdobeF" w:hAnsi="ZWAdobeF" w:cs="ZWAdobeF"/>
          <w:color w:val="auto"/>
          <w:sz w:val="2"/>
          <w:szCs w:val="2"/>
        </w:rPr>
        <w:t>221B</w:t>
      </w:r>
      <w:r w:rsidR="0049638A">
        <w:rPr>
          <w:rFonts w:ascii="ZWAdobeF" w:hAnsi="ZWAdobeF" w:cs="ZWAdobeF"/>
          <w:color w:val="auto"/>
          <w:sz w:val="2"/>
          <w:szCs w:val="2"/>
        </w:rPr>
        <w:t>221B</w:t>
      </w:r>
      <w:r w:rsidR="00D629FA">
        <w:rPr>
          <w:rFonts w:ascii="ZWAdobeF" w:hAnsi="ZWAdobeF" w:cs="ZWAdobeF"/>
          <w:color w:val="auto"/>
          <w:sz w:val="2"/>
          <w:szCs w:val="2"/>
        </w:rPr>
        <w:t>221B</w:t>
      </w:r>
      <w:r w:rsidR="00253C06">
        <w:t xml:space="preserve">In Australia, the relationship between the representative plaintiff’s lawyer and class members is unclear. In </w:t>
      </w:r>
      <w:r w:rsidR="00253C06" w:rsidRPr="00CE1191">
        <w:rPr>
          <w:i/>
          <w:iCs/>
        </w:rPr>
        <w:t xml:space="preserve">Kelly v Willmott Forests Ltd </w:t>
      </w:r>
      <w:r w:rsidR="00253C06">
        <w:t>the Federal Court of Australia</w:t>
      </w:r>
      <w:r w:rsidR="00253C06" w:rsidRPr="00FF70E0">
        <w:t xml:space="preserve"> </w:t>
      </w:r>
      <w:r w:rsidR="00253C06">
        <w:t>said the representative plaintiff’s lawyer owed “duties” to unrepresented class members. These duties “may or may not be fiduciary in nature”, but the representative plaintiff’s lawyer “at least has a duty to act in class members’ best interests”.</w:t>
      </w:r>
      <w:r w:rsidR="00D629FA">
        <w:rPr>
          <w:rFonts w:ascii="ZWAdobeF" w:hAnsi="ZWAdobeF" w:cs="ZWAdobeF"/>
          <w:color w:val="auto"/>
          <w:sz w:val="2"/>
          <w:szCs w:val="2"/>
        </w:rPr>
        <w:t>334F</w:t>
      </w:r>
      <w:r w:rsidR="0049638A">
        <w:rPr>
          <w:rFonts w:ascii="ZWAdobeF" w:hAnsi="ZWAdobeF" w:cs="ZWAdobeF"/>
          <w:color w:val="auto"/>
          <w:sz w:val="2"/>
          <w:szCs w:val="2"/>
        </w:rPr>
        <w:t>334F</w:t>
      </w:r>
      <w:r w:rsidR="00317AE4">
        <w:rPr>
          <w:rFonts w:ascii="ZWAdobeF" w:hAnsi="ZWAdobeF" w:cs="ZWAdobeF"/>
          <w:color w:val="auto"/>
          <w:sz w:val="2"/>
          <w:szCs w:val="2"/>
        </w:rPr>
        <w:t>334F</w:t>
      </w:r>
      <w:r w:rsidR="00253C06">
        <w:rPr>
          <w:rStyle w:val="FootnoteReference"/>
        </w:rPr>
        <w:footnoteReference w:id="336"/>
      </w:r>
      <w:r w:rsidR="00253C06" w:rsidRPr="00CE1191">
        <w:rPr>
          <w:szCs w:val="15"/>
        </w:rPr>
        <w:t xml:space="preserve"> In</w:t>
      </w:r>
      <w:r w:rsidR="00253C06" w:rsidRPr="00096657">
        <w:t xml:space="preserve"> </w:t>
      </w:r>
      <w:r w:rsidR="00253C06" w:rsidRPr="00CE1191">
        <w:rPr>
          <w:i/>
          <w:iCs/>
          <w:szCs w:val="15"/>
        </w:rPr>
        <w:t>Dyczynski v Gibson</w:t>
      </w:r>
      <w:r w:rsidR="00253C06" w:rsidRPr="00CE1191">
        <w:rPr>
          <w:szCs w:val="15"/>
        </w:rPr>
        <w:t xml:space="preserve"> the Federal Court found that the representative plaintiff’s lawyer “was obliged to act consistently with the representative applicant’s fiduciary obligations to class members”.</w:t>
      </w:r>
      <w:r w:rsidR="00D629FA">
        <w:rPr>
          <w:rFonts w:ascii="ZWAdobeF" w:hAnsi="ZWAdobeF" w:cs="ZWAdobeF"/>
          <w:color w:val="auto"/>
          <w:sz w:val="2"/>
          <w:szCs w:val="2"/>
        </w:rPr>
        <w:t>335F</w:t>
      </w:r>
      <w:r w:rsidR="0049638A">
        <w:rPr>
          <w:rFonts w:ascii="ZWAdobeF" w:hAnsi="ZWAdobeF" w:cs="ZWAdobeF"/>
          <w:color w:val="auto"/>
          <w:sz w:val="2"/>
          <w:szCs w:val="2"/>
        </w:rPr>
        <w:t>335F</w:t>
      </w:r>
      <w:r w:rsidR="00317AE4">
        <w:rPr>
          <w:rFonts w:ascii="ZWAdobeF" w:hAnsi="ZWAdobeF" w:cs="ZWAdobeF"/>
          <w:color w:val="auto"/>
          <w:sz w:val="2"/>
          <w:szCs w:val="2"/>
        </w:rPr>
        <w:t>335F</w:t>
      </w:r>
      <w:r w:rsidR="00253C06">
        <w:rPr>
          <w:rStyle w:val="FootnoteReference"/>
          <w:szCs w:val="15"/>
        </w:rPr>
        <w:footnoteReference w:id="337"/>
      </w:r>
      <w:r w:rsidR="00253C06" w:rsidRPr="00CE1191">
        <w:rPr>
          <w:szCs w:val="15"/>
        </w:rPr>
        <w:t xml:space="preserve"> However, it also reiterated that the scope of a lawyer’s obligations to class members was </w:t>
      </w:r>
      <w:r w:rsidR="00253C06" w:rsidRPr="00CE1191">
        <w:rPr>
          <w:szCs w:val="15"/>
        </w:rPr>
        <w:lastRenderedPageBreak/>
        <w:t>unsettled.</w:t>
      </w:r>
      <w:r w:rsidR="00D629FA">
        <w:rPr>
          <w:rFonts w:ascii="ZWAdobeF" w:hAnsi="ZWAdobeF" w:cs="ZWAdobeF"/>
          <w:color w:val="auto"/>
          <w:sz w:val="2"/>
          <w:szCs w:val="2"/>
        </w:rPr>
        <w:t>336F</w:t>
      </w:r>
      <w:r w:rsidR="0049638A">
        <w:rPr>
          <w:rFonts w:ascii="ZWAdobeF" w:hAnsi="ZWAdobeF" w:cs="ZWAdobeF"/>
          <w:color w:val="auto"/>
          <w:sz w:val="2"/>
          <w:szCs w:val="2"/>
        </w:rPr>
        <w:t>336F</w:t>
      </w:r>
      <w:r w:rsidR="00317AE4">
        <w:rPr>
          <w:rFonts w:ascii="ZWAdobeF" w:hAnsi="ZWAdobeF" w:cs="ZWAdobeF"/>
          <w:color w:val="auto"/>
          <w:sz w:val="2"/>
          <w:szCs w:val="2"/>
        </w:rPr>
        <w:t>336F</w:t>
      </w:r>
      <w:r w:rsidR="00253C06">
        <w:rPr>
          <w:rStyle w:val="FootnoteReference"/>
          <w:szCs w:val="15"/>
        </w:rPr>
        <w:footnoteReference w:id="338"/>
      </w:r>
      <w:r w:rsidR="00253C06" w:rsidRPr="00CE1191">
        <w:rPr>
          <w:szCs w:val="15"/>
        </w:rPr>
        <w:t xml:space="preserve"> Some commentators have argued</w:t>
      </w:r>
      <w:r w:rsidR="00253C06">
        <w:rPr>
          <w:szCs w:val="15"/>
        </w:rPr>
        <w:t>, despite the absence of a retainer,</w:t>
      </w:r>
      <w:r w:rsidR="00253C06" w:rsidRPr="00CE1191">
        <w:rPr>
          <w:szCs w:val="15"/>
        </w:rPr>
        <w:t xml:space="preserve"> the</w:t>
      </w:r>
      <w:r w:rsidR="00253C06">
        <w:rPr>
          <w:szCs w:val="15"/>
        </w:rPr>
        <w:t>re</w:t>
      </w:r>
      <w:r w:rsidR="00253C06" w:rsidRPr="00CE1191">
        <w:rPr>
          <w:szCs w:val="15"/>
        </w:rPr>
        <w:t xml:space="preserve"> is a fiduciary relationship between class members and the representative plaintiff’s lawyers.</w:t>
      </w:r>
      <w:r w:rsidR="00D629FA">
        <w:rPr>
          <w:rFonts w:ascii="ZWAdobeF" w:hAnsi="ZWAdobeF" w:cs="ZWAdobeF"/>
          <w:color w:val="auto"/>
          <w:sz w:val="2"/>
          <w:szCs w:val="2"/>
        </w:rPr>
        <w:t>337F</w:t>
      </w:r>
      <w:r w:rsidR="0049638A">
        <w:rPr>
          <w:rFonts w:ascii="ZWAdobeF" w:hAnsi="ZWAdobeF" w:cs="ZWAdobeF"/>
          <w:color w:val="auto"/>
          <w:sz w:val="2"/>
          <w:szCs w:val="2"/>
        </w:rPr>
        <w:t>337F</w:t>
      </w:r>
      <w:r w:rsidR="00317AE4">
        <w:rPr>
          <w:rFonts w:ascii="ZWAdobeF" w:hAnsi="ZWAdobeF" w:cs="ZWAdobeF"/>
          <w:color w:val="auto"/>
          <w:sz w:val="2"/>
          <w:szCs w:val="2"/>
        </w:rPr>
        <w:t>337F</w:t>
      </w:r>
      <w:r w:rsidR="00253C06">
        <w:rPr>
          <w:rStyle w:val="FootnoteReference"/>
          <w:szCs w:val="15"/>
        </w:rPr>
        <w:footnoteReference w:id="339"/>
      </w:r>
      <w:r w:rsidR="00253C06" w:rsidRPr="00CE1191">
        <w:rPr>
          <w:szCs w:val="15"/>
        </w:rPr>
        <w:t xml:space="preserve"> They argu</w:t>
      </w:r>
      <w:r w:rsidR="00253C06">
        <w:rPr>
          <w:szCs w:val="15"/>
        </w:rPr>
        <w:t>e the class action</w:t>
      </w:r>
      <w:r w:rsidR="00805C83">
        <w:rPr>
          <w:szCs w:val="15"/>
        </w:rPr>
        <w:t>s</w:t>
      </w:r>
      <w:r w:rsidR="00253C06">
        <w:rPr>
          <w:szCs w:val="15"/>
        </w:rPr>
        <w:t xml:space="preserve"> regime contemplates the lawyer will take a number of steps on behalf of class members.</w:t>
      </w:r>
      <w:r w:rsidR="00D629FA">
        <w:rPr>
          <w:rFonts w:ascii="ZWAdobeF" w:hAnsi="ZWAdobeF" w:cs="ZWAdobeF"/>
          <w:color w:val="auto"/>
          <w:sz w:val="2"/>
          <w:szCs w:val="2"/>
        </w:rPr>
        <w:t>338F</w:t>
      </w:r>
      <w:r w:rsidR="0049638A">
        <w:rPr>
          <w:rFonts w:ascii="ZWAdobeF" w:hAnsi="ZWAdobeF" w:cs="ZWAdobeF"/>
          <w:color w:val="auto"/>
          <w:sz w:val="2"/>
          <w:szCs w:val="2"/>
        </w:rPr>
        <w:t>338F</w:t>
      </w:r>
      <w:r w:rsidR="00317AE4">
        <w:rPr>
          <w:rFonts w:ascii="ZWAdobeF" w:hAnsi="ZWAdobeF" w:cs="ZWAdobeF"/>
          <w:color w:val="auto"/>
          <w:sz w:val="2"/>
          <w:szCs w:val="2"/>
        </w:rPr>
        <w:t>338F</w:t>
      </w:r>
      <w:r w:rsidR="00253C06">
        <w:rPr>
          <w:rStyle w:val="FootnoteReference"/>
          <w:szCs w:val="15"/>
        </w:rPr>
        <w:footnoteReference w:id="340"/>
      </w:r>
      <w:r w:rsidR="00253C06">
        <w:rPr>
          <w:szCs w:val="15"/>
        </w:rPr>
        <w:t xml:space="preserve"> As class members are bound by the outcome of the proceedings, but not present before the court, class members are vulnerable to the actions of the lawyer taken on their behalf</w:t>
      </w:r>
      <w:r w:rsidR="00253C06">
        <w:t>.</w:t>
      </w:r>
      <w:r w:rsidR="00D629FA">
        <w:rPr>
          <w:rFonts w:ascii="ZWAdobeF" w:hAnsi="ZWAdobeF" w:cs="ZWAdobeF"/>
          <w:color w:val="auto"/>
          <w:sz w:val="2"/>
          <w:szCs w:val="2"/>
        </w:rPr>
        <w:t>339F</w:t>
      </w:r>
      <w:r w:rsidR="0049638A">
        <w:rPr>
          <w:rFonts w:ascii="ZWAdobeF" w:hAnsi="ZWAdobeF" w:cs="ZWAdobeF"/>
          <w:color w:val="auto"/>
          <w:sz w:val="2"/>
          <w:szCs w:val="2"/>
        </w:rPr>
        <w:t>339F</w:t>
      </w:r>
      <w:r w:rsidR="00317AE4">
        <w:rPr>
          <w:rFonts w:ascii="ZWAdobeF" w:hAnsi="ZWAdobeF" w:cs="ZWAdobeF"/>
          <w:color w:val="auto"/>
          <w:sz w:val="2"/>
          <w:szCs w:val="2"/>
        </w:rPr>
        <w:t>339F</w:t>
      </w:r>
      <w:r w:rsidR="00253C06">
        <w:rPr>
          <w:rStyle w:val="FootnoteReference"/>
        </w:rPr>
        <w:footnoteReference w:id="341"/>
      </w:r>
    </w:p>
    <w:p w14:paraId="02361497" w14:textId="401D0E2A" w:rsidR="00253C06" w:rsidRDefault="00BD5C95" w:rsidP="009B37CB">
      <w:pPr>
        <w:pStyle w:val="BodyText"/>
        <w:tabs>
          <w:tab w:val="clear" w:pos="709"/>
        </w:tabs>
      </w:pPr>
      <w:r>
        <w:rPr>
          <w:rFonts w:ascii="ZWAdobeF" w:hAnsi="ZWAdobeF" w:cs="ZWAdobeF"/>
          <w:color w:val="auto"/>
          <w:sz w:val="2"/>
          <w:szCs w:val="2"/>
        </w:rPr>
        <w:t>222B</w:t>
      </w:r>
      <w:r w:rsidR="0049638A">
        <w:rPr>
          <w:rFonts w:ascii="ZWAdobeF" w:hAnsi="ZWAdobeF" w:cs="ZWAdobeF"/>
          <w:color w:val="auto"/>
          <w:sz w:val="2"/>
          <w:szCs w:val="2"/>
        </w:rPr>
        <w:t>222B</w:t>
      </w:r>
      <w:r w:rsidR="00D629FA">
        <w:rPr>
          <w:rFonts w:ascii="ZWAdobeF" w:hAnsi="ZWAdobeF" w:cs="ZWAdobeF"/>
          <w:color w:val="auto"/>
          <w:sz w:val="2"/>
          <w:szCs w:val="2"/>
        </w:rPr>
        <w:t>222B</w:t>
      </w:r>
      <w:r w:rsidR="00253C06">
        <w:t>It has been suggested that it would be unusual for Australian lawyers acting for several class members to find their obligations conflict because class members will generally have the same or similar interests given the representative nature of a class action.</w:t>
      </w:r>
      <w:r w:rsidR="00D629FA">
        <w:rPr>
          <w:rFonts w:ascii="ZWAdobeF" w:hAnsi="ZWAdobeF" w:cs="ZWAdobeF"/>
          <w:color w:val="auto"/>
          <w:sz w:val="2"/>
          <w:szCs w:val="2"/>
        </w:rPr>
        <w:t>340F</w:t>
      </w:r>
      <w:r w:rsidR="0049638A">
        <w:rPr>
          <w:rFonts w:ascii="ZWAdobeF" w:hAnsi="ZWAdobeF" w:cs="ZWAdobeF"/>
          <w:color w:val="auto"/>
          <w:sz w:val="2"/>
          <w:szCs w:val="2"/>
        </w:rPr>
        <w:t>340F</w:t>
      </w:r>
      <w:r w:rsidR="00317AE4">
        <w:rPr>
          <w:rFonts w:ascii="ZWAdobeF" w:hAnsi="ZWAdobeF" w:cs="ZWAdobeF"/>
          <w:color w:val="auto"/>
          <w:sz w:val="2"/>
          <w:szCs w:val="2"/>
        </w:rPr>
        <w:t>340F</w:t>
      </w:r>
      <w:r w:rsidR="00253C06">
        <w:rPr>
          <w:rStyle w:val="FootnoteReference"/>
        </w:rPr>
        <w:footnoteReference w:id="342"/>
      </w:r>
      <w:r w:rsidR="00253C06" w:rsidRPr="001B665C">
        <w:t xml:space="preserve"> </w:t>
      </w:r>
      <w:r w:rsidR="00253C06">
        <w:t>However, the Victorian Law Reform Commission has recommended that guidelines should be issued to lawyers on their duties and responsibilities when acting for a class, with specific direction on how to recognise, avoid and manage conflicts of interest, including between class members.</w:t>
      </w:r>
      <w:r w:rsidR="00D629FA">
        <w:rPr>
          <w:rFonts w:ascii="ZWAdobeF" w:hAnsi="ZWAdobeF" w:cs="ZWAdobeF"/>
          <w:color w:val="auto"/>
          <w:sz w:val="2"/>
          <w:szCs w:val="2"/>
        </w:rPr>
        <w:t>341F</w:t>
      </w:r>
      <w:r w:rsidR="0049638A">
        <w:rPr>
          <w:rFonts w:ascii="ZWAdobeF" w:hAnsi="ZWAdobeF" w:cs="ZWAdobeF"/>
          <w:color w:val="auto"/>
          <w:sz w:val="2"/>
          <w:szCs w:val="2"/>
        </w:rPr>
        <w:t>341F</w:t>
      </w:r>
      <w:r w:rsidR="00317AE4">
        <w:rPr>
          <w:rFonts w:ascii="ZWAdobeF" w:hAnsi="ZWAdobeF" w:cs="ZWAdobeF"/>
          <w:color w:val="auto"/>
          <w:sz w:val="2"/>
          <w:szCs w:val="2"/>
        </w:rPr>
        <w:t>341F</w:t>
      </w:r>
      <w:r w:rsidR="00253C06">
        <w:rPr>
          <w:rStyle w:val="FootnoteReference"/>
        </w:rPr>
        <w:footnoteReference w:id="343"/>
      </w:r>
    </w:p>
    <w:p w14:paraId="6FC0A4B1" w14:textId="35B53B3F" w:rsidR="00253C06" w:rsidRDefault="00BD5C95" w:rsidP="009B37CB">
      <w:pPr>
        <w:pStyle w:val="BodyText"/>
        <w:tabs>
          <w:tab w:val="num" w:pos="709"/>
        </w:tabs>
      </w:pPr>
      <w:r>
        <w:rPr>
          <w:rFonts w:ascii="ZWAdobeF" w:hAnsi="ZWAdobeF" w:cs="ZWAdobeF"/>
          <w:color w:val="auto"/>
          <w:sz w:val="2"/>
          <w:szCs w:val="2"/>
        </w:rPr>
        <w:t>223B</w:t>
      </w:r>
      <w:r w:rsidR="0049638A">
        <w:rPr>
          <w:rFonts w:ascii="ZWAdobeF" w:hAnsi="ZWAdobeF" w:cs="ZWAdobeF"/>
          <w:color w:val="auto"/>
          <w:sz w:val="2"/>
          <w:szCs w:val="2"/>
        </w:rPr>
        <w:t>223B</w:t>
      </w:r>
      <w:r w:rsidR="00D629FA">
        <w:rPr>
          <w:rFonts w:ascii="ZWAdobeF" w:hAnsi="ZWAdobeF" w:cs="ZWAdobeF"/>
          <w:color w:val="auto"/>
          <w:sz w:val="2"/>
          <w:szCs w:val="2"/>
        </w:rPr>
        <w:t>223B</w:t>
      </w:r>
      <w:r w:rsidR="00253C06">
        <w:t>In Canada, t</w:t>
      </w:r>
      <w:r w:rsidR="00253C06" w:rsidRPr="00CA4A7B">
        <w:t xml:space="preserve">he relationship </w:t>
      </w:r>
      <w:r w:rsidR="00253C06">
        <w:t>between a lawyer and</w:t>
      </w:r>
      <w:r w:rsidR="00253C06" w:rsidRPr="00CA4A7B">
        <w:t xml:space="preserve"> class members</w:t>
      </w:r>
      <w:r w:rsidR="00253C06">
        <w:t xml:space="preserve"> prior to certification</w:t>
      </w:r>
      <w:r w:rsidR="00253C06" w:rsidRPr="00CA4A7B">
        <w:t xml:space="preserve"> </w:t>
      </w:r>
      <w:r w:rsidR="00253C06">
        <w:t xml:space="preserve">is </w:t>
      </w:r>
      <w:r w:rsidR="00253C06" w:rsidRPr="00CA4A7B">
        <w:t>largely undefined</w:t>
      </w:r>
      <w:r w:rsidR="00686439">
        <w:t xml:space="preserve">, although </w:t>
      </w:r>
      <w:r w:rsidR="00253C06" w:rsidRPr="00CA4A7B">
        <w:t xml:space="preserve">some courts consider </w:t>
      </w:r>
      <w:r w:rsidR="00253C06">
        <w:t>the</w:t>
      </w:r>
      <w:r w:rsidR="00253C06" w:rsidRPr="00CA4A7B">
        <w:t xml:space="preserve"> relationship prior to certification attracts some responsibilities on the part of counsel</w:t>
      </w:r>
      <w:r w:rsidR="00253C06">
        <w:t>.</w:t>
      </w:r>
      <w:r w:rsidR="00D629FA">
        <w:rPr>
          <w:rFonts w:ascii="ZWAdobeF" w:hAnsi="ZWAdobeF" w:cs="ZWAdobeF"/>
          <w:color w:val="auto"/>
          <w:sz w:val="2"/>
          <w:szCs w:val="2"/>
        </w:rPr>
        <w:t>342F</w:t>
      </w:r>
      <w:r w:rsidR="0049638A">
        <w:rPr>
          <w:rFonts w:ascii="ZWAdobeF" w:hAnsi="ZWAdobeF" w:cs="ZWAdobeF"/>
          <w:color w:val="auto"/>
          <w:sz w:val="2"/>
          <w:szCs w:val="2"/>
        </w:rPr>
        <w:t>342F</w:t>
      </w:r>
      <w:r w:rsidR="00317AE4">
        <w:rPr>
          <w:rFonts w:ascii="ZWAdobeF" w:hAnsi="ZWAdobeF" w:cs="ZWAdobeF"/>
          <w:color w:val="auto"/>
          <w:sz w:val="2"/>
          <w:szCs w:val="2"/>
        </w:rPr>
        <w:t>342F</w:t>
      </w:r>
      <w:r w:rsidR="00253C06">
        <w:rPr>
          <w:rStyle w:val="FootnoteReference"/>
        </w:rPr>
        <w:footnoteReference w:id="344"/>
      </w:r>
      <w:r w:rsidR="00253C06">
        <w:t xml:space="preserve"> </w:t>
      </w:r>
    </w:p>
    <w:p w14:paraId="4C7B1137" w14:textId="42548CF6" w:rsidR="00253C06" w:rsidRDefault="00BD5C95" w:rsidP="009B37CB">
      <w:pPr>
        <w:pStyle w:val="BodyText"/>
        <w:tabs>
          <w:tab w:val="num" w:pos="709"/>
        </w:tabs>
      </w:pPr>
      <w:r>
        <w:rPr>
          <w:rFonts w:ascii="ZWAdobeF" w:hAnsi="ZWAdobeF" w:cs="ZWAdobeF"/>
          <w:color w:val="auto"/>
          <w:sz w:val="2"/>
          <w:szCs w:val="2"/>
        </w:rPr>
        <w:t>224B</w:t>
      </w:r>
      <w:r w:rsidR="0049638A">
        <w:rPr>
          <w:rFonts w:ascii="ZWAdobeF" w:hAnsi="ZWAdobeF" w:cs="ZWAdobeF"/>
          <w:color w:val="auto"/>
          <w:sz w:val="2"/>
          <w:szCs w:val="2"/>
        </w:rPr>
        <w:t>224B</w:t>
      </w:r>
      <w:r w:rsidR="00D629FA">
        <w:rPr>
          <w:rFonts w:ascii="ZWAdobeF" w:hAnsi="ZWAdobeF" w:cs="ZWAdobeF"/>
          <w:color w:val="auto"/>
          <w:sz w:val="2"/>
          <w:szCs w:val="2"/>
        </w:rPr>
        <w:t>224B</w:t>
      </w:r>
      <w:r w:rsidR="00253C06">
        <w:t xml:space="preserve">Canadian courts have held that a </w:t>
      </w:r>
      <w:r w:rsidR="008A6EB2">
        <w:t>solicitor</w:t>
      </w:r>
      <w:r w:rsidR="00253C06">
        <w:t>-client relationship exists with class members once a class action is certified.</w:t>
      </w:r>
      <w:r w:rsidR="00D629FA">
        <w:rPr>
          <w:rFonts w:ascii="ZWAdobeF" w:hAnsi="ZWAdobeF" w:cs="ZWAdobeF"/>
          <w:color w:val="auto"/>
          <w:sz w:val="2"/>
          <w:szCs w:val="2"/>
        </w:rPr>
        <w:t>343F</w:t>
      </w:r>
      <w:r w:rsidR="0049638A">
        <w:rPr>
          <w:rFonts w:ascii="ZWAdobeF" w:hAnsi="ZWAdobeF" w:cs="ZWAdobeF"/>
          <w:color w:val="auto"/>
          <w:sz w:val="2"/>
          <w:szCs w:val="2"/>
        </w:rPr>
        <w:t>343F</w:t>
      </w:r>
      <w:r w:rsidR="00317AE4">
        <w:rPr>
          <w:rFonts w:ascii="ZWAdobeF" w:hAnsi="ZWAdobeF" w:cs="ZWAdobeF"/>
          <w:color w:val="auto"/>
          <w:sz w:val="2"/>
          <w:szCs w:val="2"/>
        </w:rPr>
        <w:t>343F</w:t>
      </w:r>
      <w:r w:rsidR="00253C06">
        <w:rPr>
          <w:rStyle w:val="FootnoteReference"/>
        </w:rPr>
        <w:footnoteReference w:id="345"/>
      </w:r>
      <w:r w:rsidR="00253C06">
        <w:t xml:space="preserve"> However, what this means is an “area under development”.</w:t>
      </w:r>
      <w:r w:rsidR="00D629FA">
        <w:rPr>
          <w:rFonts w:ascii="ZWAdobeF" w:hAnsi="ZWAdobeF" w:cs="ZWAdobeF"/>
          <w:color w:val="auto"/>
          <w:sz w:val="2"/>
          <w:szCs w:val="2"/>
        </w:rPr>
        <w:t>344F</w:t>
      </w:r>
      <w:r w:rsidR="0049638A">
        <w:rPr>
          <w:rFonts w:ascii="ZWAdobeF" w:hAnsi="ZWAdobeF" w:cs="ZWAdobeF"/>
          <w:color w:val="auto"/>
          <w:sz w:val="2"/>
          <w:szCs w:val="2"/>
        </w:rPr>
        <w:t>344F</w:t>
      </w:r>
      <w:r w:rsidR="00317AE4">
        <w:rPr>
          <w:rFonts w:ascii="ZWAdobeF" w:hAnsi="ZWAdobeF" w:cs="ZWAdobeF"/>
          <w:color w:val="auto"/>
          <w:sz w:val="2"/>
          <w:szCs w:val="2"/>
        </w:rPr>
        <w:t>344F</w:t>
      </w:r>
      <w:r w:rsidR="00253C06">
        <w:rPr>
          <w:rStyle w:val="FootnoteReference"/>
        </w:rPr>
        <w:footnoteReference w:id="346"/>
      </w:r>
      <w:r w:rsidR="00253C06">
        <w:t xml:space="preserve">  Courts have said the lawyer owes duties and obligations that arise out of the </w:t>
      </w:r>
      <w:r w:rsidR="008A6EB2">
        <w:t>solicitor</w:t>
      </w:r>
      <w:r w:rsidR="00253C06">
        <w:t>-client relationship with class members, including that the rules of professional conduct</w:t>
      </w:r>
      <w:r w:rsidR="00253C06" w:rsidRPr="00C3452F">
        <w:t xml:space="preserve"> appl</w:t>
      </w:r>
      <w:r w:rsidR="00253C06">
        <w:t>y.</w:t>
      </w:r>
      <w:r w:rsidR="00D629FA">
        <w:rPr>
          <w:rFonts w:ascii="ZWAdobeF" w:hAnsi="ZWAdobeF" w:cs="ZWAdobeF"/>
          <w:color w:val="auto"/>
          <w:sz w:val="2"/>
          <w:szCs w:val="2"/>
        </w:rPr>
        <w:t>345F</w:t>
      </w:r>
      <w:r w:rsidR="0049638A">
        <w:rPr>
          <w:rFonts w:ascii="ZWAdobeF" w:hAnsi="ZWAdobeF" w:cs="ZWAdobeF"/>
          <w:color w:val="auto"/>
          <w:sz w:val="2"/>
          <w:szCs w:val="2"/>
        </w:rPr>
        <w:t>345F</w:t>
      </w:r>
      <w:r w:rsidR="00317AE4">
        <w:rPr>
          <w:rFonts w:ascii="ZWAdobeF" w:hAnsi="ZWAdobeF" w:cs="ZWAdobeF"/>
          <w:color w:val="auto"/>
          <w:sz w:val="2"/>
          <w:szCs w:val="2"/>
        </w:rPr>
        <w:t>345F</w:t>
      </w:r>
      <w:r w:rsidR="00253C06">
        <w:rPr>
          <w:rStyle w:val="FootnoteReference"/>
        </w:rPr>
        <w:footnoteReference w:id="347"/>
      </w:r>
      <w:r w:rsidR="00253C06">
        <w:t xml:space="preserve"> The lawyer also has a duty to act in the best interests of </w:t>
      </w:r>
      <w:r w:rsidR="00253C06">
        <w:lastRenderedPageBreak/>
        <w:t>the class as a whole.</w:t>
      </w:r>
      <w:r w:rsidR="00D629FA">
        <w:rPr>
          <w:rFonts w:ascii="ZWAdobeF" w:hAnsi="ZWAdobeF" w:cs="ZWAdobeF"/>
          <w:color w:val="auto"/>
          <w:sz w:val="2"/>
          <w:szCs w:val="2"/>
        </w:rPr>
        <w:t>346F</w:t>
      </w:r>
      <w:r w:rsidR="0049638A">
        <w:rPr>
          <w:rFonts w:ascii="ZWAdobeF" w:hAnsi="ZWAdobeF" w:cs="ZWAdobeF"/>
          <w:color w:val="auto"/>
          <w:sz w:val="2"/>
          <w:szCs w:val="2"/>
        </w:rPr>
        <w:t>346F</w:t>
      </w:r>
      <w:r w:rsidR="00317AE4">
        <w:rPr>
          <w:rFonts w:ascii="ZWAdobeF" w:hAnsi="ZWAdobeF" w:cs="ZWAdobeF"/>
          <w:color w:val="auto"/>
          <w:sz w:val="2"/>
          <w:szCs w:val="2"/>
        </w:rPr>
        <w:t>346F</w:t>
      </w:r>
      <w:r w:rsidR="00253C06">
        <w:rPr>
          <w:rStyle w:val="FootnoteReference"/>
        </w:rPr>
        <w:footnoteReference w:id="348"/>
      </w:r>
      <w:r w:rsidR="00253C06">
        <w:t xml:space="preserve"> As well, the lawyer remains in a solicitor-client relationship with the representative plaintiff.</w:t>
      </w:r>
      <w:r w:rsidR="00D629FA">
        <w:rPr>
          <w:rFonts w:ascii="ZWAdobeF" w:hAnsi="ZWAdobeF" w:cs="ZWAdobeF"/>
          <w:color w:val="auto"/>
          <w:sz w:val="2"/>
          <w:szCs w:val="2"/>
        </w:rPr>
        <w:t>347F</w:t>
      </w:r>
      <w:r w:rsidR="0049638A">
        <w:rPr>
          <w:rFonts w:ascii="ZWAdobeF" w:hAnsi="ZWAdobeF" w:cs="ZWAdobeF"/>
          <w:color w:val="auto"/>
          <w:sz w:val="2"/>
          <w:szCs w:val="2"/>
        </w:rPr>
        <w:t>347F</w:t>
      </w:r>
      <w:r w:rsidR="00317AE4">
        <w:rPr>
          <w:rFonts w:ascii="ZWAdobeF" w:hAnsi="ZWAdobeF" w:cs="ZWAdobeF"/>
          <w:color w:val="auto"/>
          <w:sz w:val="2"/>
          <w:szCs w:val="2"/>
        </w:rPr>
        <w:t>347F</w:t>
      </w:r>
      <w:r w:rsidR="00253C06">
        <w:rPr>
          <w:rStyle w:val="FootnoteReference"/>
        </w:rPr>
        <w:footnoteReference w:id="349"/>
      </w:r>
      <w:r w:rsidR="00253C06">
        <w:t xml:space="preserve"> </w:t>
      </w:r>
    </w:p>
    <w:p w14:paraId="28503F94" w14:textId="624CD2BE" w:rsidR="00253C06" w:rsidRDefault="00BD5C95" w:rsidP="009B37CB">
      <w:pPr>
        <w:pStyle w:val="BodyText"/>
        <w:tabs>
          <w:tab w:val="num" w:pos="709"/>
        </w:tabs>
      </w:pPr>
      <w:r>
        <w:rPr>
          <w:rFonts w:ascii="ZWAdobeF" w:hAnsi="ZWAdobeF" w:cs="ZWAdobeF"/>
          <w:color w:val="auto"/>
          <w:sz w:val="2"/>
          <w:szCs w:val="2"/>
        </w:rPr>
        <w:t>225B</w:t>
      </w:r>
      <w:r w:rsidR="0049638A">
        <w:rPr>
          <w:rFonts w:ascii="ZWAdobeF" w:hAnsi="ZWAdobeF" w:cs="ZWAdobeF"/>
          <w:color w:val="auto"/>
          <w:sz w:val="2"/>
          <w:szCs w:val="2"/>
        </w:rPr>
        <w:t>225B</w:t>
      </w:r>
      <w:r w:rsidR="00D629FA">
        <w:rPr>
          <w:rFonts w:ascii="ZWAdobeF" w:hAnsi="ZWAdobeF" w:cs="ZWAdobeF"/>
          <w:color w:val="auto"/>
          <w:sz w:val="2"/>
          <w:szCs w:val="2"/>
        </w:rPr>
        <w:t>225B</w:t>
      </w:r>
      <w:r w:rsidR="00253C06">
        <w:t>The Ontario Law Reform Commission (OLRC) predicted these relationships could give rise to conflicts, for example where the representative plaintiff is prepared to settle but the settlement is not in the best interests of class members.</w:t>
      </w:r>
      <w:r w:rsidR="00D629FA">
        <w:rPr>
          <w:rFonts w:ascii="ZWAdobeF" w:hAnsi="ZWAdobeF" w:cs="ZWAdobeF"/>
          <w:color w:val="auto"/>
          <w:sz w:val="2"/>
          <w:szCs w:val="2"/>
        </w:rPr>
        <w:t>348F</w:t>
      </w:r>
      <w:r w:rsidR="0049638A">
        <w:rPr>
          <w:rFonts w:ascii="ZWAdobeF" w:hAnsi="ZWAdobeF" w:cs="ZWAdobeF"/>
          <w:color w:val="auto"/>
          <w:sz w:val="2"/>
          <w:szCs w:val="2"/>
        </w:rPr>
        <w:t>348F</w:t>
      </w:r>
      <w:r w:rsidR="00317AE4">
        <w:rPr>
          <w:rFonts w:ascii="ZWAdobeF" w:hAnsi="ZWAdobeF" w:cs="ZWAdobeF"/>
          <w:color w:val="auto"/>
          <w:sz w:val="2"/>
          <w:szCs w:val="2"/>
        </w:rPr>
        <w:t>348F</w:t>
      </w:r>
      <w:r w:rsidR="00253C06">
        <w:rPr>
          <w:rStyle w:val="FootnoteReference"/>
        </w:rPr>
        <w:footnoteReference w:id="350"/>
      </w:r>
      <w:r w:rsidR="00253C06">
        <w:t xml:space="preserve"> However, some commentary suggests that representing both the representative plaintiff and class members does not inherently create conflicts</w:t>
      </w:r>
      <w:r w:rsidR="00D629FA">
        <w:rPr>
          <w:rFonts w:ascii="ZWAdobeF" w:hAnsi="ZWAdobeF" w:cs="ZWAdobeF"/>
          <w:color w:val="auto"/>
          <w:sz w:val="2"/>
          <w:szCs w:val="2"/>
        </w:rPr>
        <w:t>349F</w:t>
      </w:r>
      <w:r w:rsidR="0049638A">
        <w:rPr>
          <w:rFonts w:ascii="ZWAdobeF" w:hAnsi="ZWAdobeF" w:cs="ZWAdobeF"/>
          <w:color w:val="auto"/>
          <w:sz w:val="2"/>
          <w:szCs w:val="2"/>
        </w:rPr>
        <w:t>349F</w:t>
      </w:r>
      <w:r w:rsidR="00317AE4">
        <w:rPr>
          <w:rFonts w:ascii="ZWAdobeF" w:hAnsi="ZWAdobeF" w:cs="ZWAdobeF"/>
          <w:color w:val="auto"/>
          <w:sz w:val="2"/>
          <w:szCs w:val="2"/>
        </w:rPr>
        <w:t>349F</w:t>
      </w:r>
      <w:r w:rsidR="00253C06">
        <w:rPr>
          <w:rStyle w:val="FootnoteReference"/>
        </w:rPr>
        <w:footnoteReference w:id="351"/>
      </w:r>
      <w:r w:rsidR="00253C06">
        <w:t xml:space="preserve"> and, to the extent conflicts do arise, there are various mechanisms within the class actions regime to manage them.</w:t>
      </w:r>
      <w:r w:rsidR="00D629FA">
        <w:rPr>
          <w:rFonts w:ascii="ZWAdobeF" w:hAnsi="ZWAdobeF" w:cs="ZWAdobeF"/>
          <w:color w:val="auto"/>
          <w:sz w:val="2"/>
          <w:szCs w:val="2"/>
        </w:rPr>
        <w:t>350F</w:t>
      </w:r>
      <w:r w:rsidR="0049638A">
        <w:rPr>
          <w:rFonts w:ascii="ZWAdobeF" w:hAnsi="ZWAdobeF" w:cs="ZWAdobeF"/>
          <w:color w:val="auto"/>
          <w:sz w:val="2"/>
          <w:szCs w:val="2"/>
        </w:rPr>
        <w:t>350F</w:t>
      </w:r>
      <w:r w:rsidR="00317AE4">
        <w:rPr>
          <w:rFonts w:ascii="ZWAdobeF" w:hAnsi="ZWAdobeF" w:cs="ZWAdobeF"/>
          <w:color w:val="auto"/>
          <w:sz w:val="2"/>
          <w:szCs w:val="2"/>
        </w:rPr>
        <w:t>350F</w:t>
      </w:r>
      <w:r w:rsidR="00253C06">
        <w:rPr>
          <w:rStyle w:val="FootnoteReference"/>
        </w:rPr>
        <w:footnoteReference w:id="352"/>
      </w:r>
      <w:r w:rsidR="00253C06">
        <w:t xml:space="preserve"> </w:t>
      </w:r>
    </w:p>
    <w:p w14:paraId="29A3C704" w14:textId="297ACB9A" w:rsidR="00253C06" w:rsidRDefault="00BD5C95" w:rsidP="009B37CB">
      <w:pPr>
        <w:pStyle w:val="BodyText"/>
      </w:pPr>
      <w:r>
        <w:rPr>
          <w:rFonts w:ascii="ZWAdobeF" w:hAnsi="ZWAdobeF" w:cs="ZWAdobeF"/>
          <w:color w:val="auto"/>
          <w:sz w:val="2"/>
          <w:szCs w:val="2"/>
        </w:rPr>
        <w:t>226B</w:t>
      </w:r>
      <w:r w:rsidR="0049638A">
        <w:rPr>
          <w:rFonts w:ascii="ZWAdobeF" w:hAnsi="ZWAdobeF" w:cs="ZWAdobeF"/>
          <w:color w:val="auto"/>
          <w:sz w:val="2"/>
          <w:szCs w:val="2"/>
        </w:rPr>
        <w:t>226B</w:t>
      </w:r>
      <w:r w:rsidR="00D629FA">
        <w:rPr>
          <w:rFonts w:ascii="ZWAdobeF" w:hAnsi="ZWAdobeF" w:cs="ZWAdobeF"/>
          <w:color w:val="auto"/>
          <w:sz w:val="2"/>
          <w:szCs w:val="2"/>
        </w:rPr>
        <w:t>226B</w:t>
      </w:r>
      <w:r w:rsidR="00253C06">
        <w:t>In the United States, the court formally appoints ‘class counsel’ when it certifies a class action.</w:t>
      </w:r>
      <w:r w:rsidR="00D629FA">
        <w:rPr>
          <w:rFonts w:ascii="ZWAdobeF" w:hAnsi="ZWAdobeF" w:cs="ZWAdobeF"/>
          <w:color w:val="auto"/>
          <w:sz w:val="2"/>
          <w:szCs w:val="2"/>
        </w:rPr>
        <w:t>351F</w:t>
      </w:r>
      <w:r w:rsidR="0049638A">
        <w:rPr>
          <w:rFonts w:ascii="ZWAdobeF" w:hAnsi="ZWAdobeF" w:cs="ZWAdobeF"/>
          <w:color w:val="auto"/>
          <w:sz w:val="2"/>
          <w:szCs w:val="2"/>
        </w:rPr>
        <w:t>351F</w:t>
      </w:r>
      <w:r w:rsidR="00317AE4">
        <w:rPr>
          <w:rFonts w:ascii="ZWAdobeF" w:hAnsi="ZWAdobeF" w:cs="ZWAdobeF"/>
          <w:color w:val="auto"/>
          <w:sz w:val="2"/>
          <w:szCs w:val="2"/>
        </w:rPr>
        <w:t>351F</w:t>
      </w:r>
      <w:r w:rsidR="00253C06">
        <w:rPr>
          <w:rStyle w:val="FootnoteReference"/>
        </w:rPr>
        <w:footnoteReference w:id="353"/>
      </w:r>
      <w:r w:rsidR="00253C06">
        <w:t xml:space="preserve"> Class counsel “must fairly and adequately represent the interests of the class”.</w:t>
      </w:r>
      <w:r w:rsidR="00D629FA">
        <w:rPr>
          <w:rFonts w:ascii="ZWAdobeF" w:hAnsi="ZWAdobeF" w:cs="ZWAdobeF"/>
          <w:color w:val="auto"/>
          <w:sz w:val="2"/>
          <w:szCs w:val="2"/>
        </w:rPr>
        <w:t>352F</w:t>
      </w:r>
      <w:r w:rsidR="0049638A">
        <w:rPr>
          <w:rFonts w:ascii="ZWAdobeF" w:hAnsi="ZWAdobeF" w:cs="ZWAdobeF"/>
          <w:color w:val="auto"/>
          <w:sz w:val="2"/>
          <w:szCs w:val="2"/>
        </w:rPr>
        <w:t>352F</w:t>
      </w:r>
      <w:r w:rsidR="00317AE4">
        <w:rPr>
          <w:rFonts w:ascii="ZWAdobeF" w:hAnsi="ZWAdobeF" w:cs="ZWAdobeF"/>
          <w:color w:val="auto"/>
          <w:sz w:val="2"/>
          <w:szCs w:val="2"/>
        </w:rPr>
        <w:t>352F</w:t>
      </w:r>
      <w:r w:rsidR="00253C06">
        <w:rPr>
          <w:rStyle w:val="FootnoteReference"/>
        </w:rPr>
        <w:footnoteReference w:id="354"/>
      </w:r>
      <w:r w:rsidR="00253C06">
        <w:t xml:space="preserve"> For purposes of managing conflicts of interest, class members are not clients in their </w:t>
      </w:r>
      <w:r w:rsidR="00253C06" w:rsidRPr="001F0202">
        <w:t>individual</w:t>
      </w:r>
      <w:r w:rsidR="00253C06">
        <w:t xml:space="preserve"> capacity but they are as a class entity.</w:t>
      </w:r>
      <w:r w:rsidR="00D629FA">
        <w:rPr>
          <w:rFonts w:ascii="ZWAdobeF" w:hAnsi="ZWAdobeF" w:cs="ZWAdobeF"/>
          <w:color w:val="auto"/>
          <w:sz w:val="2"/>
          <w:szCs w:val="2"/>
        </w:rPr>
        <w:t>353F</w:t>
      </w:r>
      <w:r w:rsidR="0049638A">
        <w:rPr>
          <w:rFonts w:ascii="ZWAdobeF" w:hAnsi="ZWAdobeF" w:cs="ZWAdobeF"/>
          <w:color w:val="auto"/>
          <w:sz w:val="2"/>
          <w:szCs w:val="2"/>
        </w:rPr>
        <w:t>353F</w:t>
      </w:r>
      <w:r w:rsidR="00317AE4">
        <w:rPr>
          <w:rFonts w:ascii="ZWAdobeF" w:hAnsi="ZWAdobeF" w:cs="ZWAdobeF"/>
          <w:color w:val="auto"/>
          <w:sz w:val="2"/>
          <w:szCs w:val="2"/>
        </w:rPr>
        <w:t>353F</w:t>
      </w:r>
      <w:r w:rsidR="00253C06">
        <w:rPr>
          <w:rStyle w:val="FootnoteReference"/>
        </w:rPr>
        <w:footnoteReference w:id="355"/>
      </w:r>
      <w:r w:rsidR="00253C06">
        <w:t xml:space="preserve"> In other words, the conflicts between the lawyer and class members that are regulated are only those which could affect representation of the class as a whole.</w:t>
      </w:r>
    </w:p>
    <w:p w14:paraId="0B16AB6A" w14:textId="66E18EA9" w:rsidR="00253C06" w:rsidRPr="00F347C8" w:rsidRDefault="00BD5C95" w:rsidP="009B37CB">
      <w:pPr>
        <w:pStyle w:val="BodyText"/>
      </w:pPr>
      <w:r>
        <w:rPr>
          <w:rFonts w:ascii="ZWAdobeF" w:hAnsi="ZWAdobeF" w:cs="ZWAdobeF"/>
          <w:color w:val="auto"/>
          <w:sz w:val="2"/>
          <w:szCs w:val="2"/>
        </w:rPr>
        <w:t>227B</w:t>
      </w:r>
      <w:r w:rsidR="0049638A">
        <w:rPr>
          <w:rFonts w:ascii="ZWAdobeF" w:hAnsi="ZWAdobeF" w:cs="ZWAdobeF"/>
          <w:color w:val="auto"/>
          <w:sz w:val="2"/>
          <w:szCs w:val="2"/>
        </w:rPr>
        <w:t>227B</w:t>
      </w:r>
      <w:r w:rsidR="00D629FA">
        <w:rPr>
          <w:rFonts w:ascii="ZWAdobeF" w:hAnsi="ZWAdobeF" w:cs="ZWAdobeF"/>
          <w:color w:val="auto"/>
          <w:sz w:val="2"/>
          <w:szCs w:val="2"/>
        </w:rPr>
        <w:t>227B</w:t>
      </w:r>
      <w:r w:rsidR="00253C06">
        <w:t>Prior to certification, the lawyer acting for the proposed class must act in the best interests of the class as a whole.</w:t>
      </w:r>
      <w:r w:rsidR="00D629FA">
        <w:rPr>
          <w:rFonts w:ascii="ZWAdobeF" w:hAnsi="ZWAdobeF" w:cs="ZWAdobeF"/>
          <w:color w:val="auto"/>
          <w:sz w:val="2"/>
          <w:szCs w:val="2"/>
        </w:rPr>
        <w:t>354F</w:t>
      </w:r>
      <w:r w:rsidR="0049638A">
        <w:rPr>
          <w:rFonts w:ascii="ZWAdobeF" w:hAnsi="ZWAdobeF" w:cs="ZWAdobeF"/>
          <w:color w:val="auto"/>
          <w:sz w:val="2"/>
          <w:szCs w:val="2"/>
        </w:rPr>
        <w:t>354F</w:t>
      </w:r>
      <w:r w:rsidR="00317AE4">
        <w:rPr>
          <w:rFonts w:ascii="ZWAdobeF" w:hAnsi="ZWAdobeF" w:cs="ZWAdobeF"/>
          <w:color w:val="auto"/>
          <w:sz w:val="2"/>
          <w:szCs w:val="2"/>
        </w:rPr>
        <w:t>354F</w:t>
      </w:r>
      <w:r w:rsidR="00253C06">
        <w:rPr>
          <w:rStyle w:val="FootnoteReference"/>
        </w:rPr>
        <w:footnoteReference w:id="356"/>
      </w:r>
      <w:r w:rsidR="00253C06">
        <w:t xml:space="preserve"> </w:t>
      </w:r>
    </w:p>
    <w:p w14:paraId="7FBAB581" w14:textId="77777777" w:rsidR="00253C06" w:rsidRPr="00B61EE9" w:rsidRDefault="00253C06" w:rsidP="006B41C2">
      <w:pPr>
        <w:pStyle w:val="Heading3"/>
      </w:pPr>
      <w:r>
        <w:t xml:space="preserve">Options for reform  </w:t>
      </w:r>
    </w:p>
    <w:p w14:paraId="38D21850" w14:textId="73DF9CDB" w:rsidR="00253C06" w:rsidRDefault="00BD5C95" w:rsidP="009B37CB">
      <w:pPr>
        <w:pStyle w:val="BodyText"/>
        <w:tabs>
          <w:tab w:val="num" w:pos="709"/>
        </w:tabs>
      </w:pPr>
      <w:r>
        <w:rPr>
          <w:rFonts w:ascii="ZWAdobeF" w:hAnsi="ZWAdobeF" w:cs="ZWAdobeF"/>
          <w:color w:val="auto"/>
          <w:sz w:val="2"/>
          <w:szCs w:val="2"/>
        </w:rPr>
        <w:t>228B</w:t>
      </w:r>
      <w:r w:rsidR="0049638A">
        <w:rPr>
          <w:rFonts w:ascii="ZWAdobeF" w:hAnsi="ZWAdobeF" w:cs="ZWAdobeF"/>
          <w:color w:val="auto"/>
          <w:sz w:val="2"/>
          <w:szCs w:val="2"/>
        </w:rPr>
        <w:t>228B</w:t>
      </w:r>
      <w:r w:rsidR="00D629FA">
        <w:rPr>
          <w:rFonts w:ascii="ZWAdobeF" w:hAnsi="ZWAdobeF" w:cs="ZWAdobeF"/>
          <w:color w:val="auto"/>
          <w:sz w:val="2"/>
          <w:szCs w:val="2"/>
        </w:rPr>
        <w:t>228B</w:t>
      </w:r>
      <w:r w:rsidR="00253C06">
        <w:t xml:space="preserve">As we </w:t>
      </w:r>
      <w:r w:rsidR="00253C06" w:rsidRPr="001A4D42">
        <w:t>explained</w:t>
      </w:r>
      <w:r w:rsidR="00253C06">
        <w:t xml:space="preserve"> above, a lawyer will </w:t>
      </w:r>
      <w:r w:rsidR="00253C06" w:rsidRPr="00B218F6">
        <w:t>have</w:t>
      </w:r>
      <w:r w:rsidR="00253C06">
        <w:t xml:space="preserve"> a solicitor-client relationship with the representative plaintiff and any class members who have entered into a retainer agreement. </w:t>
      </w:r>
      <w:r w:rsidR="00253C06" w:rsidRPr="00BF19F5">
        <w:t>However, there is uncertainty about whether lawyers owe any fiduciary or other obligations to class members who have not retained them</w:t>
      </w:r>
      <w:r w:rsidR="00253C06">
        <w:t>. We consider it would be desirable to clarify this uncertainty and seek submitters’ views on the extent to which lawyers should owe obligations to class members individually or to the class as a whole.</w:t>
      </w:r>
    </w:p>
    <w:p w14:paraId="6EFB980A" w14:textId="43C4E706" w:rsidR="00253C06" w:rsidRDefault="00BD5C95" w:rsidP="009B37CB">
      <w:pPr>
        <w:pStyle w:val="BodyText"/>
        <w:tabs>
          <w:tab w:val="num" w:pos="709"/>
        </w:tabs>
      </w:pPr>
      <w:r>
        <w:rPr>
          <w:rFonts w:ascii="ZWAdobeF" w:hAnsi="ZWAdobeF" w:cs="ZWAdobeF"/>
          <w:color w:val="auto"/>
          <w:sz w:val="2"/>
          <w:szCs w:val="2"/>
        </w:rPr>
        <w:lastRenderedPageBreak/>
        <w:t>229B</w:t>
      </w:r>
      <w:r w:rsidR="0049638A">
        <w:rPr>
          <w:rFonts w:ascii="ZWAdobeF" w:hAnsi="ZWAdobeF" w:cs="ZWAdobeF"/>
          <w:color w:val="auto"/>
          <w:sz w:val="2"/>
          <w:szCs w:val="2"/>
        </w:rPr>
        <w:t>229B</w:t>
      </w:r>
      <w:r w:rsidR="00D629FA">
        <w:rPr>
          <w:rFonts w:ascii="ZWAdobeF" w:hAnsi="ZWAdobeF" w:cs="ZWAdobeF"/>
          <w:color w:val="auto"/>
          <w:sz w:val="2"/>
          <w:szCs w:val="2"/>
        </w:rPr>
        <w:t>229B</w:t>
      </w:r>
      <w:r w:rsidR="00253C06">
        <w:t xml:space="preserve">In </w:t>
      </w:r>
      <w:r w:rsidR="00253C06" w:rsidRPr="004B1E96">
        <w:t>the</w:t>
      </w:r>
      <w:r w:rsidR="00253C06">
        <w:t xml:space="preserve"> discussion below, we set out the main options with respect to the lawyer’s relationship with class members who have not signed a retainer:</w:t>
      </w:r>
    </w:p>
    <w:p w14:paraId="4504B5D0" w14:textId="31B9E64D" w:rsidR="00253C06" w:rsidRDefault="00BD5C95" w:rsidP="00932DB9">
      <w:pPr>
        <w:pStyle w:val="BodyTextnonum"/>
        <w:numPr>
          <w:ilvl w:val="3"/>
          <w:numId w:val="14"/>
        </w:numPr>
      </w:pPr>
      <w:r>
        <w:rPr>
          <w:rFonts w:ascii="ZWAdobeF" w:hAnsi="ZWAdobeF" w:cs="ZWAdobeF"/>
          <w:color w:val="auto"/>
          <w:sz w:val="2"/>
          <w:szCs w:val="2"/>
        </w:rPr>
        <w:t>703B</w:t>
      </w:r>
      <w:r w:rsidR="0049638A">
        <w:rPr>
          <w:rFonts w:ascii="ZWAdobeF" w:hAnsi="ZWAdobeF" w:cs="ZWAdobeF"/>
          <w:color w:val="auto"/>
          <w:sz w:val="2"/>
          <w:szCs w:val="2"/>
        </w:rPr>
        <w:t>703B</w:t>
      </w:r>
      <w:r w:rsidR="00D629FA">
        <w:rPr>
          <w:rFonts w:ascii="ZWAdobeF" w:hAnsi="ZWAdobeF" w:cs="ZWAdobeF"/>
          <w:color w:val="auto"/>
          <w:sz w:val="2"/>
          <w:szCs w:val="2"/>
        </w:rPr>
        <w:t>703B</w:t>
      </w:r>
      <w:r w:rsidR="00253C06">
        <w:t xml:space="preserve">Maintain the status quo. Under this option, the lawyer would only have a </w:t>
      </w:r>
      <w:r w:rsidR="00FB0D64">
        <w:t>solicitor</w:t>
      </w:r>
      <w:r w:rsidR="00253C06">
        <w:t xml:space="preserve">-client relationship with class members who have signed a retainer. The lawyer would likely owe lesser obligations to class members who have not signed a retainer.  </w:t>
      </w:r>
    </w:p>
    <w:p w14:paraId="60BFC1E7" w14:textId="7E58DA41" w:rsidR="00253C06" w:rsidRDefault="00BD5C95" w:rsidP="00932DB9">
      <w:pPr>
        <w:pStyle w:val="BodyTextnonum"/>
        <w:numPr>
          <w:ilvl w:val="3"/>
          <w:numId w:val="14"/>
        </w:numPr>
      </w:pPr>
      <w:r>
        <w:rPr>
          <w:rFonts w:ascii="ZWAdobeF" w:hAnsi="ZWAdobeF" w:cs="ZWAdobeF"/>
          <w:color w:val="auto"/>
          <w:sz w:val="2"/>
          <w:szCs w:val="2"/>
        </w:rPr>
        <w:t>704B</w:t>
      </w:r>
      <w:r w:rsidR="0049638A">
        <w:rPr>
          <w:rFonts w:ascii="ZWAdobeF" w:hAnsi="ZWAdobeF" w:cs="ZWAdobeF"/>
          <w:color w:val="auto"/>
          <w:sz w:val="2"/>
          <w:szCs w:val="2"/>
        </w:rPr>
        <w:t>704B</w:t>
      </w:r>
      <w:r w:rsidR="00D629FA">
        <w:rPr>
          <w:rFonts w:ascii="ZWAdobeF" w:hAnsi="ZWAdobeF" w:cs="ZWAdobeF"/>
          <w:color w:val="auto"/>
          <w:sz w:val="2"/>
          <w:szCs w:val="2"/>
        </w:rPr>
        <w:t>704B</w:t>
      </w:r>
      <w:r w:rsidR="00253C06">
        <w:t xml:space="preserve">Create a </w:t>
      </w:r>
      <w:r w:rsidR="008A6EB2">
        <w:t>solicitor</w:t>
      </w:r>
      <w:r w:rsidR="00253C06">
        <w:t>-client relationship between the lawyer and all individual class members</w:t>
      </w:r>
      <w:r w:rsidR="00952EEA">
        <w:t>.</w:t>
      </w:r>
      <w:r w:rsidR="00253C06">
        <w:t xml:space="preserve">  </w:t>
      </w:r>
    </w:p>
    <w:p w14:paraId="377EB6DA" w14:textId="3A30D49A" w:rsidR="00253C06" w:rsidRDefault="00BD5C95" w:rsidP="00932DB9">
      <w:pPr>
        <w:pStyle w:val="BodyTextnonum"/>
        <w:numPr>
          <w:ilvl w:val="3"/>
          <w:numId w:val="14"/>
        </w:numPr>
      </w:pPr>
      <w:r>
        <w:rPr>
          <w:rFonts w:ascii="ZWAdobeF" w:hAnsi="ZWAdobeF" w:cs="ZWAdobeF"/>
          <w:color w:val="auto"/>
          <w:sz w:val="2"/>
          <w:szCs w:val="2"/>
        </w:rPr>
        <w:t>705B</w:t>
      </w:r>
      <w:r w:rsidR="0049638A">
        <w:rPr>
          <w:rFonts w:ascii="ZWAdobeF" w:hAnsi="ZWAdobeF" w:cs="ZWAdobeF"/>
          <w:color w:val="auto"/>
          <w:sz w:val="2"/>
          <w:szCs w:val="2"/>
        </w:rPr>
        <w:t>705B</w:t>
      </w:r>
      <w:r w:rsidR="00D629FA">
        <w:rPr>
          <w:rFonts w:ascii="ZWAdobeF" w:hAnsi="ZWAdobeF" w:cs="ZWAdobeF"/>
          <w:color w:val="auto"/>
          <w:sz w:val="2"/>
          <w:szCs w:val="2"/>
        </w:rPr>
        <w:t>705B</w:t>
      </w:r>
      <w:r w:rsidR="00253C06">
        <w:t xml:space="preserve">Create obligations that lawyers owe to </w:t>
      </w:r>
      <w:r w:rsidR="00BB269C">
        <w:t xml:space="preserve">the </w:t>
      </w:r>
      <w:r w:rsidR="00253C06">
        <w:t xml:space="preserve">class as a whole. The class could be viewed as the client of the representative plaintiff’s lawyer upon certification. </w:t>
      </w:r>
    </w:p>
    <w:p w14:paraId="1F207BFF" w14:textId="4F67B217" w:rsidR="0046168F" w:rsidRDefault="00BD5C95" w:rsidP="0046168F">
      <w:pPr>
        <w:pStyle w:val="BodyText"/>
        <w:tabs>
          <w:tab w:val="num" w:pos="709"/>
        </w:tabs>
        <w:ind w:hanging="596"/>
      </w:pPr>
      <w:r>
        <w:rPr>
          <w:rFonts w:ascii="ZWAdobeF" w:hAnsi="ZWAdobeF" w:cs="ZWAdobeF"/>
          <w:color w:val="auto"/>
          <w:sz w:val="2"/>
          <w:szCs w:val="2"/>
        </w:rPr>
        <w:t>230B</w:t>
      </w:r>
      <w:r w:rsidR="0049638A">
        <w:rPr>
          <w:rFonts w:ascii="ZWAdobeF" w:hAnsi="ZWAdobeF" w:cs="ZWAdobeF"/>
          <w:color w:val="auto"/>
          <w:sz w:val="2"/>
          <w:szCs w:val="2"/>
        </w:rPr>
        <w:t>230B</w:t>
      </w:r>
      <w:r w:rsidR="00D629FA">
        <w:rPr>
          <w:rFonts w:ascii="ZWAdobeF" w:hAnsi="ZWAdobeF" w:cs="ZWAdobeF"/>
          <w:color w:val="auto"/>
          <w:sz w:val="2"/>
          <w:szCs w:val="2"/>
        </w:rPr>
        <w:t>230B</w:t>
      </w:r>
      <w:r w:rsidR="0046168F">
        <w:t xml:space="preserve">Options (b) and (c) raise a more fundamental question as to whether duties should be owed to the class as a whole or </w:t>
      </w:r>
      <w:r w:rsidR="00717877">
        <w:t xml:space="preserve">to </w:t>
      </w:r>
      <w:r w:rsidR="0046168F">
        <w:t xml:space="preserve">individual class members. One author has identified a tension in the Canadian cases between those where the courts recognise the peculiar dynamics of a class action, and cases where the courts rely on the traditional </w:t>
      </w:r>
      <w:r w:rsidR="00FB0D64">
        <w:t>lawyer</w:t>
      </w:r>
      <w:r w:rsidR="0046168F">
        <w:t>-client paradigm.</w:t>
      </w:r>
      <w:r w:rsidR="00D629FA">
        <w:rPr>
          <w:rFonts w:ascii="ZWAdobeF" w:hAnsi="ZWAdobeF" w:cs="ZWAdobeF"/>
          <w:color w:val="auto"/>
          <w:sz w:val="2"/>
          <w:szCs w:val="2"/>
        </w:rPr>
        <w:t>355F</w:t>
      </w:r>
      <w:r w:rsidR="0049638A">
        <w:rPr>
          <w:rFonts w:ascii="ZWAdobeF" w:hAnsi="ZWAdobeF" w:cs="ZWAdobeF"/>
          <w:color w:val="auto"/>
          <w:sz w:val="2"/>
          <w:szCs w:val="2"/>
        </w:rPr>
        <w:t>355F</w:t>
      </w:r>
      <w:r w:rsidR="00317AE4">
        <w:rPr>
          <w:rFonts w:ascii="ZWAdobeF" w:hAnsi="ZWAdobeF" w:cs="ZWAdobeF"/>
          <w:color w:val="auto"/>
          <w:sz w:val="2"/>
          <w:szCs w:val="2"/>
        </w:rPr>
        <w:t>355F</w:t>
      </w:r>
      <w:r w:rsidR="0046168F">
        <w:rPr>
          <w:rStyle w:val="FootnoteReference"/>
        </w:rPr>
        <w:footnoteReference w:id="357"/>
      </w:r>
      <w:r w:rsidR="0046168F">
        <w:t xml:space="preserve"> To begin any ethical reform, “definitional clarity on the identity of the client in class proceedings is needed as an organizing principle”.</w:t>
      </w:r>
      <w:r w:rsidR="00D629FA">
        <w:rPr>
          <w:rFonts w:ascii="ZWAdobeF" w:hAnsi="ZWAdobeF" w:cs="ZWAdobeF"/>
          <w:color w:val="auto"/>
          <w:sz w:val="2"/>
          <w:szCs w:val="2"/>
        </w:rPr>
        <w:t>356F</w:t>
      </w:r>
      <w:r w:rsidR="0049638A">
        <w:rPr>
          <w:rFonts w:ascii="ZWAdobeF" w:hAnsi="ZWAdobeF" w:cs="ZWAdobeF"/>
          <w:color w:val="auto"/>
          <w:sz w:val="2"/>
          <w:szCs w:val="2"/>
        </w:rPr>
        <w:t>356F</w:t>
      </w:r>
      <w:r w:rsidR="00317AE4">
        <w:rPr>
          <w:rFonts w:ascii="ZWAdobeF" w:hAnsi="ZWAdobeF" w:cs="ZWAdobeF"/>
          <w:color w:val="auto"/>
          <w:sz w:val="2"/>
          <w:szCs w:val="2"/>
        </w:rPr>
        <w:t>356F</w:t>
      </w:r>
      <w:r w:rsidR="0046168F">
        <w:rPr>
          <w:rStyle w:val="FootnoteReference"/>
        </w:rPr>
        <w:footnoteReference w:id="358"/>
      </w:r>
      <w:r w:rsidR="0046168F">
        <w:t xml:space="preserve"> The OLRC has similarly noted “it is far from clear whether the lawyer’s client in a class action is the representative plaintiff or the entire class”.</w:t>
      </w:r>
      <w:r w:rsidR="00D629FA">
        <w:rPr>
          <w:rFonts w:ascii="ZWAdobeF" w:hAnsi="ZWAdobeF" w:cs="ZWAdobeF"/>
          <w:color w:val="auto"/>
          <w:sz w:val="2"/>
          <w:szCs w:val="2"/>
        </w:rPr>
        <w:t>357F</w:t>
      </w:r>
      <w:r w:rsidR="0049638A">
        <w:rPr>
          <w:rFonts w:ascii="ZWAdobeF" w:hAnsi="ZWAdobeF" w:cs="ZWAdobeF"/>
          <w:color w:val="auto"/>
          <w:sz w:val="2"/>
          <w:szCs w:val="2"/>
        </w:rPr>
        <w:t>357F</w:t>
      </w:r>
      <w:r w:rsidR="00317AE4">
        <w:rPr>
          <w:rFonts w:ascii="ZWAdobeF" w:hAnsi="ZWAdobeF" w:cs="ZWAdobeF"/>
          <w:color w:val="auto"/>
          <w:sz w:val="2"/>
          <w:szCs w:val="2"/>
        </w:rPr>
        <w:t>357F</w:t>
      </w:r>
      <w:r w:rsidR="0046168F">
        <w:rPr>
          <w:rStyle w:val="FootnoteReference"/>
        </w:rPr>
        <w:footnoteReference w:id="359"/>
      </w:r>
      <w:r w:rsidR="0046168F">
        <w:t xml:space="preserve"> </w:t>
      </w:r>
    </w:p>
    <w:p w14:paraId="13398D4F" w14:textId="77777777" w:rsidR="00253C06" w:rsidRPr="000D3B24" w:rsidRDefault="00253C06" w:rsidP="000D3B24">
      <w:pPr>
        <w:pStyle w:val="Heading4"/>
      </w:pPr>
      <w:r w:rsidRPr="000D3B24">
        <w:rPr>
          <w:rStyle w:val="Heading4Char"/>
          <w:b/>
          <w:i/>
        </w:rPr>
        <w:t xml:space="preserve">Maintain status-quo - no solicitor-client relationship with class members unless there is a retainer  </w:t>
      </w:r>
    </w:p>
    <w:p w14:paraId="21EEC773" w14:textId="3ACC827A" w:rsidR="00253C06" w:rsidRDefault="00BD5C95" w:rsidP="009B37CB">
      <w:pPr>
        <w:pStyle w:val="BodyText"/>
      </w:pPr>
      <w:r>
        <w:rPr>
          <w:rFonts w:ascii="ZWAdobeF" w:hAnsi="ZWAdobeF" w:cs="ZWAdobeF"/>
          <w:color w:val="auto"/>
          <w:sz w:val="2"/>
          <w:szCs w:val="2"/>
        </w:rPr>
        <w:t>231B</w:t>
      </w:r>
      <w:r w:rsidR="0049638A">
        <w:rPr>
          <w:rFonts w:ascii="ZWAdobeF" w:hAnsi="ZWAdobeF" w:cs="ZWAdobeF"/>
          <w:color w:val="auto"/>
          <w:sz w:val="2"/>
          <w:szCs w:val="2"/>
        </w:rPr>
        <w:t>231B</w:t>
      </w:r>
      <w:r w:rsidR="00D629FA">
        <w:rPr>
          <w:rFonts w:ascii="ZWAdobeF" w:hAnsi="ZWAdobeF" w:cs="ZWAdobeF"/>
          <w:color w:val="auto"/>
          <w:sz w:val="2"/>
          <w:szCs w:val="2"/>
        </w:rPr>
        <w:t>231B</w:t>
      </w:r>
      <w:r w:rsidR="00253C06">
        <w:t xml:space="preserve">This option would apply the status quo to a class action. A lawyer would not have a solicitor-client relationship with individual class members unless there was a retainer arrangement between them. This option would recognise the difficulty of fulfilling the usual obligations of the solicitor-client relationship where the lawyer may not know the identity of all class members. </w:t>
      </w:r>
    </w:p>
    <w:p w14:paraId="60663FA5" w14:textId="4163C9FC" w:rsidR="00253C06" w:rsidRDefault="00BD5C95" w:rsidP="009B37CB">
      <w:pPr>
        <w:pStyle w:val="BodyText"/>
      </w:pPr>
      <w:r>
        <w:rPr>
          <w:rFonts w:ascii="ZWAdobeF" w:hAnsi="ZWAdobeF" w:cs="ZWAdobeF"/>
          <w:color w:val="auto"/>
          <w:sz w:val="2"/>
          <w:szCs w:val="2"/>
        </w:rPr>
        <w:t>232B</w:t>
      </w:r>
      <w:r w:rsidR="0049638A">
        <w:rPr>
          <w:rFonts w:ascii="ZWAdobeF" w:hAnsi="ZWAdobeF" w:cs="ZWAdobeF"/>
          <w:color w:val="auto"/>
          <w:sz w:val="2"/>
          <w:szCs w:val="2"/>
        </w:rPr>
        <w:t>232B</w:t>
      </w:r>
      <w:r w:rsidR="00D629FA">
        <w:rPr>
          <w:rFonts w:ascii="ZWAdobeF" w:hAnsi="ZWAdobeF" w:cs="ZWAdobeF"/>
          <w:color w:val="auto"/>
          <w:sz w:val="2"/>
          <w:szCs w:val="2"/>
        </w:rPr>
        <w:t>232B</w:t>
      </w:r>
      <w:r w:rsidR="00253C06">
        <w:t>We think that under this option a lawyer would still be regarded as having some obligations towards unrepresented class members. We consider that, as in Australia, the representative plaintiff’s lawyer would be required to act in class members’ best interests</w:t>
      </w:r>
      <w:r w:rsidR="00D629FA">
        <w:rPr>
          <w:rFonts w:ascii="ZWAdobeF" w:hAnsi="ZWAdobeF" w:cs="ZWAdobeF"/>
          <w:color w:val="auto"/>
          <w:sz w:val="2"/>
          <w:szCs w:val="2"/>
        </w:rPr>
        <w:t>358F</w:t>
      </w:r>
      <w:r w:rsidR="0049638A">
        <w:rPr>
          <w:rFonts w:ascii="ZWAdobeF" w:hAnsi="ZWAdobeF" w:cs="ZWAdobeF"/>
          <w:color w:val="auto"/>
          <w:sz w:val="2"/>
          <w:szCs w:val="2"/>
        </w:rPr>
        <w:t>358F</w:t>
      </w:r>
      <w:r w:rsidR="00317AE4">
        <w:rPr>
          <w:rFonts w:ascii="ZWAdobeF" w:hAnsi="ZWAdobeF" w:cs="ZWAdobeF"/>
          <w:color w:val="auto"/>
          <w:sz w:val="2"/>
          <w:szCs w:val="2"/>
        </w:rPr>
        <w:t>358F</w:t>
      </w:r>
      <w:r w:rsidR="00253C06">
        <w:rPr>
          <w:rStyle w:val="FootnoteReference"/>
        </w:rPr>
        <w:footnoteReference w:id="360"/>
      </w:r>
      <w:r w:rsidR="00253C06">
        <w:t xml:space="preserve"> and consistently with any fiduciary obligations the representative plaintiff owes to class members</w:t>
      </w:r>
      <w:r w:rsidR="00253C06" w:rsidRPr="00BF2267">
        <w:rPr>
          <w:szCs w:val="15"/>
        </w:rPr>
        <w:t>.</w:t>
      </w:r>
      <w:r w:rsidR="00D629FA">
        <w:rPr>
          <w:rFonts w:ascii="ZWAdobeF" w:hAnsi="ZWAdobeF" w:cs="ZWAdobeF"/>
          <w:color w:val="auto"/>
          <w:sz w:val="2"/>
          <w:szCs w:val="2"/>
        </w:rPr>
        <w:t>359F</w:t>
      </w:r>
      <w:r w:rsidR="0049638A">
        <w:rPr>
          <w:rFonts w:ascii="ZWAdobeF" w:hAnsi="ZWAdobeF" w:cs="ZWAdobeF"/>
          <w:color w:val="auto"/>
          <w:sz w:val="2"/>
          <w:szCs w:val="2"/>
        </w:rPr>
        <w:t>359F</w:t>
      </w:r>
      <w:r w:rsidR="00317AE4">
        <w:rPr>
          <w:rFonts w:ascii="ZWAdobeF" w:hAnsi="ZWAdobeF" w:cs="ZWAdobeF"/>
          <w:color w:val="auto"/>
          <w:sz w:val="2"/>
          <w:szCs w:val="2"/>
        </w:rPr>
        <w:t>359F</w:t>
      </w:r>
      <w:r w:rsidR="00253C06">
        <w:rPr>
          <w:rStyle w:val="FootnoteReference"/>
          <w:szCs w:val="15"/>
        </w:rPr>
        <w:footnoteReference w:id="361"/>
      </w:r>
      <w:r w:rsidR="00253C06" w:rsidRPr="00BF2267">
        <w:rPr>
          <w:szCs w:val="15"/>
        </w:rPr>
        <w:t xml:space="preserve"> Lawyers also have an overriding duty as an officer to the court, which may require them to bring class member interests to the court’s attention.</w:t>
      </w:r>
      <w:r w:rsidR="00D629FA">
        <w:rPr>
          <w:rFonts w:ascii="ZWAdobeF" w:hAnsi="ZWAdobeF" w:cs="ZWAdobeF"/>
          <w:color w:val="auto"/>
          <w:sz w:val="2"/>
          <w:szCs w:val="2"/>
        </w:rPr>
        <w:t>360F</w:t>
      </w:r>
      <w:r w:rsidR="0049638A">
        <w:rPr>
          <w:rFonts w:ascii="ZWAdobeF" w:hAnsi="ZWAdobeF" w:cs="ZWAdobeF"/>
          <w:color w:val="auto"/>
          <w:sz w:val="2"/>
          <w:szCs w:val="2"/>
        </w:rPr>
        <w:t>360F</w:t>
      </w:r>
      <w:r w:rsidR="00317AE4">
        <w:rPr>
          <w:rFonts w:ascii="ZWAdobeF" w:hAnsi="ZWAdobeF" w:cs="ZWAdobeF"/>
          <w:color w:val="auto"/>
          <w:sz w:val="2"/>
          <w:szCs w:val="2"/>
        </w:rPr>
        <w:t>360F</w:t>
      </w:r>
      <w:r w:rsidR="00253C06">
        <w:rPr>
          <w:rStyle w:val="FootnoteReference"/>
          <w:szCs w:val="15"/>
        </w:rPr>
        <w:footnoteReference w:id="362"/>
      </w:r>
    </w:p>
    <w:p w14:paraId="4DA497F9" w14:textId="54C04755" w:rsidR="00253C06" w:rsidRDefault="00BD5C95" w:rsidP="009B37CB">
      <w:pPr>
        <w:pStyle w:val="BodyText"/>
      </w:pPr>
      <w:r>
        <w:rPr>
          <w:rFonts w:ascii="ZWAdobeF" w:hAnsi="ZWAdobeF" w:cs="ZWAdobeF"/>
          <w:color w:val="auto"/>
          <w:sz w:val="2"/>
          <w:szCs w:val="2"/>
        </w:rPr>
        <w:t>233B</w:t>
      </w:r>
      <w:r w:rsidR="0049638A">
        <w:rPr>
          <w:rFonts w:ascii="ZWAdobeF" w:hAnsi="ZWAdobeF" w:cs="ZWAdobeF"/>
          <w:color w:val="auto"/>
          <w:sz w:val="2"/>
          <w:szCs w:val="2"/>
        </w:rPr>
        <w:t>233B</w:t>
      </w:r>
      <w:r w:rsidR="00D629FA">
        <w:rPr>
          <w:rFonts w:ascii="ZWAdobeF" w:hAnsi="ZWAdobeF" w:cs="ZWAdobeF"/>
          <w:color w:val="auto"/>
          <w:sz w:val="2"/>
          <w:szCs w:val="2"/>
        </w:rPr>
        <w:t>233B</w:t>
      </w:r>
      <w:r w:rsidR="00253C06">
        <w:t xml:space="preserve">However, the scope of these obligations and how to manage them would be uncertain, as it would be left to the courts to determine in each case. A </w:t>
      </w:r>
      <w:r w:rsidR="00253C06" w:rsidRPr="001A4D42">
        <w:t>lawyer</w:t>
      </w:r>
      <w:r w:rsidR="00253C06">
        <w:t xml:space="preserve"> would also owe </w:t>
      </w:r>
      <w:r w:rsidR="00253C06">
        <w:lastRenderedPageBreak/>
        <w:t xml:space="preserve">different obligations to individuals in the same class if they have entered into a retainer with some class members but not others. </w:t>
      </w:r>
    </w:p>
    <w:p w14:paraId="3E670F0A" w14:textId="77777777" w:rsidR="00253C06" w:rsidRDefault="00253C06" w:rsidP="006B41C2">
      <w:pPr>
        <w:pStyle w:val="Heading4"/>
      </w:pPr>
      <w:r w:rsidRPr="005D7DA3">
        <w:t>Solicitor-client relationship with all class members</w:t>
      </w:r>
      <w:r>
        <w:t xml:space="preserve"> individually  </w:t>
      </w:r>
    </w:p>
    <w:p w14:paraId="12B8B579" w14:textId="24290562" w:rsidR="00253C06" w:rsidRDefault="00BD5C95" w:rsidP="009B37CB">
      <w:pPr>
        <w:pStyle w:val="BodyText"/>
      </w:pPr>
      <w:r>
        <w:rPr>
          <w:rFonts w:ascii="ZWAdobeF" w:hAnsi="ZWAdobeF" w:cs="ZWAdobeF"/>
          <w:color w:val="auto"/>
          <w:sz w:val="2"/>
          <w:szCs w:val="2"/>
        </w:rPr>
        <w:t>234B</w:t>
      </w:r>
      <w:r w:rsidR="0049638A">
        <w:rPr>
          <w:rFonts w:ascii="ZWAdobeF" w:hAnsi="ZWAdobeF" w:cs="ZWAdobeF"/>
          <w:color w:val="auto"/>
          <w:sz w:val="2"/>
          <w:szCs w:val="2"/>
        </w:rPr>
        <w:t>234B</w:t>
      </w:r>
      <w:r w:rsidR="00D629FA">
        <w:rPr>
          <w:rFonts w:ascii="ZWAdobeF" w:hAnsi="ZWAdobeF" w:cs="ZWAdobeF"/>
          <w:color w:val="auto"/>
          <w:sz w:val="2"/>
          <w:szCs w:val="2"/>
        </w:rPr>
        <w:t>234B</w:t>
      </w:r>
      <w:r w:rsidR="00253C06">
        <w:t>Another option is for lawyers to be regarded as having a solicitor-client relationship with all class members individually. This relationship could arise at certification or at the point a class member opts in or does not opt out. We do not think it would be workable for a solicitor-client relationship to arise prior to certification because the scope of the class is unclear at this point.</w:t>
      </w:r>
    </w:p>
    <w:p w14:paraId="2361A75E" w14:textId="2C48AD2D" w:rsidR="009F7462" w:rsidRDefault="00BD5C95" w:rsidP="009B37CB">
      <w:pPr>
        <w:pStyle w:val="BodyText"/>
      </w:pPr>
      <w:r>
        <w:rPr>
          <w:rFonts w:ascii="ZWAdobeF" w:hAnsi="ZWAdobeF" w:cs="ZWAdobeF"/>
          <w:color w:val="auto"/>
          <w:sz w:val="2"/>
          <w:szCs w:val="2"/>
        </w:rPr>
        <w:t>235B</w:t>
      </w:r>
      <w:r w:rsidR="0049638A">
        <w:rPr>
          <w:rFonts w:ascii="ZWAdobeF" w:hAnsi="ZWAdobeF" w:cs="ZWAdobeF"/>
          <w:color w:val="auto"/>
          <w:sz w:val="2"/>
          <w:szCs w:val="2"/>
        </w:rPr>
        <w:t>235B</w:t>
      </w:r>
      <w:r w:rsidR="00D629FA">
        <w:rPr>
          <w:rFonts w:ascii="ZWAdobeF" w:hAnsi="ZWAdobeF" w:cs="ZWAdobeF"/>
          <w:color w:val="auto"/>
          <w:sz w:val="2"/>
          <w:szCs w:val="2"/>
        </w:rPr>
        <w:t>235B</w:t>
      </w:r>
      <w:r w:rsidR="00253C06">
        <w:t xml:space="preserve">This option would provide clarity on the </w:t>
      </w:r>
      <w:r w:rsidR="00253C06" w:rsidRPr="001A4D42">
        <w:t>obligations</w:t>
      </w:r>
      <w:r w:rsidR="00253C06">
        <w:t xml:space="preserve"> of a lawyer as, given the solicitor-client relationship, the</w:t>
      </w:r>
      <w:r w:rsidR="00253C06" w:rsidRPr="00803FB9">
        <w:t xml:space="preserve"> </w:t>
      </w:r>
      <w:r w:rsidR="00253C06" w:rsidRPr="003C20B6">
        <w:rPr>
          <w:i/>
          <w:iCs/>
        </w:rPr>
        <w:t xml:space="preserve">Rules of </w:t>
      </w:r>
      <w:r w:rsidR="00253C06">
        <w:rPr>
          <w:i/>
          <w:iCs/>
        </w:rPr>
        <w:t>c</w:t>
      </w:r>
      <w:r w:rsidR="00253C06" w:rsidRPr="003C20B6">
        <w:rPr>
          <w:i/>
          <w:iCs/>
        </w:rPr>
        <w:t xml:space="preserve">onduct and </w:t>
      </w:r>
      <w:r w:rsidR="00253C06">
        <w:rPr>
          <w:i/>
          <w:iCs/>
        </w:rPr>
        <w:t>c</w:t>
      </w:r>
      <w:r w:rsidR="00253C06" w:rsidRPr="003C20B6">
        <w:rPr>
          <w:i/>
          <w:iCs/>
        </w:rPr>
        <w:t xml:space="preserve">lient </w:t>
      </w:r>
      <w:r w:rsidR="00253C06">
        <w:rPr>
          <w:i/>
          <w:iCs/>
        </w:rPr>
        <w:t>c</w:t>
      </w:r>
      <w:r w:rsidR="00253C06" w:rsidRPr="003C20B6">
        <w:rPr>
          <w:i/>
          <w:iCs/>
        </w:rPr>
        <w:t xml:space="preserve">are for </w:t>
      </w:r>
      <w:r w:rsidR="00253C06">
        <w:rPr>
          <w:i/>
          <w:iCs/>
        </w:rPr>
        <w:t>l</w:t>
      </w:r>
      <w:r w:rsidR="00253C06" w:rsidRPr="003C20B6">
        <w:rPr>
          <w:i/>
          <w:iCs/>
        </w:rPr>
        <w:t>awyers</w:t>
      </w:r>
      <w:r w:rsidR="00253C06">
        <w:t xml:space="preserve"> would apply.</w:t>
      </w:r>
      <w:r w:rsidR="00D629FA">
        <w:rPr>
          <w:rFonts w:ascii="ZWAdobeF" w:hAnsi="ZWAdobeF" w:cs="ZWAdobeF"/>
          <w:color w:val="auto"/>
          <w:sz w:val="2"/>
          <w:szCs w:val="2"/>
        </w:rPr>
        <w:t>361F</w:t>
      </w:r>
      <w:r w:rsidR="0049638A">
        <w:rPr>
          <w:rFonts w:ascii="ZWAdobeF" w:hAnsi="ZWAdobeF" w:cs="ZWAdobeF"/>
          <w:color w:val="auto"/>
          <w:sz w:val="2"/>
          <w:szCs w:val="2"/>
        </w:rPr>
        <w:t>361F</w:t>
      </w:r>
      <w:r w:rsidR="00317AE4">
        <w:rPr>
          <w:rFonts w:ascii="ZWAdobeF" w:hAnsi="ZWAdobeF" w:cs="ZWAdobeF"/>
          <w:color w:val="auto"/>
          <w:sz w:val="2"/>
          <w:szCs w:val="2"/>
        </w:rPr>
        <w:t>361F</w:t>
      </w:r>
      <w:r w:rsidR="00253C06">
        <w:rPr>
          <w:rStyle w:val="FootnoteReference"/>
        </w:rPr>
        <w:footnoteReference w:id="363"/>
      </w:r>
      <w:r w:rsidR="00253C06">
        <w:t xml:space="preserve"> It would also avoid lawyers owing different duties to class members in the same class action, where some class members have signed a retainer with the lawyer and others have not. </w:t>
      </w:r>
    </w:p>
    <w:p w14:paraId="24B87072" w14:textId="48FBDCCF" w:rsidR="00253C06" w:rsidRPr="009F7462" w:rsidRDefault="00BD5C95" w:rsidP="009B37CB">
      <w:pPr>
        <w:pStyle w:val="BodyText"/>
        <w:rPr>
          <w:rStyle w:val="Heading4Char"/>
          <w:rFonts w:ascii="Metropolis Light" w:hAnsi="Metropolis Light"/>
          <w:b w:val="0"/>
          <w:i w:val="0"/>
          <w:color w:val="000000" w:themeColor="text1"/>
        </w:rPr>
      </w:pPr>
      <w:r>
        <w:rPr>
          <w:rFonts w:ascii="ZWAdobeF" w:hAnsi="ZWAdobeF" w:cs="ZWAdobeF"/>
          <w:color w:val="auto"/>
          <w:sz w:val="2"/>
          <w:szCs w:val="2"/>
        </w:rPr>
        <w:t>236B</w:t>
      </w:r>
      <w:r w:rsidR="0049638A">
        <w:rPr>
          <w:rFonts w:ascii="ZWAdobeF" w:hAnsi="ZWAdobeF" w:cs="ZWAdobeF"/>
          <w:color w:val="auto"/>
          <w:sz w:val="2"/>
          <w:szCs w:val="2"/>
        </w:rPr>
        <w:t>236B</w:t>
      </w:r>
      <w:r w:rsidR="00D629FA">
        <w:rPr>
          <w:rFonts w:ascii="ZWAdobeF" w:hAnsi="ZWAdobeF" w:cs="ZWAdobeF"/>
          <w:color w:val="auto"/>
          <w:sz w:val="2"/>
          <w:szCs w:val="2"/>
        </w:rPr>
        <w:t>236B</w:t>
      </w:r>
      <w:r w:rsidR="00253C06">
        <w:t xml:space="preserve">However, it </w:t>
      </w:r>
      <w:r w:rsidR="00BB269C">
        <w:t>would</w:t>
      </w:r>
      <w:r w:rsidR="00253C06">
        <w:t xml:space="preserve"> be difficult to manage hundreds or thousands of solicitor-client relationships in practice. It is also difficult to conceptualise what an individual solicitor-client relationship would look like between a lawyer and an unknown class member. Some of the professional rules, as currently drafted, will not be workable. For example, conflicts of interest may be hard to manage with unknown class members.</w:t>
      </w:r>
      <w:r w:rsidR="00D629FA">
        <w:rPr>
          <w:rFonts w:ascii="ZWAdobeF" w:hAnsi="ZWAdobeF" w:cs="ZWAdobeF"/>
          <w:color w:val="auto"/>
          <w:sz w:val="2"/>
          <w:szCs w:val="2"/>
        </w:rPr>
        <w:t>362F</w:t>
      </w:r>
      <w:r w:rsidR="0049638A">
        <w:rPr>
          <w:rFonts w:ascii="ZWAdobeF" w:hAnsi="ZWAdobeF" w:cs="ZWAdobeF"/>
          <w:color w:val="auto"/>
          <w:sz w:val="2"/>
          <w:szCs w:val="2"/>
        </w:rPr>
        <w:t>362F</w:t>
      </w:r>
      <w:r w:rsidR="00317AE4">
        <w:rPr>
          <w:rFonts w:ascii="ZWAdobeF" w:hAnsi="ZWAdobeF" w:cs="ZWAdobeF"/>
          <w:color w:val="auto"/>
          <w:sz w:val="2"/>
          <w:szCs w:val="2"/>
        </w:rPr>
        <w:t>362F</w:t>
      </w:r>
      <w:r w:rsidR="00253C06">
        <w:rPr>
          <w:rStyle w:val="FootnoteReference"/>
        </w:rPr>
        <w:footnoteReference w:id="364"/>
      </w:r>
      <w:r w:rsidR="00253C06">
        <w:t xml:space="preserve"> In such cases, conflicts may not be known and it would be impossible to get their informed consent to act despite a conflict.</w:t>
      </w:r>
      <w:r w:rsidR="00D629FA">
        <w:rPr>
          <w:rFonts w:ascii="ZWAdobeF" w:hAnsi="ZWAdobeF" w:cs="ZWAdobeF"/>
          <w:color w:val="auto"/>
          <w:sz w:val="2"/>
          <w:szCs w:val="2"/>
        </w:rPr>
        <w:t>363F</w:t>
      </w:r>
      <w:r w:rsidR="0049638A">
        <w:rPr>
          <w:rFonts w:ascii="ZWAdobeF" w:hAnsi="ZWAdobeF" w:cs="ZWAdobeF"/>
          <w:color w:val="auto"/>
          <w:sz w:val="2"/>
          <w:szCs w:val="2"/>
        </w:rPr>
        <w:t>363F</w:t>
      </w:r>
      <w:r w:rsidR="00317AE4">
        <w:rPr>
          <w:rFonts w:ascii="ZWAdobeF" w:hAnsi="ZWAdobeF" w:cs="ZWAdobeF"/>
          <w:color w:val="auto"/>
          <w:sz w:val="2"/>
          <w:szCs w:val="2"/>
        </w:rPr>
        <w:t>363F</w:t>
      </w:r>
      <w:r w:rsidR="00253C06">
        <w:rPr>
          <w:rStyle w:val="FootnoteReference"/>
        </w:rPr>
        <w:footnoteReference w:id="365"/>
      </w:r>
      <w:r w:rsidR="00253C06">
        <w:t xml:space="preserve"> It will also not be possible for the lawyer to disclose to all class members all information relevant to the case.</w:t>
      </w:r>
      <w:r w:rsidR="00D629FA">
        <w:rPr>
          <w:rFonts w:ascii="ZWAdobeF" w:hAnsi="ZWAdobeF" w:cs="ZWAdobeF"/>
          <w:color w:val="auto"/>
          <w:sz w:val="2"/>
          <w:szCs w:val="2"/>
        </w:rPr>
        <w:t>364F</w:t>
      </w:r>
      <w:r w:rsidR="0049638A">
        <w:rPr>
          <w:rFonts w:ascii="ZWAdobeF" w:hAnsi="ZWAdobeF" w:cs="ZWAdobeF"/>
          <w:color w:val="auto"/>
          <w:sz w:val="2"/>
          <w:szCs w:val="2"/>
        </w:rPr>
        <w:t>364F</w:t>
      </w:r>
      <w:r w:rsidR="00317AE4">
        <w:rPr>
          <w:rFonts w:ascii="ZWAdobeF" w:hAnsi="ZWAdobeF" w:cs="ZWAdobeF"/>
          <w:color w:val="auto"/>
          <w:sz w:val="2"/>
          <w:szCs w:val="2"/>
        </w:rPr>
        <w:t>364F</w:t>
      </w:r>
      <w:r w:rsidR="00253C06">
        <w:rPr>
          <w:rStyle w:val="FootnoteReference"/>
        </w:rPr>
        <w:footnoteReference w:id="366"/>
      </w:r>
      <w:r w:rsidR="00253C06">
        <w:t xml:space="preserve"> </w:t>
      </w:r>
    </w:p>
    <w:p w14:paraId="52BE93B7" w14:textId="1E3F0FDC" w:rsidR="00253C06" w:rsidRDefault="008A6EB2" w:rsidP="006B41C2">
      <w:pPr>
        <w:pStyle w:val="Heading4"/>
      </w:pPr>
      <w:r>
        <w:t>Solicitor</w:t>
      </w:r>
      <w:r w:rsidR="00603C6D">
        <w:t xml:space="preserve">-client relationship with the class as a whole </w:t>
      </w:r>
      <w:r w:rsidR="00253C06">
        <w:t xml:space="preserve"> </w:t>
      </w:r>
    </w:p>
    <w:p w14:paraId="7435A633" w14:textId="5F9319E7" w:rsidR="00253C06" w:rsidRDefault="00BD5C95" w:rsidP="00932DB9">
      <w:pPr>
        <w:pStyle w:val="BodyText"/>
        <w:numPr>
          <w:ilvl w:val="1"/>
          <w:numId w:val="15"/>
        </w:numPr>
      </w:pPr>
      <w:r>
        <w:rPr>
          <w:rFonts w:ascii="ZWAdobeF" w:hAnsi="ZWAdobeF" w:cs="ZWAdobeF"/>
          <w:color w:val="auto"/>
          <w:sz w:val="2"/>
          <w:szCs w:val="2"/>
        </w:rPr>
        <w:t>237B</w:t>
      </w:r>
      <w:r w:rsidR="0049638A">
        <w:rPr>
          <w:rFonts w:ascii="ZWAdobeF" w:hAnsi="ZWAdobeF" w:cs="ZWAdobeF"/>
          <w:color w:val="auto"/>
          <w:sz w:val="2"/>
          <w:szCs w:val="2"/>
        </w:rPr>
        <w:t>237B</w:t>
      </w:r>
      <w:r w:rsidR="00D629FA">
        <w:rPr>
          <w:rFonts w:ascii="ZWAdobeF" w:hAnsi="ZWAdobeF" w:cs="ZWAdobeF"/>
          <w:color w:val="auto"/>
          <w:sz w:val="2"/>
          <w:szCs w:val="2"/>
        </w:rPr>
        <w:t>237B</w:t>
      </w:r>
      <w:r w:rsidR="00253C06">
        <w:t xml:space="preserve">The final option is </w:t>
      </w:r>
      <w:r w:rsidR="0048652D">
        <w:t xml:space="preserve">to </w:t>
      </w:r>
      <w:r w:rsidR="00FA7637">
        <w:t xml:space="preserve">view </w:t>
      </w:r>
      <w:r w:rsidR="00603C6D">
        <w:t>t</w:t>
      </w:r>
      <w:r w:rsidR="00253C06">
        <w:t>he class as a client of the representative plaintiff’s lawyer. This relationship could arise at certification or at the point a class member opts in or does not opt out.</w:t>
      </w:r>
    </w:p>
    <w:p w14:paraId="32FBE0B8" w14:textId="31F4344A" w:rsidR="00253C06" w:rsidRDefault="00BD5C95" w:rsidP="00932DB9">
      <w:pPr>
        <w:pStyle w:val="BodyText"/>
        <w:numPr>
          <w:ilvl w:val="1"/>
          <w:numId w:val="15"/>
        </w:numPr>
      </w:pPr>
      <w:r>
        <w:rPr>
          <w:rFonts w:ascii="ZWAdobeF" w:hAnsi="ZWAdobeF" w:cs="ZWAdobeF"/>
          <w:color w:val="auto"/>
          <w:sz w:val="2"/>
          <w:szCs w:val="2"/>
        </w:rPr>
        <w:t>238B</w:t>
      </w:r>
      <w:r w:rsidR="0049638A">
        <w:rPr>
          <w:rFonts w:ascii="ZWAdobeF" w:hAnsi="ZWAdobeF" w:cs="ZWAdobeF"/>
          <w:color w:val="auto"/>
          <w:sz w:val="2"/>
          <w:szCs w:val="2"/>
        </w:rPr>
        <w:t>238B</w:t>
      </w:r>
      <w:r w:rsidR="00D629FA">
        <w:rPr>
          <w:rFonts w:ascii="ZWAdobeF" w:hAnsi="ZWAdobeF" w:cs="ZWAdobeF"/>
          <w:color w:val="auto"/>
          <w:sz w:val="2"/>
          <w:szCs w:val="2"/>
        </w:rPr>
        <w:t>238B</w:t>
      </w:r>
      <w:r w:rsidR="00253C06">
        <w:t xml:space="preserve">If the class is regarded as a client of the representative plaintiff’s lawyer, we think specific duties should be created. The duties owed to the class could be informed by the existing </w:t>
      </w:r>
      <w:r w:rsidR="00253C06" w:rsidRPr="00701579">
        <w:rPr>
          <w:i/>
          <w:iCs/>
        </w:rPr>
        <w:t xml:space="preserve">Rules of conduct and client </w:t>
      </w:r>
      <w:r w:rsidR="00253C06">
        <w:rPr>
          <w:i/>
          <w:iCs/>
        </w:rPr>
        <w:t>c</w:t>
      </w:r>
      <w:r w:rsidR="00253C06" w:rsidRPr="00701579">
        <w:rPr>
          <w:i/>
          <w:iCs/>
        </w:rPr>
        <w:t>are for lawyers</w:t>
      </w:r>
      <w:r w:rsidR="00253C06">
        <w:t xml:space="preserve">. We think it would be appropriate for lawyer for the class to be required to act </w:t>
      </w:r>
      <w:r w:rsidR="00253C06" w:rsidRPr="00A96B8B">
        <w:t>in the best interests of class members</w:t>
      </w:r>
      <w:r w:rsidR="00D629FA">
        <w:rPr>
          <w:rFonts w:ascii="ZWAdobeF" w:hAnsi="ZWAdobeF" w:cs="ZWAdobeF"/>
          <w:color w:val="auto"/>
          <w:sz w:val="2"/>
          <w:szCs w:val="2"/>
        </w:rPr>
        <w:t>365F</w:t>
      </w:r>
      <w:r w:rsidR="0049638A">
        <w:rPr>
          <w:rFonts w:ascii="ZWAdobeF" w:hAnsi="ZWAdobeF" w:cs="ZWAdobeF"/>
          <w:color w:val="auto"/>
          <w:sz w:val="2"/>
          <w:szCs w:val="2"/>
        </w:rPr>
        <w:t>365F</w:t>
      </w:r>
      <w:r w:rsidR="00317AE4">
        <w:rPr>
          <w:rFonts w:ascii="ZWAdobeF" w:hAnsi="ZWAdobeF" w:cs="ZWAdobeF"/>
          <w:color w:val="auto"/>
          <w:sz w:val="2"/>
          <w:szCs w:val="2"/>
        </w:rPr>
        <w:t>365F</w:t>
      </w:r>
      <w:r w:rsidR="00253C06">
        <w:rPr>
          <w:rStyle w:val="FootnoteReference"/>
        </w:rPr>
        <w:footnoteReference w:id="367"/>
      </w:r>
      <w:r w:rsidR="00253C06" w:rsidRPr="00A96B8B">
        <w:t xml:space="preserve"> and </w:t>
      </w:r>
      <w:r w:rsidR="00253C06">
        <w:t>avoid</w:t>
      </w:r>
      <w:r w:rsidR="00253C06" w:rsidRPr="00A96B8B">
        <w:t xml:space="preserve"> conflicts of interests </w:t>
      </w:r>
      <w:r w:rsidR="00253C06">
        <w:t xml:space="preserve">which </w:t>
      </w:r>
      <w:r w:rsidR="00253C06" w:rsidRPr="00A96B8B">
        <w:t xml:space="preserve">affect </w:t>
      </w:r>
      <w:r w:rsidR="00253C06">
        <w:t>representation</w:t>
      </w:r>
      <w:r w:rsidR="00253C06" w:rsidRPr="00A96B8B">
        <w:t xml:space="preserve"> of the class as a whole</w:t>
      </w:r>
      <w:r w:rsidR="00253C06">
        <w:t>.</w:t>
      </w:r>
      <w:r w:rsidR="00D629FA">
        <w:rPr>
          <w:rFonts w:ascii="ZWAdobeF" w:hAnsi="ZWAdobeF" w:cs="ZWAdobeF"/>
          <w:color w:val="auto"/>
          <w:sz w:val="2"/>
          <w:szCs w:val="2"/>
        </w:rPr>
        <w:t>366F</w:t>
      </w:r>
      <w:r w:rsidR="0049638A">
        <w:rPr>
          <w:rFonts w:ascii="ZWAdobeF" w:hAnsi="ZWAdobeF" w:cs="ZWAdobeF"/>
          <w:color w:val="auto"/>
          <w:sz w:val="2"/>
          <w:szCs w:val="2"/>
        </w:rPr>
        <w:t>366F</w:t>
      </w:r>
      <w:r w:rsidR="00317AE4">
        <w:rPr>
          <w:rFonts w:ascii="ZWAdobeF" w:hAnsi="ZWAdobeF" w:cs="ZWAdobeF"/>
          <w:color w:val="auto"/>
          <w:sz w:val="2"/>
          <w:szCs w:val="2"/>
        </w:rPr>
        <w:t>366F</w:t>
      </w:r>
      <w:r w:rsidR="00253C06">
        <w:rPr>
          <w:rStyle w:val="FootnoteReference"/>
        </w:rPr>
        <w:footnoteReference w:id="368"/>
      </w:r>
      <w:r w:rsidR="00253C06" w:rsidRPr="00A96B8B">
        <w:t xml:space="preserve"> We also think</w:t>
      </w:r>
      <w:r w:rsidR="00253C06">
        <w:t>, given the importance of protecting class member interests,</w:t>
      </w:r>
      <w:r w:rsidR="00253C06" w:rsidRPr="00A96B8B">
        <w:t xml:space="preserve"> </w:t>
      </w:r>
      <w:r w:rsidR="00253C06">
        <w:t xml:space="preserve">communications between the defendant’s counsel and class members should go through </w:t>
      </w:r>
      <w:r w:rsidR="00BB269C">
        <w:t xml:space="preserve">the representative plaintiff’s </w:t>
      </w:r>
      <w:r w:rsidR="00BB269C">
        <w:lastRenderedPageBreak/>
        <w:t>lawyer</w:t>
      </w:r>
      <w:r w:rsidR="00253C06" w:rsidRPr="00A96B8B">
        <w:t>.</w:t>
      </w:r>
      <w:r w:rsidR="00D629FA">
        <w:rPr>
          <w:rFonts w:ascii="ZWAdobeF" w:hAnsi="ZWAdobeF" w:cs="ZWAdobeF"/>
          <w:color w:val="auto"/>
          <w:sz w:val="2"/>
          <w:szCs w:val="2"/>
        </w:rPr>
        <w:t>367F</w:t>
      </w:r>
      <w:r w:rsidR="0049638A">
        <w:rPr>
          <w:rFonts w:ascii="ZWAdobeF" w:hAnsi="ZWAdobeF" w:cs="ZWAdobeF"/>
          <w:color w:val="auto"/>
          <w:sz w:val="2"/>
          <w:szCs w:val="2"/>
        </w:rPr>
        <w:t>367F</w:t>
      </w:r>
      <w:r w:rsidR="00317AE4">
        <w:rPr>
          <w:rFonts w:ascii="ZWAdobeF" w:hAnsi="ZWAdobeF" w:cs="ZWAdobeF"/>
          <w:color w:val="auto"/>
          <w:sz w:val="2"/>
          <w:szCs w:val="2"/>
        </w:rPr>
        <w:t>367F</w:t>
      </w:r>
      <w:r w:rsidR="00253C06" w:rsidRPr="00A96B8B">
        <w:rPr>
          <w:rStyle w:val="FootnoteReference"/>
        </w:rPr>
        <w:footnoteReference w:id="369"/>
      </w:r>
      <w:r w:rsidR="00253C06">
        <w:t xml:space="preserve"> Conversely, other rules, such as the requirement for the lawyer to disclose to clients all information relevant to the case would not be workable and therefore should not apply</w:t>
      </w:r>
      <w:r w:rsidR="00FA7637">
        <w:t xml:space="preserve"> to the relationship between the lawyer and the class</w:t>
      </w:r>
      <w:r w:rsidR="00253C06">
        <w:t>.</w:t>
      </w:r>
      <w:r w:rsidR="00D629FA">
        <w:rPr>
          <w:rFonts w:ascii="ZWAdobeF" w:hAnsi="ZWAdobeF" w:cs="ZWAdobeF"/>
          <w:color w:val="auto"/>
          <w:sz w:val="2"/>
          <w:szCs w:val="2"/>
        </w:rPr>
        <w:t>368F</w:t>
      </w:r>
      <w:r w:rsidR="0049638A">
        <w:rPr>
          <w:rFonts w:ascii="ZWAdobeF" w:hAnsi="ZWAdobeF" w:cs="ZWAdobeF"/>
          <w:color w:val="auto"/>
          <w:sz w:val="2"/>
          <w:szCs w:val="2"/>
        </w:rPr>
        <w:t>368F</w:t>
      </w:r>
      <w:r w:rsidR="00317AE4">
        <w:rPr>
          <w:rFonts w:ascii="ZWAdobeF" w:hAnsi="ZWAdobeF" w:cs="ZWAdobeF"/>
          <w:color w:val="auto"/>
          <w:sz w:val="2"/>
          <w:szCs w:val="2"/>
        </w:rPr>
        <w:t>368F</w:t>
      </w:r>
      <w:r w:rsidR="00253C06">
        <w:rPr>
          <w:rStyle w:val="FootnoteReference"/>
        </w:rPr>
        <w:footnoteReference w:id="370"/>
      </w:r>
      <w:r w:rsidR="00253C06">
        <w:t xml:space="preserve"> It would also not be possible for the lawyer to take instructions from each individual class member.  </w:t>
      </w:r>
    </w:p>
    <w:p w14:paraId="03E8CAD0" w14:textId="0086BEB3" w:rsidR="00253C06" w:rsidRDefault="00BD5C95" w:rsidP="00932DB9">
      <w:pPr>
        <w:pStyle w:val="BodyText"/>
        <w:numPr>
          <w:ilvl w:val="1"/>
          <w:numId w:val="15"/>
        </w:numPr>
      </w:pPr>
      <w:r>
        <w:rPr>
          <w:rFonts w:ascii="ZWAdobeF" w:hAnsi="ZWAdobeF" w:cs="ZWAdobeF"/>
          <w:color w:val="auto"/>
          <w:sz w:val="2"/>
          <w:szCs w:val="2"/>
        </w:rPr>
        <w:t>239B</w:t>
      </w:r>
      <w:r w:rsidR="0049638A">
        <w:rPr>
          <w:rFonts w:ascii="ZWAdobeF" w:hAnsi="ZWAdobeF" w:cs="ZWAdobeF"/>
          <w:color w:val="auto"/>
          <w:sz w:val="2"/>
          <w:szCs w:val="2"/>
        </w:rPr>
        <w:t>239B</w:t>
      </w:r>
      <w:r w:rsidR="00D629FA">
        <w:rPr>
          <w:rFonts w:ascii="ZWAdobeF" w:hAnsi="ZWAdobeF" w:cs="ZWAdobeF"/>
          <w:color w:val="auto"/>
          <w:sz w:val="2"/>
          <w:szCs w:val="2"/>
        </w:rPr>
        <w:t>239B</w:t>
      </w:r>
      <w:r w:rsidR="00253C06">
        <w:t>This option recognises and reflects the unique nature of the relationship between the class (especially unknown class members) and the representative plaintiff’s lawyer, rather than trying to apply a traditional lawyer-client model. We think if both the representative plaintiff and</w:t>
      </w:r>
      <w:r w:rsidR="000F5802">
        <w:t xml:space="preserve"> their lawyer</w:t>
      </w:r>
      <w:r w:rsidR="00253C06">
        <w:t xml:space="preserve"> are required to act in the best interests of class members, the potential for conflicts will reduce. It may also be possible to reflect the interests of class members in any retainer between the lawyer and the representative plaintiff.</w:t>
      </w:r>
      <w:r w:rsidR="00D629FA">
        <w:rPr>
          <w:rFonts w:ascii="ZWAdobeF" w:hAnsi="ZWAdobeF" w:cs="ZWAdobeF"/>
          <w:color w:val="auto"/>
          <w:sz w:val="2"/>
          <w:szCs w:val="2"/>
        </w:rPr>
        <w:t>369F</w:t>
      </w:r>
      <w:r w:rsidR="0049638A">
        <w:rPr>
          <w:rFonts w:ascii="ZWAdobeF" w:hAnsi="ZWAdobeF" w:cs="ZWAdobeF"/>
          <w:color w:val="auto"/>
          <w:sz w:val="2"/>
          <w:szCs w:val="2"/>
        </w:rPr>
        <w:t>369F</w:t>
      </w:r>
      <w:r w:rsidR="00317AE4">
        <w:rPr>
          <w:rFonts w:ascii="ZWAdobeF" w:hAnsi="ZWAdobeF" w:cs="ZWAdobeF"/>
          <w:color w:val="auto"/>
          <w:sz w:val="2"/>
          <w:szCs w:val="2"/>
        </w:rPr>
        <w:t>369F</w:t>
      </w:r>
      <w:r w:rsidR="00253C06" w:rsidRPr="00CF0BA7">
        <w:rPr>
          <w:rStyle w:val="FootnoteReference"/>
        </w:rPr>
        <w:footnoteReference w:id="371"/>
      </w:r>
      <w:r w:rsidR="00253C06" w:rsidRPr="00CF0BA7">
        <w:t xml:space="preserve">  </w:t>
      </w:r>
    </w:p>
    <w:p w14:paraId="14B94A7B" w14:textId="4ABC4A77" w:rsidR="00253C06" w:rsidRDefault="00BD5C95" w:rsidP="00932DB9">
      <w:pPr>
        <w:pStyle w:val="BodyText"/>
        <w:numPr>
          <w:ilvl w:val="1"/>
          <w:numId w:val="15"/>
        </w:numPr>
      </w:pPr>
      <w:r>
        <w:rPr>
          <w:rFonts w:ascii="ZWAdobeF" w:hAnsi="ZWAdobeF" w:cs="ZWAdobeF"/>
          <w:color w:val="auto"/>
          <w:sz w:val="2"/>
          <w:szCs w:val="2"/>
        </w:rPr>
        <w:t>240B</w:t>
      </w:r>
      <w:r w:rsidR="0049638A">
        <w:rPr>
          <w:rFonts w:ascii="ZWAdobeF" w:hAnsi="ZWAdobeF" w:cs="ZWAdobeF"/>
          <w:color w:val="auto"/>
          <w:sz w:val="2"/>
          <w:szCs w:val="2"/>
        </w:rPr>
        <w:t>240B</w:t>
      </w:r>
      <w:r w:rsidR="00D629FA">
        <w:rPr>
          <w:rFonts w:ascii="ZWAdobeF" w:hAnsi="ZWAdobeF" w:cs="ZWAdobeF"/>
          <w:color w:val="auto"/>
          <w:sz w:val="2"/>
          <w:szCs w:val="2"/>
        </w:rPr>
        <w:t>240B</w:t>
      </w:r>
      <w:r w:rsidR="00253C06">
        <w:t xml:space="preserve">We also think there is benefit in the status of the relationship between the lawyer and the class being characterised as </w:t>
      </w:r>
      <w:r w:rsidR="008A6EB2">
        <w:t>solicitor</w:t>
      </w:r>
      <w:r w:rsidR="00253C06">
        <w:t xml:space="preserve">-client. This would mean, for example, communications between the representative plaintiff’s lawyer and the class could attract solicitor-client privilege. </w:t>
      </w:r>
    </w:p>
    <w:p w14:paraId="236B1E03" w14:textId="35363436" w:rsidR="00253C06" w:rsidRPr="00EA0917" w:rsidRDefault="00253C06" w:rsidP="006B41C2">
      <w:pPr>
        <w:pStyle w:val="Heading3"/>
      </w:pPr>
      <w:r>
        <w:t>Our view</w:t>
      </w:r>
      <w:r w:rsidR="00A411C1">
        <w:t xml:space="preserve"> on the relationship between the lawyer and the class</w:t>
      </w:r>
    </w:p>
    <w:p w14:paraId="5F6B1DF3" w14:textId="24BEE74D" w:rsidR="00253C06" w:rsidRDefault="00BD5C95" w:rsidP="00932DB9">
      <w:pPr>
        <w:pStyle w:val="BodyText"/>
        <w:numPr>
          <w:ilvl w:val="1"/>
          <w:numId w:val="15"/>
        </w:numPr>
      </w:pPr>
      <w:r>
        <w:rPr>
          <w:rFonts w:ascii="ZWAdobeF" w:hAnsi="ZWAdobeF" w:cs="ZWAdobeF"/>
          <w:color w:val="auto"/>
          <w:sz w:val="2"/>
          <w:szCs w:val="2"/>
        </w:rPr>
        <w:t>241B</w:t>
      </w:r>
      <w:r w:rsidR="0049638A">
        <w:rPr>
          <w:rFonts w:ascii="ZWAdobeF" w:hAnsi="ZWAdobeF" w:cs="ZWAdobeF"/>
          <w:color w:val="auto"/>
          <w:sz w:val="2"/>
          <w:szCs w:val="2"/>
        </w:rPr>
        <w:t>241B</w:t>
      </w:r>
      <w:r w:rsidR="00D629FA">
        <w:rPr>
          <w:rFonts w:ascii="ZWAdobeF" w:hAnsi="ZWAdobeF" w:cs="ZWAdobeF"/>
          <w:color w:val="auto"/>
          <w:sz w:val="2"/>
          <w:szCs w:val="2"/>
        </w:rPr>
        <w:t>241B</w:t>
      </w:r>
      <w:r w:rsidR="00253C06">
        <w:t xml:space="preserve">We consider the representative plaintiff’s lawyer should be regarded as the lawyer for the class and should owe duties to the class as a whole. As the duties are owed to the class (as opposed to individual class members) we think it is appropriate they arise upon certification, rather than when a class member opts in or does not opt out. </w:t>
      </w:r>
    </w:p>
    <w:p w14:paraId="2B68CA58" w14:textId="71ECCE9A" w:rsidR="00253C06" w:rsidRPr="00EA0917" w:rsidRDefault="00BD5C95" w:rsidP="00932DB9">
      <w:pPr>
        <w:pStyle w:val="BodyText"/>
        <w:numPr>
          <w:ilvl w:val="1"/>
          <w:numId w:val="15"/>
        </w:numPr>
      </w:pPr>
      <w:r>
        <w:rPr>
          <w:rFonts w:ascii="ZWAdobeF" w:hAnsi="ZWAdobeF" w:cs="ZWAdobeF"/>
          <w:color w:val="auto"/>
          <w:sz w:val="2"/>
          <w:szCs w:val="2"/>
        </w:rPr>
        <w:t>242B</w:t>
      </w:r>
      <w:r w:rsidR="0049638A">
        <w:rPr>
          <w:rFonts w:ascii="ZWAdobeF" w:hAnsi="ZWAdobeF" w:cs="ZWAdobeF"/>
          <w:color w:val="auto"/>
          <w:sz w:val="2"/>
          <w:szCs w:val="2"/>
        </w:rPr>
        <w:t>242B</w:t>
      </w:r>
      <w:r w:rsidR="00D629FA">
        <w:rPr>
          <w:rFonts w:ascii="ZWAdobeF" w:hAnsi="ZWAdobeF" w:cs="ZWAdobeF"/>
          <w:color w:val="auto"/>
          <w:sz w:val="2"/>
          <w:szCs w:val="2"/>
        </w:rPr>
        <w:t>242B</w:t>
      </w:r>
      <w:r w:rsidR="00253C06">
        <w:t>Any</w:t>
      </w:r>
      <w:r w:rsidR="00253C06" w:rsidDel="00506C7C">
        <w:t xml:space="preserve"> </w:t>
      </w:r>
      <w:r w:rsidR="00253C06">
        <w:t xml:space="preserve">duties a lawyer has to the class would be in addition to the solicitor-client duties owed to the representative plaintiff and any class member they have a retainer with. Consequently, it may be possible for a </w:t>
      </w:r>
      <w:r w:rsidR="00253C06" w:rsidRPr="001A4D42">
        <w:t>lawyer</w:t>
      </w:r>
      <w:r w:rsidR="00253C06">
        <w:t xml:space="preserve"> to owe different obligations to individuals in the same class. However, we see this is something that lawyers could manage on a case-by-case basis.</w:t>
      </w:r>
    </w:p>
    <w:p w14:paraId="6E276E5A" w14:textId="7C5A0391" w:rsidR="00253C06" w:rsidRPr="00CF0BA7" w:rsidRDefault="00BD5C95" w:rsidP="00932DB9">
      <w:pPr>
        <w:pStyle w:val="BodyText"/>
        <w:numPr>
          <w:ilvl w:val="1"/>
          <w:numId w:val="15"/>
        </w:numPr>
      </w:pPr>
      <w:r>
        <w:rPr>
          <w:rFonts w:ascii="ZWAdobeF" w:hAnsi="ZWAdobeF" w:cs="ZWAdobeF"/>
          <w:color w:val="auto"/>
          <w:sz w:val="2"/>
          <w:szCs w:val="2"/>
        </w:rPr>
        <w:t>243B</w:t>
      </w:r>
      <w:r w:rsidR="0049638A">
        <w:rPr>
          <w:rFonts w:ascii="ZWAdobeF" w:hAnsi="ZWAdobeF" w:cs="ZWAdobeF"/>
          <w:color w:val="auto"/>
          <w:sz w:val="2"/>
          <w:szCs w:val="2"/>
        </w:rPr>
        <w:t>243B</w:t>
      </w:r>
      <w:r w:rsidR="00D629FA">
        <w:rPr>
          <w:rFonts w:ascii="ZWAdobeF" w:hAnsi="ZWAdobeF" w:cs="ZWAdobeF"/>
          <w:color w:val="auto"/>
          <w:sz w:val="2"/>
          <w:szCs w:val="2"/>
        </w:rPr>
        <w:t>243B</w:t>
      </w:r>
      <w:r w:rsidR="00253C06">
        <w:t xml:space="preserve">We think legislation would be required to create a </w:t>
      </w:r>
      <w:r w:rsidR="008A6EB2">
        <w:t>solicitor</w:t>
      </w:r>
      <w:r w:rsidR="00253C06">
        <w:t>-client relationship between the class and the representative plaintiff’s lawyer.</w:t>
      </w:r>
      <w:r w:rsidR="00D629FA">
        <w:rPr>
          <w:rFonts w:ascii="ZWAdobeF" w:hAnsi="ZWAdobeF" w:cs="ZWAdobeF"/>
          <w:color w:val="auto"/>
          <w:sz w:val="2"/>
          <w:szCs w:val="2"/>
        </w:rPr>
        <w:t>370F</w:t>
      </w:r>
      <w:r w:rsidR="0049638A">
        <w:rPr>
          <w:rFonts w:ascii="ZWAdobeF" w:hAnsi="ZWAdobeF" w:cs="ZWAdobeF"/>
          <w:color w:val="auto"/>
          <w:sz w:val="2"/>
          <w:szCs w:val="2"/>
        </w:rPr>
        <w:t>370F</w:t>
      </w:r>
      <w:r w:rsidR="00317AE4">
        <w:rPr>
          <w:rFonts w:ascii="ZWAdobeF" w:hAnsi="ZWAdobeF" w:cs="ZWAdobeF"/>
          <w:color w:val="auto"/>
          <w:sz w:val="2"/>
          <w:szCs w:val="2"/>
        </w:rPr>
        <w:t>370F</w:t>
      </w:r>
      <w:r w:rsidR="00253C06">
        <w:rPr>
          <w:rStyle w:val="FootnoteReference"/>
        </w:rPr>
        <w:footnoteReference w:id="372"/>
      </w:r>
      <w:r w:rsidR="00253C06">
        <w:t xml:space="preserve"> In addition, we think it would be helpful to state the specific duties that flow from this relationship. </w:t>
      </w:r>
      <w:r w:rsidR="00253C06" w:rsidRPr="00201468">
        <w:t>Te Kāhui Ture o Aotearoa</w:t>
      </w:r>
      <w:r w:rsidR="00253C06">
        <w:t xml:space="preserve"> | The New </w:t>
      </w:r>
      <w:r w:rsidR="00253C06" w:rsidRPr="00201468">
        <w:t>Zealand Law Society</w:t>
      </w:r>
      <w:r w:rsidR="00253C06" w:rsidRPr="00201468" w:rsidDel="00131DD4">
        <w:t xml:space="preserve"> </w:t>
      </w:r>
      <w:r w:rsidR="00253C06">
        <w:t>could consider amending</w:t>
      </w:r>
      <w:r w:rsidR="00253C06" w:rsidRPr="00CF0BA7">
        <w:t xml:space="preserve"> the </w:t>
      </w:r>
      <w:r w:rsidR="00253C06" w:rsidRPr="00824A50">
        <w:rPr>
          <w:i/>
          <w:iCs/>
        </w:rPr>
        <w:t>Rules of conduct and client care for lawyers</w:t>
      </w:r>
      <w:r w:rsidR="00253C06" w:rsidRPr="00CF0BA7">
        <w:t xml:space="preserve"> to </w:t>
      </w:r>
      <w:r w:rsidR="00253C06">
        <w:t>set out specific rules and obligations</w:t>
      </w:r>
      <w:r w:rsidR="00253C06" w:rsidRPr="00CF0BA7">
        <w:t>.</w:t>
      </w:r>
      <w:r w:rsidR="00D629FA">
        <w:rPr>
          <w:rFonts w:ascii="ZWAdobeF" w:hAnsi="ZWAdobeF" w:cs="ZWAdobeF"/>
          <w:color w:val="auto"/>
          <w:sz w:val="2"/>
          <w:szCs w:val="2"/>
        </w:rPr>
        <w:t>371F</w:t>
      </w:r>
      <w:r w:rsidR="0049638A">
        <w:rPr>
          <w:rFonts w:ascii="ZWAdobeF" w:hAnsi="ZWAdobeF" w:cs="ZWAdobeF"/>
          <w:color w:val="auto"/>
          <w:sz w:val="2"/>
          <w:szCs w:val="2"/>
        </w:rPr>
        <w:t>371F</w:t>
      </w:r>
      <w:r w:rsidR="00317AE4">
        <w:rPr>
          <w:rFonts w:ascii="ZWAdobeF" w:hAnsi="ZWAdobeF" w:cs="ZWAdobeF"/>
          <w:color w:val="auto"/>
          <w:sz w:val="2"/>
          <w:szCs w:val="2"/>
        </w:rPr>
        <w:t>371F</w:t>
      </w:r>
      <w:r w:rsidR="00253C06" w:rsidRPr="00CF0BA7">
        <w:rPr>
          <w:rStyle w:val="FootnoteReference"/>
        </w:rPr>
        <w:footnoteReference w:id="373"/>
      </w:r>
      <w:r w:rsidR="00253C06" w:rsidRPr="00CF0BA7">
        <w:t xml:space="preserve">  </w:t>
      </w:r>
    </w:p>
    <w:p w14:paraId="79C17179" w14:textId="538D1C6C" w:rsidR="00253C06" w:rsidRDefault="00BD5C95" w:rsidP="00932DB9">
      <w:pPr>
        <w:pStyle w:val="BodyText"/>
        <w:numPr>
          <w:ilvl w:val="1"/>
          <w:numId w:val="15"/>
        </w:numPr>
      </w:pPr>
      <w:r>
        <w:rPr>
          <w:rFonts w:ascii="ZWAdobeF" w:hAnsi="ZWAdobeF" w:cs="ZWAdobeF"/>
          <w:color w:val="auto"/>
          <w:sz w:val="2"/>
          <w:szCs w:val="2"/>
        </w:rPr>
        <w:lastRenderedPageBreak/>
        <w:t>244B</w:t>
      </w:r>
      <w:r w:rsidR="0049638A">
        <w:rPr>
          <w:rFonts w:ascii="ZWAdobeF" w:hAnsi="ZWAdobeF" w:cs="ZWAdobeF"/>
          <w:color w:val="auto"/>
          <w:sz w:val="2"/>
          <w:szCs w:val="2"/>
        </w:rPr>
        <w:t>244B</w:t>
      </w:r>
      <w:r w:rsidR="00D629FA">
        <w:rPr>
          <w:rFonts w:ascii="ZWAdobeF" w:hAnsi="ZWAdobeF" w:cs="ZWAdobeF"/>
          <w:color w:val="auto"/>
          <w:sz w:val="2"/>
          <w:szCs w:val="2"/>
        </w:rPr>
        <w:t>244B</w:t>
      </w:r>
      <w:r w:rsidR="00253C06">
        <w:t xml:space="preserve">Prior to certification we think the representative plaintiff’s lawyer should still owe some obligations to the potential class. While we do not think there should be a solicitor-client relationship with the potential class prior to certification, we think </w:t>
      </w:r>
      <w:r w:rsidR="00FC59DF">
        <w:t xml:space="preserve">a lawyer should still </w:t>
      </w:r>
      <w:r w:rsidR="00253C06">
        <w:t>act in the interests of the potential class as a whole.</w:t>
      </w:r>
    </w:p>
    <w:p w14:paraId="015E5170" w14:textId="11E70812" w:rsidR="009F7462" w:rsidRDefault="0008350F" w:rsidP="009F7462">
      <w:pPr>
        <w:pStyle w:val="QuestionBox"/>
      </w:pPr>
      <w:r>
        <w:rPr>
          <w:noProof/>
        </w:rPr>
        <mc:AlternateContent>
          <mc:Choice Requires="wpg">
            <w:drawing>
              <wp:anchor distT="0" distB="0" distL="114300" distR="114300" simplePos="0" relativeHeight="251652154" behindDoc="1" locked="0" layoutInCell="1" allowOverlap="1" wp14:anchorId="672D6637" wp14:editId="448CC1E3">
                <wp:simplePos x="0" y="0"/>
                <wp:positionH relativeFrom="column">
                  <wp:posOffset>-3810</wp:posOffset>
                </wp:positionH>
                <wp:positionV relativeFrom="paragraph">
                  <wp:posOffset>3810</wp:posOffset>
                </wp:positionV>
                <wp:extent cx="5760085" cy="1819262"/>
                <wp:effectExtent l="0" t="0" r="0" b="0"/>
                <wp:wrapNone/>
                <wp:docPr id="225" name="Group 225"/>
                <wp:cNvGraphicFramePr/>
                <a:graphic xmlns:a="http://schemas.openxmlformats.org/drawingml/2006/main">
                  <a:graphicData uri="http://schemas.microsoft.com/office/word/2010/wordprocessingGroup">
                    <wpg:wgp>
                      <wpg:cNvGrpSpPr/>
                      <wpg:grpSpPr>
                        <a:xfrm>
                          <a:off x="0" y="0"/>
                          <a:ext cx="5760085" cy="1819262"/>
                          <a:chOff x="0" y="62865"/>
                          <a:chExt cx="5760085" cy="1819447"/>
                        </a:xfrm>
                      </wpg:grpSpPr>
                      <wps:wsp>
                        <wps:cNvPr id="22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FF97FE" w14:textId="77777777" w:rsidR="00A55F53" w:rsidRDefault="00A55F53" w:rsidP="0008350F">
                              <w:pPr>
                                <w:pStyle w:val="BoxTitle"/>
                                <w:spacing w:before="0" w:beforeAutospacing="0"/>
                              </w:pPr>
                              <w:r w:rsidRPr="007F6876">
                                <w:t>QUESTION</w:t>
                              </w:r>
                            </w:p>
                          </w:txbxContent>
                        </wps:txbx>
                        <wps:bodyPr rot="0" vert="horz" wrap="square" lIns="91440" tIns="0" rIns="0" bIns="45720" anchor="ctr" anchorCtr="0" upright="1">
                          <a:noAutofit/>
                        </wps:bodyPr>
                      </wps:wsp>
                      <wpg:grpSp>
                        <wpg:cNvPr id="227" name="Group 53"/>
                        <wpg:cNvGrpSpPr>
                          <a:grpSpLocks/>
                        </wpg:cNvGrpSpPr>
                        <wpg:grpSpPr bwMode="auto">
                          <a:xfrm>
                            <a:off x="0" y="316263"/>
                            <a:ext cx="5760085" cy="1566049"/>
                            <a:chOff x="1837" y="1792"/>
                            <a:chExt cx="9302" cy="16916"/>
                          </a:xfrm>
                        </wpg:grpSpPr>
                        <wps:wsp>
                          <wps:cNvPr id="228" name="Freeform 54"/>
                          <wps:cNvSpPr>
                            <a:spLocks/>
                          </wps:cNvSpPr>
                          <wps:spPr bwMode="auto">
                            <a:xfrm>
                              <a:off x="1837" y="1792"/>
                              <a:ext cx="9302" cy="1691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9"/>
                        <wpg:cNvGrpSpPr/>
                        <wpg:grpSpPr>
                          <a:xfrm>
                            <a:off x="0" y="494036"/>
                            <a:ext cx="1443794" cy="252000"/>
                            <a:chOff x="-15880" y="0"/>
                            <a:chExt cx="1444379" cy="252068"/>
                          </a:xfrm>
                        </wpg:grpSpPr>
                        <wps:wsp>
                          <wps:cNvPr id="23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76E2C8" w14:textId="73477F67" w:rsidR="00A55F53" w:rsidRPr="00E700FF" w:rsidRDefault="00A55F53" w:rsidP="0008350F">
                                <w:pPr>
                                  <w:pStyle w:val="BoxTitle"/>
                                  <w:spacing w:before="0" w:beforeAutospacing="0"/>
                                </w:pPr>
                                <w:r w:rsidRPr="001C1B37">
                                  <w:t>Q</w:t>
                                </w:r>
                                <w:r>
                                  <w:t>17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72D6637" id="Group 225" o:spid="_x0000_s1314" style="position:absolute;left:0;text-align:left;margin-left:-.3pt;margin-top:.3pt;width:453.55pt;height:143.25pt;z-index:-251664326;mso-height-relative:margin" coordorigin=",628" coordsize="57600,1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">
                <v:shape id="_x0000_s131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EFF97FE" w14:textId="77777777" w:rsidR="00A55F53" w:rsidRDefault="00A55F53" w:rsidP="0008350F">
                        <w:pPr>
                          <w:pStyle w:val="BoxTitle"/>
                          <w:spacing w:before="0" w:beforeAutospacing="0"/>
                        </w:pPr>
                        <w:r w:rsidRPr="007F6876">
                          <w:t>QUESTION</w:t>
                        </w:r>
                      </w:p>
                    </w:txbxContent>
                  </v:textbox>
                </v:shape>
                <v:group id="Group 53" o:spid="_x0000_s1316" style="position:absolute;top:3162;width:57600;height:15661" coordorigin="1837,1792" coordsize="9302,1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54" o:spid="_x0000_s1317" style="position:absolute;left:1837;top:1792;width:9302;height:1691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" path="m,l9354,r,7809l,7809,,e" fillcolor="#edf2ea" stroked="f">
                    <v:path arrowok="t" o:connecttype="custom" o:connectlocs="0,2166;9302,2166;9302,19082;0,19082;0,2166" o:connectangles="0,0,0,0,0"/>
                  </v:shape>
                </v:group>
                <v:group id="Group 229" o:spid="_x0000_s131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58" o:spid="_x0000_s131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" path="m,l1815,e" filled="f" strokecolor="#72ab6a" strokeweight=".5pt">
                    <v:path arrowok="t" o:connecttype="custom" o:connectlocs="0,0;1073495,0" o:connectangles="0,0"/>
                  </v:shape>
                  <v:shape id="Freeform 66" o:spid="_x0000_s132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E76E2C8" w14:textId="73477F67" w:rsidR="00A55F53" w:rsidRPr="00E700FF" w:rsidRDefault="00A55F53" w:rsidP="0008350F">
                          <w:pPr>
                            <w:pStyle w:val="BoxTitle"/>
                            <w:spacing w:before="0" w:beforeAutospacing="0"/>
                          </w:pPr>
                          <w:r w:rsidRPr="001C1B37">
                            <w:t>Q</w:t>
                          </w:r>
                          <w:r>
                            <w:t>17</w:t>
                          </w:r>
                        </w:p>
                      </w:txbxContent>
                    </v:textbox>
                  </v:shape>
                </v:group>
              </v:group>
            </w:pict>
          </mc:Fallback>
        </mc:AlternateContent>
      </w:r>
    </w:p>
    <w:p w14:paraId="27B02230" w14:textId="77777777" w:rsidR="00C77EFE" w:rsidRDefault="00C77EFE" w:rsidP="009F7462">
      <w:pPr>
        <w:pStyle w:val="QuestionBox"/>
      </w:pPr>
    </w:p>
    <w:p w14:paraId="0D2B15B0" w14:textId="5DBDC074" w:rsidR="00253C06" w:rsidRDefault="00BD5C95" w:rsidP="009F7462">
      <w:pPr>
        <w:pStyle w:val="QuestionBox"/>
      </w:pPr>
      <w:r>
        <w:rPr>
          <w:rFonts w:ascii="ZWAdobeF" w:hAnsi="ZWAdobeF" w:cs="ZWAdobeF"/>
          <w:color w:val="auto"/>
          <w:sz w:val="2"/>
          <w:szCs w:val="2"/>
        </w:rPr>
        <w:t>1409B</w:t>
      </w:r>
      <w:r w:rsidR="0049638A">
        <w:rPr>
          <w:rFonts w:ascii="ZWAdobeF" w:hAnsi="ZWAdobeF" w:cs="ZWAdobeF"/>
          <w:color w:val="auto"/>
          <w:sz w:val="2"/>
          <w:szCs w:val="2"/>
        </w:rPr>
        <w:t>1409B</w:t>
      </w:r>
      <w:r w:rsidR="00D629FA">
        <w:rPr>
          <w:rFonts w:ascii="ZWAdobeF" w:hAnsi="ZWAdobeF" w:cs="ZWAdobeF"/>
          <w:color w:val="auto"/>
          <w:sz w:val="2"/>
          <w:szCs w:val="2"/>
        </w:rPr>
        <w:t>1409B</w:t>
      </w:r>
      <w:r w:rsidR="00253C06" w:rsidRPr="00ED6F55">
        <w:t xml:space="preserve">Do you </w:t>
      </w:r>
      <w:r w:rsidR="00253C06">
        <w:t>agree that the representative plaintiff’s lawyer should be regarded as the lawyer for the class after certification</w:t>
      </w:r>
      <w:r w:rsidR="00253C06" w:rsidRPr="00ED6F55">
        <w:t xml:space="preserve">? </w:t>
      </w:r>
    </w:p>
    <w:p w14:paraId="48EBB59D" w14:textId="142B5738" w:rsidR="00253C06" w:rsidRDefault="00BD5C95" w:rsidP="00B73434">
      <w:pPr>
        <w:pStyle w:val="Questionabc"/>
        <w:numPr>
          <w:ilvl w:val="0"/>
          <w:numId w:val="41"/>
        </w:numPr>
        <w:ind w:left="1418" w:hanging="425"/>
      </w:pPr>
      <w:r>
        <w:rPr>
          <w:rFonts w:ascii="ZWAdobeF" w:hAnsi="ZWAdobeF" w:cs="ZWAdobeF"/>
          <w:color w:val="auto"/>
          <w:sz w:val="2"/>
          <w:szCs w:val="2"/>
        </w:rPr>
        <w:t>1300B</w:t>
      </w:r>
      <w:r w:rsidR="0049638A">
        <w:rPr>
          <w:rFonts w:ascii="ZWAdobeF" w:hAnsi="ZWAdobeF" w:cs="ZWAdobeF"/>
          <w:color w:val="auto"/>
          <w:sz w:val="2"/>
          <w:szCs w:val="2"/>
        </w:rPr>
        <w:t>1300B</w:t>
      </w:r>
      <w:r w:rsidR="00D629FA">
        <w:rPr>
          <w:rFonts w:ascii="ZWAdobeF" w:hAnsi="ZWAdobeF" w:cs="ZWAdobeF"/>
          <w:color w:val="auto"/>
          <w:sz w:val="2"/>
          <w:szCs w:val="2"/>
        </w:rPr>
        <w:t>1300B</w:t>
      </w:r>
      <w:r w:rsidR="00253C06">
        <w:t>If so, what duties should the lawyer owe to the class?</w:t>
      </w:r>
    </w:p>
    <w:p w14:paraId="15A3161D" w14:textId="0676BC88" w:rsidR="00253C06" w:rsidRDefault="00BD5C95" w:rsidP="00B73434">
      <w:pPr>
        <w:pStyle w:val="Questionabc"/>
        <w:numPr>
          <w:ilvl w:val="0"/>
          <w:numId w:val="41"/>
        </w:numPr>
        <w:ind w:left="1418" w:hanging="425"/>
      </w:pPr>
      <w:r>
        <w:rPr>
          <w:rFonts w:ascii="ZWAdobeF" w:hAnsi="ZWAdobeF" w:cs="ZWAdobeF"/>
          <w:color w:val="auto"/>
          <w:sz w:val="2"/>
          <w:szCs w:val="2"/>
        </w:rPr>
        <w:t>1301B</w:t>
      </w:r>
      <w:r w:rsidR="0049638A">
        <w:rPr>
          <w:rFonts w:ascii="ZWAdobeF" w:hAnsi="ZWAdobeF" w:cs="ZWAdobeF"/>
          <w:color w:val="auto"/>
          <w:sz w:val="2"/>
          <w:szCs w:val="2"/>
        </w:rPr>
        <w:t>1301B</w:t>
      </w:r>
      <w:r w:rsidR="00D629FA">
        <w:rPr>
          <w:rFonts w:ascii="ZWAdobeF" w:hAnsi="ZWAdobeF" w:cs="ZWAdobeF"/>
          <w:color w:val="auto"/>
          <w:sz w:val="2"/>
          <w:szCs w:val="2"/>
        </w:rPr>
        <w:t>1301B</w:t>
      </w:r>
      <w:r w:rsidR="00253C06" w:rsidRPr="00ED6F55">
        <w:t xml:space="preserve">If not, what relationship should exist between the representative plaintiff’s lawyer and </w:t>
      </w:r>
      <w:r w:rsidR="00253C06">
        <w:t>the class</w:t>
      </w:r>
      <w:r w:rsidR="00253C06" w:rsidRPr="00ED6F55">
        <w:t xml:space="preserve">?  </w:t>
      </w:r>
    </w:p>
    <w:p w14:paraId="78FF0223" w14:textId="77777777" w:rsidR="00C77EFE" w:rsidRPr="00C77EFE" w:rsidRDefault="00C77EFE" w:rsidP="00C77EFE">
      <w:pPr>
        <w:pStyle w:val="QuestionBox"/>
      </w:pPr>
    </w:p>
    <w:p w14:paraId="2C94145A" w14:textId="543084C1" w:rsidR="00253C06" w:rsidRDefault="00253C06" w:rsidP="0008350F">
      <w:pPr>
        <w:pStyle w:val="Heading2"/>
      </w:pPr>
      <w:bookmarkStart w:id="69" w:name="_Toc83895448"/>
      <w:r>
        <w:t>The defendant and class members</w:t>
      </w:r>
      <w:bookmarkEnd w:id="69"/>
    </w:p>
    <w:p w14:paraId="47DD94EA" w14:textId="2447D780" w:rsidR="00253C06" w:rsidRDefault="00BD5C95" w:rsidP="009B37CB">
      <w:pPr>
        <w:pStyle w:val="BodyText"/>
      </w:pPr>
      <w:r>
        <w:rPr>
          <w:rFonts w:ascii="ZWAdobeF" w:hAnsi="ZWAdobeF" w:cs="ZWAdobeF"/>
          <w:color w:val="auto"/>
          <w:sz w:val="2"/>
          <w:szCs w:val="2"/>
        </w:rPr>
        <w:t>245B</w:t>
      </w:r>
      <w:r w:rsidR="0049638A">
        <w:rPr>
          <w:rFonts w:ascii="ZWAdobeF" w:hAnsi="ZWAdobeF" w:cs="ZWAdobeF"/>
          <w:color w:val="auto"/>
          <w:sz w:val="2"/>
          <w:szCs w:val="2"/>
        </w:rPr>
        <w:t>245B</w:t>
      </w:r>
      <w:r w:rsidR="00D629FA">
        <w:rPr>
          <w:rFonts w:ascii="ZWAdobeF" w:hAnsi="ZWAdobeF" w:cs="ZWAdobeF"/>
          <w:color w:val="auto"/>
          <w:sz w:val="2"/>
          <w:szCs w:val="2"/>
        </w:rPr>
        <w:t>245B</w:t>
      </w:r>
      <w:r w:rsidR="00253C06">
        <w:t>In an ordinary proceeding, the plaintiff and the defendant can communicate with each other directly. If the parties are represented, a lawyer cannot contact the other party except through their representative.</w:t>
      </w:r>
      <w:r w:rsidR="00D629FA">
        <w:rPr>
          <w:rFonts w:ascii="ZWAdobeF" w:hAnsi="ZWAdobeF" w:cs="ZWAdobeF"/>
          <w:color w:val="auto"/>
          <w:sz w:val="2"/>
          <w:szCs w:val="2"/>
        </w:rPr>
        <w:t>372F</w:t>
      </w:r>
      <w:r w:rsidR="0049638A">
        <w:rPr>
          <w:rFonts w:ascii="ZWAdobeF" w:hAnsi="ZWAdobeF" w:cs="ZWAdobeF"/>
          <w:color w:val="auto"/>
          <w:sz w:val="2"/>
          <w:szCs w:val="2"/>
        </w:rPr>
        <w:t>372F</w:t>
      </w:r>
      <w:r w:rsidR="00317AE4">
        <w:rPr>
          <w:rFonts w:ascii="ZWAdobeF" w:hAnsi="ZWAdobeF" w:cs="ZWAdobeF"/>
          <w:color w:val="auto"/>
          <w:sz w:val="2"/>
          <w:szCs w:val="2"/>
        </w:rPr>
        <w:t>372F</w:t>
      </w:r>
      <w:r w:rsidR="00253C06">
        <w:rPr>
          <w:rStyle w:val="FootnoteReference"/>
        </w:rPr>
        <w:footnoteReference w:id="374"/>
      </w:r>
      <w:r w:rsidR="00253C06">
        <w:t xml:space="preserve"> </w:t>
      </w:r>
    </w:p>
    <w:p w14:paraId="1AA6B525" w14:textId="22A8D7F1" w:rsidR="00253C06" w:rsidRDefault="00BD5C95" w:rsidP="009B37CB">
      <w:pPr>
        <w:pStyle w:val="BodyText"/>
      </w:pPr>
      <w:r>
        <w:rPr>
          <w:rFonts w:ascii="ZWAdobeF" w:hAnsi="ZWAdobeF" w:cs="ZWAdobeF"/>
          <w:color w:val="auto"/>
          <w:sz w:val="2"/>
          <w:szCs w:val="2"/>
        </w:rPr>
        <w:t>246B</w:t>
      </w:r>
      <w:r w:rsidR="0049638A">
        <w:rPr>
          <w:rFonts w:ascii="ZWAdobeF" w:hAnsi="ZWAdobeF" w:cs="ZWAdobeF"/>
          <w:color w:val="auto"/>
          <w:sz w:val="2"/>
          <w:szCs w:val="2"/>
        </w:rPr>
        <w:t>246B</w:t>
      </w:r>
      <w:r w:rsidR="00D629FA">
        <w:rPr>
          <w:rFonts w:ascii="ZWAdobeF" w:hAnsi="ZWAdobeF" w:cs="ZWAdobeF"/>
          <w:color w:val="auto"/>
          <w:sz w:val="2"/>
          <w:szCs w:val="2"/>
        </w:rPr>
        <w:t>246B</w:t>
      </w:r>
      <w:r w:rsidR="00253C06">
        <w:t xml:space="preserve">In a class action, we expect the parties will be represented and think the usual rules governing communications between lawyers and represented parties should apply. However, a question arises as to whether communications between </w:t>
      </w:r>
      <w:r w:rsidR="0059540D">
        <w:t xml:space="preserve">a </w:t>
      </w:r>
      <w:r w:rsidR="00253C06">
        <w:t>defendant (or their lawyer) and class members should be regulated. Some submitters raised concerns that it could inhibit settlement if the defendant was unable to communicate with class members directly.</w:t>
      </w:r>
    </w:p>
    <w:p w14:paraId="088001A5" w14:textId="5FA045F6" w:rsidR="00253C06" w:rsidRDefault="00BD5C95" w:rsidP="009B37CB">
      <w:pPr>
        <w:pStyle w:val="BodyText"/>
        <w:tabs>
          <w:tab w:val="clear" w:pos="709"/>
        </w:tabs>
      </w:pPr>
      <w:r>
        <w:rPr>
          <w:rFonts w:ascii="ZWAdobeF" w:hAnsi="ZWAdobeF" w:cs="ZWAdobeF"/>
          <w:color w:val="auto"/>
          <w:sz w:val="2"/>
          <w:szCs w:val="2"/>
        </w:rPr>
        <w:t>247B</w:t>
      </w:r>
      <w:r w:rsidR="0049638A">
        <w:rPr>
          <w:rFonts w:ascii="ZWAdobeF" w:hAnsi="ZWAdobeF" w:cs="ZWAdobeF"/>
          <w:color w:val="auto"/>
          <w:sz w:val="2"/>
          <w:szCs w:val="2"/>
        </w:rPr>
        <w:t>247B</w:t>
      </w:r>
      <w:r w:rsidR="00D629FA">
        <w:rPr>
          <w:rFonts w:ascii="ZWAdobeF" w:hAnsi="ZWAdobeF" w:cs="ZWAdobeF"/>
          <w:color w:val="auto"/>
          <w:sz w:val="2"/>
          <w:szCs w:val="2"/>
        </w:rPr>
        <w:t>247B</w:t>
      </w:r>
      <w:r w:rsidR="00253C06">
        <w:t>Our discussion below focusses on two issues:</w:t>
      </w:r>
    </w:p>
    <w:p w14:paraId="31CBC912" w14:textId="73230CDC" w:rsidR="00253C06" w:rsidRDefault="00BD5C95" w:rsidP="00B73434">
      <w:pPr>
        <w:pStyle w:val="BodyTextnonum"/>
        <w:numPr>
          <w:ilvl w:val="3"/>
          <w:numId w:val="52"/>
        </w:numPr>
        <w:tabs>
          <w:tab w:val="clear" w:pos="709"/>
        </w:tabs>
      </w:pPr>
      <w:r>
        <w:rPr>
          <w:rFonts w:ascii="ZWAdobeF" w:hAnsi="ZWAdobeF" w:cs="ZWAdobeF"/>
          <w:color w:val="auto"/>
          <w:sz w:val="2"/>
          <w:szCs w:val="2"/>
        </w:rPr>
        <w:t>706B</w:t>
      </w:r>
      <w:r w:rsidR="0049638A">
        <w:rPr>
          <w:rFonts w:ascii="ZWAdobeF" w:hAnsi="ZWAdobeF" w:cs="ZWAdobeF"/>
          <w:color w:val="auto"/>
          <w:sz w:val="2"/>
          <w:szCs w:val="2"/>
        </w:rPr>
        <w:t>706B</w:t>
      </w:r>
      <w:r w:rsidR="00D629FA">
        <w:rPr>
          <w:rFonts w:ascii="ZWAdobeF" w:hAnsi="ZWAdobeF" w:cs="ZWAdobeF"/>
          <w:color w:val="auto"/>
          <w:sz w:val="2"/>
          <w:szCs w:val="2"/>
        </w:rPr>
        <w:t>706B</w:t>
      </w:r>
      <w:r w:rsidR="00253C06">
        <w:t xml:space="preserve">Whether the </w:t>
      </w:r>
      <w:r w:rsidR="00253C06" w:rsidRPr="00D3402E">
        <w:rPr>
          <w:lang w:val="mi-NZ"/>
        </w:rPr>
        <w:t xml:space="preserve">defendant’s lawyer </w:t>
      </w:r>
      <w:r w:rsidR="00253C06">
        <w:rPr>
          <w:lang w:val="mi-NZ"/>
        </w:rPr>
        <w:t>should be able to</w:t>
      </w:r>
      <w:r w:rsidR="00253C06" w:rsidRPr="00D3402E">
        <w:rPr>
          <w:lang w:val="mi-NZ"/>
        </w:rPr>
        <w:t xml:space="preserve"> communicate with </w:t>
      </w:r>
      <w:r w:rsidR="00253C06">
        <w:rPr>
          <w:lang w:val="mi-NZ"/>
        </w:rPr>
        <w:t>class members</w:t>
      </w:r>
      <w:r w:rsidR="00253C06" w:rsidRPr="00D3402E">
        <w:rPr>
          <w:lang w:val="mi-NZ"/>
        </w:rPr>
        <w:t xml:space="preserve"> directly.</w:t>
      </w:r>
      <w:r w:rsidR="00D629FA">
        <w:rPr>
          <w:rFonts w:ascii="ZWAdobeF" w:hAnsi="ZWAdobeF" w:cs="ZWAdobeF"/>
          <w:color w:val="auto"/>
          <w:sz w:val="2"/>
          <w:szCs w:val="2"/>
          <w:lang w:val="mi-NZ"/>
        </w:rPr>
        <w:t>373F</w:t>
      </w:r>
      <w:r w:rsidR="0049638A">
        <w:rPr>
          <w:rFonts w:ascii="ZWAdobeF" w:hAnsi="ZWAdobeF" w:cs="ZWAdobeF"/>
          <w:color w:val="auto"/>
          <w:sz w:val="2"/>
          <w:szCs w:val="2"/>
          <w:lang w:val="mi-NZ"/>
        </w:rPr>
        <w:t>373F</w:t>
      </w:r>
      <w:r w:rsidR="00317AE4">
        <w:rPr>
          <w:rFonts w:ascii="ZWAdobeF" w:hAnsi="ZWAdobeF" w:cs="ZWAdobeF"/>
          <w:color w:val="auto"/>
          <w:sz w:val="2"/>
          <w:szCs w:val="2"/>
          <w:lang w:val="mi-NZ"/>
        </w:rPr>
        <w:t>373F</w:t>
      </w:r>
      <w:r w:rsidR="00253C06">
        <w:rPr>
          <w:rStyle w:val="FootnoteReference"/>
        </w:rPr>
        <w:footnoteReference w:id="375"/>
      </w:r>
    </w:p>
    <w:p w14:paraId="71ED7EDE" w14:textId="1C1774FB" w:rsidR="00253C06" w:rsidRDefault="00BD5C95" w:rsidP="00B73434">
      <w:pPr>
        <w:pStyle w:val="BodyTextnonum"/>
        <w:numPr>
          <w:ilvl w:val="3"/>
          <w:numId w:val="52"/>
        </w:numPr>
        <w:tabs>
          <w:tab w:val="clear" w:pos="709"/>
        </w:tabs>
      </w:pPr>
      <w:r>
        <w:rPr>
          <w:rFonts w:ascii="ZWAdobeF" w:hAnsi="ZWAdobeF" w:cs="ZWAdobeF"/>
          <w:color w:val="auto"/>
          <w:sz w:val="2"/>
          <w:szCs w:val="2"/>
        </w:rPr>
        <w:t>707B</w:t>
      </w:r>
      <w:r w:rsidR="0049638A">
        <w:rPr>
          <w:rFonts w:ascii="ZWAdobeF" w:hAnsi="ZWAdobeF" w:cs="ZWAdobeF"/>
          <w:color w:val="auto"/>
          <w:sz w:val="2"/>
          <w:szCs w:val="2"/>
        </w:rPr>
        <w:t>707B</w:t>
      </w:r>
      <w:r w:rsidR="00D629FA">
        <w:rPr>
          <w:rFonts w:ascii="ZWAdobeF" w:hAnsi="ZWAdobeF" w:cs="ZWAdobeF"/>
          <w:color w:val="auto"/>
          <w:sz w:val="2"/>
          <w:szCs w:val="2"/>
        </w:rPr>
        <w:t>707B</w:t>
      </w:r>
      <w:r w:rsidR="00253C06">
        <w:t xml:space="preserve">Whether the court needs to approve any communications between the defendant or defendant’s lawyer and class members. </w:t>
      </w:r>
    </w:p>
    <w:p w14:paraId="51CEB292" w14:textId="7B76EAB7" w:rsidR="009946A0" w:rsidRPr="009946A0" w:rsidRDefault="00BD5C95" w:rsidP="000C61E5">
      <w:pPr>
        <w:pStyle w:val="BodyText"/>
      </w:pPr>
      <w:r>
        <w:rPr>
          <w:rFonts w:ascii="ZWAdobeF" w:hAnsi="ZWAdobeF" w:cs="ZWAdobeF"/>
          <w:color w:val="auto"/>
          <w:sz w:val="2"/>
          <w:szCs w:val="2"/>
        </w:rPr>
        <w:t>248B</w:t>
      </w:r>
      <w:r w:rsidR="0049638A">
        <w:rPr>
          <w:rFonts w:ascii="ZWAdobeF" w:hAnsi="ZWAdobeF" w:cs="ZWAdobeF"/>
          <w:color w:val="auto"/>
          <w:sz w:val="2"/>
          <w:szCs w:val="2"/>
        </w:rPr>
        <w:t>248B</w:t>
      </w:r>
      <w:r w:rsidR="00D629FA">
        <w:rPr>
          <w:rFonts w:ascii="ZWAdobeF" w:hAnsi="ZWAdobeF" w:cs="ZWAdobeF"/>
          <w:color w:val="auto"/>
          <w:sz w:val="2"/>
          <w:szCs w:val="2"/>
        </w:rPr>
        <w:t>248B</w:t>
      </w:r>
      <w:r w:rsidR="009946A0">
        <w:t xml:space="preserve">We </w:t>
      </w:r>
      <w:r w:rsidR="00A81B8E">
        <w:t xml:space="preserve">first </w:t>
      </w:r>
      <w:r w:rsidR="009946A0">
        <w:t xml:space="preserve">discuss </w:t>
      </w:r>
      <w:r w:rsidR="00A81B8E">
        <w:t xml:space="preserve">the approaches taken in Aotearoa New Zealand </w:t>
      </w:r>
      <w:r w:rsidR="00ED123D">
        <w:t>and other jurisdictions to these issues.</w:t>
      </w:r>
    </w:p>
    <w:p w14:paraId="241F241E" w14:textId="77777777" w:rsidR="00253C06" w:rsidRDefault="00253C06" w:rsidP="0008350F">
      <w:pPr>
        <w:pStyle w:val="Heading3"/>
      </w:pPr>
      <w:r>
        <w:t>Aotearoa New Zealand</w:t>
      </w:r>
    </w:p>
    <w:p w14:paraId="59B95848" w14:textId="19AC9ACF" w:rsidR="00253C06" w:rsidRDefault="00BD5C95" w:rsidP="009B37CB">
      <w:pPr>
        <w:pStyle w:val="BodyText"/>
      </w:pPr>
      <w:r>
        <w:rPr>
          <w:rFonts w:ascii="ZWAdobeF" w:hAnsi="ZWAdobeF" w:cs="ZWAdobeF"/>
          <w:color w:val="auto"/>
          <w:sz w:val="2"/>
          <w:szCs w:val="2"/>
        </w:rPr>
        <w:t>249B</w:t>
      </w:r>
      <w:r w:rsidR="0049638A">
        <w:rPr>
          <w:rFonts w:ascii="ZWAdobeF" w:hAnsi="ZWAdobeF" w:cs="ZWAdobeF"/>
          <w:color w:val="auto"/>
          <w:sz w:val="2"/>
          <w:szCs w:val="2"/>
        </w:rPr>
        <w:t>249B</w:t>
      </w:r>
      <w:r w:rsidR="00D629FA">
        <w:rPr>
          <w:rFonts w:ascii="ZWAdobeF" w:hAnsi="ZWAdobeF" w:cs="ZWAdobeF"/>
          <w:color w:val="auto"/>
          <w:sz w:val="2"/>
          <w:szCs w:val="2"/>
        </w:rPr>
        <w:t>249B</w:t>
      </w:r>
      <w:r w:rsidR="00253C06">
        <w:t>The issue of whether a defendant or their lawyer can communicate with the class has arisen in Aotearoa New Zealand under HCR 4.24.</w:t>
      </w:r>
      <w:r w:rsidR="00D629FA">
        <w:rPr>
          <w:rFonts w:ascii="ZWAdobeF" w:hAnsi="ZWAdobeF" w:cs="ZWAdobeF"/>
          <w:color w:val="auto"/>
          <w:sz w:val="2"/>
          <w:szCs w:val="2"/>
        </w:rPr>
        <w:t>374F</w:t>
      </w:r>
      <w:r w:rsidR="0049638A">
        <w:rPr>
          <w:rFonts w:ascii="ZWAdobeF" w:hAnsi="ZWAdobeF" w:cs="ZWAdobeF"/>
          <w:color w:val="auto"/>
          <w:sz w:val="2"/>
          <w:szCs w:val="2"/>
        </w:rPr>
        <w:t>374F</w:t>
      </w:r>
      <w:r w:rsidR="00317AE4">
        <w:rPr>
          <w:rFonts w:ascii="ZWAdobeF" w:hAnsi="ZWAdobeF" w:cs="ZWAdobeF"/>
          <w:color w:val="auto"/>
          <w:sz w:val="2"/>
          <w:szCs w:val="2"/>
        </w:rPr>
        <w:t>374F</w:t>
      </w:r>
      <w:r w:rsidR="00253C06">
        <w:rPr>
          <w:rStyle w:val="FootnoteReference"/>
        </w:rPr>
        <w:footnoteReference w:id="376"/>
      </w:r>
      <w:r w:rsidR="00253C06">
        <w:t xml:space="preserve"> In </w:t>
      </w:r>
      <w:r w:rsidR="00253C06">
        <w:rPr>
          <w:i/>
          <w:iCs/>
        </w:rPr>
        <w:t xml:space="preserve">Ross v Southern Response </w:t>
      </w:r>
      <w:r w:rsidR="00253C06">
        <w:rPr>
          <w:i/>
          <w:iCs/>
        </w:rPr>
        <w:lastRenderedPageBreak/>
        <w:t>Earthquake Services Ltd</w:t>
      </w:r>
      <w:r w:rsidR="00253C06">
        <w:t xml:space="preserve">, the defendant sought two orders: that its lawyers could communicate directly with unrepresented </w:t>
      </w:r>
      <w:r w:rsidR="006C6DE3">
        <w:t xml:space="preserve">group </w:t>
      </w:r>
      <w:r w:rsidR="00253C06">
        <w:t>members and that</w:t>
      </w:r>
      <w:r w:rsidR="00FC59DF">
        <w:t xml:space="preserve"> the defendant</w:t>
      </w:r>
      <w:r w:rsidR="00253C06">
        <w:t xml:space="preserve"> could communicate with </w:t>
      </w:r>
      <w:r w:rsidR="006C6DE3">
        <w:t xml:space="preserve">group </w:t>
      </w:r>
      <w:r w:rsidR="00253C06">
        <w:t>members about individual settlement offers.</w:t>
      </w:r>
      <w:r w:rsidR="00D629FA">
        <w:rPr>
          <w:rFonts w:ascii="ZWAdobeF" w:hAnsi="ZWAdobeF" w:cs="ZWAdobeF"/>
          <w:color w:val="auto"/>
          <w:sz w:val="2"/>
          <w:szCs w:val="2"/>
        </w:rPr>
        <w:t>375F</w:t>
      </w:r>
      <w:r w:rsidR="0049638A">
        <w:rPr>
          <w:rFonts w:ascii="ZWAdobeF" w:hAnsi="ZWAdobeF" w:cs="ZWAdobeF"/>
          <w:color w:val="auto"/>
          <w:sz w:val="2"/>
          <w:szCs w:val="2"/>
        </w:rPr>
        <w:t>375F</w:t>
      </w:r>
      <w:r w:rsidR="00317AE4">
        <w:rPr>
          <w:rFonts w:ascii="ZWAdobeF" w:hAnsi="ZWAdobeF" w:cs="ZWAdobeF"/>
          <w:color w:val="auto"/>
          <w:sz w:val="2"/>
          <w:szCs w:val="2"/>
        </w:rPr>
        <w:t>375F</w:t>
      </w:r>
      <w:r w:rsidR="00253C06">
        <w:rPr>
          <w:rStyle w:val="FootnoteReference"/>
        </w:rPr>
        <w:footnoteReference w:id="377"/>
      </w:r>
      <w:r w:rsidR="00253C06">
        <w:t xml:space="preserve"> The representative plaintiffs objected primarily on two grounds. First, their lawyers should be regarded as representing all </w:t>
      </w:r>
      <w:r w:rsidR="006C6DE3">
        <w:t xml:space="preserve">group </w:t>
      </w:r>
      <w:r w:rsidR="00253C06">
        <w:t xml:space="preserve">members so direct communications between the defendant’s lawyers and </w:t>
      </w:r>
      <w:r w:rsidR="006C6DE3">
        <w:t xml:space="preserve">group </w:t>
      </w:r>
      <w:r w:rsidR="00253C06">
        <w:t>members would breach the no contact rule.</w:t>
      </w:r>
      <w:r w:rsidR="00D629FA">
        <w:rPr>
          <w:rFonts w:ascii="ZWAdobeF" w:hAnsi="ZWAdobeF" w:cs="ZWAdobeF"/>
          <w:color w:val="auto"/>
          <w:sz w:val="2"/>
          <w:szCs w:val="2"/>
        </w:rPr>
        <w:t>376F</w:t>
      </w:r>
      <w:r w:rsidR="0049638A">
        <w:rPr>
          <w:rFonts w:ascii="ZWAdobeF" w:hAnsi="ZWAdobeF" w:cs="ZWAdobeF"/>
          <w:color w:val="auto"/>
          <w:sz w:val="2"/>
          <w:szCs w:val="2"/>
        </w:rPr>
        <w:t>376F</w:t>
      </w:r>
      <w:r w:rsidR="00317AE4">
        <w:rPr>
          <w:rFonts w:ascii="ZWAdobeF" w:hAnsi="ZWAdobeF" w:cs="ZWAdobeF"/>
          <w:color w:val="auto"/>
          <w:sz w:val="2"/>
          <w:szCs w:val="2"/>
        </w:rPr>
        <w:t>376F</w:t>
      </w:r>
      <w:r w:rsidR="00253C06">
        <w:rPr>
          <w:rStyle w:val="FootnoteReference"/>
        </w:rPr>
        <w:footnoteReference w:id="378"/>
      </w:r>
      <w:r w:rsidR="00253C06">
        <w:t xml:space="preserve"> Second, direct communication of a settlement package would bypass the exercise of the High Court’s supervisory jurisdiction in a representative proceeding.</w:t>
      </w:r>
      <w:r w:rsidR="00D629FA">
        <w:rPr>
          <w:rFonts w:ascii="ZWAdobeF" w:hAnsi="ZWAdobeF" w:cs="ZWAdobeF"/>
          <w:color w:val="auto"/>
          <w:sz w:val="2"/>
          <w:szCs w:val="2"/>
        </w:rPr>
        <w:t>377F</w:t>
      </w:r>
      <w:r w:rsidR="0049638A">
        <w:rPr>
          <w:rFonts w:ascii="ZWAdobeF" w:hAnsi="ZWAdobeF" w:cs="ZWAdobeF"/>
          <w:color w:val="auto"/>
          <w:sz w:val="2"/>
          <w:szCs w:val="2"/>
        </w:rPr>
        <w:t>377F</w:t>
      </w:r>
      <w:r w:rsidR="00317AE4">
        <w:rPr>
          <w:rFonts w:ascii="ZWAdobeF" w:hAnsi="ZWAdobeF" w:cs="ZWAdobeF"/>
          <w:color w:val="auto"/>
          <w:sz w:val="2"/>
          <w:szCs w:val="2"/>
        </w:rPr>
        <w:t>377F</w:t>
      </w:r>
      <w:r w:rsidR="00253C06">
        <w:rPr>
          <w:rStyle w:val="FootnoteReference"/>
        </w:rPr>
        <w:footnoteReference w:id="379"/>
      </w:r>
    </w:p>
    <w:p w14:paraId="367CA3A4" w14:textId="38D0B91F" w:rsidR="00253C06" w:rsidRDefault="00BD5C95" w:rsidP="009B37CB">
      <w:pPr>
        <w:pStyle w:val="BodyText"/>
      </w:pPr>
      <w:r>
        <w:rPr>
          <w:rFonts w:ascii="ZWAdobeF" w:hAnsi="ZWAdobeF" w:cs="ZWAdobeF"/>
          <w:color w:val="auto"/>
          <w:sz w:val="2"/>
          <w:szCs w:val="2"/>
        </w:rPr>
        <w:t>250B</w:t>
      </w:r>
      <w:r w:rsidR="0049638A">
        <w:rPr>
          <w:rFonts w:ascii="ZWAdobeF" w:hAnsi="ZWAdobeF" w:cs="ZWAdobeF"/>
          <w:color w:val="auto"/>
          <w:sz w:val="2"/>
          <w:szCs w:val="2"/>
        </w:rPr>
        <w:t>250B</w:t>
      </w:r>
      <w:r w:rsidR="00D629FA">
        <w:rPr>
          <w:rFonts w:ascii="ZWAdobeF" w:hAnsi="ZWAdobeF" w:cs="ZWAdobeF"/>
          <w:color w:val="auto"/>
          <w:sz w:val="2"/>
          <w:szCs w:val="2"/>
        </w:rPr>
        <w:t>250B</w:t>
      </w:r>
      <w:r w:rsidR="00253C06">
        <w:t>The High Court declined to find a solicitor-client relationship existed between the representative plaintiff’s lawyers and unrepresented group members.</w:t>
      </w:r>
      <w:r w:rsidR="00D629FA">
        <w:rPr>
          <w:rFonts w:ascii="ZWAdobeF" w:hAnsi="ZWAdobeF" w:cs="ZWAdobeF"/>
          <w:color w:val="auto"/>
          <w:sz w:val="2"/>
          <w:szCs w:val="2"/>
        </w:rPr>
        <w:t>378F</w:t>
      </w:r>
      <w:r w:rsidR="0049638A">
        <w:rPr>
          <w:rFonts w:ascii="ZWAdobeF" w:hAnsi="ZWAdobeF" w:cs="ZWAdobeF"/>
          <w:color w:val="auto"/>
          <w:sz w:val="2"/>
          <w:szCs w:val="2"/>
        </w:rPr>
        <w:t>378F</w:t>
      </w:r>
      <w:r w:rsidR="00317AE4">
        <w:rPr>
          <w:rFonts w:ascii="ZWAdobeF" w:hAnsi="ZWAdobeF" w:cs="ZWAdobeF"/>
          <w:color w:val="auto"/>
          <w:sz w:val="2"/>
          <w:szCs w:val="2"/>
        </w:rPr>
        <w:t>378F</w:t>
      </w:r>
      <w:r w:rsidR="00253C06">
        <w:rPr>
          <w:rStyle w:val="FootnoteReference"/>
        </w:rPr>
        <w:footnoteReference w:id="380"/>
      </w:r>
      <w:r w:rsidR="00253C06">
        <w:t xml:space="preserve"> However, the Court held that its supervisory jurisdiction can be exercised in relation to communications between a defendant (and their legal representatives) and group members.</w:t>
      </w:r>
      <w:r w:rsidR="00D629FA">
        <w:rPr>
          <w:rFonts w:ascii="ZWAdobeF" w:hAnsi="ZWAdobeF" w:cs="ZWAdobeF"/>
          <w:color w:val="auto"/>
          <w:sz w:val="2"/>
          <w:szCs w:val="2"/>
        </w:rPr>
        <w:t>379F</w:t>
      </w:r>
      <w:r w:rsidR="0049638A">
        <w:rPr>
          <w:rFonts w:ascii="ZWAdobeF" w:hAnsi="ZWAdobeF" w:cs="ZWAdobeF"/>
          <w:color w:val="auto"/>
          <w:sz w:val="2"/>
          <w:szCs w:val="2"/>
        </w:rPr>
        <w:t>379F</w:t>
      </w:r>
      <w:r w:rsidR="00317AE4">
        <w:rPr>
          <w:rFonts w:ascii="ZWAdobeF" w:hAnsi="ZWAdobeF" w:cs="ZWAdobeF"/>
          <w:color w:val="auto"/>
          <w:sz w:val="2"/>
          <w:szCs w:val="2"/>
        </w:rPr>
        <w:t>379F</w:t>
      </w:r>
      <w:r w:rsidR="00253C06">
        <w:rPr>
          <w:rStyle w:val="FootnoteReference"/>
        </w:rPr>
        <w:footnoteReference w:id="381"/>
      </w:r>
      <w:r w:rsidR="00253C06">
        <w:t xml:space="preserve"> </w:t>
      </w:r>
      <w:r w:rsidR="00B45E25">
        <w:t xml:space="preserve">The Court </w:t>
      </w:r>
      <w:r w:rsidR="00A220CE">
        <w:t xml:space="preserve">considered </w:t>
      </w:r>
      <w:r w:rsidR="00253C06">
        <w:t>the particular timing of the settlement communication justified the court’s review.</w:t>
      </w:r>
      <w:r w:rsidR="00D629FA">
        <w:rPr>
          <w:rFonts w:ascii="ZWAdobeF" w:hAnsi="ZWAdobeF" w:cs="ZWAdobeF"/>
          <w:color w:val="auto"/>
          <w:sz w:val="2"/>
          <w:szCs w:val="2"/>
        </w:rPr>
        <w:t>380F</w:t>
      </w:r>
      <w:r w:rsidR="0049638A">
        <w:rPr>
          <w:rFonts w:ascii="ZWAdobeF" w:hAnsi="ZWAdobeF" w:cs="ZWAdobeF"/>
          <w:color w:val="auto"/>
          <w:sz w:val="2"/>
          <w:szCs w:val="2"/>
        </w:rPr>
        <w:t>380F</w:t>
      </w:r>
      <w:r w:rsidR="00317AE4">
        <w:rPr>
          <w:rFonts w:ascii="ZWAdobeF" w:hAnsi="ZWAdobeF" w:cs="ZWAdobeF"/>
          <w:color w:val="auto"/>
          <w:sz w:val="2"/>
          <w:szCs w:val="2"/>
        </w:rPr>
        <w:t>380F</w:t>
      </w:r>
      <w:r w:rsidR="00253C06">
        <w:rPr>
          <w:rStyle w:val="FootnoteReference"/>
        </w:rPr>
        <w:footnoteReference w:id="382"/>
      </w:r>
      <w:r w:rsidR="00253C06">
        <w:t xml:space="preserve"> In particular, the representative plaintiff</w:t>
      </w:r>
      <w:r w:rsidR="00FC59DF">
        <w:t>s were</w:t>
      </w:r>
      <w:r w:rsidR="00253C06">
        <w:t xml:space="preserve"> seeking review of the opt-out notice at the same time the defendant sought to communicate</w:t>
      </w:r>
      <w:r w:rsidR="00FB5006">
        <w:t xml:space="preserve"> with </w:t>
      </w:r>
      <w:r w:rsidR="000C61E5">
        <w:t xml:space="preserve">group </w:t>
      </w:r>
      <w:r w:rsidR="00FB5006">
        <w:t>mem</w:t>
      </w:r>
      <w:r w:rsidR="003B1CE2">
        <w:t>bers about</w:t>
      </w:r>
      <w:r w:rsidR="00253C06">
        <w:t xml:space="preserve"> a settlement package.</w:t>
      </w:r>
      <w:r w:rsidR="00D629FA">
        <w:rPr>
          <w:rFonts w:ascii="ZWAdobeF" w:hAnsi="ZWAdobeF" w:cs="ZWAdobeF"/>
          <w:color w:val="auto"/>
          <w:sz w:val="2"/>
          <w:szCs w:val="2"/>
        </w:rPr>
        <w:t>381F</w:t>
      </w:r>
      <w:r w:rsidR="0049638A">
        <w:rPr>
          <w:rFonts w:ascii="ZWAdobeF" w:hAnsi="ZWAdobeF" w:cs="ZWAdobeF"/>
          <w:color w:val="auto"/>
          <w:sz w:val="2"/>
          <w:szCs w:val="2"/>
        </w:rPr>
        <w:t>381F</w:t>
      </w:r>
      <w:r w:rsidR="00317AE4">
        <w:rPr>
          <w:rFonts w:ascii="ZWAdobeF" w:hAnsi="ZWAdobeF" w:cs="ZWAdobeF"/>
          <w:color w:val="auto"/>
          <w:sz w:val="2"/>
          <w:szCs w:val="2"/>
        </w:rPr>
        <w:t>381F</w:t>
      </w:r>
      <w:r w:rsidR="00253C06">
        <w:rPr>
          <w:rStyle w:val="FootnoteReference"/>
        </w:rPr>
        <w:footnoteReference w:id="383"/>
      </w:r>
      <w:r w:rsidR="00253C06">
        <w:t xml:space="preserve"> The Court considered there was potential for confusion unless the defendant’s communication was also independently scrutinised.</w:t>
      </w:r>
      <w:r w:rsidR="00D629FA">
        <w:rPr>
          <w:rFonts w:ascii="ZWAdobeF" w:hAnsi="ZWAdobeF" w:cs="ZWAdobeF"/>
          <w:color w:val="auto"/>
          <w:sz w:val="2"/>
          <w:szCs w:val="2"/>
        </w:rPr>
        <w:t>382F</w:t>
      </w:r>
      <w:r w:rsidR="0049638A">
        <w:rPr>
          <w:rFonts w:ascii="ZWAdobeF" w:hAnsi="ZWAdobeF" w:cs="ZWAdobeF"/>
          <w:color w:val="auto"/>
          <w:sz w:val="2"/>
          <w:szCs w:val="2"/>
        </w:rPr>
        <w:t>382F</w:t>
      </w:r>
      <w:r w:rsidR="00317AE4">
        <w:rPr>
          <w:rFonts w:ascii="ZWAdobeF" w:hAnsi="ZWAdobeF" w:cs="ZWAdobeF"/>
          <w:color w:val="auto"/>
          <w:sz w:val="2"/>
          <w:szCs w:val="2"/>
        </w:rPr>
        <w:t>382F</w:t>
      </w:r>
      <w:r w:rsidR="00253C06">
        <w:rPr>
          <w:rStyle w:val="FootnoteReference"/>
        </w:rPr>
        <w:footnoteReference w:id="384"/>
      </w:r>
      <w:r w:rsidR="00253C06">
        <w:t xml:space="preserve"> </w:t>
      </w:r>
    </w:p>
    <w:p w14:paraId="669E8A1E" w14:textId="3C8ED131" w:rsidR="00253C06" w:rsidRDefault="00BD5C95" w:rsidP="009B37CB">
      <w:pPr>
        <w:pStyle w:val="BodyText"/>
      </w:pPr>
      <w:r>
        <w:rPr>
          <w:rFonts w:ascii="ZWAdobeF" w:hAnsi="ZWAdobeF" w:cs="ZWAdobeF"/>
          <w:color w:val="auto"/>
          <w:sz w:val="2"/>
          <w:szCs w:val="2"/>
        </w:rPr>
        <w:t>251B</w:t>
      </w:r>
      <w:r w:rsidR="0049638A">
        <w:rPr>
          <w:rFonts w:ascii="ZWAdobeF" w:hAnsi="ZWAdobeF" w:cs="ZWAdobeF"/>
          <w:color w:val="auto"/>
          <w:sz w:val="2"/>
          <w:szCs w:val="2"/>
        </w:rPr>
        <w:t>251B</w:t>
      </w:r>
      <w:r w:rsidR="00D629FA">
        <w:rPr>
          <w:rFonts w:ascii="ZWAdobeF" w:hAnsi="ZWAdobeF" w:cs="ZWAdobeF"/>
          <w:color w:val="auto"/>
          <w:sz w:val="2"/>
          <w:szCs w:val="2"/>
        </w:rPr>
        <w:t>251B</w:t>
      </w:r>
      <w:r w:rsidR="00253C06">
        <w:t xml:space="preserve">In reviewing the </w:t>
      </w:r>
      <w:r w:rsidR="00FC59DF">
        <w:t>settlement communication</w:t>
      </w:r>
      <w:r w:rsidR="00253C06">
        <w:t xml:space="preserve">, the Court found </w:t>
      </w:r>
      <w:r w:rsidR="007241A6">
        <w:t>it</w:t>
      </w:r>
      <w:r w:rsidR="00253C06">
        <w:t xml:space="preserve"> could not be “misleading, coercive or similarly unacceptable”.</w:t>
      </w:r>
      <w:r w:rsidR="00D629FA">
        <w:rPr>
          <w:rFonts w:ascii="ZWAdobeF" w:hAnsi="ZWAdobeF" w:cs="ZWAdobeF"/>
          <w:color w:val="auto"/>
          <w:sz w:val="2"/>
          <w:szCs w:val="2"/>
        </w:rPr>
        <w:t>383F</w:t>
      </w:r>
      <w:r w:rsidR="0049638A">
        <w:rPr>
          <w:rFonts w:ascii="ZWAdobeF" w:hAnsi="ZWAdobeF" w:cs="ZWAdobeF"/>
          <w:color w:val="auto"/>
          <w:sz w:val="2"/>
          <w:szCs w:val="2"/>
        </w:rPr>
        <w:t>383F</w:t>
      </w:r>
      <w:r w:rsidR="00317AE4">
        <w:rPr>
          <w:rFonts w:ascii="ZWAdobeF" w:hAnsi="ZWAdobeF" w:cs="ZWAdobeF"/>
          <w:color w:val="auto"/>
          <w:sz w:val="2"/>
          <w:szCs w:val="2"/>
        </w:rPr>
        <w:t>383F</w:t>
      </w:r>
      <w:r w:rsidR="00253C06">
        <w:rPr>
          <w:rStyle w:val="FootnoteReference"/>
        </w:rPr>
        <w:footnoteReference w:id="385"/>
      </w:r>
      <w:r w:rsidR="00253C06">
        <w:t xml:space="preserve"> The communication must accurately explain the consequences of accepting (or not accepting) the offer, note the </w:t>
      </w:r>
      <w:r w:rsidR="006C6DE3">
        <w:t xml:space="preserve">group </w:t>
      </w:r>
      <w:r w:rsidR="00253C06">
        <w:t>member’s entitlement to seek legal advice and allow sufficient time for them to do so.</w:t>
      </w:r>
      <w:r w:rsidR="00D629FA">
        <w:rPr>
          <w:rFonts w:ascii="ZWAdobeF" w:hAnsi="ZWAdobeF" w:cs="ZWAdobeF"/>
          <w:color w:val="auto"/>
          <w:sz w:val="2"/>
          <w:szCs w:val="2"/>
        </w:rPr>
        <w:t>384F</w:t>
      </w:r>
      <w:r w:rsidR="0049638A">
        <w:rPr>
          <w:rFonts w:ascii="ZWAdobeF" w:hAnsi="ZWAdobeF" w:cs="ZWAdobeF"/>
          <w:color w:val="auto"/>
          <w:sz w:val="2"/>
          <w:szCs w:val="2"/>
        </w:rPr>
        <w:t>384F</w:t>
      </w:r>
      <w:r w:rsidR="00317AE4">
        <w:rPr>
          <w:rFonts w:ascii="ZWAdobeF" w:hAnsi="ZWAdobeF" w:cs="ZWAdobeF"/>
          <w:color w:val="auto"/>
          <w:sz w:val="2"/>
          <w:szCs w:val="2"/>
        </w:rPr>
        <w:t>384F</w:t>
      </w:r>
      <w:r w:rsidR="00253C06">
        <w:rPr>
          <w:rStyle w:val="FootnoteReference"/>
        </w:rPr>
        <w:footnoteReference w:id="386"/>
      </w:r>
      <w:r w:rsidR="00253C06">
        <w:t xml:space="preserve"> As the settlement offer was to be sent out at essentially the same time as the opt-out notice, the Court thought the defendant’s communication must be “reasonably tempered”.</w:t>
      </w:r>
      <w:r w:rsidR="00D629FA">
        <w:rPr>
          <w:rFonts w:ascii="ZWAdobeF" w:hAnsi="ZWAdobeF" w:cs="ZWAdobeF"/>
          <w:color w:val="auto"/>
          <w:sz w:val="2"/>
          <w:szCs w:val="2"/>
        </w:rPr>
        <w:t>385F</w:t>
      </w:r>
      <w:r w:rsidR="0049638A">
        <w:rPr>
          <w:rFonts w:ascii="ZWAdobeF" w:hAnsi="ZWAdobeF" w:cs="ZWAdobeF"/>
          <w:color w:val="auto"/>
          <w:sz w:val="2"/>
          <w:szCs w:val="2"/>
        </w:rPr>
        <w:t>385F</w:t>
      </w:r>
      <w:r w:rsidR="00317AE4">
        <w:rPr>
          <w:rFonts w:ascii="ZWAdobeF" w:hAnsi="ZWAdobeF" w:cs="ZWAdobeF"/>
          <w:color w:val="auto"/>
          <w:sz w:val="2"/>
          <w:szCs w:val="2"/>
        </w:rPr>
        <w:t>385F</w:t>
      </w:r>
      <w:r w:rsidR="00253C06">
        <w:rPr>
          <w:rStyle w:val="FootnoteReference"/>
        </w:rPr>
        <w:footnoteReference w:id="387"/>
      </w:r>
    </w:p>
    <w:p w14:paraId="6B257BEF" w14:textId="77777777" w:rsidR="00253C06" w:rsidRPr="00477C4F" w:rsidRDefault="00253C06" w:rsidP="0008350F">
      <w:pPr>
        <w:pStyle w:val="Heading3"/>
      </w:pPr>
      <w:r>
        <w:t>Comparator jurisdictions</w:t>
      </w:r>
    </w:p>
    <w:p w14:paraId="18107444" w14:textId="3DB1AC21" w:rsidR="00253C06" w:rsidRDefault="00BD5C95" w:rsidP="009B37CB">
      <w:pPr>
        <w:pStyle w:val="BodyText"/>
      </w:pPr>
      <w:r>
        <w:rPr>
          <w:rFonts w:ascii="ZWAdobeF" w:hAnsi="ZWAdobeF" w:cs="ZWAdobeF"/>
          <w:color w:val="auto"/>
          <w:sz w:val="2"/>
          <w:szCs w:val="2"/>
        </w:rPr>
        <w:t>252B</w:t>
      </w:r>
      <w:r w:rsidR="0049638A">
        <w:rPr>
          <w:rFonts w:ascii="ZWAdobeF" w:hAnsi="ZWAdobeF" w:cs="ZWAdobeF"/>
          <w:color w:val="auto"/>
          <w:sz w:val="2"/>
          <w:szCs w:val="2"/>
        </w:rPr>
        <w:t>252B</w:t>
      </w:r>
      <w:r w:rsidR="00D629FA">
        <w:rPr>
          <w:rFonts w:ascii="ZWAdobeF" w:hAnsi="ZWAdobeF" w:cs="ZWAdobeF"/>
          <w:color w:val="auto"/>
          <w:sz w:val="2"/>
          <w:szCs w:val="2"/>
        </w:rPr>
        <w:t>252B</w:t>
      </w:r>
      <w:r w:rsidR="00253C06">
        <w:t>The Australian Federal Court’</w:t>
      </w:r>
      <w:r w:rsidR="00253C06" w:rsidRPr="00E75AB9">
        <w:t>s Class Actions Practice</w:t>
      </w:r>
      <w:r w:rsidR="00253C06">
        <w:t xml:space="preserve"> Note provides that</w:t>
      </w:r>
      <w:r w:rsidR="00253C06" w:rsidDel="000A28EE">
        <w:t xml:space="preserve"> </w:t>
      </w:r>
      <w:r w:rsidR="00253C06">
        <w:t xml:space="preserve">if a class member is a client of the representative plaintiff’s lawyer any communication must be </w:t>
      </w:r>
      <w:r w:rsidR="00253C06">
        <w:lastRenderedPageBreak/>
        <w:t>through their lawyer</w:t>
      </w:r>
      <w:r w:rsidR="001D5CAB">
        <w:t>,</w:t>
      </w:r>
      <w:r w:rsidR="00253C06">
        <w:t xml:space="preserve"> unless the court grants leave to communicate directly.</w:t>
      </w:r>
      <w:r w:rsidR="00D629FA">
        <w:rPr>
          <w:rFonts w:ascii="ZWAdobeF" w:hAnsi="ZWAdobeF" w:cs="ZWAdobeF"/>
          <w:color w:val="auto"/>
          <w:sz w:val="2"/>
          <w:szCs w:val="2"/>
        </w:rPr>
        <w:t>386F</w:t>
      </w:r>
      <w:r w:rsidR="0049638A">
        <w:rPr>
          <w:rFonts w:ascii="ZWAdobeF" w:hAnsi="ZWAdobeF" w:cs="ZWAdobeF"/>
          <w:color w:val="auto"/>
          <w:sz w:val="2"/>
          <w:szCs w:val="2"/>
        </w:rPr>
        <w:t>386F</w:t>
      </w:r>
      <w:r w:rsidR="00317AE4">
        <w:rPr>
          <w:rFonts w:ascii="ZWAdobeF" w:hAnsi="ZWAdobeF" w:cs="ZWAdobeF"/>
          <w:color w:val="auto"/>
          <w:sz w:val="2"/>
          <w:szCs w:val="2"/>
        </w:rPr>
        <w:t>386F</w:t>
      </w:r>
      <w:r w:rsidR="00253C06">
        <w:rPr>
          <w:rStyle w:val="FootnoteReference"/>
        </w:rPr>
        <w:footnoteReference w:id="388"/>
      </w:r>
      <w:r w:rsidR="00253C06">
        <w:t xml:space="preserve"> The court may make orders on communications with class members who are not clients of the representative plaintiff’s lawyer, including establishing a protocol for communications.</w:t>
      </w:r>
      <w:r w:rsidR="00D629FA">
        <w:rPr>
          <w:rFonts w:ascii="ZWAdobeF" w:hAnsi="ZWAdobeF" w:cs="ZWAdobeF"/>
          <w:color w:val="auto"/>
          <w:sz w:val="2"/>
          <w:szCs w:val="2"/>
        </w:rPr>
        <w:t>387F</w:t>
      </w:r>
      <w:r w:rsidR="0049638A">
        <w:rPr>
          <w:rFonts w:ascii="ZWAdobeF" w:hAnsi="ZWAdobeF" w:cs="ZWAdobeF"/>
          <w:color w:val="auto"/>
          <w:sz w:val="2"/>
          <w:szCs w:val="2"/>
        </w:rPr>
        <w:t>387F</w:t>
      </w:r>
      <w:r w:rsidR="00317AE4">
        <w:rPr>
          <w:rFonts w:ascii="ZWAdobeF" w:hAnsi="ZWAdobeF" w:cs="ZWAdobeF"/>
          <w:color w:val="auto"/>
          <w:sz w:val="2"/>
          <w:szCs w:val="2"/>
        </w:rPr>
        <w:t>387F</w:t>
      </w:r>
      <w:r w:rsidR="00253C06">
        <w:rPr>
          <w:rStyle w:val="FootnoteReference"/>
        </w:rPr>
        <w:footnoteReference w:id="389"/>
      </w:r>
      <w:r w:rsidR="00253C06">
        <w:t xml:space="preserve"> </w:t>
      </w:r>
      <w:r w:rsidR="00253C06" w:rsidRPr="00F36E76">
        <w:t xml:space="preserve">Where a </w:t>
      </w:r>
      <w:r w:rsidR="00253C06">
        <w:t>defendant or their lawyer c</w:t>
      </w:r>
      <w:r w:rsidR="00253C06" w:rsidRPr="00F36E76">
        <w:t>ommunicate</w:t>
      </w:r>
      <w:r w:rsidR="00253C06">
        <w:t>s</w:t>
      </w:r>
      <w:r w:rsidR="00253C06" w:rsidRPr="00F36E76">
        <w:t xml:space="preserve"> with a non-client class member suggesting </w:t>
      </w:r>
      <w:r w:rsidR="00253C06">
        <w:t>they</w:t>
      </w:r>
      <w:r w:rsidR="00253C06" w:rsidRPr="00F36E76">
        <w:t xml:space="preserve"> do or not do something, the communication should, in plain language, explain the consequences and encourage the class member to obtain legal advice</w:t>
      </w:r>
      <w:r w:rsidR="00253C06">
        <w:t>.</w:t>
      </w:r>
      <w:r w:rsidR="00D629FA">
        <w:rPr>
          <w:rFonts w:ascii="ZWAdobeF" w:hAnsi="ZWAdobeF" w:cs="ZWAdobeF"/>
          <w:color w:val="auto"/>
          <w:sz w:val="2"/>
          <w:szCs w:val="2"/>
        </w:rPr>
        <w:t>388F</w:t>
      </w:r>
      <w:r w:rsidR="0049638A">
        <w:rPr>
          <w:rFonts w:ascii="ZWAdobeF" w:hAnsi="ZWAdobeF" w:cs="ZWAdobeF"/>
          <w:color w:val="auto"/>
          <w:sz w:val="2"/>
          <w:szCs w:val="2"/>
        </w:rPr>
        <w:t>388F</w:t>
      </w:r>
      <w:r w:rsidR="00317AE4">
        <w:rPr>
          <w:rFonts w:ascii="ZWAdobeF" w:hAnsi="ZWAdobeF" w:cs="ZWAdobeF"/>
          <w:color w:val="auto"/>
          <w:sz w:val="2"/>
          <w:szCs w:val="2"/>
        </w:rPr>
        <w:t>388F</w:t>
      </w:r>
      <w:r w:rsidR="00253C06">
        <w:rPr>
          <w:rStyle w:val="FootnoteReference"/>
        </w:rPr>
        <w:footnoteReference w:id="390"/>
      </w:r>
    </w:p>
    <w:p w14:paraId="4A4912AB" w14:textId="487D7FB1" w:rsidR="00253C06" w:rsidRPr="00822279" w:rsidRDefault="00BD5C95" w:rsidP="009B37CB">
      <w:pPr>
        <w:pStyle w:val="BodyText"/>
      </w:pPr>
      <w:r>
        <w:rPr>
          <w:rFonts w:ascii="ZWAdobeF" w:hAnsi="ZWAdobeF" w:cs="ZWAdobeF"/>
          <w:color w:val="auto"/>
          <w:sz w:val="2"/>
          <w:szCs w:val="2"/>
        </w:rPr>
        <w:t>253B</w:t>
      </w:r>
      <w:r w:rsidR="0049638A">
        <w:rPr>
          <w:rFonts w:ascii="ZWAdobeF" w:hAnsi="ZWAdobeF" w:cs="ZWAdobeF"/>
          <w:color w:val="auto"/>
          <w:sz w:val="2"/>
          <w:szCs w:val="2"/>
        </w:rPr>
        <w:t>253B</w:t>
      </w:r>
      <w:r w:rsidR="00D629FA">
        <w:rPr>
          <w:rFonts w:ascii="ZWAdobeF" w:hAnsi="ZWAdobeF" w:cs="ZWAdobeF"/>
          <w:color w:val="auto"/>
          <w:sz w:val="2"/>
          <w:szCs w:val="2"/>
        </w:rPr>
        <w:t>253B</w:t>
      </w:r>
      <w:r w:rsidR="00253C06">
        <w:t xml:space="preserve">The </w:t>
      </w:r>
      <w:r w:rsidR="00253C06" w:rsidRPr="001A4D42">
        <w:t>Federal</w:t>
      </w:r>
      <w:r w:rsidR="00253C06">
        <w:t xml:space="preserve"> Court has also used its general power to make orders in class actions to intervene in communications between the defendant and the class.</w:t>
      </w:r>
      <w:r w:rsidR="00D629FA">
        <w:rPr>
          <w:rFonts w:ascii="ZWAdobeF" w:hAnsi="ZWAdobeF" w:cs="ZWAdobeF"/>
          <w:color w:val="auto"/>
          <w:sz w:val="2"/>
          <w:szCs w:val="2"/>
        </w:rPr>
        <w:t>389F</w:t>
      </w:r>
      <w:r w:rsidR="0049638A">
        <w:rPr>
          <w:rFonts w:ascii="ZWAdobeF" w:hAnsi="ZWAdobeF" w:cs="ZWAdobeF"/>
          <w:color w:val="auto"/>
          <w:sz w:val="2"/>
          <w:szCs w:val="2"/>
        </w:rPr>
        <w:t>389F</w:t>
      </w:r>
      <w:r w:rsidR="00317AE4">
        <w:rPr>
          <w:rFonts w:ascii="ZWAdobeF" w:hAnsi="ZWAdobeF" w:cs="ZWAdobeF"/>
          <w:color w:val="auto"/>
          <w:sz w:val="2"/>
          <w:szCs w:val="2"/>
        </w:rPr>
        <w:t>389F</w:t>
      </w:r>
      <w:r w:rsidR="00253C06">
        <w:rPr>
          <w:rStyle w:val="FootnoteReference"/>
        </w:rPr>
        <w:footnoteReference w:id="391"/>
      </w:r>
      <w:r w:rsidR="00253C06">
        <w:t xml:space="preserve"> The Court will only intervene if the communication with class members is misleading or otherwise unfair or infringes any other law or ethical constraint.</w:t>
      </w:r>
      <w:r w:rsidR="00D629FA">
        <w:rPr>
          <w:rFonts w:ascii="ZWAdobeF" w:hAnsi="ZWAdobeF" w:cs="ZWAdobeF"/>
          <w:color w:val="auto"/>
          <w:sz w:val="2"/>
          <w:szCs w:val="2"/>
        </w:rPr>
        <w:t>390F</w:t>
      </w:r>
      <w:r w:rsidR="0049638A">
        <w:rPr>
          <w:rFonts w:ascii="ZWAdobeF" w:hAnsi="ZWAdobeF" w:cs="ZWAdobeF"/>
          <w:color w:val="auto"/>
          <w:sz w:val="2"/>
          <w:szCs w:val="2"/>
        </w:rPr>
        <w:t>390F</w:t>
      </w:r>
      <w:r w:rsidR="00317AE4">
        <w:rPr>
          <w:rFonts w:ascii="ZWAdobeF" w:hAnsi="ZWAdobeF" w:cs="ZWAdobeF"/>
          <w:color w:val="auto"/>
          <w:sz w:val="2"/>
          <w:szCs w:val="2"/>
        </w:rPr>
        <w:t>390F</w:t>
      </w:r>
      <w:r w:rsidR="00253C06">
        <w:rPr>
          <w:rStyle w:val="FootnoteReference"/>
        </w:rPr>
        <w:footnoteReference w:id="392"/>
      </w:r>
      <w:r w:rsidR="00253C06">
        <w:t xml:space="preserve"> The Federal Court has said individual settlement offers will not be unlawful unless they effectively dispose of the entire class action.</w:t>
      </w:r>
      <w:r w:rsidR="00D629FA">
        <w:rPr>
          <w:rFonts w:ascii="ZWAdobeF" w:hAnsi="ZWAdobeF" w:cs="ZWAdobeF"/>
          <w:color w:val="auto"/>
          <w:sz w:val="2"/>
          <w:szCs w:val="2"/>
        </w:rPr>
        <w:t>391F</w:t>
      </w:r>
      <w:r w:rsidR="0049638A">
        <w:rPr>
          <w:rFonts w:ascii="ZWAdobeF" w:hAnsi="ZWAdobeF" w:cs="ZWAdobeF"/>
          <w:color w:val="auto"/>
          <w:sz w:val="2"/>
          <w:szCs w:val="2"/>
        </w:rPr>
        <w:t>391F</w:t>
      </w:r>
      <w:r w:rsidR="00317AE4">
        <w:rPr>
          <w:rFonts w:ascii="ZWAdobeF" w:hAnsi="ZWAdobeF" w:cs="ZWAdobeF"/>
          <w:color w:val="auto"/>
          <w:sz w:val="2"/>
          <w:szCs w:val="2"/>
        </w:rPr>
        <w:t>391F</w:t>
      </w:r>
      <w:r w:rsidR="00253C06">
        <w:rPr>
          <w:rStyle w:val="FootnoteReference"/>
        </w:rPr>
        <w:footnoteReference w:id="393"/>
      </w:r>
    </w:p>
    <w:p w14:paraId="705E0C46" w14:textId="2567282D" w:rsidR="00253C06" w:rsidRDefault="00BD5C95" w:rsidP="009B37CB">
      <w:pPr>
        <w:pStyle w:val="BodyText"/>
      </w:pPr>
      <w:r>
        <w:rPr>
          <w:rFonts w:ascii="ZWAdobeF" w:hAnsi="ZWAdobeF" w:cs="ZWAdobeF"/>
          <w:color w:val="auto"/>
          <w:sz w:val="2"/>
          <w:szCs w:val="2"/>
        </w:rPr>
        <w:t>254B</w:t>
      </w:r>
      <w:r w:rsidR="0049638A">
        <w:rPr>
          <w:rFonts w:ascii="ZWAdobeF" w:hAnsi="ZWAdobeF" w:cs="ZWAdobeF"/>
          <w:color w:val="auto"/>
          <w:sz w:val="2"/>
          <w:szCs w:val="2"/>
        </w:rPr>
        <w:t>254B</w:t>
      </w:r>
      <w:r w:rsidR="00D629FA">
        <w:rPr>
          <w:rFonts w:ascii="ZWAdobeF" w:hAnsi="ZWAdobeF" w:cs="ZWAdobeF"/>
          <w:color w:val="auto"/>
          <w:sz w:val="2"/>
          <w:szCs w:val="2"/>
        </w:rPr>
        <w:t>254B</w:t>
      </w:r>
      <w:r w:rsidR="00253C06">
        <w:t xml:space="preserve">In </w:t>
      </w:r>
      <w:r w:rsidR="00253C06" w:rsidRPr="001A4D42">
        <w:t>Ontario</w:t>
      </w:r>
      <w:r w:rsidR="00253C06">
        <w:t xml:space="preserve"> the representative plaintiff’s lawyer is considered </w:t>
      </w:r>
      <w:r w:rsidR="004804F6">
        <w:t xml:space="preserve">the </w:t>
      </w:r>
      <w:r w:rsidR="00253C06">
        <w:t>lawyer for class members</w:t>
      </w:r>
      <w:r w:rsidR="001D5CAB">
        <w:t xml:space="preserve"> after certification</w:t>
      </w:r>
      <w:r w:rsidR="00253C06">
        <w:t>. Therefore,</w:t>
      </w:r>
      <w:r w:rsidR="00253C06" w:rsidRPr="00C3452F">
        <w:t xml:space="preserve"> the Law Society of Ontario’s Rules of Professional </w:t>
      </w:r>
      <w:r w:rsidR="00253C06">
        <w:t>C</w:t>
      </w:r>
      <w:r w:rsidR="00253C06" w:rsidRPr="00C3452F">
        <w:t>onduct apply</w:t>
      </w:r>
      <w:r w:rsidR="00253C06">
        <w:t xml:space="preserve"> and the defendant’s counsel cannot communicate with class members directly.</w:t>
      </w:r>
      <w:r w:rsidR="00D629FA">
        <w:rPr>
          <w:rFonts w:ascii="ZWAdobeF" w:hAnsi="ZWAdobeF" w:cs="ZWAdobeF"/>
          <w:color w:val="auto"/>
          <w:sz w:val="2"/>
          <w:szCs w:val="2"/>
        </w:rPr>
        <w:t>392F</w:t>
      </w:r>
      <w:r w:rsidR="0049638A">
        <w:rPr>
          <w:rFonts w:ascii="ZWAdobeF" w:hAnsi="ZWAdobeF" w:cs="ZWAdobeF"/>
          <w:color w:val="auto"/>
          <w:sz w:val="2"/>
          <w:szCs w:val="2"/>
        </w:rPr>
        <w:t>392F</w:t>
      </w:r>
      <w:r w:rsidR="00317AE4">
        <w:rPr>
          <w:rFonts w:ascii="ZWAdobeF" w:hAnsi="ZWAdobeF" w:cs="ZWAdobeF"/>
          <w:color w:val="auto"/>
          <w:sz w:val="2"/>
          <w:szCs w:val="2"/>
        </w:rPr>
        <w:t>392F</w:t>
      </w:r>
      <w:r w:rsidR="00253C06">
        <w:rPr>
          <w:rStyle w:val="FootnoteReference"/>
        </w:rPr>
        <w:footnoteReference w:id="394"/>
      </w:r>
      <w:r w:rsidR="00253C06">
        <w:t xml:space="preserve"> Before certification, the </w:t>
      </w:r>
      <w:r w:rsidR="00253C06" w:rsidRPr="00822279">
        <w:t xml:space="preserve">court will </w:t>
      </w:r>
      <w:r w:rsidR="00253C06">
        <w:t xml:space="preserve">only </w:t>
      </w:r>
      <w:r w:rsidR="00253C06" w:rsidRPr="00822279">
        <w:t>intervene if a defendant’s communication to class members “constitutes misinformation, a threat, intimidation, coercion or is made for some other improper purpose undermining the process”.</w:t>
      </w:r>
      <w:r w:rsidR="00D629FA">
        <w:rPr>
          <w:rFonts w:ascii="ZWAdobeF" w:hAnsi="ZWAdobeF" w:cs="ZWAdobeF"/>
          <w:color w:val="auto"/>
          <w:sz w:val="2"/>
          <w:szCs w:val="2"/>
        </w:rPr>
        <w:t>393F</w:t>
      </w:r>
      <w:r w:rsidR="0049638A">
        <w:rPr>
          <w:rFonts w:ascii="ZWAdobeF" w:hAnsi="ZWAdobeF" w:cs="ZWAdobeF"/>
          <w:color w:val="auto"/>
          <w:sz w:val="2"/>
          <w:szCs w:val="2"/>
        </w:rPr>
        <w:t>393F</w:t>
      </w:r>
      <w:r w:rsidR="00317AE4">
        <w:rPr>
          <w:rFonts w:ascii="ZWAdobeF" w:hAnsi="ZWAdobeF" w:cs="ZWAdobeF"/>
          <w:color w:val="auto"/>
          <w:sz w:val="2"/>
          <w:szCs w:val="2"/>
        </w:rPr>
        <w:t>393F</w:t>
      </w:r>
      <w:r w:rsidR="00253C06">
        <w:rPr>
          <w:rStyle w:val="FootnoteReference"/>
        </w:rPr>
        <w:footnoteReference w:id="395"/>
      </w:r>
      <w:r w:rsidR="00253C06" w:rsidRPr="00822279">
        <w:t xml:space="preserve"> </w:t>
      </w:r>
    </w:p>
    <w:p w14:paraId="6309D7AF" w14:textId="617DE170" w:rsidR="00253C06" w:rsidRDefault="00BD5C95" w:rsidP="009B37CB">
      <w:pPr>
        <w:pStyle w:val="BodyText"/>
      </w:pPr>
      <w:r>
        <w:rPr>
          <w:rFonts w:ascii="ZWAdobeF" w:hAnsi="ZWAdobeF" w:cs="ZWAdobeF"/>
          <w:color w:val="auto"/>
          <w:sz w:val="2"/>
          <w:szCs w:val="2"/>
        </w:rPr>
        <w:t>255B</w:t>
      </w:r>
      <w:r w:rsidR="0049638A">
        <w:rPr>
          <w:rFonts w:ascii="ZWAdobeF" w:hAnsi="ZWAdobeF" w:cs="ZWAdobeF"/>
          <w:color w:val="auto"/>
          <w:sz w:val="2"/>
          <w:szCs w:val="2"/>
        </w:rPr>
        <w:t>255B</w:t>
      </w:r>
      <w:r w:rsidR="00D629FA">
        <w:rPr>
          <w:rFonts w:ascii="ZWAdobeF" w:hAnsi="ZWAdobeF" w:cs="ZWAdobeF"/>
          <w:color w:val="auto"/>
          <w:sz w:val="2"/>
          <w:szCs w:val="2"/>
        </w:rPr>
        <w:t>255B</w:t>
      </w:r>
      <w:r w:rsidR="00253C06">
        <w:t>In the United States the court may regulate communications with potential class members, even before certification.</w:t>
      </w:r>
      <w:r w:rsidR="00D629FA">
        <w:rPr>
          <w:rFonts w:ascii="ZWAdobeF" w:hAnsi="ZWAdobeF" w:cs="ZWAdobeF"/>
          <w:color w:val="auto"/>
          <w:sz w:val="2"/>
          <w:szCs w:val="2"/>
        </w:rPr>
        <w:t>394F</w:t>
      </w:r>
      <w:r w:rsidR="0049638A">
        <w:rPr>
          <w:rFonts w:ascii="ZWAdobeF" w:hAnsi="ZWAdobeF" w:cs="ZWAdobeF"/>
          <w:color w:val="auto"/>
          <w:sz w:val="2"/>
          <w:szCs w:val="2"/>
        </w:rPr>
        <w:t>394F</w:t>
      </w:r>
      <w:r w:rsidR="00317AE4">
        <w:rPr>
          <w:rFonts w:ascii="ZWAdobeF" w:hAnsi="ZWAdobeF" w:cs="ZWAdobeF"/>
          <w:color w:val="auto"/>
          <w:sz w:val="2"/>
          <w:szCs w:val="2"/>
        </w:rPr>
        <w:t>394F</w:t>
      </w:r>
      <w:r w:rsidR="00253C06">
        <w:rPr>
          <w:rStyle w:val="FootnoteReference"/>
        </w:rPr>
        <w:footnoteReference w:id="396"/>
      </w:r>
      <w:r w:rsidR="00253C06">
        <w:t xml:space="preserve">  The Manual for Complex Litigation explains that defendants and their counsel may communicate with potential class members in the ordinary course of business, including discussing settlement before certification,</w:t>
      </w:r>
      <w:r w:rsidR="00D629FA">
        <w:rPr>
          <w:rFonts w:ascii="ZWAdobeF" w:hAnsi="ZWAdobeF" w:cs="ZWAdobeF"/>
          <w:color w:val="auto"/>
          <w:sz w:val="2"/>
          <w:szCs w:val="2"/>
        </w:rPr>
        <w:t>395F</w:t>
      </w:r>
      <w:r w:rsidR="0049638A">
        <w:rPr>
          <w:rFonts w:ascii="ZWAdobeF" w:hAnsi="ZWAdobeF" w:cs="ZWAdobeF"/>
          <w:color w:val="auto"/>
          <w:sz w:val="2"/>
          <w:szCs w:val="2"/>
        </w:rPr>
        <w:t>395F</w:t>
      </w:r>
      <w:r w:rsidR="00317AE4">
        <w:rPr>
          <w:rFonts w:ascii="ZWAdobeF" w:hAnsi="ZWAdobeF" w:cs="ZWAdobeF"/>
          <w:color w:val="auto"/>
          <w:sz w:val="2"/>
          <w:szCs w:val="2"/>
        </w:rPr>
        <w:t>395F</w:t>
      </w:r>
      <w:r w:rsidR="00253C06">
        <w:rPr>
          <w:rStyle w:val="FootnoteReference"/>
        </w:rPr>
        <w:footnoteReference w:id="397"/>
      </w:r>
      <w:r w:rsidR="00253C06">
        <w:t xml:space="preserve"> although such communications may not be misleading or false.</w:t>
      </w:r>
      <w:r w:rsidR="00D629FA">
        <w:rPr>
          <w:rFonts w:ascii="ZWAdobeF" w:hAnsi="ZWAdobeF" w:cs="ZWAdobeF"/>
          <w:color w:val="auto"/>
          <w:sz w:val="2"/>
          <w:szCs w:val="2"/>
        </w:rPr>
        <w:t>396F</w:t>
      </w:r>
      <w:r w:rsidR="0049638A">
        <w:rPr>
          <w:rFonts w:ascii="ZWAdobeF" w:hAnsi="ZWAdobeF" w:cs="ZWAdobeF"/>
          <w:color w:val="auto"/>
          <w:sz w:val="2"/>
          <w:szCs w:val="2"/>
        </w:rPr>
        <w:t>396F</w:t>
      </w:r>
      <w:r w:rsidR="00317AE4">
        <w:rPr>
          <w:rFonts w:ascii="ZWAdobeF" w:hAnsi="ZWAdobeF" w:cs="ZWAdobeF"/>
          <w:color w:val="auto"/>
          <w:sz w:val="2"/>
          <w:szCs w:val="2"/>
        </w:rPr>
        <w:t>396F</w:t>
      </w:r>
      <w:r w:rsidR="00253C06">
        <w:rPr>
          <w:rStyle w:val="FootnoteReference"/>
        </w:rPr>
        <w:footnoteReference w:id="398"/>
      </w:r>
      <w:r w:rsidR="00253C06">
        <w:t xml:space="preserve"> It goes on to explain </w:t>
      </w:r>
      <w:r w:rsidR="00253C06">
        <w:lastRenderedPageBreak/>
        <w:t>that, “[o]n</w:t>
      </w:r>
      <w:r w:rsidR="00253C06" w:rsidRPr="002F19A6">
        <w:t>ce a class has been certified, the rules governing communications apply as though each class member is a client of the class counsel”.</w:t>
      </w:r>
      <w:r w:rsidR="00D629FA">
        <w:rPr>
          <w:rFonts w:ascii="ZWAdobeF" w:hAnsi="ZWAdobeF" w:cs="ZWAdobeF"/>
          <w:color w:val="auto"/>
          <w:sz w:val="2"/>
          <w:szCs w:val="2"/>
        </w:rPr>
        <w:t>397F</w:t>
      </w:r>
      <w:r w:rsidR="0049638A">
        <w:rPr>
          <w:rFonts w:ascii="ZWAdobeF" w:hAnsi="ZWAdobeF" w:cs="ZWAdobeF"/>
          <w:color w:val="auto"/>
          <w:sz w:val="2"/>
          <w:szCs w:val="2"/>
        </w:rPr>
        <w:t>397F</w:t>
      </w:r>
      <w:r w:rsidR="00317AE4">
        <w:rPr>
          <w:rFonts w:ascii="ZWAdobeF" w:hAnsi="ZWAdobeF" w:cs="ZWAdobeF"/>
          <w:color w:val="auto"/>
          <w:sz w:val="2"/>
          <w:szCs w:val="2"/>
        </w:rPr>
        <w:t>397F</w:t>
      </w:r>
      <w:r w:rsidR="00253C06">
        <w:rPr>
          <w:rStyle w:val="FootnoteReference"/>
        </w:rPr>
        <w:footnoteReference w:id="399"/>
      </w:r>
      <w:r w:rsidR="00253C06" w:rsidRPr="002F19A6">
        <w:t xml:space="preserve">  </w:t>
      </w:r>
    </w:p>
    <w:p w14:paraId="0BA430F7" w14:textId="77777777" w:rsidR="00253C06" w:rsidRDefault="00253C06" w:rsidP="0008350F">
      <w:pPr>
        <w:pStyle w:val="Heading3"/>
      </w:pPr>
      <w:r>
        <w:t>Should communications from the defendant’s lawyer to the class go through the representative plaintiff’s lawyer?</w:t>
      </w:r>
    </w:p>
    <w:p w14:paraId="34F725C9" w14:textId="378CD111" w:rsidR="00253C06" w:rsidRDefault="00BD5C95" w:rsidP="009B37CB">
      <w:pPr>
        <w:pStyle w:val="BodyText"/>
      </w:pPr>
      <w:r>
        <w:rPr>
          <w:rFonts w:ascii="ZWAdobeF" w:hAnsi="ZWAdobeF" w:cs="ZWAdobeF"/>
          <w:color w:val="auto"/>
          <w:sz w:val="2"/>
          <w:szCs w:val="2"/>
        </w:rPr>
        <w:t>256B</w:t>
      </w:r>
      <w:r w:rsidR="0049638A">
        <w:rPr>
          <w:rFonts w:ascii="ZWAdobeF" w:hAnsi="ZWAdobeF" w:cs="ZWAdobeF"/>
          <w:color w:val="auto"/>
          <w:sz w:val="2"/>
          <w:szCs w:val="2"/>
        </w:rPr>
        <w:t>256B</w:t>
      </w:r>
      <w:r w:rsidR="00D629FA">
        <w:rPr>
          <w:rFonts w:ascii="ZWAdobeF" w:hAnsi="ZWAdobeF" w:cs="ZWAdobeF"/>
          <w:color w:val="auto"/>
          <w:sz w:val="2"/>
          <w:szCs w:val="2"/>
        </w:rPr>
        <w:t>256B</w:t>
      </w:r>
      <w:r w:rsidR="00253C06">
        <w:t>As explained above, we consider the representative plaintiff’s lawyer should be regarded as lawyer for the class upon certification. If this approach is adopted</w:t>
      </w:r>
      <w:r w:rsidR="003068CC">
        <w:t>,</w:t>
      </w:r>
      <w:r w:rsidR="00253C06">
        <w:t xml:space="preserve"> we think that after certification the </w:t>
      </w:r>
      <w:r w:rsidR="00407E81">
        <w:t xml:space="preserve">defendant’s </w:t>
      </w:r>
      <w:r w:rsidR="00253C06">
        <w:t>lawyer should not be able to contact class members directly.</w:t>
      </w:r>
      <w:r w:rsidR="00D629FA">
        <w:rPr>
          <w:rFonts w:ascii="ZWAdobeF" w:hAnsi="ZWAdobeF" w:cs="ZWAdobeF"/>
          <w:color w:val="auto"/>
          <w:sz w:val="2"/>
          <w:szCs w:val="2"/>
        </w:rPr>
        <w:t>398F</w:t>
      </w:r>
      <w:r w:rsidR="0049638A">
        <w:rPr>
          <w:rFonts w:ascii="ZWAdobeF" w:hAnsi="ZWAdobeF" w:cs="ZWAdobeF"/>
          <w:color w:val="auto"/>
          <w:sz w:val="2"/>
          <w:szCs w:val="2"/>
        </w:rPr>
        <w:t>398F</w:t>
      </w:r>
      <w:r w:rsidR="00317AE4">
        <w:rPr>
          <w:rFonts w:ascii="ZWAdobeF" w:hAnsi="ZWAdobeF" w:cs="ZWAdobeF"/>
          <w:color w:val="auto"/>
          <w:sz w:val="2"/>
          <w:szCs w:val="2"/>
        </w:rPr>
        <w:t>398F</w:t>
      </w:r>
      <w:r w:rsidR="00253C06">
        <w:rPr>
          <w:rStyle w:val="FootnoteReference"/>
        </w:rPr>
        <w:footnoteReference w:id="400"/>
      </w:r>
      <w:r w:rsidR="00253C06">
        <w:t xml:space="preserve"> If the </w:t>
      </w:r>
      <w:r w:rsidR="00C42E4F">
        <w:t xml:space="preserve">approach of having a </w:t>
      </w:r>
      <w:r w:rsidR="00253C06">
        <w:t>lawyer for the class is not adopted, we think that after certification the court could make directions setting out when it would be appropriate for the defendant’s lawyer to contact class members.</w:t>
      </w:r>
      <w:r w:rsidR="00D629FA">
        <w:rPr>
          <w:rFonts w:ascii="ZWAdobeF" w:hAnsi="ZWAdobeF" w:cs="ZWAdobeF"/>
          <w:color w:val="auto"/>
          <w:sz w:val="2"/>
          <w:szCs w:val="2"/>
        </w:rPr>
        <w:t>399F</w:t>
      </w:r>
      <w:r w:rsidR="0049638A">
        <w:rPr>
          <w:rFonts w:ascii="ZWAdobeF" w:hAnsi="ZWAdobeF" w:cs="ZWAdobeF"/>
          <w:color w:val="auto"/>
          <w:sz w:val="2"/>
          <w:szCs w:val="2"/>
        </w:rPr>
        <w:t>399F</w:t>
      </w:r>
      <w:r w:rsidR="00317AE4">
        <w:rPr>
          <w:rFonts w:ascii="ZWAdobeF" w:hAnsi="ZWAdobeF" w:cs="ZWAdobeF"/>
          <w:color w:val="auto"/>
          <w:sz w:val="2"/>
          <w:szCs w:val="2"/>
        </w:rPr>
        <w:t>399F</w:t>
      </w:r>
      <w:r w:rsidR="00253C06">
        <w:rPr>
          <w:rStyle w:val="FootnoteReference"/>
        </w:rPr>
        <w:footnoteReference w:id="401"/>
      </w:r>
    </w:p>
    <w:p w14:paraId="08715063" w14:textId="0FA7048F" w:rsidR="00253C06" w:rsidRDefault="00BD5C95" w:rsidP="009B37CB">
      <w:pPr>
        <w:pStyle w:val="BodyText"/>
      </w:pPr>
      <w:r>
        <w:rPr>
          <w:rFonts w:ascii="ZWAdobeF" w:hAnsi="ZWAdobeF" w:cs="ZWAdobeF"/>
          <w:color w:val="auto"/>
          <w:sz w:val="2"/>
          <w:szCs w:val="2"/>
        </w:rPr>
        <w:t>257B</w:t>
      </w:r>
      <w:r w:rsidR="0049638A">
        <w:rPr>
          <w:rFonts w:ascii="ZWAdobeF" w:hAnsi="ZWAdobeF" w:cs="ZWAdobeF"/>
          <w:color w:val="auto"/>
          <w:sz w:val="2"/>
          <w:szCs w:val="2"/>
        </w:rPr>
        <w:t>257B</w:t>
      </w:r>
      <w:r w:rsidR="00D629FA">
        <w:rPr>
          <w:rFonts w:ascii="ZWAdobeF" w:hAnsi="ZWAdobeF" w:cs="ZWAdobeF"/>
          <w:color w:val="auto"/>
          <w:sz w:val="2"/>
          <w:szCs w:val="2"/>
        </w:rPr>
        <w:t>257B</w:t>
      </w:r>
      <w:r w:rsidR="00253C06">
        <w:t xml:space="preserve">We do not think communications from the defendant’s lawyer to class members need to go through the representative plaintiff’s lawyer before certification. It seems unfair that by simply filing a class action a representative plaintiff can prevent </w:t>
      </w:r>
      <w:r w:rsidR="00407E81">
        <w:t xml:space="preserve">the </w:t>
      </w:r>
      <w:r w:rsidR="00253C06">
        <w:t>defendant</w:t>
      </w:r>
      <w:r w:rsidR="00407E81">
        <w:t>’s lawyer</w:t>
      </w:r>
      <w:r w:rsidR="00253C06">
        <w:t xml:space="preserve"> from communicating with potentially hundreds or thousands of people. </w:t>
      </w:r>
    </w:p>
    <w:p w14:paraId="7E259A90" w14:textId="05C27249" w:rsidR="00253C06" w:rsidRDefault="00BD5C95" w:rsidP="009B37CB">
      <w:pPr>
        <w:pStyle w:val="BodyText"/>
      </w:pPr>
      <w:r>
        <w:rPr>
          <w:rFonts w:ascii="ZWAdobeF" w:hAnsi="ZWAdobeF" w:cs="ZWAdobeF"/>
          <w:color w:val="auto"/>
          <w:sz w:val="2"/>
          <w:szCs w:val="2"/>
        </w:rPr>
        <w:t>258B</w:t>
      </w:r>
      <w:r w:rsidR="0049638A">
        <w:rPr>
          <w:rFonts w:ascii="ZWAdobeF" w:hAnsi="ZWAdobeF" w:cs="ZWAdobeF"/>
          <w:color w:val="auto"/>
          <w:sz w:val="2"/>
          <w:szCs w:val="2"/>
        </w:rPr>
        <w:t>258B</w:t>
      </w:r>
      <w:r w:rsidR="00D629FA">
        <w:rPr>
          <w:rFonts w:ascii="ZWAdobeF" w:hAnsi="ZWAdobeF" w:cs="ZWAdobeF"/>
          <w:color w:val="auto"/>
          <w:sz w:val="2"/>
          <w:szCs w:val="2"/>
        </w:rPr>
        <w:t>258B</w:t>
      </w:r>
      <w:r w:rsidR="00DF4226">
        <w:t>W</w:t>
      </w:r>
      <w:r w:rsidR="00253C06">
        <w:t xml:space="preserve">e note that communications to a potential class after the class action is filed, but before certification, will still be subject to the court’s inherent jurisdiction. </w:t>
      </w:r>
    </w:p>
    <w:p w14:paraId="03A773C9" w14:textId="769CFA44" w:rsidR="00253C06" w:rsidRDefault="00253C06" w:rsidP="00145EFA">
      <w:pPr>
        <w:pStyle w:val="Heading3"/>
      </w:pPr>
      <w:r>
        <w:t xml:space="preserve">Should the court </w:t>
      </w:r>
      <w:r w:rsidR="009567EA">
        <w:t xml:space="preserve">review </w:t>
      </w:r>
      <w:r>
        <w:t xml:space="preserve">any communications between the defendant or defendant’s lawyer and class members? </w:t>
      </w:r>
    </w:p>
    <w:p w14:paraId="4A11A808" w14:textId="38F1D14B" w:rsidR="00253C06" w:rsidRPr="000C6F42" w:rsidRDefault="00BD5C95" w:rsidP="009B37CB">
      <w:pPr>
        <w:pStyle w:val="BodyText"/>
      </w:pPr>
      <w:r>
        <w:rPr>
          <w:rFonts w:ascii="ZWAdobeF" w:hAnsi="ZWAdobeF" w:cs="ZWAdobeF"/>
          <w:color w:val="auto"/>
          <w:sz w:val="2"/>
          <w:szCs w:val="2"/>
          <w:lang w:val="mi-NZ"/>
        </w:rPr>
        <w:t>259B</w:t>
      </w:r>
      <w:r w:rsidR="0049638A">
        <w:rPr>
          <w:rFonts w:ascii="ZWAdobeF" w:hAnsi="ZWAdobeF" w:cs="ZWAdobeF"/>
          <w:color w:val="auto"/>
          <w:sz w:val="2"/>
          <w:szCs w:val="2"/>
          <w:lang w:val="mi-NZ"/>
        </w:rPr>
        <w:t>259B</w:t>
      </w:r>
      <w:r w:rsidR="00D629FA">
        <w:rPr>
          <w:rFonts w:ascii="ZWAdobeF" w:hAnsi="ZWAdobeF" w:cs="ZWAdobeF"/>
          <w:color w:val="auto"/>
          <w:sz w:val="2"/>
          <w:szCs w:val="2"/>
          <w:lang w:val="mi-NZ"/>
        </w:rPr>
        <w:t>259B</w:t>
      </w:r>
      <w:r w:rsidR="00253C06">
        <w:rPr>
          <w:lang w:val="mi-NZ"/>
        </w:rPr>
        <w:t>While it is important to encourage out of court settlements and the defendant’s general freedom to communicate settlement offers,</w:t>
      </w:r>
      <w:r w:rsidR="00D629FA">
        <w:rPr>
          <w:rFonts w:ascii="ZWAdobeF" w:hAnsi="ZWAdobeF" w:cs="ZWAdobeF"/>
          <w:color w:val="auto"/>
          <w:sz w:val="2"/>
          <w:szCs w:val="2"/>
          <w:lang w:val="mi-NZ"/>
        </w:rPr>
        <w:t>400F</w:t>
      </w:r>
      <w:r w:rsidR="0049638A">
        <w:rPr>
          <w:rFonts w:ascii="ZWAdobeF" w:hAnsi="ZWAdobeF" w:cs="ZWAdobeF"/>
          <w:color w:val="auto"/>
          <w:sz w:val="2"/>
          <w:szCs w:val="2"/>
          <w:lang w:val="mi-NZ"/>
        </w:rPr>
        <w:t>400F</w:t>
      </w:r>
      <w:r w:rsidR="00317AE4">
        <w:rPr>
          <w:rFonts w:ascii="ZWAdobeF" w:hAnsi="ZWAdobeF" w:cs="ZWAdobeF"/>
          <w:color w:val="auto"/>
          <w:sz w:val="2"/>
          <w:szCs w:val="2"/>
          <w:lang w:val="mi-NZ"/>
        </w:rPr>
        <w:t>400F</w:t>
      </w:r>
      <w:r w:rsidR="00253C06" w:rsidRPr="00EC27AF">
        <w:rPr>
          <w:rStyle w:val="FootnoteReference"/>
          <w:lang w:val="mi-NZ"/>
        </w:rPr>
        <w:footnoteReference w:id="402"/>
      </w:r>
      <w:r w:rsidR="00253C06" w:rsidRPr="006453D1">
        <w:t xml:space="preserve"> </w:t>
      </w:r>
      <w:r w:rsidR="00253C06">
        <w:t>we think that after certification, communications about individual settlement offers should be reviewed by the court. This will most likely arise during the opt-in/opt-out period as, once the class is finalised, a class member cannot leave the class action unless authorised by the court.</w:t>
      </w:r>
      <w:r w:rsidR="00D629FA">
        <w:rPr>
          <w:rFonts w:ascii="ZWAdobeF" w:hAnsi="ZWAdobeF" w:cs="ZWAdobeF"/>
          <w:color w:val="auto"/>
          <w:sz w:val="2"/>
          <w:szCs w:val="2"/>
        </w:rPr>
        <w:t>401F</w:t>
      </w:r>
      <w:r w:rsidR="0049638A">
        <w:rPr>
          <w:rFonts w:ascii="ZWAdobeF" w:hAnsi="ZWAdobeF" w:cs="ZWAdobeF"/>
          <w:color w:val="auto"/>
          <w:sz w:val="2"/>
          <w:szCs w:val="2"/>
        </w:rPr>
        <w:t>401F</w:t>
      </w:r>
      <w:r w:rsidR="00317AE4">
        <w:rPr>
          <w:rFonts w:ascii="ZWAdobeF" w:hAnsi="ZWAdobeF" w:cs="ZWAdobeF"/>
          <w:color w:val="auto"/>
          <w:sz w:val="2"/>
          <w:szCs w:val="2"/>
        </w:rPr>
        <w:t>401F</w:t>
      </w:r>
      <w:r w:rsidR="00253C06">
        <w:rPr>
          <w:rStyle w:val="FootnoteReference"/>
        </w:rPr>
        <w:footnoteReference w:id="403"/>
      </w:r>
      <w:r w:rsidR="00253C06">
        <w:t xml:space="preserve"> </w:t>
      </w:r>
    </w:p>
    <w:p w14:paraId="226815B9" w14:textId="578BC341" w:rsidR="00253C06" w:rsidRDefault="00BD5C95" w:rsidP="009B37CB">
      <w:pPr>
        <w:pStyle w:val="BodyText"/>
      </w:pPr>
      <w:r>
        <w:rPr>
          <w:rFonts w:ascii="ZWAdobeF" w:hAnsi="ZWAdobeF" w:cs="ZWAdobeF"/>
          <w:color w:val="auto"/>
          <w:sz w:val="2"/>
          <w:szCs w:val="2"/>
        </w:rPr>
        <w:t>260B</w:t>
      </w:r>
      <w:r w:rsidR="0049638A">
        <w:rPr>
          <w:rFonts w:ascii="ZWAdobeF" w:hAnsi="ZWAdobeF" w:cs="ZWAdobeF"/>
          <w:color w:val="auto"/>
          <w:sz w:val="2"/>
          <w:szCs w:val="2"/>
        </w:rPr>
        <w:t>260B</w:t>
      </w:r>
      <w:r w:rsidR="00D629FA">
        <w:rPr>
          <w:rFonts w:ascii="ZWAdobeF" w:hAnsi="ZWAdobeF" w:cs="ZWAdobeF"/>
          <w:color w:val="auto"/>
          <w:sz w:val="2"/>
          <w:szCs w:val="2"/>
        </w:rPr>
        <w:t>260B</w:t>
      </w:r>
      <w:r w:rsidR="00253C06">
        <w:t>As explained in Chapter 6, settlement of a class action is a stage where class member interests require particular protection. We think this is also the case during the opt-in/opt-out period, as an individual settlement will likely require the class member not to participate in the class action.</w:t>
      </w:r>
      <w:r w:rsidR="00D629FA">
        <w:rPr>
          <w:rFonts w:ascii="ZWAdobeF" w:hAnsi="ZWAdobeF" w:cs="ZWAdobeF"/>
          <w:color w:val="auto"/>
          <w:sz w:val="2"/>
          <w:szCs w:val="2"/>
        </w:rPr>
        <w:t>402F</w:t>
      </w:r>
      <w:r w:rsidR="0049638A">
        <w:rPr>
          <w:rFonts w:ascii="ZWAdobeF" w:hAnsi="ZWAdobeF" w:cs="ZWAdobeF"/>
          <w:color w:val="auto"/>
          <w:sz w:val="2"/>
          <w:szCs w:val="2"/>
        </w:rPr>
        <w:t>402F</w:t>
      </w:r>
      <w:r w:rsidR="00317AE4">
        <w:rPr>
          <w:rFonts w:ascii="ZWAdobeF" w:hAnsi="ZWAdobeF" w:cs="ZWAdobeF"/>
          <w:color w:val="auto"/>
          <w:sz w:val="2"/>
          <w:szCs w:val="2"/>
        </w:rPr>
        <w:t>402F</w:t>
      </w:r>
      <w:r w:rsidR="00253C06">
        <w:rPr>
          <w:rStyle w:val="FootnoteReference"/>
        </w:rPr>
        <w:footnoteReference w:id="404"/>
      </w:r>
      <w:r w:rsidR="00253C06">
        <w:t xml:space="preserve"> There are </w:t>
      </w:r>
      <w:r w:rsidR="00253C06" w:rsidRPr="00EE54EC">
        <w:t>risks</w:t>
      </w:r>
      <w:r w:rsidR="00253C06">
        <w:t xml:space="preserve"> that at this stage the defendant may seek to unfairly settle a claim quickly and cheaply with uninformed class members.</w:t>
      </w:r>
      <w:r w:rsidR="00D629FA">
        <w:rPr>
          <w:rFonts w:ascii="ZWAdobeF" w:hAnsi="ZWAdobeF" w:cs="ZWAdobeF"/>
          <w:color w:val="auto"/>
          <w:sz w:val="2"/>
          <w:szCs w:val="2"/>
        </w:rPr>
        <w:t>403F</w:t>
      </w:r>
      <w:r w:rsidR="0049638A">
        <w:rPr>
          <w:rFonts w:ascii="ZWAdobeF" w:hAnsi="ZWAdobeF" w:cs="ZWAdobeF"/>
          <w:color w:val="auto"/>
          <w:sz w:val="2"/>
          <w:szCs w:val="2"/>
        </w:rPr>
        <w:t>403F</w:t>
      </w:r>
      <w:r w:rsidR="00317AE4">
        <w:rPr>
          <w:rFonts w:ascii="ZWAdobeF" w:hAnsi="ZWAdobeF" w:cs="ZWAdobeF"/>
          <w:color w:val="auto"/>
          <w:sz w:val="2"/>
          <w:szCs w:val="2"/>
        </w:rPr>
        <w:t>403F</w:t>
      </w:r>
      <w:r w:rsidR="00253C06">
        <w:rPr>
          <w:rStyle w:val="FootnoteReference"/>
        </w:rPr>
        <w:footnoteReference w:id="405"/>
      </w:r>
      <w:r w:rsidR="00253C06">
        <w:t xml:space="preserve"> A large number of individual settlements could also effectively dispose of the class action entirely, </w:t>
      </w:r>
      <w:r w:rsidR="00253C06">
        <w:lastRenderedPageBreak/>
        <w:t>without having gone through the settlement approval process.</w:t>
      </w:r>
      <w:r w:rsidR="00D629FA">
        <w:rPr>
          <w:rFonts w:ascii="ZWAdobeF" w:hAnsi="ZWAdobeF" w:cs="ZWAdobeF"/>
          <w:color w:val="auto"/>
          <w:sz w:val="2"/>
          <w:szCs w:val="2"/>
        </w:rPr>
        <w:t>404F</w:t>
      </w:r>
      <w:r w:rsidR="0049638A">
        <w:rPr>
          <w:rFonts w:ascii="ZWAdobeF" w:hAnsi="ZWAdobeF" w:cs="ZWAdobeF"/>
          <w:color w:val="auto"/>
          <w:sz w:val="2"/>
          <w:szCs w:val="2"/>
        </w:rPr>
        <w:t>404F</w:t>
      </w:r>
      <w:r w:rsidR="00317AE4">
        <w:rPr>
          <w:rFonts w:ascii="ZWAdobeF" w:hAnsi="ZWAdobeF" w:cs="ZWAdobeF"/>
          <w:color w:val="auto"/>
          <w:sz w:val="2"/>
          <w:szCs w:val="2"/>
        </w:rPr>
        <w:t>404F</w:t>
      </w:r>
      <w:r w:rsidR="00253C06">
        <w:rPr>
          <w:rStyle w:val="FootnoteReference"/>
        </w:rPr>
        <w:footnoteReference w:id="406"/>
      </w:r>
      <w:r w:rsidR="00253C06">
        <w:t xml:space="preserve"> As well, if a settlement offer goes to class members at the same time as an opt-in/opt-out notice, there is potential for confusion.</w:t>
      </w:r>
      <w:r w:rsidR="00D629FA">
        <w:rPr>
          <w:rFonts w:ascii="ZWAdobeF" w:hAnsi="ZWAdobeF" w:cs="ZWAdobeF"/>
          <w:color w:val="auto"/>
          <w:sz w:val="2"/>
          <w:szCs w:val="2"/>
        </w:rPr>
        <w:t>405F</w:t>
      </w:r>
      <w:r w:rsidR="0049638A">
        <w:rPr>
          <w:rFonts w:ascii="ZWAdobeF" w:hAnsi="ZWAdobeF" w:cs="ZWAdobeF"/>
          <w:color w:val="auto"/>
          <w:sz w:val="2"/>
          <w:szCs w:val="2"/>
        </w:rPr>
        <w:t>405F</w:t>
      </w:r>
      <w:r w:rsidR="00317AE4">
        <w:rPr>
          <w:rFonts w:ascii="ZWAdobeF" w:hAnsi="ZWAdobeF" w:cs="ZWAdobeF"/>
          <w:color w:val="auto"/>
          <w:sz w:val="2"/>
          <w:szCs w:val="2"/>
        </w:rPr>
        <w:t>405F</w:t>
      </w:r>
      <w:r w:rsidR="00253C06">
        <w:rPr>
          <w:rStyle w:val="FootnoteReference"/>
        </w:rPr>
        <w:footnoteReference w:id="407"/>
      </w:r>
      <w:r w:rsidR="00253C06">
        <w:t xml:space="preserve"> </w:t>
      </w:r>
    </w:p>
    <w:p w14:paraId="0E161361" w14:textId="27CE7E6A" w:rsidR="00253C06" w:rsidRDefault="00BD5C95" w:rsidP="009B37CB">
      <w:pPr>
        <w:pStyle w:val="BodyText"/>
        <w:tabs>
          <w:tab w:val="num" w:pos="709"/>
        </w:tabs>
      </w:pPr>
      <w:r>
        <w:rPr>
          <w:rFonts w:ascii="ZWAdobeF" w:hAnsi="ZWAdobeF" w:cs="ZWAdobeF"/>
          <w:color w:val="auto"/>
          <w:sz w:val="2"/>
          <w:szCs w:val="2"/>
        </w:rPr>
        <w:t>261B</w:t>
      </w:r>
      <w:r w:rsidR="0049638A">
        <w:rPr>
          <w:rFonts w:ascii="ZWAdobeF" w:hAnsi="ZWAdobeF" w:cs="ZWAdobeF"/>
          <w:color w:val="auto"/>
          <w:sz w:val="2"/>
          <w:szCs w:val="2"/>
        </w:rPr>
        <w:t>261B</w:t>
      </w:r>
      <w:r w:rsidR="00D629FA">
        <w:rPr>
          <w:rFonts w:ascii="ZWAdobeF" w:hAnsi="ZWAdobeF" w:cs="ZWAdobeF"/>
          <w:color w:val="auto"/>
          <w:sz w:val="2"/>
          <w:szCs w:val="2"/>
        </w:rPr>
        <w:t>261B</w:t>
      </w:r>
      <w:r w:rsidR="00DF4226">
        <w:t>If</w:t>
      </w:r>
      <w:r w:rsidR="00253C06">
        <w:t xml:space="preserve"> an opt-in/opt-out notice requires court approval, it seems fair that the court’s supervisory power would also attach to communications of a similar nature between a defendant (or their legal representatives) and the class.</w:t>
      </w:r>
      <w:r w:rsidR="00D629FA">
        <w:rPr>
          <w:rFonts w:ascii="ZWAdobeF" w:hAnsi="ZWAdobeF" w:cs="ZWAdobeF"/>
          <w:color w:val="auto"/>
          <w:sz w:val="2"/>
          <w:szCs w:val="2"/>
        </w:rPr>
        <w:t>406F</w:t>
      </w:r>
      <w:r w:rsidR="0049638A">
        <w:rPr>
          <w:rFonts w:ascii="ZWAdobeF" w:hAnsi="ZWAdobeF" w:cs="ZWAdobeF"/>
          <w:color w:val="auto"/>
          <w:sz w:val="2"/>
          <w:szCs w:val="2"/>
        </w:rPr>
        <w:t>406F</w:t>
      </w:r>
      <w:r w:rsidR="00317AE4">
        <w:rPr>
          <w:rFonts w:ascii="ZWAdobeF" w:hAnsi="ZWAdobeF" w:cs="ZWAdobeF"/>
          <w:color w:val="auto"/>
          <w:sz w:val="2"/>
          <w:szCs w:val="2"/>
        </w:rPr>
        <w:t>406F</w:t>
      </w:r>
      <w:r w:rsidR="00253C06">
        <w:rPr>
          <w:rStyle w:val="FootnoteReference"/>
        </w:rPr>
        <w:footnoteReference w:id="408"/>
      </w:r>
      <w:r w:rsidR="00253C06">
        <w:t xml:space="preserve"> We think communications about individual settlement</w:t>
      </w:r>
      <w:r w:rsidR="00335BFC">
        <w:t>s</w:t>
      </w:r>
      <w:r w:rsidR="00253C06">
        <w:t xml:space="preserve"> are similar to an opt-in/opt-out notice as they may seek to encourage a class member not to participate in a class action.  We see such communications as effectively a counter to an opt-in/opt-out notice. </w:t>
      </w:r>
    </w:p>
    <w:p w14:paraId="7FF23A6A" w14:textId="6B9704A9" w:rsidR="00253C06" w:rsidRDefault="00BD5C95" w:rsidP="009B37CB">
      <w:pPr>
        <w:pStyle w:val="BodyText"/>
        <w:tabs>
          <w:tab w:val="num" w:pos="709"/>
        </w:tabs>
      </w:pPr>
      <w:r>
        <w:rPr>
          <w:rFonts w:ascii="ZWAdobeF" w:hAnsi="ZWAdobeF" w:cs="ZWAdobeF"/>
          <w:color w:val="auto"/>
          <w:sz w:val="2"/>
          <w:szCs w:val="2"/>
        </w:rPr>
        <w:t>262B</w:t>
      </w:r>
      <w:r w:rsidR="0049638A">
        <w:rPr>
          <w:rFonts w:ascii="ZWAdobeF" w:hAnsi="ZWAdobeF" w:cs="ZWAdobeF"/>
          <w:color w:val="auto"/>
          <w:sz w:val="2"/>
          <w:szCs w:val="2"/>
        </w:rPr>
        <w:t>262B</w:t>
      </w:r>
      <w:r w:rsidR="00D629FA">
        <w:rPr>
          <w:rFonts w:ascii="ZWAdobeF" w:hAnsi="ZWAdobeF" w:cs="ZWAdobeF"/>
          <w:color w:val="auto"/>
          <w:sz w:val="2"/>
          <w:szCs w:val="2"/>
        </w:rPr>
        <w:t>262B</w:t>
      </w:r>
      <w:r w:rsidR="00253C06">
        <w:t>Accordingly, we think a class actions regime should specify that, after certification, communications with actual or potential class members about individual settlement</w:t>
      </w:r>
      <w:r w:rsidR="00335BFC">
        <w:t>s</w:t>
      </w:r>
      <w:r w:rsidR="00253C06">
        <w:t xml:space="preserve"> require court review. The High Court in Aotearoa New Zealand has already been willing to supervise individual settlement communications prior to close of an opt-out date.</w:t>
      </w:r>
      <w:r w:rsidR="00D629FA">
        <w:rPr>
          <w:rFonts w:ascii="ZWAdobeF" w:hAnsi="ZWAdobeF" w:cs="ZWAdobeF"/>
          <w:color w:val="auto"/>
          <w:sz w:val="2"/>
          <w:szCs w:val="2"/>
        </w:rPr>
        <w:t>407F</w:t>
      </w:r>
      <w:r w:rsidR="0049638A">
        <w:rPr>
          <w:rFonts w:ascii="ZWAdobeF" w:hAnsi="ZWAdobeF" w:cs="ZWAdobeF"/>
          <w:color w:val="auto"/>
          <w:sz w:val="2"/>
          <w:szCs w:val="2"/>
        </w:rPr>
        <w:t>407F</w:t>
      </w:r>
      <w:r w:rsidR="00317AE4">
        <w:rPr>
          <w:rFonts w:ascii="ZWAdobeF" w:hAnsi="ZWAdobeF" w:cs="ZWAdobeF"/>
          <w:color w:val="auto"/>
          <w:sz w:val="2"/>
          <w:szCs w:val="2"/>
        </w:rPr>
        <w:t>407F</w:t>
      </w:r>
      <w:r w:rsidR="00253C06">
        <w:rPr>
          <w:rStyle w:val="FootnoteReference"/>
        </w:rPr>
        <w:footnoteReference w:id="409"/>
      </w:r>
      <w:r w:rsidR="00253C06">
        <w:t xml:space="preserve"> We anticipate the nature of any review would be to check the communication properly characterises the class action and is not otherwise unfair or misleading.</w:t>
      </w:r>
      <w:r w:rsidR="00D629FA">
        <w:rPr>
          <w:rFonts w:ascii="ZWAdobeF" w:hAnsi="ZWAdobeF" w:cs="ZWAdobeF"/>
          <w:color w:val="auto"/>
          <w:sz w:val="2"/>
          <w:szCs w:val="2"/>
        </w:rPr>
        <w:t>408F</w:t>
      </w:r>
      <w:r w:rsidR="0049638A">
        <w:rPr>
          <w:rFonts w:ascii="ZWAdobeF" w:hAnsi="ZWAdobeF" w:cs="ZWAdobeF"/>
          <w:color w:val="auto"/>
          <w:sz w:val="2"/>
          <w:szCs w:val="2"/>
        </w:rPr>
        <w:t>408F</w:t>
      </w:r>
      <w:r w:rsidR="00317AE4">
        <w:rPr>
          <w:rFonts w:ascii="ZWAdobeF" w:hAnsi="ZWAdobeF" w:cs="ZWAdobeF"/>
          <w:color w:val="auto"/>
          <w:sz w:val="2"/>
          <w:szCs w:val="2"/>
        </w:rPr>
        <w:t>408F</w:t>
      </w:r>
      <w:r w:rsidR="00253C06">
        <w:rPr>
          <w:rStyle w:val="FootnoteReference"/>
        </w:rPr>
        <w:footnoteReference w:id="410"/>
      </w:r>
      <w:r w:rsidR="00253C06">
        <w:t xml:space="preserve"> </w:t>
      </w:r>
    </w:p>
    <w:p w14:paraId="0AB7EDF8" w14:textId="35A8485C" w:rsidR="00253C06" w:rsidRDefault="00BD5C95" w:rsidP="009B37CB">
      <w:pPr>
        <w:pStyle w:val="BodyText"/>
        <w:tabs>
          <w:tab w:val="num" w:pos="709"/>
        </w:tabs>
      </w:pPr>
      <w:r>
        <w:rPr>
          <w:rFonts w:ascii="ZWAdobeF" w:hAnsi="ZWAdobeF" w:cs="ZWAdobeF"/>
          <w:color w:val="auto"/>
          <w:sz w:val="2"/>
          <w:szCs w:val="2"/>
        </w:rPr>
        <w:t>263B</w:t>
      </w:r>
      <w:r w:rsidR="0049638A">
        <w:rPr>
          <w:rFonts w:ascii="ZWAdobeF" w:hAnsi="ZWAdobeF" w:cs="ZWAdobeF"/>
          <w:color w:val="auto"/>
          <w:sz w:val="2"/>
          <w:szCs w:val="2"/>
        </w:rPr>
        <w:t>263B</w:t>
      </w:r>
      <w:r w:rsidR="00D629FA">
        <w:rPr>
          <w:rFonts w:ascii="ZWAdobeF" w:hAnsi="ZWAdobeF" w:cs="ZWAdobeF"/>
          <w:color w:val="auto"/>
          <w:sz w:val="2"/>
          <w:szCs w:val="2"/>
        </w:rPr>
        <w:t>263B</w:t>
      </w:r>
      <w:r w:rsidR="007D274E">
        <w:t>We t</w:t>
      </w:r>
      <w:r w:rsidR="0091715C">
        <w:t>hink c</w:t>
      </w:r>
      <w:r w:rsidR="00253C06">
        <w:t xml:space="preserve">ommunications about individual settlements before certification should not automatically require court approval. At this stage, as with communications between the defendant’s lawyer and the class, it is not certain there will be a class action. </w:t>
      </w:r>
    </w:p>
    <w:p w14:paraId="2282C585" w14:textId="45D5C31F" w:rsidR="00C627FE" w:rsidRDefault="00145EFA" w:rsidP="00C627FE">
      <w:pPr>
        <w:pStyle w:val="QuestionBox"/>
      </w:pPr>
      <w:r>
        <w:rPr>
          <w:noProof/>
        </w:rPr>
        <mc:AlternateContent>
          <mc:Choice Requires="wpg">
            <w:drawing>
              <wp:anchor distT="0" distB="0" distL="114300" distR="114300" simplePos="0" relativeHeight="251652156" behindDoc="1" locked="0" layoutInCell="1" allowOverlap="1" wp14:anchorId="34AB68FC" wp14:editId="66F7015F">
                <wp:simplePos x="0" y="0"/>
                <wp:positionH relativeFrom="column">
                  <wp:posOffset>-1833</wp:posOffset>
                </wp:positionH>
                <wp:positionV relativeFrom="paragraph">
                  <wp:posOffset>4529</wp:posOffset>
                </wp:positionV>
                <wp:extent cx="5760085" cy="2147973"/>
                <wp:effectExtent l="0" t="0" r="0" b="5080"/>
                <wp:wrapNone/>
                <wp:docPr id="256" name="Group 256"/>
                <wp:cNvGraphicFramePr/>
                <a:graphic xmlns:a="http://schemas.openxmlformats.org/drawingml/2006/main">
                  <a:graphicData uri="http://schemas.microsoft.com/office/word/2010/wordprocessingGroup">
                    <wpg:wgp>
                      <wpg:cNvGrpSpPr/>
                      <wpg:grpSpPr>
                        <a:xfrm>
                          <a:off x="0" y="0"/>
                          <a:ext cx="5760085" cy="2147973"/>
                          <a:chOff x="0" y="62865"/>
                          <a:chExt cx="5760085" cy="2148191"/>
                        </a:xfrm>
                      </wpg:grpSpPr>
                      <wps:wsp>
                        <wps:cNvPr id="25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409EC1" w14:textId="4F38CB25" w:rsidR="00A55F53" w:rsidRDefault="00A55F53" w:rsidP="00145EFA">
                              <w:pPr>
                                <w:pStyle w:val="BoxTitle"/>
                                <w:spacing w:before="0" w:beforeAutospacing="0"/>
                              </w:pPr>
                              <w:r w:rsidRPr="007F6876">
                                <w:t>QUESTION</w:t>
                              </w:r>
                              <w:r>
                                <w:t>S</w:t>
                              </w:r>
                            </w:p>
                          </w:txbxContent>
                        </wps:txbx>
                        <wps:bodyPr rot="0" vert="horz" wrap="square" lIns="91440" tIns="0" rIns="0" bIns="45720" anchor="ctr" anchorCtr="0" upright="1">
                          <a:noAutofit/>
                        </wps:bodyPr>
                      </wps:wsp>
                      <wpg:grpSp>
                        <wpg:cNvPr id="258" name="Group 53"/>
                        <wpg:cNvGrpSpPr>
                          <a:grpSpLocks/>
                        </wpg:cNvGrpSpPr>
                        <wpg:grpSpPr bwMode="auto">
                          <a:xfrm>
                            <a:off x="0" y="316170"/>
                            <a:ext cx="5760085" cy="1894886"/>
                            <a:chOff x="1837" y="1791"/>
                            <a:chExt cx="9302" cy="20468"/>
                          </a:xfrm>
                        </wpg:grpSpPr>
                        <wps:wsp>
                          <wps:cNvPr id="259" name="Freeform 54"/>
                          <wps:cNvSpPr>
                            <a:spLocks/>
                          </wps:cNvSpPr>
                          <wps:spPr bwMode="auto">
                            <a:xfrm>
                              <a:off x="1837" y="1791"/>
                              <a:ext cx="9302" cy="2046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60"/>
                        <wpg:cNvGrpSpPr/>
                        <wpg:grpSpPr>
                          <a:xfrm>
                            <a:off x="0" y="494036"/>
                            <a:ext cx="1443794" cy="252000"/>
                            <a:chOff x="-15880" y="0"/>
                            <a:chExt cx="1444379" cy="252068"/>
                          </a:xfrm>
                        </wpg:grpSpPr>
                        <wps:wsp>
                          <wps:cNvPr id="265"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172AE7" w14:textId="426F9F23" w:rsidR="00A55F53" w:rsidRPr="00E700FF" w:rsidRDefault="00A55F53" w:rsidP="00145EFA">
                                <w:pPr>
                                  <w:pStyle w:val="BoxTitle"/>
                                  <w:spacing w:before="0" w:beforeAutospacing="0"/>
                                </w:pPr>
                                <w:r w:rsidRPr="001C1B37">
                                  <w:t>Q</w:t>
                                </w:r>
                                <w:r>
                                  <w:t>18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4AB68FC" id="Group 256" o:spid="_x0000_s1321" style="position:absolute;left:0;text-align:left;margin-left:-.15pt;margin-top:.35pt;width:453.55pt;height:169.15pt;z-index:-251664324;mso-height-relative:margin" coordorigin=",628" coordsize="57600,2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">
                <v:shape id="_x0000_s132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0409EC1" w14:textId="4F38CB25" w:rsidR="00A55F53" w:rsidRDefault="00A55F53" w:rsidP="00145EFA">
                        <w:pPr>
                          <w:pStyle w:val="BoxTitle"/>
                          <w:spacing w:before="0" w:beforeAutospacing="0"/>
                        </w:pPr>
                        <w:r w:rsidRPr="007F6876">
                          <w:t>QUESTION</w:t>
                        </w:r>
                        <w:r>
                          <w:t>S</w:t>
                        </w:r>
                      </w:p>
                    </w:txbxContent>
                  </v:textbox>
                </v:shape>
                <v:group id="Group 53" o:spid="_x0000_s1323" style="position:absolute;top:3161;width:57600;height:18949" coordorigin="1837,1791" coordsize="9302,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54" o:spid="_x0000_s1324" style="position:absolute;left:1837;top:1791;width:9302;height:2046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" path="m,l9354,r,7809l,7809,,e" fillcolor="#edf2ea" stroked="f">
                    <v:path arrowok="t" o:connecttype="custom" o:connectlocs="0,2621;9302,2621;9302,23089;0,23089;0,2621" o:connectangles="0,0,0,0,0"/>
                  </v:shape>
                </v:group>
                <v:group id="Group 260" o:spid="_x0000_s132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58" o:spid="_x0000_s132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" path="m,l1815,e" filled="f" strokecolor="#72ab6a" strokeweight=".5pt">
                    <v:path arrowok="t" o:connecttype="custom" o:connectlocs="0,0;1073495,0" o:connectangles="0,0"/>
                  </v:shape>
                  <v:shape id="Freeform 66" o:spid="_x0000_s132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A172AE7" w14:textId="426F9F23" w:rsidR="00A55F53" w:rsidRPr="00E700FF" w:rsidRDefault="00A55F53" w:rsidP="00145EFA">
                          <w:pPr>
                            <w:pStyle w:val="BoxTitle"/>
                            <w:spacing w:before="0" w:beforeAutospacing="0"/>
                          </w:pPr>
                          <w:r w:rsidRPr="001C1B37">
                            <w:t>Q</w:t>
                          </w:r>
                          <w:r>
                            <w:t>18</w:t>
                          </w:r>
                        </w:p>
                      </w:txbxContent>
                    </v:textbox>
                  </v:shape>
                </v:group>
              </v:group>
            </w:pict>
          </mc:Fallback>
        </mc:AlternateContent>
      </w:r>
    </w:p>
    <w:p w14:paraId="1D25AD6A" w14:textId="0058CBC0" w:rsidR="005152E4" w:rsidRDefault="005152E4" w:rsidP="00C627FE">
      <w:pPr>
        <w:pStyle w:val="QuestionBox"/>
      </w:pPr>
    </w:p>
    <w:p w14:paraId="4D310781" w14:textId="64589711" w:rsidR="00253C06" w:rsidRDefault="00BD5C95" w:rsidP="00C627FE">
      <w:pPr>
        <w:pStyle w:val="QuestionBox"/>
      </w:pPr>
      <w:r>
        <w:rPr>
          <w:rFonts w:ascii="ZWAdobeF" w:hAnsi="ZWAdobeF" w:cs="ZWAdobeF"/>
          <w:color w:val="auto"/>
          <w:sz w:val="2"/>
          <w:szCs w:val="2"/>
        </w:rPr>
        <w:t>1410B</w:t>
      </w:r>
      <w:r w:rsidR="0049638A">
        <w:rPr>
          <w:rFonts w:ascii="ZWAdobeF" w:hAnsi="ZWAdobeF" w:cs="ZWAdobeF"/>
          <w:color w:val="auto"/>
          <w:sz w:val="2"/>
          <w:szCs w:val="2"/>
        </w:rPr>
        <w:t>1410B</w:t>
      </w:r>
      <w:r w:rsidR="00D629FA">
        <w:rPr>
          <w:rFonts w:ascii="ZWAdobeF" w:hAnsi="ZWAdobeF" w:cs="ZWAdobeF"/>
          <w:color w:val="auto"/>
          <w:sz w:val="2"/>
          <w:szCs w:val="2"/>
        </w:rPr>
        <w:t>1410B</w:t>
      </w:r>
      <w:r w:rsidR="00253C06">
        <w:t xml:space="preserve">Do you agree communications between the defendant’s lawyer and class members should be directed to the representative plaintiff’s lawyer after certification? If not, how should the defendant’s lawyer communicate with class members? </w:t>
      </w:r>
    </w:p>
    <w:p w14:paraId="22CD3961" w14:textId="728FAB7B" w:rsidR="00C627FE" w:rsidRDefault="00BA0CC4" w:rsidP="00C627FE">
      <w:pPr>
        <w:pStyle w:val="QuestionBox"/>
      </w:pPr>
      <w:r>
        <w:rPr>
          <w:noProof/>
        </w:rPr>
        <mc:AlternateContent>
          <mc:Choice Requires="wpg">
            <w:drawing>
              <wp:anchor distT="0" distB="0" distL="114300" distR="114300" simplePos="0" relativeHeight="251652157" behindDoc="1" locked="0" layoutInCell="1" allowOverlap="1" wp14:anchorId="4F63A16F" wp14:editId="2CFC8689">
                <wp:simplePos x="0" y="0"/>
                <wp:positionH relativeFrom="column">
                  <wp:posOffset>0</wp:posOffset>
                </wp:positionH>
                <wp:positionV relativeFrom="paragraph">
                  <wp:posOffset>132715</wp:posOffset>
                </wp:positionV>
                <wp:extent cx="1443794" cy="252000"/>
                <wp:effectExtent l="0" t="0" r="42545" b="0"/>
                <wp:wrapNone/>
                <wp:docPr id="267" name="Group 267"/>
                <wp:cNvGraphicFramePr/>
                <a:graphic xmlns:a="http://schemas.openxmlformats.org/drawingml/2006/main">
                  <a:graphicData uri="http://schemas.microsoft.com/office/word/2010/wordprocessingGroup">
                    <wpg:wgp>
                      <wpg:cNvGrpSpPr/>
                      <wpg:grpSpPr>
                        <a:xfrm>
                          <a:off x="0" y="0"/>
                          <a:ext cx="1443794" cy="252000"/>
                          <a:chOff x="-15880" y="0"/>
                          <a:chExt cx="1444379" cy="252068"/>
                        </a:xfrm>
                      </wpg:grpSpPr>
                      <wps:wsp>
                        <wps:cNvPr id="27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DEC901" w14:textId="03D0079F" w:rsidR="00A55F53" w:rsidRPr="00E700FF" w:rsidRDefault="00A55F53" w:rsidP="00BA0CC4">
                              <w:pPr>
                                <w:pStyle w:val="BoxTitle"/>
                                <w:spacing w:before="0" w:beforeAutospacing="0"/>
                              </w:pPr>
                              <w:r w:rsidRPr="001C1B37">
                                <w:t>Q</w:t>
                              </w:r>
                              <w:r>
                                <w:t>19</w:t>
                              </w:r>
                            </w:p>
                          </w:txbxContent>
                        </wps:txbx>
                        <wps:bodyPr rot="0" vert="horz" wrap="square" lIns="54000" tIns="82800" rIns="91440" bIns="45720" anchor="ctr" anchorCtr="0" upright="1">
                          <a:noAutofit/>
                        </wps:bodyPr>
                      </wps:wsp>
                    </wpg:wgp>
                  </a:graphicData>
                </a:graphic>
              </wp:anchor>
            </w:drawing>
          </mc:Choice>
          <mc:Fallback>
            <w:pict>
              <v:group w14:anchorId="4F63A16F" id="Group 267" o:spid="_x0000_s1328" style="position:absolute;left:0;text-align:left;margin-left:0;margin-top:10.45pt;width:113.7pt;height:19.85pt;z-index:-25166432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">
                <v:shape id="Freeform 58" o:spid="_x0000_s132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" path="m,l1815,e" filled="f" strokecolor="#72ab6a" strokeweight=".5pt">
                  <v:path arrowok="t" o:connecttype="custom" o:connectlocs="0,0;1073495,0" o:connectangles="0,0"/>
                </v:shape>
                <v:shape id="Freeform 66" o:spid="_x0000_s133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BDEC901" w14:textId="03D0079F" w:rsidR="00A55F53" w:rsidRPr="00E700FF" w:rsidRDefault="00A55F53" w:rsidP="00BA0CC4">
                        <w:pPr>
                          <w:pStyle w:val="BoxTitle"/>
                          <w:spacing w:before="0" w:beforeAutospacing="0"/>
                        </w:pPr>
                        <w:r w:rsidRPr="001C1B37">
                          <w:t>Q</w:t>
                        </w:r>
                        <w:r>
                          <w:t>19</w:t>
                        </w:r>
                      </w:p>
                    </w:txbxContent>
                  </v:textbox>
                </v:shape>
              </v:group>
            </w:pict>
          </mc:Fallback>
        </mc:AlternateContent>
      </w:r>
    </w:p>
    <w:p w14:paraId="6CF9B37B" w14:textId="71910ACF" w:rsidR="00253C06" w:rsidRDefault="00BD5C95" w:rsidP="00C627FE">
      <w:pPr>
        <w:pStyle w:val="QuestionBox"/>
      </w:pPr>
      <w:r>
        <w:rPr>
          <w:rFonts w:ascii="ZWAdobeF" w:hAnsi="ZWAdobeF" w:cs="ZWAdobeF"/>
          <w:color w:val="auto"/>
          <w:sz w:val="2"/>
          <w:szCs w:val="2"/>
        </w:rPr>
        <w:t>1411B</w:t>
      </w:r>
      <w:r w:rsidR="0049638A">
        <w:rPr>
          <w:rFonts w:ascii="ZWAdobeF" w:hAnsi="ZWAdobeF" w:cs="ZWAdobeF"/>
          <w:color w:val="auto"/>
          <w:sz w:val="2"/>
          <w:szCs w:val="2"/>
        </w:rPr>
        <w:t>1411B</w:t>
      </w:r>
      <w:r w:rsidR="00D629FA">
        <w:rPr>
          <w:rFonts w:ascii="ZWAdobeF" w:hAnsi="ZWAdobeF" w:cs="ZWAdobeF"/>
          <w:color w:val="auto"/>
          <w:sz w:val="2"/>
          <w:szCs w:val="2"/>
        </w:rPr>
        <w:t>1411B</w:t>
      </w:r>
      <w:r w:rsidR="00253C06">
        <w:t xml:space="preserve">Do you agree </w:t>
      </w:r>
      <w:r w:rsidR="003635D5">
        <w:t xml:space="preserve">the court should review </w:t>
      </w:r>
      <w:r w:rsidR="00253C06">
        <w:t xml:space="preserve">defendant communications with class members about individual settlements after certification? If not, what, if any, defendant communications with class members should require court </w:t>
      </w:r>
      <w:r w:rsidR="00CF2CC2">
        <w:t>review</w:t>
      </w:r>
      <w:r w:rsidR="00253C06">
        <w:t xml:space="preserve">? </w:t>
      </w:r>
    </w:p>
    <w:p w14:paraId="566F544F" w14:textId="0562B181" w:rsidR="00634007" w:rsidRPr="00A730D6" w:rsidRDefault="00A730D6" w:rsidP="00A730D6">
      <w:pPr>
        <w:rPr>
          <w:lang w:val="en-US"/>
        </w:rPr>
      </w:pPr>
      <w:r w:rsidRPr="00D37FCE">
        <w:rPr>
          <w:rFonts w:eastAsiaTheme="minorHAnsi"/>
          <w:noProof/>
          <w:lang w:eastAsia="en-NZ"/>
        </w:rPr>
        <mc:AlternateContent>
          <mc:Choice Requires="wpg">
            <w:drawing>
              <wp:anchor distT="0" distB="0" distL="114300" distR="114300" simplePos="0" relativeHeight="251651086" behindDoc="1" locked="0" layoutInCell="1" allowOverlap="1" wp14:anchorId="796D848A" wp14:editId="030AE100">
                <wp:simplePos x="0" y="0"/>
                <wp:positionH relativeFrom="page">
                  <wp:posOffset>1071245</wp:posOffset>
                </wp:positionH>
                <wp:positionV relativeFrom="paragraph">
                  <wp:posOffset>643255</wp:posOffset>
                </wp:positionV>
                <wp:extent cx="2412000" cy="1270"/>
                <wp:effectExtent l="0" t="19050" r="26670" b="17780"/>
                <wp:wrapNone/>
                <wp:docPr id="76451825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8254"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7A4A1" id="Group 135" o:spid="_x0000_s1026" style="position:absolute;margin-left:84.35pt;margin-top:50.65pt;width:189.9pt;height:.1pt;z-index:-251665394;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0802330B" w14:textId="77777777" w:rsidR="003F2AA9" w:rsidRPr="00D37FCE" w:rsidRDefault="003F2AA9" w:rsidP="00634007">
      <w:pPr>
        <w:pStyle w:val="BodyText"/>
        <w:ind w:firstLine="0"/>
        <w:sectPr w:rsidR="003F2AA9" w:rsidRPr="00D37FCE" w:rsidSect="00FD6721">
          <w:headerReference w:type="default" r:id="rId38"/>
          <w:footerReference w:type="even" r:id="rId39"/>
          <w:footnotePr>
            <w:numRestart w:val="eachSect"/>
          </w:footnotePr>
          <w:type w:val="nextColumn"/>
          <w:pgSz w:w="11907" w:h="16840" w:code="9"/>
          <w:pgMar w:top="1134" w:right="1134" w:bottom="1134" w:left="1701" w:header="499" w:footer="499" w:gutter="0"/>
          <w:cols w:space="720"/>
          <w:noEndnote/>
        </w:sectPr>
      </w:pPr>
    </w:p>
    <w:p w14:paraId="576CE664" w14:textId="37C73D8D" w:rsidR="008319CB" w:rsidRPr="00D37FCE" w:rsidRDefault="00BD5C95" w:rsidP="00634007">
      <w:pPr>
        <w:pStyle w:val="HEADING2topchapter-notinTOC"/>
        <w:rPr>
          <w:sz w:val="21"/>
          <w:szCs w:val="21"/>
        </w:rPr>
      </w:pPr>
      <w:r>
        <w:rPr>
          <w:rFonts w:ascii="ZWAdobeF" w:hAnsi="ZWAdobeF" w:cs="ZWAdobeF"/>
          <w:b w:val="0"/>
          <w:color w:val="auto"/>
          <w:sz w:val="2"/>
          <w:szCs w:val="2"/>
        </w:rPr>
        <w:lastRenderedPageBreak/>
        <w:t>939B</w:t>
      </w:r>
      <w:r w:rsidR="0049638A">
        <w:rPr>
          <w:rFonts w:ascii="ZWAdobeF" w:hAnsi="ZWAdobeF" w:cs="ZWAdobeF"/>
          <w:b w:val="0"/>
          <w:color w:val="auto"/>
          <w:sz w:val="2"/>
          <w:szCs w:val="2"/>
        </w:rPr>
        <w:t>939B</w:t>
      </w:r>
      <w:r w:rsidR="00D629FA">
        <w:rPr>
          <w:rFonts w:ascii="ZWAdobeF" w:hAnsi="ZWAdobeF" w:cs="ZWAdobeF"/>
          <w:b w:val="0"/>
          <w:color w:val="auto"/>
          <w:sz w:val="2"/>
          <w:szCs w:val="2"/>
        </w:rPr>
        <w:t>939B</w:t>
      </w:r>
      <w:r w:rsidR="008319CB" w:rsidRPr="00D37FCE">
        <w:t xml:space="preserve">CHAPTER </w:t>
      </w:r>
      <w:r w:rsidR="006E2256" w:rsidRPr="00D37FCE">
        <w:t>4</w:t>
      </w:r>
    </w:p>
    <w:p w14:paraId="07CF696A" w14:textId="77777777" w:rsidR="008319CB" w:rsidRPr="00D37FCE" w:rsidRDefault="008319CB" w:rsidP="008319CB">
      <w:pPr>
        <w:spacing w:line="200" w:lineRule="exact"/>
        <w:rPr>
          <w:szCs w:val="20"/>
        </w:rPr>
      </w:pPr>
      <w:r w:rsidRPr="00D37FCE">
        <w:rPr>
          <w:noProof/>
          <w:lang w:eastAsia="en-NZ"/>
        </w:rPr>
        <mc:AlternateContent>
          <mc:Choice Requires="wpg">
            <w:drawing>
              <wp:anchor distT="0" distB="0" distL="114300" distR="114300" simplePos="0" relativeHeight="251651079" behindDoc="1" locked="0" layoutInCell="1" allowOverlap="1" wp14:anchorId="254C9B8A" wp14:editId="21C4748D">
                <wp:simplePos x="0" y="0"/>
                <wp:positionH relativeFrom="page">
                  <wp:posOffset>1076653</wp:posOffset>
                </wp:positionH>
                <wp:positionV relativeFrom="paragraph">
                  <wp:posOffset>53975</wp:posOffset>
                </wp:positionV>
                <wp:extent cx="1332230" cy="1270"/>
                <wp:effectExtent l="0" t="19050" r="1270" b="1778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6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E34BC" id="Group 466" o:spid="_x0000_s1026" style="position:absolute;margin-left:84.8pt;margin-top:4.25pt;width:104.9pt;height:.1pt;z-index:-25166540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3B0BCE3E" w14:textId="682E18BA" w:rsidR="008319CB" w:rsidRPr="00D37FCE" w:rsidRDefault="006E2256" w:rsidP="00374034">
      <w:pPr>
        <w:pStyle w:val="Heading1"/>
        <w:rPr>
          <w:rFonts w:eastAsia="Metropolis Black"/>
        </w:rPr>
      </w:pPr>
      <w:bookmarkStart w:id="71" w:name="_Toc83895449"/>
      <w:r w:rsidRPr="00D37FCE">
        <w:rPr>
          <w:color w:val="FFFFFF" w:themeColor="background1"/>
          <w:sz w:val="2"/>
          <w:szCs w:val="2"/>
        </w:rPr>
        <w:t>4</w:t>
      </w:r>
      <w:r w:rsidR="005B0F89" w:rsidRPr="00D37FCE">
        <w:rPr>
          <w:color w:val="FFFFFF" w:themeColor="background1"/>
          <w:sz w:val="2"/>
          <w:szCs w:val="2"/>
        </w:rPr>
        <w:t xml:space="preserve"> </w:t>
      </w:r>
      <w:r w:rsidR="003C67BC">
        <w:rPr>
          <w:rFonts w:eastAsia="Metropolis Black"/>
        </w:rPr>
        <w:t>During a class action</w:t>
      </w:r>
      <w:bookmarkEnd w:id="71"/>
      <w:r w:rsidR="00D17EB7" w:rsidRPr="00D37FCE">
        <w:t xml:space="preserve"> </w:t>
      </w:r>
    </w:p>
    <w:p w14:paraId="4EF3E5FB" w14:textId="77777777" w:rsidR="008319CB" w:rsidRPr="00D37FCE" w:rsidRDefault="008319CB" w:rsidP="008319CB">
      <w:pPr>
        <w:spacing w:line="200" w:lineRule="exact"/>
        <w:rPr>
          <w:szCs w:val="20"/>
        </w:rPr>
      </w:pPr>
      <w:r w:rsidRPr="00D37FCE">
        <w:rPr>
          <w:noProof/>
          <w:lang w:eastAsia="en-NZ"/>
        </w:rPr>
        <mc:AlternateContent>
          <mc:Choice Requires="wpg">
            <w:drawing>
              <wp:anchor distT="0" distB="0" distL="114300" distR="114300" simplePos="0" relativeHeight="251651078" behindDoc="1" locked="0" layoutInCell="1" allowOverlap="1" wp14:anchorId="6802998C" wp14:editId="08B80058">
                <wp:simplePos x="0" y="0"/>
                <wp:positionH relativeFrom="page">
                  <wp:posOffset>1087427</wp:posOffset>
                </wp:positionH>
                <wp:positionV relativeFrom="paragraph">
                  <wp:posOffset>71755</wp:posOffset>
                </wp:positionV>
                <wp:extent cx="1332230" cy="1270"/>
                <wp:effectExtent l="0" t="19050" r="1270" b="1778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544A9" id="Group 48" o:spid="_x0000_s1026" style="position:absolute;margin-left:85.6pt;margin-top:5.65pt;width:104.9pt;height:.1pt;z-index:-25166540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DCAB6A1" w14:textId="77777777" w:rsidR="008319CB" w:rsidRPr="00D37FCE" w:rsidRDefault="00A61527" w:rsidP="00932DB9">
      <w:pPr>
        <w:pStyle w:val="ListParagraph"/>
        <w:numPr>
          <w:ilvl w:val="0"/>
          <w:numId w:val="14"/>
        </w:numPr>
        <w:spacing w:before="80" w:after="80"/>
        <w:contextualSpacing w:val="0"/>
        <w:jc w:val="both"/>
        <w:rPr>
          <w:vanish/>
          <w:color w:val="262626" w:themeColor="text1" w:themeTint="D9"/>
          <w:sz w:val="20"/>
        </w:rPr>
      </w:pPr>
      <w:r w:rsidRPr="00D37FCE">
        <w:rPr>
          <w:rFonts w:eastAsia="Metropolis"/>
          <w:noProof/>
        </w:rPr>
        <mc:AlternateContent>
          <mc:Choice Requires="wpg">
            <w:drawing>
              <wp:anchor distT="0" distB="0" distL="114300" distR="114300" simplePos="0" relativeHeight="251652158" behindDoc="1" locked="0" layoutInCell="1" allowOverlap="1" wp14:anchorId="3BD6DC70" wp14:editId="15F1EF83">
                <wp:simplePos x="0" y="0"/>
                <wp:positionH relativeFrom="column">
                  <wp:posOffset>5715</wp:posOffset>
                </wp:positionH>
                <wp:positionV relativeFrom="paragraph">
                  <wp:posOffset>270510</wp:posOffset>
                </wp:positionV>
                <wp:extent cx="5792470" cy="2409828"/>
                <wp:effectExtent l="0" t="0" r="0" b="9525"/>
                <wp:wrapNone/>
                <wp:docPr id="764518298" name="Group 764518298"/>
                <wp:cNvGraphicFramePr/>
                <a:graphic xmlns:a="http://schemas.openxmlformats.org/drawingml/2006/main">
                  <a:graphicData uri="http://schemas.microsoft.com/office/word/2010/wordprocessingGroup">
                    <wpg:wgp>
                      <wpg:cNvGrpSpPr/>
                      <wpg:grpSpPr>
                        <a:xfrm>
                          <a:off x="0" y="0"/>
                          <a:ext cx="5792470" cy="2409828"/>
                          <a:chOff x="0" y="-4768"/>
                          <a:chExt cx="5793105" cy="2412057"/>
                        </a:xfrm>
                      </wpg:grpSpPr>
                      <wpg:grpSp>
                        <wpg:cNvPr id="764518299" name="Group 53"/>
                        <wpg:cNvGrpSpPr>
                          <a:grpSpLocks/>
                        </wpg:cNvGrpSpPr>
                        <wpg:grpSpPr bwMode="auto">
                          <a:xfrm>
                            <a:off x="0" y="314275"/>
                            <a:ext cx="5793105" cy="2093014"/>
                            <a:chOff x="1837" y="1792"/>
                            <a:chExt cx="9354" cy="22598"/>
                          </a:xfrm>
                        </wpg:grpSpPr>
                        <wps:wsp>
                          <wps:cNvPr id="764518300" name="Freeform 54"/>
                          <wps:cNvSpPr>
                            <a:spLocks/>
                          </wps:cNvSpPr>
                          <wps:spPr bwMode="auto">
                            <a:xfrm>
                              <a:off x="1837" y="1792"/>
                              <a:ext cx="9354" cy="2259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01"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4E47A2" w14:textId="41535AF2" w:rsidR="00A55F53" w:rsidRDefault="00A55F53" w:rsidP="0013003A">
                              <w:pPr>
                                <w:pStyle w:val="BoxTitle"/>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3BD6DC70" id="Group 764518298" o:spid="_x0000_s1331" style="position:absolute;left:0;text-align:left;margin-left:.45pt;margin-top:21.3pt;width:456.1pt;height:189.75pt;z-index:-251664322;mso-height-relative:margin" coordorigin=",-47" coordsize="57931,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">
                <v:group id="Group 53" o:spid="_x0000_s1332" style="position:absolute;top:3142;width:57931;height:20930" coordorigin="1837,1792" coordsize="9354,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">
                  <v:shape id="Freeform 54" o:spid="_x0000_s1333" style="position:absolute;left:1837;top:1792;width:9354;height:2259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" path="m,l9354,r,7809l,7809,,e" fillcolor="#edf2ea" stroked="f">
                    <v:path arrowok="t" o:connecttype="custom" o:connectlocs="0,2894;9354,2894;9354,25492;0,25492;0,2894" o:connectangles="0,0,0,0,0"/>
                  </v:shape>
                </v:group>
                <v:shape id="_x0000_s1334"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134E47A2" w14:textId="41535AF2" w:rsidR="00A55F53" w:rsidRDefault="00A55F53" w:rsidP="0013003A">
                        <w:pPr>
                          <w:pStyle w:val="BoxTitle"/>
                        </w:pPr>
                        <w:r>
                          <w:t>INTRODUCTION</w:t>
                        </w:r>
                      </w:p>
                    </w:txbxContent>
                  </v:textbox>
                </v:shape>
              </v:group>
            </w:pict>
          </mc:Fallback>
        </mc:AlternateContent>
      </w:r>
    </w:p>
    <w:p w14:paraId="64CD46A2" w14:textId="77777777" w:rsidR="004202BF" w:rsidRPr="00D37FCE" w:rsidRDefault="004202BF" w:rsidP="004202BF">
      <w:pPr>
        <w:pStyle w:val="BodyTextalphalist"/>
      </w:pPr>
    </w:p>
    <w:p w14:paraId="321B9057" w14:textId="77777777" w:rsidR="004202BF" w:rsidRPr="00D37FCE" w:rsidRDefault="004202BF" w:rsidP="00E76292">
      <w:pPr>
        <w:pStyle w:val="BodyTextalphalist"/>
      </w:pPr>
    </w:p>
    <w:p w14:paraId="667D2B20" w14:textId="77777777" w:rsidR="00A61527" w:rsidRPr="00D37FCE" w:rsidRDefault="00A61527" w:rsidP="00A61527">
      <w:pPr>
        <w:pStyle w:val="QuestionBox"/>
        <w:tabs>
          <w:tab w:val="clear" w:pos="709"/>
        </w:tabs>
        <w:ind w:left="709"/>
      </w:pPr>
    </w:p>
    <w:p w14:paraId="5D6D802A" w14:textId="3A10F657" w:rsidR="00633B5E" w:rsidRDefault="00BD5C95" w:rsidP="00B01DF9">
      <w:pPr>
        <w:pStyle w:val="QuestionBox"/>
        <w:tabs>
          <w:tab w:val="clear" w:pos="709"/>
        </w:tabs>
        <w:ind w:left="709" w:hanging="283"/>
      </w:pPr>
      <w:r>
        <w:rPr>
          <w:rFonts w:ascii="ZWAdobeF" w:hAnsi="ZWAdobeF" w:cs="ZWAdobeF"/>
          <w:color w:val="auto"/>
          <w:sz w:val="2"/>
          <w:szCs w:val="2"/>
        </w:rPr>
        <w:t>1412B</w:t>
      </w:r>
      <w:r w:rsidR="0049638A">
        <w:rPr>
          <w:rFonts w:ascii="ZWAdobeF" w:hAnsi="ZWAdobeF" w:cs="ZWAdobeF"/>
          <w:color w:val="auto"/>
          <w:sz w:val="2"/>
          <w:szCs w:val="2"/>
        </w:rPr>
        <w:t>1412B</w:t>
      </w:r>
      <w:r w:rsidR="00D629FA">
        <w:rPr>
          <w:rFonts w:ascii="ZWAdobeF" w:hAnsi="ZWAdobeF" w:cs="ZWAdobeF"/>
          <w:color w:val="auto"/>
          <w:sz w:val="2"/>
          <w:szCs w:val="2"/>
        </w:rPr>
        <w:t>1412B</w:t>
      </w:r>
      <w:r w:rsidR="00633B5E">
        <w:t>In this chapter, we discuss several issues that may arise during a class action:</w:t>
      </w:r>
    </w:p>
    <w:p w14:paraId="4CDABB33" w14:textId="1C606BB6" w:rsidR="00633B5E" w:rsidRDefault="00BD5C95" w:rsidP="003E2524">
      <w:pPr>
        <w:pStyle w:val="QuestionBox"/>
        <w:numPr>
          <w:ilvl w:val="0"/>
          <w:numId w:val="22"/>
        </w:numPr>
        <w:tabs>
          <w:tab w:val="clear" w:pos="709"/>
        </w:tabs>
        <w:ind w:left="709" w:hanging="283"/>
      </w:pPr>
      <w:r>
        <w:rPr>
          <w:rFonts w:ascii="ZWAdobeF" w:hAnsi="ZWAdobeF" w:cs="ZWAdobeF"/>
          <w:color w:val="auto"/>
          <w:sz w:val="2"/>
          <w:szCs w:val="2"/>
        </w:rPr>
        <w:t>1413B</w:t>
      </w:r>
      <w:r w:rsidR="0049638A">
        <w:rPr>
          <w:rFonts w:ascii="ZWAdobeF" w:hAnsi="ZWAdobeF" w:cs="ZWAdobeF"/>
          <w:color w:val="auto"/>
          <w:sz w:val="2"/>
          <w:szCs w:val="2"/>
        </w:rPr>
        <w:t>1413B</w:t>
      </w:r>
      <w:r w:rsidR="00D629FA">
        <w:rPr>
          <w:rFonts w:ascii="ZWAdobeF" w:hAnsi="ZWAdobeF" w:cs="ZWAdobeF"/>
          <w:color w:val="auto"/>
          <w:sz w:val="2"/>
          <w:szCs w:val="2"/>
        </w:rPr>
        <w:t>1413B</w:t>
      </w:r>
      <w:r w:rsidR="00633B5E">
        <w:t xml:space="preserve">When notice of </w:t>
      </w:r>
      <w:r w:rsidR="00AA76EB">
        <w:t xml:space="preserve">events </w:t>
      </w:r>
      <w:r w:rsidR="00767D17">
        <w:t xml:space="preserve">in a class action </w:t>
      </w:r>
      <w:r w:rsidR="00633B5E">
        <w:t>ought to be given to class members.</w:t>
      </w:r>
    </w:p>
    <w:p w14:paraId="7E4C7B99" w14:textId="18EB77D2" w:rsidR="00633B5E" w:rsidRDefault="00BD5C95" w:rsidP="003E2524">
      <w:pPr>
        <w:pStyle w:val="QuestionBox"/>
        <w:numPr>
          <w:ilvl w:val="0"/>
          <w:numId w:val="22"/>
        </w:numPr>
        <w:tabs>
          <w:tab w:val="clear" w:pos="709"/>
        </w:tabs>
        <w:ind w:left="709" w:hanging="283"/>
      </w:pPr>
      <w:r>
        <w:rPr>
          <w:rFonts w:ascii="ZWAdobeF" w:hAnsi="ZWAdobeF" w:cs="ZWAdobeF"/>
          <w:color w:val="auto"/>
          <w:sz w:val="2"/>
          <w:szCs w:val="2"/>
        </w:rPr>
        <w:t>1414B</w:t>
      </w:r>
      <w:r w:rsidR="0049638A">
        <w:rPr>
          <w:rFonts w:ascii="ZWAdobeF" w:hAnsi="ZWAdobeF" w:cs="ZWAdobeF"/>
          <w:color w:val="auto"/>
          <w:sz w:val="2"/>
          <w:szCs w:val="2"/>
        </w:rPr>
        <w:t>1414B</w:t>
      </w:r>
      <w:r w:rsidR="00D629FA">
        <w:rPr>
          <w:rFonts w:ascii="ZWAdobeF" w:hAnsi="ZWAdobeF" w:cs="ZWAdobeF"/>
          <w:color w:val="auto"/>
          <w:sz w:val="2"/>
          <w:szCs w:val="2"/>
        </w:rPr>
        <w:t>1414B</w:t>
      </w:r>
      <w:r w:rsidR="00633B5E">
        <w:t>Case management of class actions.</w:t>
      </w:r>
    </w:p>
    <w:p w14:paraId="572EA83F" w14:textId="14D3B5A0" w:rsidR="00633B5E" w:rsidRDefault="00BD5C95" w:rsidP="003E2524">
      <w:pPr>
        <w:pStyle w:val="QuestionBox"/>
        <w:numPr>
          <w:ilvl w:val="0"/>
          <w:numId w:val="22"/>
        </w:numPr>
        <w:tabs>
          <w:tab w:val="clear" w:pos="709"/>
        </w:tabs>
        <w:ind w:left="709" w:hanging="283"/>
      </w:pPr>
      <w:r>
        <w:rPr>
          <w:rFonts w:ascii="ZWAdobeF" w:hAnsi="ZWAdobeF" w:cs="ZWAdobeF"/>
          <w:color w:val="auto"/>
          <w:sz w:val="2"/>
          <w:szCs w:val="2"/>
        </w:rPr>
        <w:t>1415B</w:t>
      </w:r>
      <w:r w:rsidR="0049638A">
        <w:rPr>
          <w:rFonts w:ascii="ZWAdobeF" w:hAnsi="ZWAdobeF" w:cs="ZWAdobeF"/>
          <w:color w:val="auto"/>
          <w:sz w:val="2"/>
          <w:szCs w:val="2"/>
        </w:rPr>
        <w:t>1415B</w:t>
      </w:r>
      <w:r w:rsidR="00D629FA">
        <w:rPr>
          <w:rFonts w:ascii="ZWAdobeF" w:hAnsi="ZWAdobeF" w:cs="ZWAdobeF"/>
          <w:color w:val="auto"/>
          <w:sz w:val="2"/>
          <w:szCs w:val="2"/>
        </w:rPr>
        <w:t>1415B</w:t>
      </w:r>
      <w:r w:rsidR="00633B5E">
        <w:t>Managing individual issues.</w:t>
      </w:r>
    </w:p>
    <w:p w14:paraId="33F968E8" w14:textId="17D656FC" w:rsidR="00633B5E" w:rsidRDefault="00BD5C95" w:rsidP="003E2524">
      <w:pPr>
        <w:pStyle w:val="QuestionBox"/>
        <w:numPr>
          <w:ilvl w:val="0"/>
          <w:numId w:val="22"/>
        </w:numPr>
        <w:tabs>
          <w:tab w:val="clear" w:pos="709"/>
        </w:tabs>
        <w:ind w:left="709" w:hanging="283"/>
      </w:pPr>
      <w:r>
        <w:rPr>
          <w:rFonts w:ascii="ZWAdobeF" w:hAnsi="ZWAdobeF" w:cs="ZWAdobeF"/>
          <w:color w:val="auto"/>
          <w:sz w:val="2"/>
          <w:szCs w:val="2"/>
        </w:rPr>
        <w:t>1416B</w:t>
      </w:r>
      <w:r w:rsidR="0049638A">
        <w:rPr>
          <w:rFonts w:ascii="ZWAdobeF" w:hAnsi="ZWAdobeF" w:cs="ZWAdobeF"/>
          <w:color w:val="auto"/>
          <w:sz w:val="2"/>
          <w:szCs w:val="2"/>
        </w:rPr>
        <w:t>1416B</w:t>
      </w:r>
      <w:r w:rsidR="00D629FA">
        <w:rPr>
          <w:rFonts w:ascii="ZWAdobeF" w:hAnsi="ZWAdobeF" w:cs="ZWAdobeF"/>
          <w:color w:val="auto"/>
          <w:sz w:val="2"/>
          <w:szCs w:val="2"/>
        </w:rPr>
        <w:t>1416B</w:t>
      </w:r>
      <w:r w:rsidR="00633B5E">
        <w:t>Discovery in class actions.</w:t>
      </w:r>
    </w:p>
    <w:p w14:paraId="5A37E541" w14:textId="18ABF4AD" w:rsidR="00633B5E" w:rsidRDefault="00BD5C95" w:rsidP="003E2524">
      <w:pPr>
        <w:pStyle w:val="QuestionBox"/>
        <w:numPr>
          <w:ilvl w:val="0"/>
          <w:numId w:val="22"/>
        </w:numPr>
        <w:tabs>
          <w:tab w:val="clear" w:pos="709"/>
        </w:tabs>
        <w:ind w:left="709" w:hanging="283"/>
      </w:pPr>
      <w:r>
        <w:rPr>
          <w:rFonts w:ascii="ZWAdobeF" w:hAnsi="ZWAdobeF" w:cs="ZWAdobeF"/>
          <w:color w:val="auto"/>
          <w:sz w:val="2"/>
          <w:szCs w:val="2"/>
        </w:rPr>
        <w:t>1417B</w:t>
      </w:r>
      <w:r w:rsidR="0049638A">
        <w:rPr>
          <w:rFonts w:ascii="ZWAdobeF" w:hAnsi="ZWAdobeF" w:cs="ZWAdobeF"/>
          <w:color w:val="auto"/>
          <w:sz w:val="2"/>
          <w:szCs w:val="2"/>
        </w:rPr>
        <w:t>1417B</w:t>
      </w:r>
      <w:r w:rsidR="00D629FA">
        <w:rPr>
          <w:rFonts w:ascii="ZWAdobeF" w:hAnsi="ZWAdobeF" w:cs="ZWAdobeF"/>
          <w:color w:val="auto"/>
          <w:sz w:val="2"/>
          <w:szCs w:val="2"/>
        </w:rPr>
        <w:t>1417B</w:t>
      </w:r>
      <w:r w:rsidR="00633B5E">
        <w:t>Funding orders in class actions</w:t>
      </w:r>
    </w:p>
    <w:p w14:paraId="77AF8677" w14:textId="77777777" w:rsidR="00A61527" w:rsidRPr="00D37FCE" w:rsidRDefault="00A61527" w:rsidP="00A61527">
      <w:pPr>
        <w:pStyle w:val="QuestionBox"/>
        <w:tabs>
          <w:tab w:val="clear" w:pos="709"/>
        </w:tabs>
        <w:ind w:left="709"/>
      </w:pPr>
    </w:p>
    <w:p w14:paraId="26979046" w14:textId="77777777" w:rsidR="00D36A28" w:rsidRDefault="00D36A28" w:rsidP="00BA0CC4">
      <w:pPr>
        <w:pStyle w:val="Heading2"/>
      </w:pPr>
      <w:bookmarkStart w:id="72" w:name="_Toc83895450"/>
      <w:bookmarkStart w:id="73" w:name="_Hlk66102794"/>
      <w:r>
        <w:t>Notice to class members</w:t>
      </w:r>
      <w:bookmarkEnd w:id="72"/>
    </w:p>
    <w:p w14:paraId="1F869716" w14:textId="1AA05913" w:rsidR="00D36A28" w:rsidRDefault="00BD5C95" w:rsidP="00932DB9">
      <w:pPr>
        <w:pStyle w:val="BodyText"/>
        <w:rPr>
          <w:szCs w:val="20"/>
        </w:rPr>
      </w:pPr>
      <w:r>
        <w:rPr>
          <w:rFonts w:ascii="ZWAdobeF" w:hAnsi="ZWAdobeF" w:cs="ZWAdobeF"/>
          <w:color w:val="auto"/>
          <w:sz w:val="2"/>
          <w:szCs w:val="2"/>
        </w:rPr>
        <w:t>264B</w:t>
      </w:r>
      <w:r w:rsidR="0049638A">
        <w:rPr>
          <w:rFonts w:ascii="ZWAdobeF" w:hAnsi="ZWAdobeF" w:cs="ZWAdobeF"/>
          <w:color w:val="auto"/>
          <w:sz w:val="2"/>
          <w:szCs w:val="2"/>
        </w:rPr>
        <w:t>264B</w:t>
      </w:r>
      <w:r w:rsidR="00D629FA">
        <w:rPr>
          <w:rFonts w:ascii="ZWAdobeF" w:hAnsi="ZWAdobeF" w:cs="ZWAdobeF"/>
          <w:color w:val="auto"/>
          <w:sz w:val="2"/>
          <w:szCs w:val="2"/>
        </w:rPr>
        <w:t>264B</w:t>
      </w:r>
      <w:r w:rsidR="00D36A28">
        <w:rPr>
          <w:szCs w:val="20"/>
        </w:rPr>
        <w:t>Providing class members with adequate notice of events in the class action is an important way of ensuring that their interests are protected</w:t>
      </w:r>
      <w:r w:rsidR="00D36A28" w:rsidRPr="00803DD7">
        <w:rPr>
          <w:szCs w:val="20"/>
        </w:rPr>
        <w:t>.</w:t>
      </w:r>
      <w:r w:rsidR="00D629FA">
        <w:rPr>
          <w:rFonts w:ascii="ZWAdobeF" w:hAnsi="ZWAdobeF" w:cs="ZWAdobeF"/>
          <w:color w:val="auto"/>
          <w:sz w:val="2"/>
          <w:szCs w:val="2"/>
        </w:rPr>
        <w:t>409F</w:t>
      </w:r>
      <w:r w:rsidR="0049638A">
        <w:rPr>
          <w:rFonts w:ascii="ZWAdobeF" w:hAnsi="ZWAdobeF" w:cs="ZWAdobeF"/>
          <w:color w:val="auto"/>
          <w:sz w:val="2"/>
          <w:szCs w:val="2"/>
        </w:rPr>
        <w:t>409F</w:t>
      </w:r>
      <w:r w:rsidR="00317AE4">
        <w:rPr>
          <w:rFonts w:ascii="ZWAdobeF" w:hAnsi="ZWAdobeF" w:cs="ZWAdobeF"/>
          <w:color w:val="auto"/>
          <w:sz w:val="2"/>
          <w:szCs w:val="2"/>
        </w:rPr>
        <w:t>409F</w:t>
      </w:r>
      <w:r w:rsidR="00D36A28">
        <w:rPr>
          <w:rStyle w:val="FootnoteReference"/>
          <w:szCs w:val="20"/>
        </w:rPr>
        <w:footnoteReference w:id="411"/>
      </w:r>
      <w:r w:rsidR="00D36A28">
        <w:rPr>
          <w:szCs w:val="20"/>
        </w:rPr>
        <w:t xml:space="preserve"> This section considers when notice should be required, how notice should be given and whether the defendant should have any obligations with respect to notice. We also consider the contents of the opt-in or opt-out notice.</w:t>
      </w:r>
      <w:r w:rsidR="00D629FA">
        <w:rPr>
          <w:rFonts w:ascii="ZWAdobeF" w:hAnsi="ZWAdobeF" w:cs="ZWAdobeF"/>
          <w:color w:val="auto"/>
          <w:sz w:val="2"/>
          <w:szCs w:val="2"/>
        </w:rPr>
        <w:t>410F</w:t>
      </w:r>
      <w:r w:rsidR="0049638A">
        <w:rPr>
          <w:rFonts w:ascii="ZWAdobeF" w:hAnsi="ZWAdobeF" w:cs="ZWAdobeF"/>
          <w:color w:val="auto"/>
          <w:sz w:val="2"/>
          <w:szCs w:val="2"/>
        </w:rPr>
        <w:t>410F</w:t>
      </w:r>
      <w:r w:rsidR="00317AE4">
        <w:rPr>
          <w:rFonts w:ascii="ZWAdobeF" w:hAnsi="ZWAdobeF" w:cs="ZWAdobeF"/>
          <w:color w:val="auto"/>
          <w:sz w:val="2"/>
          <w:szCs w:val="2"/>
        </w:rPr>
        <w:t>410F</w:t>
      </w:r>
      <w:r w:rsidR="00D36A28">
        <w:rPr>
          <w:rStyle w:val="FootnoteReference"/>
          <w:szCs w:val="20"/>
        </w:rPr>
        <w:footnoteReference w:id="412"/>
      </w:r>
      <w:r w:rsidR="00D36A28">
        <w:rPr>
          <w:szCs w:val="20"/>
        </w:rPr>
        <w:t xml:space="preserve"> </w:t>
      </w:r>
    </w:p>
    <w:p w14:paraId="095EEFAD" w14:textId="77777777" w:rsidR="00D36A28" w:rsidRPr="005D5DE6" w:rsidRDefault="00D36A28" w:rsidP="003524AF">
      <w:pPr>
        <w:pStyle w:val="Heading3"/>
      </w:pPr>
      <w:r>
        <w:t xml:space="preserve">When should notice be required? </w:t>
      </w:r>
    </w:p>
    <w:p w14:paraId="1A1D7AAB" w14:textId="71885C5C" w:rsidR="00D36A28" w:rsidRPr="00257D5D" w:rsidRDefault="00BD5C95" w:rsidP="00932DB9">
      <w:pPr>
        <w:pStyle w:val="BodyText"/>
        <w:rPr>
          <w:szCs w:val="20"/>
        </w:rPr>
      </w:pPr>
      <w:r>
        <w:rPr>
          <w:rFonts w:ascii="ZWAdobeF" w:hAnsi="ZWAdobeF" w:cs="ZWAdobeF"/>
          <w:color w:val="auto"/>
          <w:sz w:val="2"/>
          <w:szCs w:val="2"/>
        </w:rPr>
        <w:t>265B</w:t>
      </w:r>
      <w:r w:rsidR="0049638A">
        <w:rPr>
          <w:rFonts w:ascii="ZWAdobeF" w:hAnsi="ZWAdobeF" w:cs="ZWAdobeF"/>
          <w:color w:val="auto"/>
          <w:sz w:val="2"/>
          <w:szCs w:val="2"/>
        </w:rPr>
        <w:t>265B</w:t>
      </w:r>
      <w:r w:rsidR="00D629FA">
        <w:rPr>
          <w:rFonts w:ascii="ZWAdobeF" w:hAnsi="ZWAdobeF" w:cs="ZWAdobeF"/>
          <w:color w:val="auto"/>
          <w:sz w:val="2"/>
          <w:szCs w:val="2"/>
        </w:rPr>
        <w:t>265B</w:t>
      </w:r>
      <w:r w:rsidR="00D36A28">
        <w:rPr>
          <w:szCs w:val="20"/>
        </w:rPr>
        <w:t>O</w:t>
      </w:r>
      <w:r w:rsidR="00D36A28" w:rsidRPr="00257D5D">
        <w:rPr>
          <w:szCs w:val="20"/>
        </w:rPr>
        <w:t xml:space="preserve">ur main comparator jurisdictions </w:t>
      </w:r>
      <w:r w:rsidR="00D36A28">
        <w:rPr>
          <w:szCs w:val="20"/>
        </w:rPr>
        <w:t xml:space="preserve">all </w:t>
      </w:r>
      <w:r w:rsidR="00D36A28" w:rsidRPr="00257D5D">
        <w:rPr>
          <w:szCs w:val="20"/>
        </w:rPr>
        <w:t xml:space="preserve">specify that notice should be given at the beginning of a class action. </w:t>
      </w:r>
      <w:r w:rsidR="00D36A28">
        <w:rPr>
          <w:szCs w:val="20"/>
        </w:rPr>
        <w:t xml:space="preserve">This occurs after the class action is commenced in Australia and after certification in Canada, the United States and the United Kingdom Competition Appeal </w:t>
      </w:r>
      <w:r w:rsidR="00D36A28">
        <w:rPr>
          <w:szCs w:val="20"/>
        </w:rPr>
        <w:lastRenderedPageBreak/>
        <w:t>Tribunal.</w:t>
      </w:r>
      <w:r w:rsidR="00D629FA">
        <w:rPr>
          <w:rFonts w:ascii="ZWAdobeF" w:hAnsi="ZWAdobeF" w:cs="ZWAdobeF"/>
          <w:color w:val="auto"/>
          <w:sz w:val="2"/>
          <w:szCs w:val="2"/>
        </w:rPr>
        <w:t>411F</w:t>
      </w:r>
      <w:r w:rsidR="0049638A">
        <w:rPr>
          <w:rFonts w:ascii="ZWAdobeF" w:hAnsi="ZWAdobeF" w:cs="ZWAdobeF"/>
          <w:color w:val="auto"/>
          <w:sz w:val="2"/>
          <w:szCs w:val="2"/>
        </w:rPr>
        <w:t>411F</w:t>
      </w:r>
      <w:r w:rsidR="00317AE4">
        <w:rPr>
          <w:rFonts w:ascii="ZWAdobeF" w:hAnsi="ZWAdobeF" w:cs="ZWAdobeF"/>
          <w:color w:val="auto"/>
          <w:sz w:val="2"/>
          <w:szCs w:val="2"/>
        </w:rPr>
        <w:t>411F</w:t>
      </w:r>
      <w:r w:rsidR="00D36A28">
        <w:rPr>
          <w:rStyle w:val="FootnoteReference"/>
          <w:szCs w:val="20"/>
        </w:rPr>
        <w:footnoteReference w:id="413"/>
      </w:r>
      <w:r w:rsidR="00D36A28">
        <w:rPr>
          <w:szCs w:val="20"/>
        </w:rPr>
        <w:t xml:space="preserve"> In some jurisdictions, there are situations where notice at the commencement of a class action is not mandatory.</w:t>
      </w:r>
      <w:r w:rsidR="00D629FA">
        <w:rPr>
          <w:rFonts w:ascii="ZWAdobeF" w:hAnsi="ZWAdobeF" w:cs="ZWAdobeF"/>
          <w:color w:val="auto"/>
          <w:sz w:val="2"/>
          <w:szCs w:val="2"/>
        </w:rPr>
        <w:t>412F</w:t>
      </w:r>
      <w:r w:rsidR="0049638A">
        <w:rPr>
          <w:rFonts w:ascii="ZWAdobeF" w:hAnsi="ZWAdobeF" w:cs="ZWAdobeF"/>
          <w:color w:val="auto"/>
          <w:sz w:val="2"/>
          <w:szCs w:val="2"/>
        </w:rPr>
        <w:t>412F</w:t>
      </w:r>
      <w:r w:rsidR="00317AE4">
        <w:rPr>
          <w:rFonts w:ascii="ZWAdobeF" w:hAnsi="ZWAdobeF" w:cs="ZWAdobeF"/>
          <w:color w:val="auto"/>
          <w:sz w:val="2"/>
          <w:szCs w:val="2"/>
        </w:rPr>
        <w:t>412F</w:t>
      </w:r>
      <w:r w:rsidR="00D36A28">
        <w:rPr>
          <w:rStyle w:val="FootnoteReference"/>
          <w:szCs w:val="20"/>
        </w:rPr>
        <w:footnoteReference w:id="414"/>
      </w:r>
    </w:p>
    <w:p w14:paraId="77F7BC26" w14:textId="323C1DE3" w:rsidR="00D36A28" w:rsidRPr="0049271C" w:rsidRDefault="00BD5C95" w:rsidP="004959CD">
      <w:pPr>
        <w:pStyle w:val="BodyText"/>
      </w:pPr>
      <w:r>
        <w:rPr>
          <w:rFonts w:ascii="ZWAdobeF" w:hAnsi="ZWAdobeF" w:cs="ZWAdobeF"/>
          <w:color w:val="auto"/>
          <w:sz w:val="2"/>
          <w:szCs w:val="2"/>
        </w:rPr>
        <w:t>266B</w:t>
      </w:r>
      <w:r w:rsidR="0049638A">
        <w:rPr>
          <w:rFonts w:ascii="ZWAdobeF" w:hAnsi="ZWAdobeF" w:cs="ZWAdobeF"/>
          <w:color w:val="auto"/>
          <w:sz w:val="2"/>
          <w:szCs w:val="2"/>
        </w:rPr>
        <w:t>266B</w:t>
      </w:r>
      <w:r w:rsidR="00D629FA">
        <w:rPr>
          <w:rFonts w:ascii="ZWAdobeF" w:hAnsi="ZWAdobeF" w:cs="ZWAdobeF"/>
          <w:color w:val="auto"/>
          <w:sz w:val="2"/>
          <w:szCs w:val="2"/>
        </w:rPr>
        <w:t>266B</w:t>
      </w:r>
      <w:r w:rsidR="00D36A28" w:rsidRPr="004959CD">
        <w:t>Other</w:t>
      </w:r>
      <w:r w:rsidR="00D36A28" w:rsidRPr="0049271C">
        <w:t xml:space="preserve"> events that may trigger notice include</w:t>
      </w:r>
      <w:r w:rsidR="00D36A28">
        <w:t xml:space="preserve"> when</w:t>
      </w:r>
      <w:r w:rsidR="00D36A28" w:rsidRPr="0049271C">
        <w:t xml:space="preserve">: </w:t>
      </w:r>
    </w:p>
    <w:p w14:paraId="75F9E953" w14:textId="174C39C0" w:rsidR="00D36A28" w:rsidRDefault="00BD5C95" w:rsidP="0013686D">
      <w:pPr>
        <w:pStyle w:val="BodyTextnonum"/>
        <w:numPr>
          <w:ilvl w:val="3"/>
          <w:numId w:val="14"/>
        </w:numPr>
        <w:tabs>
          <w:tab w:val="clear" w:pos="1134"/>
        </w:tabs>
        <w:rPr>
          <w:szCs w:val="20"/>
        </w:rPr>
      </w:pPr>
      <w:r>
        <w:rPr>
          <w:rFonts w:ascii="ZWAdobeF" w:hAnsi="ZWAdobeF" w:cs="ZWAdobeF"/>
          <w:color w:val="auto"/>
          <w:sz w:val="2"/>
          <w:szCs w:val="2"/>
        </w:rPr>
        <w:t>708B</w:t>
      </w:r>
      <w:r w:rsidR="0049638A">
        <w:rPr>
          <w:rFonts w:ascii="ZWAdobeF" w:hAnsi="ZWAdobeF" w:cs="ZWAdobeF"/>
          <w:color w:val="auto"/>
          <w:sz w:val="2"/>
          <w:szCs w:val="2"/>
        </w:rPr>
        <w:t>708B</w:t>
      </w:r>
      <w:r w:rsidR="00D629FA">
        <w:rPr>
          <w:rFonts w:ascii="ZWAdobeF" w:hAnsi="ZWAdobeF" w:cs="ZWAdobeF"/>
          <w:color w:val="auto"/>
          <w:sz w:val="2"/>
          <w:szCs w:val="2"/>
        </w:rPr>
        <w:t>708B</w:t>
      </w:r>
      <w:r w:rsidR="00D36A28">
        <w:rPr>
          <w:szCs w:val="20"/>
        </w:rPr>
        <w:t>Additional causes of action are added.</w:t>
      </w:r>
      <w:r w:rsidR="00D629FA">
        <w:rPr>
          <w:rFonts w:ascii="ZWAdobeF" w:hAnsi="ZWAdobeF" w:cs="ZWAdobeF"/>
          <w:color w:val="auto"/>
          <w:sz w:val="2"/>
          <w:szCs w:val="2"/>
        </w:rPr>
        <w:t>413F</w:t>
      </w:r>
      <w:r w:rsidR="0049638A">
        <w:rPr>
          <w:rFonts w:ascii="ZWAdobeF" w:hAnsi="ZWAdobeF" w:cs="ZWAdobeF"/>
          <w:color w:val="auto"/>
          <w:sz w:val="2"/>
          <w:szCs w:val="2"/>
        </w:rPr>
        <w:t>413F</w:t>
      </w:r>
      <w:r w:rsidR="00317AE4">
        <w:rPr>
          <w:rFonts w:ascii="ZWAdobeF" w:hAnsi="ZWAdobeF" w:cs="ZWAdobeF"/>
          <w:color w:val="auto"/>
          <w:sz w:val="2"/>
          <w:szCs w:val="2"/>
        </w:rPr>
        <w:t>413F</w:t>
      </w:r>
      <w:r w:rsidR="00D36A28">
        <w:rPr>
          <w:rStyle w:val="FootnoteReference"/>
          <w:szCs w:val="20"/>
        </w:rPr>
        <w:footnoteReference w:id="415"/>
      </w:r>
    </w:p>
    <w:p w14:paraId="0F79082C" w14:textId="625025D5" w:rsidR="00D36A28" w:rsidRPr="00343AE9" w:rsidRDefault="00BD5C95" w:rsidP="0013686D">
      <w:pPr>
        <w:pStyle w:val="BodyTextnonum"/>
        <w:numPr>
          <w:ilvl w:val="3"/>
          <w:numId w:val="14"/>
        </w:numPr>
        <w:tabs>
          <w:tab w:val="clear" w:pos="1134"/>
        </w:tabs>
        <w:rPr>
          <w:szCs w:val="20"/>
        </w:rPr>
      </w:pPr>
      <w:r>
        <w:rPr>
          <w:rFonts w:ascii="ZWAdobeF" w:hAnsi="ZWAdobeF" w:cs="ZWAdobeF"/>
          <w:color w:val="auto"/>
          <w:sz w:val="2"/>
          <w:szCs w:val="2"/>
        </w:rPr>
        <w:t>709B</w:t>
      </w:r>
      <w:r w:rsidR="0049638A">
        <w:rPr>
          <w:rFonts w:ascii="ZWAdobeF" w:hAnsi="ZWAdobeF" w:cs="ZWAdobeF"/>
          <w:color w:val="auto"/>
          <w:sz w:val="2"/>
          <w:szCs w:val="2"/>
        </w:rPr>
        <w:t>709B</w:t>
      </w:r>
      <w:r w:rsidR="00D629FA">
        <w:rPr>
          <w:rFonts w:ascii="ZWAdobeF" w:hAnsi="ZWAdobeF" w:cs="ZWAdobeF"/>
          <w:color w:val="auto"/>
          <w:sz w:val="2"/>
          <w:szCs w:val="2"/>
        </w:rPr>
        <w:t>709B</w:t>
      </w:r>
      <w:r w:rsidR="00D36A28">
        <w:rPr>
          <w:szCs w:val="20"/>
        </w:rPr>
        <w:t>Individual participation of a class member is required.</w:t>
      </w:r>
      <w:r w:rsidR="00D629FA">
        <w:rPr>
          <w:rFonts w:ascii="ZWAdobeF" w:hAnsi="ZWAdobeF" w:cs="ZWAdobeF"/>
          <w:color w:val="auto"/>
          <w:sz w:val="2"/>
          <w:szCs w:val="2"/>
        </w:rPr>
        <w:t>414F</w:t>
      </w:r>
      <w:r w:rsidR="0049638A">
        <w:rPr>
          <w:rFonts w:ascii="ZWAdobeF" w:hAnsi="ZWAdobeF" w:cs="ZWAdobeF"/>
          <w:color w:val="auto"/>
          <w:sz w:val="2"/>
          <w:szCs w:val="2"/>
        </w:rPr>
        <w:t>414F</w:t>
      </w:r>
      <w:r w:rsidR="00317AE4">
        <w:rPr>
          <w:rFonts w:ascii="ZWAdobeF" w:hAnsi="ZWAdobeF" w:cs="ZWAdobeF"/>
          <w:color w:val="auto"/>
          <w:sz w:val="2"/>
          <w:szCs w:val="2"/>
        </w:rPr>
        <w:t>414F</w:t>
      </w:r>
      <w:r w:rsidR="00D36A28">
        <w:rPr>
          <w:rStyle w:val="FootnoteReference"/>
          <w:szCs w:val="20"/>
        </w:rPr>
        <w:footnoteReference w:id="416"/>
      </w:r>
    </w:p>
    <w:p w14:paraId="313B2C91" w14:textId="37C8473A" w:rsidR="00D36A28" w:rsidRDefault="00BD5C95" w:rsidP="0013686D">
      <w:pPr>
        <w:pStyle w:val="BodyTextnonum"/>
        <w:numPr>
          <w:ilvl w:val="3"/>
          <w:numId w:val="14"/>
        </w:numPr>
        <w:tabs>
          <w:tab w:val="clear" w:pos="1134"/>
        </w:tabs>
        <w:rPr>
          <w:szCs w:val="20"/>
        </w:rPr>
      </w:pPr>
      <w:r>
        <w:rPr>
          <w:rFonts w:ascii="ZWAdobeF" w:hAnsi="ZWAdobeF" w:cs="ZWAdobeF"/>
          <w:color w:val="auto"/>
          <w:sz w:val="2"/>
          <w:szCs w:val="2"/>
        </w:rPr>
        <w:t>710B</w:t>
      </w:r>
      <w:r w:rsidR="0049638A">
        <w:rPr>
          <w:rFonts w:ascii="ZWAdobeF" w:hAnsi="ZWAdobeF" w:cs="ZWAdobeF"/>
          <w:color w:val="auto"/>
          <w:sz w:val="2"/>
          <w:szCs w:val="2"/>
        </w:rPr>
        <w:t>710B</w:t>
      </w:r>
      <w:r w:rsidR="00D629FA">
        <w:rPr>
          <w:rFonts w:ascii="ZWAdobeF" w:hAnsi="ZWAdobeF" w:cs="ZWAdobeF"/>
          <w:color w:val="auto"/>
          <w:sz w:val="2"/>
          <w:szCs w:val="2"/>
        </w:rPr>
        <w:t>710B</w:t>
      </w:r>
      <w:r w:rsidR="00D36A28">
        <w:rPr>
          <w:szCs w:val="20"/>
        </w:rPr>
        <w:t>The representative plaintiff wants to withdraw as representative plaintiff.</w:t>
      </w:r>
      <w:r w:rsidR="00D629FA">
        <w:rPr>
          <w:rFonts w:ascii="ZWAdobeF" w:hAnsi="ZWAdobeF" w:cs="ZWAdobeF"/>
          <w:color w:val="auto"/>
          <w:sz w:val="2"/>
          <w:szCs w:val="2"/>
        </w:rPr>
        <w:t>415F</w:t>
      </w:r>
      <w:r w:rsidR="0049638A">
        <w:rPr>
          <w:rFonts w:ascii="ZWAdobeF" w:hAnsi="ZWAdobeF" w:cs="ZWAdobeF"/>
          <w:color w:val="auto"/>
          <w:sz w:val="2"/>
          <w:szCs w:val="2"/>
        </w:rPr>
        <w:t>415F</w:t>
      </w:r>
      <w:r w:rsidR="00317AE4">
        <w:rPr>
          <w:rFonts w:ascii="ZWAdobeF" w:hAnsi="ZWAdobeF" w:cs="ZWAdobeF"/>
          <w:color w:val="auto"/>
          <w:sz w:val="2"/>
          <w:szCs w:val="2"/>
        </w:rPr>
        <w:t>415F</w:t>
      </w:r>
      <w:r w:rsidR="00D36A28">
        <w:rPr>
          <w:rStyle w:val="FootnoteReference"/>
          <w:szCs w:val="20"/>
        </w:rPr>
        <w:footnoteReference w:id="417"/>
      </w:r>
      <w:r w:rsidR="00D36A28">
        <w:rPr>
          <w:szCs w:val="20"/>
        </w:rPr>
        <w:t xml:space="preserve"> </w:t>
      </w:r>
    </w:p>
    <w:p w14:paraId="46299370" w14:textId="196156A9" w:rsidR="00D36A28" w:rsidRDefault="00BD5C95" w:rsidP="0013686D">
      <w:pPr>
        <w:pStyle w:val="BodyTextnonum"/>
        <w:numPr>
          <w:ilvl w:val="3"/>
          <w:numId w:val="14"/>
        </w:numPr>
        <w:tabs>
          <w:tab w:val="clear" w:pos="1134"/>
        </w:tabs>
        <w:rPr>
          <w:szCs w:val="20"/>
        </w:rPr>
      </w:pPr>
      <w:r>
        <w:rPr>
          <w:rFonts w:ascii="ZWAdobeF" w:hAnsi="ZWAdobeF" w:cs="ZWAdobeF"/>
          <w:color w:val="auto"/>
          <w:sz w:val="2"/>
          <w:szCs w:val="2"/>
        </w:rPr>
        <w:t>711B</w:t>
      </w:r>
      <w:r w:rsidR="0049638A">
        <w:rPr>
          <w:rFonts w:ascii="ZWAdobeF" w:hAnsi="ZWAdobeF" w:cs="ZWAdobeF"/>
          <w:color w:val="auto"/>
          <w:sz w:val="2"/>
          <w:szCs w:val="2"/>
        </w:rPr>
        <w:t>711B</w:t>
      </w:r>
      <w:r w:rsidR="00D629FA">
        <w:rPr>
          <w:rFonts w:ascii="ZWAdobeF" w:hAnsi="ZWAdobeF" w:cs="ZWAdobeF"/>
          <w:color w:val="auto"/>
          <w:sz w:val="2"/>
          <w:szCs w:val="2"/>
        </w:rPr>
        <w:t>711B</w:t>
      </w:r>
      <w:r w:rsidR="00D36A28">
        <w:rPr>
          <w:szCs w:val="20"/>
        </w:rPr>
        <w:t>The representative plaintiff wants to settle their individual claim.</w:t>
      </w:r>
      <w:r w:rsidR="00D629FA">
        <w:rPr>
          <w:rFonts w:ascii="ZWAdobeF" w:hAnsi="ZWAdobeF" w:cs="ZWAdobeF"/>
          <w:color w:val="auto"/>
          <w:sz w:val="2"/>
          <w:szCs w:val="2"/>
        </w:rPr>
        <w:t>416F</w:t>
      </w:r>
      <w:r w:rsidR="0049638A">
        <w:rPr>
          <w:rFonts w:ascii="ZWAdobeF" w:hAnsi="ZWAdobeF" w:cs="ZWAdobeF"/>
          <w:color w:val="auto"/>
          <w:sz w:val="2"/>
          <w:szCs w:val="2"/>
        </w:rPr>
        <w:t>416F</w:t>
      </w:r>
      <w:r w:rsidR="00317AE4">
        <w:rPr>
          <w:rFonts w:ascii="ZWAdobeF" w:hAnsi="ZWAdobeF" w:cs="ZWAdobeF"/>
          <w:color w:val="auto"/>
          <w:sz w:val="2"/>
          <w:szCs w:val="2"/>
        </w:rPr>
        <w:t>416F</w:t>
      </w:r>
      <w:r w:rsidR="00D36A28">
        <w:rPr>
          <w:rStyle w:val="FootnoteReference"/>
          <w:szCs w:val="20"/>
        </w:rPr>
        <w:footnoteReference w:id="418"/>
      </w:r>
    </w:p>
    <w:p w14:paraId="440A0495" w14:textId="46465C06" w:rsidR="00D36A28" w:rsidRDefault="00BD5C95" w:rsidP="0013686D">
      <w:pPr>
        <w:pStyle w:val="BodyTextnonum"/>
        <w:numPr>
          <w:ilvl w:val="3"/>
          <w:numId w:val="14"/>
        </w:numPr>
        <w:tabs>
          <w:tab w:val="clear" w:pos="1134"/>
        </w:tabs>
        <w:rPr>
          <w:szCs w:val="20"/>
        </w:rPr>
      </w:pPr>
      <w:r>
        <w:rPr>
          <w:rFonts w:ascii="ZWAdobeF" w:hAnsi="ZWAdobeF" w:cs="ZWAdobeF"/>
          <w:color w:val="auto"/>
          <w:sz w:val="2"/>
          <w:szCs w:val="2"/>
        </w:rPr>
        <w:t>712B</w:t>
      </w:r>
      <w:r w:rsidR="0049638A">
        <w:rPr>
          <w:rFonts w:ascii="ZWAdobeF" w:hAnsi="ZWAdobeF" w:cs="ZWAdobeF"/>
          <w:color w:val="auto"/>
          <w:sz w:val="2"/>
          <w:szCs w:val="2"/>
        </w:rPr>
        <w:t>712B</w:t>
      </w:r>
      <w:r w:rsidR="00D629FA">
        <w:rPr>
          <w:rFonts w:ascii="ZWAdobeF" w:hAnsi="ZWAdobeF" w:cs="ZWAdobeF"/>
          <w:color w:val="auto"/>
          <w:sz w:val="2"/>
          <w:szCs w:val="2"/>
        </w:rPr>
        <w:t>712B</w:t>
      </w:r>
      <w:r w:rsidR="00D36A28">
        <w:rPr>
          <w:szCs w:val="20"/>
        </w:rPr>
        <w:t>The defendant applies to dismiss the proceedings.</w:t>
      </w:r>
      <w:r w:rsidR="00D629FA">
        <w:rPr>
          <w:rFonts w:ascii="ZWAdobeF" w:hAnsi="ZWAdobeF" w:cs="ZWAdobeF"/>
          <w:color w:val="auto"/>
          <w:sz w:val="2"/>
          <w:szCs w:val="2"/>
        </w:rPr>
        <w:t>417F</w:t>
      </w:r>
      <w:r w:rsidR="0049638A">
        <w:rPr>
          <w:rFonts w:ascii="ZWAdobeF" w:hAnsi="ZWAdobeF" w:cs="ZWAdobeF"/>
          <w:color w:val="auto"/>
          <w:sz w:val="2"/>
          <w:szCs w:val="2"/>
        </w:rPr>
        <w:t>417F</w:t>
      </w:r>
      <w:r w:rsidR="00317AE4">
        <w:rPr>
          <w:rFonts w:ascii="ZWAdobeF" w:hAnsi="ZWAdobeF" w:cs="ZWAdobeF"/>
          <w:color w:val="auto"/>
          <w:sz w:val="2"/>
          <w:szCs w:val="2"/>
        </w:rPr>
        <w:t>417F</w:t>
      </w:r>
      <w:r w:rsidR="00D36A28">
        <w:rPr>
          <w:rStyle w:val="FootnoteReference"/>
          <w:szCs w:val="20"/>
        </w:rPr>
        <w:footnoteReference w:id="419"/>
      </w:r>
    </w:p>
    <w:p w14:paraId="4F5E9A40" w14:textId="3C38132E" w:rsidR="00D36A28" w:rsidRDefault="00BD5C95" w:rsidP="0013686D">
      <w:pPr>
        <w:pStyle w:val="BodyTextnonum"/>
        <w:numPr>
          <w:ilvl w:val="3"/>
          <w:numId w:val="14"/>
        </w:numPr>
        <w:tabs>
          <w:tab w:val="clear" w:pos="1134"/>
        </w:tabs>
        <w:rPr>
          <w:szCs w:val="20"/>
        </w:rPr>
      </w:pPr>
      <w:r>
        <w:rPr>
          <w:rFonts w:ascii="ZWAdobeF" w:hAnsi="ZWAdobeF" w:cs="ZWAdobeF"/>
          <w:color w:val="auto"/>
          <w:sz w:val="2"/>
          <w:szCs w:val="2"/>
        </w:rPr>
        <w:t>713B</w:t>
      </w:r>
      <w:r w:rsidR="0049638A">
        <w:rPr>
          <w:rFonts w:ascii="ZWAdobeF" w:hAnsi="ZWAdobeF" w:cs="ZWAdobeF"/>
          <w:color w:val="auto"/>
          <w:sz w:val="2"/>
          <w:szCs w:val="2"/>
        </w:rPr>
        <w:t>713B</w:t>
      </w:r>
      <w:r w:rsidR="00D629FA">
        <w:rPr>
          <w:rFonts w:ascii="ZWAdobeF" w:hAnsi="ZWAdobeF" w:cs="ZWAdobeF"/>
          <w:color w:val="auto"/>
          <w:sz w:val="2"/>
          <w:szCs w:val="2"/>
        </w:rPr>
        <w:t>713B</w:t>
      </w:r>
      <w:r w:rsidR="00D36A28">
        <w:rPr>
          <w:szCs w:val="20"/>
        </w:rPr>
        <w:t>A settlement is proposed</w:t>
      </w:r>
      <w:r w:rsidR="00D629FA">
        <w:rPr>
          <w:rFonts w:ascii="ZWAdobeF" w:hAnsi="ZWAdobeF" w:cs="ZWAdobeF"/>
          <w:color w:val="auto"/>
          <w:sz w:val="2"/>
          <w:szCs w:val="2"/>
        </w:rPr>
        <w:t>418F</w:t>
      </w:r>
      <w:r w:rsidR="0049638A">
        <w:rPr>
          <w:rFonts w:ascii="ZWAdobeF" w:hAnsi="ZWAdobeF" w:cs="ZWAdobeF"/>
          <w:color w:val="auto"/>
          <w:sz w:val="2"/>
          <w:szCs w:val="2"/>
        </w:rPr>
        <w:t>418F</w:t>
      </w:r>
      <w:r w:rsidR="00317AE4">
        <w:rPr>
          <w:rFonts w:ascii="ZWAdobeF" w:hAnsi="ZWAdobeF" w:cs="ZWAdobeF"/>
          <w:color w:val="auto"/>
          <w:sz w:val="2"/>
          <w:szCs w:val="2"/>
        </w:rPr>
        <w:t>418F</w:t>
      </w:r>
      <w:r w:rsidR="00D36A28">
        <w:rPr>
          <w:rStyle w:val="FootnoteReference"/>
        </w:rPr>
        <w:footnoteReference w:id="420"/>
      </w:r>
      <w:r w:rsidR="00D36A28">
        <w:rPr>
          <w:szCs w:val="20"/>
        </w:rPr>
        <w:t xml:space="preserve"> or approved.</w:t>
      </w:r>
      <w:r w:rsidR="00D629FA">
        <w:rPr>
          <w:rFonts w:ascii="ZWAdobeF" w:hAnsi="ZWAdobeF" w:cs="ZWAdobeF"/>
          <w:color w:val="auto"/>
          <w:sz w:val="2"/>
          <w:szCs w:val="2"/>
        </w:rPr>
        <w:t>419F</w:t>
      </w:r>
      <w:r w:rsidR="0049638A">
        <w:rPr>
          <w:rFonts w:ascii="ZWAdobeF" w:hAnsi="ZWAdobeF" w:cs="ZWAdobeF"/>
          <w:color w:val="auto"/>
          <w:sz w:val="2"/>
          <w:szCs w:val="2"/>
        </w:rPr>
        <w:t>419F</w:t>
      </w:r>
      <w:r w:rsidR="00317AE4">
        <w:rPr>
          <w:rFonts w:ascii="ZWAdobeF" w:hAnsi="ZWAdobeF" w:cs="ZWAdobeF"/>
          <w:color w:val="auto"/>
          <w:sz w:val="2"/>
          <w:szCs w:val="2"/>
        </w:rPr>
        <w:t>419F</w:t>
      </w:r>
      <w:r w:rsidR="00D36A28">
        <w:rPr>
          <w:rStyle w:val="FootnoteReference"/>
          <w:szCs w:val="20"/>
        </w:rPr>
        <w:footnoteReference w:id="421"/>
      </w:r>
    </w:p>
    <w:p w14:paraId="7B506615" w14:textId="38EC36C7" w:rsidR="00D36A28" w:rsidRDefault="00BD5C95" w:rsidP="0013686D">
      <w:pPr>
        <w:pStyle w:val="BodyTextnonum"/>
        <w:numPr>
          <w:ilvl w:val="3"/>
          <w:numId w:val="14"/>
        </w:numPr>
        <w:tabs>
          <w:tab w:val="clear" w:pos="1134"/>
        </w:tabs>
        <w:rPr>
          <w:szCs w:val="20"/>
        </w:rPr>
      </w:pPr>
      <w:r>
        <w:rPr>
          <w:rFonts w:ascii="ZWAdobeF" w:hAnsi="ZWAdobeF" w:cs="ZWAdobeF"/>
          <w:color w:val="auto"/>
          <w:sz w:val="2"/>
          <w:szCs w:val="2"/>
        </w:rPr>
        <w:t>714B</w:t>
      </w:r>
      <w:r w:rsidR="0049638A">
        <w:rPr>
          <w:rFonts w:ascii="ZWAdobeF" w:hAnsi="ZWAdobeF" w:cs="ZWAdobeF"/>
          <w:color w:val="auto"/>
          <w:sz w:val="2"/>
          <w:szCs w:val="2"/>
        </w:rPr>
        <w:t>714B</w:t>
      </w:r>
      <w:r w:rsidR="00D629FA">
        <w:rPr>
          <w:rFonts w:ascii="ZWAdobeF" w:hAnsi="ZWAdobeF" w:cs="ZWAdobeF"/>
          <w:color w:val="auto"/>
          <w:sz w:val="2"/>
          <w:szCs w:val="2"/>
        </w:rPr>
        <w:t>714B</w:t>
      </w:r>
      <w:r w:rsidR="00D36A28">
        <w:rPr>
          <w:szCs w:val="20"/>
        </w:rPr>
        <w:t>The court determines the common issues</w:t>
      </w:r>
      <w:r w:rsidR="00D629FA">
        <w:rPr>
          <w:rFonts w:ascii="ZWAdobeF" w:hAnsi="ZWAdobeF" w:cs="ZWAdobeF"/>
          <w:color w:val="auto"/>
          <w:sz w:val="2"/>
          <w:szCs w:val="2"/>
        </w:rPr>
        <w:t>420F</w:t>
      </w:r>
      <w:r w:rsidR="0049638A">
        <w:rPr>
          <w:rFonts w:ascii="ZWAdobeF" w:hAnsi="ZWAdobeF" w:cs="ZWAdobeF"/>
          <w:color w:val="auto"/>
          <w:sz w:val="2"/>
          <w:szCs w:val="2"/>
        </w:rPr>
        <w:t>420F</w:t>
      </w:r>
      <w:r w:rsidR="00317AE4">
        <w:rPr>
          <w:rFonts w:ascii="ZWAdobeF" w:hAnsi="ZWAdobeF" w:cs="ZWAdobeF"/>
          <w:color w:val="auto"/>
          <w:sz w:val="2"/>
          <w:szCs w:val="2"/>
        </w:rPr>
        <w:t>420F</w:t>
      </w:r>
      <w:r w:rsidR="00D36A28">
        <w:rPr>
          <w:rStyle w:val="FootnoteReference"/>
          <w:szCs w:val="20"/>
        </w:rPr>
        <w:footnoteReference w:id="422"/>
      </w:r>
      <w:r w:rsidR="00D36A28">
        <w:rPr>
          <w:szCs w:val="20"/>
        </w:rPr>
        <w:t xml:space="preserve"> or awards aggregate damages.</w:t>
      </w:r>
      <w:r w:rsidR="00D629FA">
        <w:rPr>
          <w:rFonts w:ascii="ZWAdobeF" w:hAnsi="ZWAdobeF" w:cs="ZWAdobeF"/>
          <w:color w:val="auto"/>
          <w:sz w:val="2"/>
          <w:szCs w:val="2"/>
        </w:rPr>
        <w:t>421F</w:t>
      </w:r>
      <w:r w:rsidR="0049638A">
        <w:rPr>
          <w:rFonts w:ascii="ZWAdobeF" w:hAnsi="ZWAdobeF" w:cs="ZWAdobeF"/>
          <w:color w:val="auto"/>
          <w:sz w:val="2"/>
          <w:szCs w:val="2"/>
        </w:rPr>
        <w:t>421F</w:t>
      </w:r>
      <w:r w:rsidR="00317AE4">
        <w:rPr>
          <w:rFonts w:ascii="ZWAdobeF" w:hAnsi="ZWAdobeF" w:cs="ZWAdobeF"/>
          <w:color w:val="auto"/>
          <w:sz w:val="2"/>
          <w:szCs w:val="2"/>
        </w:rPr>
        <w:t>421F</w:t>
      </w:r>
      <w:r w:rsidR="00D36A28">
        <w:rPr>
          <w:rStyle w:val="FootnoteReference"/>
          <w:szCs w:val="20"/>
        </w:rPr>
        <w:footnoteReference w:id="423"/>
      </w:r>
      <w:r w:rsidR="00D36A28">
        <w:rPr>
          <w:szCs w:val="20"/>
        </w:rPr>
        <w:t xml:space="preserve">  </w:t>
      </w:r>
    </w:p>
    <w:p w14:paraId="566935DA" w14:textId="58FE3D8B" w:rsidR="00D36A28" w:rsidRDefault="00BD5C95" w:rsidP="0013686D">
      <w:pPr>
        <w:pStyle w:val="BodyTextnonum"/>
        <w:numPr>
          <w:ilvl w:val="3"/>
          <w:numId w:val="14"/>
        </w:numPr>
        <w:tabs>
          <w:tab w:val="clear" w:pos="1134"/>
        </w:tabs>
        <w:rPr>
          <w:szCs w:val="20"/>
        </w:rPr>
      </w:pPr>
      <w:r>
        <w:rPr>
          <w:rFonts w:ascii="ZWAdobeF" w:hAnsi="ZWAdobeF" w:cs="ZWAdobeF"/>
          <w:color w:val="auto"/>
          <w:sz w:val="2"/>
          <w:szCs w:val="2"/>
        </w:rPr>
        <w:t>715B</w:t>
      </w:r>
      <w:r w:rsidR="0049638A">
        <w:rPr>
          <w:rFonts w:ascii="ZWAdobeF" w:hAnsi="ZWAdobeF" w:cs="ZWAdobeF"/>
          <w:color w:val="auto"/>
          <w:sz w:val="2"/>
          <w:szCs w:val="2"/>
        </w:rPr>
        <w:t>715B</w:t>
      </w:r>
      <w:r w:rsidR="00D629FA">
        <w:rPr>
          <w:rFonts w:ascii="ZWAdobeF" w:hAnsi="ZWAdobeF" w:cs="ZWAdobeF"/>
          <w:color w:val="auto"/>
          <w:sz w:val="2"/>
          <w:szCs w:val="2"/>
        </w:rPr>
        <w:t>715B</w:t>
      </w:r>
      <w:r w:rsidR="00D36A28">
        <w:rPr>
          <w:szCs w:val="20"/>
        </w:rPr>
        <w:t>A matter in the proceeding is appealed.</w:t>
      </w:r>
      <w:r w:rsidR="00D629FA">
        <w:rPr>
          <w:rFonts w:ascii="ZWAdobeF" w:hAnsi="ZWAdobeF" w:cs="ZWAdobeF"/>
          <w:color w:val="auto"/>
          <w:sz w:val="2"/>
          <w:szCs w:val="2"/>
        </w:rPr>
        <w:t>422F</w:t>
      </w:r>
      <w:r w:rsidR="0049638A">
        <w:rPr>
          <w:rFonts w:ascii="ZWAdobeF" w:hAnsi="ZWAdobeF" w:cs="ZWAdobeF"/>
          <w:color w:val="auto"/>
          <w:sz w:val="2"/>
          <w:szCs w:val="2"/>
        </w:rPr>
        <w:t>422F</w:t>
      </w:r>
      <w:r w:rsidR="00317AE4">
        <w:rPr>
          <w:rFonts w:ascii="ZWAdobeF" w:hAnsi="ZWAdobeF" w:cs="ZWAdobeF"/>
          <w:color w:val="auto"/>
          <w:sz w:val="2"/>
          <w:szCs w:val="2"/>
        </w:rPr>
        <w:t>422F</w:t>
      </w:r>
      <w:r w:rsidR="00D36A28">
        <w:rPr>
          <w:rStyle w:val="FootnoteReference"/>
          <w:szCs w:val="20"/>
        </w:rPr>
        <w:footnoteReference w:id="424"/>
      </w:r>
    </w:p>
    <w:p w14:paraId="1D43E0B6" w14:textId="2C8BE1C0" w:rsidR="00D36A28" w:rsidRPr="00CE310D" w:rsidRDefault="00BD5C95" w:rsidP="004959CD">
      <w:pPr>
        <w:pStyle w:val="BodyText"/>
      </w:pPr>
      <w:r>
        <w:rPr>
          <w:rFonts w:ascii="ZWAdobeF" w:hAnsi="ZWAdobeF" w:cs="ZWAdobeF"/>
          <w:color w:val="auto"/>
          <w:sz w:val="2"/>
          <w:szCs w:val="2"/>
        </w:rPr>
        <w:t>267B</w:t>
      </w:r>
      <w:r w:rsidR="0049638A">
        <w:rPr>
          <w:rFonts w:ascii="ZWAdobeF" w:hAnsi="ZWAdobeF" w:cs="ZWAdobeF"/>
          <w:color w:val="auto"/>
          <w:sz w:val="2"/>
          <w:szCs w:val="2"/>
        </w:rPr>
        <w:t>267B</w:t>
      </w:r>
      <w:r w:rsidR="00D629FA">
        <w:rPr>
          <w:rFonts w:ascii="ZWAdobeF" w:hAnsi="ZWAdobeF" w:cs="ZWAdobeF"/>
          <w:color w:val="auto"/>
          <w:sz w:val="2"/>
          <w:szCs w:val="2"/>
        </w:rPr>
        <w:t>267B</w:t>
      </w:r>
      <w:r w:rsidR="00D36A28">
        <w:t>Our comparator jurisdictions also contain</w:t>
      </w:r>
      <w:r w:rsidR="00D36A28" w:rsidRPr="00CE310D">
        <w:t xml:space="preserve"> </w:t>
      </w:r>
      <w:r w:rsidR="00D36A28">
        <w:t xml:space="preserve">a </w:t>
      </w:r>
      <w:r w:rsidR="00D36A28" w:rsidRPr="00CE310D">
        <w:t xml:space="preserve">general power to order notice </w:t>
      </w:r>
      <w:r w:rsidR="00D36A28">
        <w:t xml:space="preserve">to class members </w:t>
      </w:r>
      <w:r w:rsidR="00D36A28" w:rsidRPr="00CE310D">
        <w:t xml:space="preserve">at any other point </w:t>
      </w:r>
      <w:r w:rsidR="00D36A28">
        <w:t xml:space="preserve">in </w:t>
      </w:r>
      <w:r w:rsidR="00D36A28" w:rsidRPr="00CE310D">
        <w:t>the proceeding.</w:t>
      </w:r>
      <w:r w:rsidR="00D629FA">
        <w:rPr>
          <w:rFonts w:ascii="ZWAdobeF" w:hAnsi="ZWAdobeF" w:cs="ZWAdobeF"/>
          <w:color w:val="auto"/>
          <w:sz w:val="2"/>
          <w:szCs w:val="2"/>
        </w:rPr>
        <w:t>423F</w:t>
      </w:r>
      <w:r w:rsidR="0049638A">
        <w:rPr>
          <w:rFonts w:ascii="ZWAdobeF" w:hAnsi="ZWAdobeF" w:cs="ZWAdobeF"/>
          <w:color w:val="auto"/>
          <w:sz w:val="2"/>
          <w:szCs w:val="2"/>
        </w:rPr>
        <w:t>423F</w:t>
      </w:r>
      <w:r w:rsidR="00317AE4">
        <w:rPr>
          <w:rFonts w:ascii="ZWAdobeF" w:hAnsi="ZWAdobeF" w:cs="ZWAdobeF"/>
          <w:color w:val="auto"/>
          <w:sz w:val="2"/>
          <w:szCs w:val="2"/>
        </w:rPr>
        <w:t>423F</w:t>
      </w:r>
      <w:r w:rsidR="00D36A28">
        <w:rPr>
          <w:rStyle w:val="FootnoteReference"/>
          <w:szCs w:val="20"/>
        </w:rPr>
        <w:footnoteReference w:id="425"/>
      </w:r>
    </w:p>
    <w:p w14:paraId="50106AE7" w14:textId="0D605DF1" w:rsidR="00D36A28" w:rsidRPr="00902D74" w:rsidRDefault="00BD5C95" w:rsidP="004959CD">
      <w:pPr>
        <w:pStyle w:val="BodyText"/>
      </w:pPr>
      <w:r>
        <w:rPr>
          <w:rFonts w:ascii="ZWAdobeF" w:hAnsi="ZWAdobeF" w:cs="ZWAdobeF"/>
          <w:color w:val="auto"/>
          <w:sz w:val="2"/>
          <w:szCs w:val="2"/>
        </w:rPr>
        <w:t>268B</w:t>
      </w:r>
      <w:r w:rsidR="0049638A">
        <w:rPr>
          <w:rFonts w:ascii="ZWAdobeF" w:hAnsi="ZWAdobeF" w:cs="ZWAdobeF"/>
          <w:color w:val="auto"/>
          <w:sz w:val="2"/>
          <w:szCs w:val="2"/>
        </w:rPr>
        <w:t>268B</w:t>
      </w:r>
      <w:r w:rsidR="00D629FA">
        <w:rPr>
          <w:rFonts w:ascii="ZWAdobeF" w:hAnsi="ZWAdobeF" w:cs="ZWAdobeF"/>
          <w:color w:val="auto"/>
          <w:sz w:val="2"/>
          <w:szCs w:val="2"/>
        </w:rPr>
        <w:t>268B</w:t>
      </w:r>
      <w:r w:rsidR="00D36A28">
        <w:t xml:space="preserve">We </w:t>
      </w:r>
      <w:r w:rsidR="00D36A28" w:rsidRPr="004959CD">
        <w:t>consider</w:t>
      </w:r>
      <w:r w:rsidR="00D36A28" w:rsidRPr="00902D74">
        <w:t xml:space="preserve"> the two most critical stages for notice in a class action are the opt-in/opt-out notice and any settlement notice, which are discussed below and in Chapter </w:t>
      </w:r>
      <w:r w:rsidR="00D36A28">
        <w:t>6</w:t>
      </w:r>
      <w:r w:rsidR="00D36A28" w:rsidRPr="00902D74">
        <w:t xml:space="preserve">, respectively. However, we think notice should generally be required if an event affects </w:t>
      </w:r>
      <w:r w:rsidR="00D36A28" w:rsidRPr="00902D74">
        <w:lastRenderedPageBreak/>
        <w:t>class members’ interests.</w:t>
      </w:r>
      <w:r w:rsidR="00D629FA">
        <w:rPr>
          <w:rFonts w:ascii="ZWAdobeF" w:hAnsi="ZWAdobeF" w:cs="ZWAdobeF"/>
          <w:color w:val="auto"/>
          <w:sz w:val="2"/>
          <w:szCs w:val="2"/>
        </w:rPr>
        <w:t>424F</w:t>
      </w:r>
      <w:r w:rsidR="0049638A">
        <w:rPr>
          <w:rFonts w:ascii="ZWAdobeF" w:hAnsi="ZWAdobeF" w:cs="ZWAdobeF"/>
          <w:color w:val="auto"/>
          <w:sz w:val="2"/>
          <w:szCs w:val="2"/>
        </w:rPr>
        <w:t>424F</w:t>
      </w:r>
      <w:r w:rsidR="00317AE4">
        <w:rPr>
          <w:rFonts w:ascii="ZWAdobeF" w:hAnsi="ZWAdobeF" w:cs="ZWAdobeF"/>
          <w:color w:val="auto"/>
          <w:sz w:val="2"/>
          <w:szCs w:val="2"/>
        </w:rPr>
        <w:t>424F</w:t>
      </w:r>
      <w:r w:rsidR="00D36A28">
        <w:rPr>
          <w:rStyle w:val="FootnoteReference"/>
          <w:szCs w:val="20"/>
        </w:rPr>
        <w:footnoteReference w:id="426"/>
      </w:r>
      <w:r w:rsidR="00D36A28" w:rsidRPr="00902D74">
        <w:t xml:space="preserve"> Therefore, at a minimum, we think the following events should trigger notice:  </w:t>
      </w:r>
    </w:p>
    <w:p w14:paraId="20E1F005" w14:textId="5889E2F9" w:rsidR="00D36A28" w:rsidRPr="00C623C4" w:rsidRDefault="00BD5C95" w:rsidP="00932DB9">
      <w:pPr>
        <w:pStyle w:val="BodyTextnonum"/>
        <w:numPr>
          <w:ilvl w:val="3"/>
          <w:numId w:val="14"/>
        </w:numPr>
        <w:tabs>
          <w:tab w:val="num" w:pos="709"/>
        </w:tabs>
        <w:rPr>
          <w:szCs w:val="20"/>
        </w:rPr>
      </w:pPr>
      <w:r>
        <w:rPr>
          <w:rFonts w:ascii="ZWAdobeF" w:hAnsi="ZWAdobeF" w:cs="ZWAdobeF"/>
          <w:color w:val="auto"/>
          <w:sz w:val="2"/>
          <w:szCs w:val="2"/>
        </w:rPr>
        <w:t>716B</w:t>
      </w:r>
      <w:r w:rsidR="0049638A">
        <w:rPr>
          <w:rFonts w:ascii="ZWAdobeF" w:hAnsi="ZWAdobeF" w:cs="ZWAdobeF"/>
          <w:color w:val="auto"/>
          <w:sz w:val="2"/>
          <w:szCs w:val="2"/>
        </w:rPr>
        <w:t>716B</w:t>
      </w:r>
      <w:r w:rsidR="00D629FA">
        <w:rPr>
          <w:rFonts w:ascii="ZWAdobeF" w:hAnsi="ZWAdobeF" w:cs="ZWAdobeF"/>
          <w:color w:val="auto"/>
          <w:sz w:val="2"/>
          <w:szCs w:val="2"/>
        </w:rPr>
        <w:t>716B</w:t>
      </w:r>
      <w:r w:rsidR="00A11EB7">
        <w:rPr>
          <w:szCs w:val="20"/>
        </w:rPr>
        <w:t xml:space="preserve">When a class action has been certified and a class member can elect whether to opt into or opt out of the class </w:t>
      </w:r>
      <w:r w:rsidR="00D36A28" w:rsidDel="00A11EB7">
        <w:rPr>
          <w:szCs w:val="20"/>
        </w:rPr>
        <w:t>action</w:t>
      </w:r>
      <w:r w:rsidR="00D36A28">
        <w:rPr>
          <w:szCs w:val="20"/>
        </w:rPr>
        <w:t>.</w:t>
      </w:r>
    </w:p>
    <w:p w14:paraId="16C1A9F7" w14:textId="58F560A8"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t>717B</w:t>
      </w:r>
      <w:r w:rsidR="0049638A">
        <w:rPr>
          <w:rFonts w:ascii="ZWAdobeF" w:hAnsi="ZWAdobeF" w:cs="ZWAdobeF"/>
          <w:color w:val="auto"/>
          <w:sz w:val="2"/>
          <w:szCs w:val="2"/>
        </w:rPr>
        <w:t>717B</w:t>
      </w:r>
      <w:r w:rsidR="00D629FA">
        <w:rPr>
          <w:rFonts w:ascii="ZWAdobeF" w:hAnsi="ZWAdobeF" w:cs="ZWAdobeF"/>
          <w:color w:val="auto"/>
          <w:sz w:val="2"/>
          <w:szCs w:val="2"/>
        </w:rPr>
        <w:t>717B</w:t>
      </w:r>
      <w:r w:rsidR="00D36A28">
        <w:rPr>
          <w:szCs w:val="20"/>
        </w:rPr>
        <w:t xml:space="preserve">Where the representative plaintiff seeks </w:t>
      </w:r>
      <w:r w:rsidR="001F0630">
        <w:rPr>
          <w:szCs w:val="20"/>
        </w:rPr>
        <w:t xml:space="preserve">to discontinue </w:t>
      </w:r>
      <w:r w:rsidR="00D36A28">
        <w:rPr>
          <w:szCs w:val="20"/>
        </w:rPr>
        <w:t xml:space="preserve">either the class action or an appeal against the judgment on common issues. </w:t>
      </w:r>
    </w:p>
    <w:p w14:paraId="1EA21A69" w14:textId="6DC9274B"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t>718B</w:t>
      </w:r>
      <w:r w:rsidR="0049638A">
        <w:rPr>
          <w:rFonts w:ascii="ZWAdobeF" w:hAnsi="ZWAdobeF" w:cs="ZWAdobeF"/>
          <w:color w:val="auto"/>
          <w:sz w:val="2"/>
          <w:szCs w:val="2"/>
        </w:rPr>
        <w:t>718B</w:t>
      </w:r>
      <w:r w:rsidR="00D629FA">
        <w:rPr>
          <w:rFonts w:ascii="ZWAdobeF" w:hAnsi="ZWAdobeF" w:cs="ZWAdobeF"/>
          <w:color w:val="auto"/>
          <w:sz w:val="2"/>
          <w:szCs w:val="2"/>
        </w:rPr>
        <w:t>718B</w:t>
      </w:r>
      <w:r w:rsidR="00D36A28">
        <w:rPr>
          <w:szCs w:val="20"/>
        </w:rPr>
        <w:t>Where the representative plaintiff applies to withdraw as the representative plaintiff.</w:t>
      </w:r>
    </w:p>
    <w:p w14:paraId="4BDBF207" w14:textId="6FBAD6A3"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t>719B</w:t>
      </w:r>
      <w:r w:rsidR="0049638A">
        <w:rPr>
          <w:rFonts w:ascii="ZWAdobeF" w:hAnsi="ZWAdobeF" w:cs="ZWAdobeF"/>
          <w:color w:val="auto"/>
          <w:sz w:val="2"/>
          <w:szCs w:val="2"/>
        </w:rPr>
        <w:t>719B</w:t>
      </w:r>
      <w:r w:rsidR="00D629FA">
        <w:rPr>
          <w:rFonts w:ascii="ZWAdobeF" w:hAnsi="ZWAdobeF" w:cs="ZWAdobeF"/>
          <w:color w:val="auto"/>
          <w:sz w:val="2"/>
          <w:szCs w:val="2"/>
        </w:rPr>
        <w:t>719B</w:t>
      </w:r>
      <w:r w:rsidR="00D36A28">
        <w:rPr>
          <w:szCs w:val="20"/>
        </w:rPr>
        <w:t xml:space="preserve">Where individual participation of class members is required. </w:t>
      </w:r>
    </w:p>
    <w:p w14:paraId="4FE0E61C" w14:textId="4FC5BB9A" w:rsidR="00D36A28" w:rsidRPr="00D00538" w:rsidRDefault="00BD5C95" w:rsidP="00932DB9">
      <w:pPr>
        <w:pStyle w:val="BodyTextnonum"/>
        <w:numPr>
          <w:ilvl w:val="3"/>
          <w:numId w:val="14"/>
        </w:numPr>
        <w:tabs>
          <w:tab w:val="num" w:pos="709"/>
        </w:tabs>
        <w:rPr>
          <w:szCs w:val="20"/>
        </w:rPr>
      </w:pPr>
      <w:r>
        <w:rPr>
          <w:rFonts w:ascii="ZWAdobeF" w:hAnsi="ZWAdobeF" w:cs="ZWAdobeF"/>
          <w:color w:val="auto"/>
          <w:sz w:val="2"/>
          <w:szCs w:val="2"/>
        </w:rPr>
        <w:t>720B</w:t>
      </w:r>
      <w:r w:rsidR="0049638A">
        <w:rPr>
          <w:rFonts w:ascii="ZWAdobeF" w:hAnsi="ZWAdobeF" w:cs="ZWAdobeF"/>
          <w:color w:val="auto"/>
          <w:sz w:val="2"/>
          <w:szCs w:val="2"/>
        </w:rPr>
        <w:t>720B</w:t>
      </w:r>
      <w:r w:rsidR="00D629FA">
        <w:rPr>
          <w:rFonts w:ascii="ZWAdobeF" w:hAnsi="ZWAdobeF" w:cs="ZWAdobeF"/>
          <w:color w:val="auto"/>
          <w:sz w:val="2"/>
          <w:szCs w:val="2"/>
        </w:rPr>
        <w:t>720B</w:t>
      </w:r>
      <w:r w:rsidR="00D36A28">
        <w:rPr>
          <w:szCs w:val="20"/>
        </w:rPr>
        <w:t xml:space="preserve">When the court issues a judgment determining the common issues. </w:t>
      </w:r>
    </w:p>
    <w:p w14:paraId="01E8ABC6" w14:textId="6AA4CFD3"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t>721B</w:t>
      </w:r>
      <w:r w:rsidR="0049638A">
        <w:rPr>
          <w:rFonts w:ascii="ZWAdobeF" w:hAnsi="ZWAdobeF" w:cs="ZWAdobeF"/>
          <w:color w:val="auto"/>
          <w:sz w:val="2"/>
          <w:szCs w:val="2"/>
        </w:rPr>
        <w:t>721B</w:t>
      </w:r>
      <w:r w:rsidR="00D629FA">
        <w:rPr>
          <w:rFonts w:ascii="ZWAdobeF" w:hAnsi="ZWAdobeF" w:cs="ZWAdobeF"/>
          <w:color w:val="auto"/>
          <w:sz w:val="2"/>
          <w:szCs w:val="2"/>
        </w:rPr>
        <w:t>721B</w:t>
      </w:r>
      <w:r w:rsidR="00D36A28">
        <w:rPr>
          <w:szCs w:val="20"/>
        </w:rPr>
        <w:t xml:space="preserve">A proposed or approved settlement (we discuss this in more detail in Chapter 6). </w:t>
      </w:r>
    </w:p>
    <w:p w14:paraId="5612781C" w14:textId="4359E4A1" w:rsidR="00D36A28" w:rsidRPr="006A0418" w:rsidRDefault="0010682C" w:rsidP="004959CD">
      <w:pPr>
        <w:pStyle w:val="BodyText"/>
      </w:pPr>
      <w:r>
        <w:rPr>
          <w:noProof/>
        </w:rPr>
        <mc:AlternateContent>
          <mc:Choice Requires="wpg">
            <w:drawing>
              <wp:anchor distT="0" distB="0" distL="114300" distR="114300" simplePos="0" relativeHeight="251652159" behindDoc="1" locked="0" layoutInCell="1" allowOverlap="1" wp14:anchorId="379254B2" wp14:editId="7D7E2943">
                <wp:simplePos x="0" y="0"/>
                <wp:positionH relativeFrom="column">
                  <wp:posOffset>-3810</wp:posOffset>
                </wp:positionH>
                <wp:positionV relativeFrom="paragraph">
                  <wp:posOffset>270510</wp:posOffset>
                </wp:positionV>
                <wp:extent cx="5760085" cy="895335"/>
                <wp:effectExtent l="0" t="0" r="0" b="635"/>
                <wp:wrapNone/>
                <wp:docPr id="301" name="Group 301"/>
                <wp:cNvGraphicFramePr/>
                <a:graphic xmlns:a="http://schemas.openxmlformats.org/drawingml/2006/main">
                  <a:graphicData uri="http://schemas.microsoft.com/office/word/2010/wordprocessingGroup">
                    <wpg:wgp>
                      <wpg:cNvGrpSpPr/>
                      <wpg:grpSpPr>
                        <a:xfrm>
                          <a:off x="0" y="0"/>
                          <a:ext cx="5760085" cy="895335"/>
                          <a:chOff x="0" y="62865"/>
                          <a:chExt cx="5760085" cy="895426"/>
                        </a:xfrm>
                      </wpg:grpSpPr>
                      <wps:wsp>
                        <wps:cNvPr id="31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005A39" w14:textId="77777777" w:rsidR="00A55F53" w:rsidRDefault="00A55F53" w:rsidP="0010682C">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208" name="Group 53"/>
                        <wpg:cNvGrpSpPr>
                          <a:grpSpLocks/>
                        </wpg:cNvGrpSpPr>
                        <wpg:grpSpPr bwMode="auto">
                          <a:xfrm>
                            <a:off x="0" y="316263"/>
                            <a:ext cx="5760085" cy="642028"/>
                            <a:chOff x="1837" y="1792"/>
                            <a:chExt cx="9302" cy="6935"/>
                          </a:xfrm>
                        </wpg:grpSpPr>
                        <wps:wsp>
                          <wps:cNvPr id="764518209" name="Freeform 54"/>
                          <wps:cNvSpPr>
                            <a:spLocks/>
                          </wps:cNvSpPr>
                          <wps:spPr bwMode="auto">
                            <a:xfrm>
                              <a:off x="1837" y="1792"/>
                              <a:ext cx="9302" cy="693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210" name="Group 764518210"/>
                        <wpg:cNvGrpSpPr/>
                        <wpg:grpSpPr>
                          <a:xfrm>
                            <a:off x="0" y="494036"/>
                            <a:ext cx="1443794" cy="252000"/>
                            <a:chOff x="-15880" y="0"/>
                            <a:chExt cx="1444379" cy="252068"/>
                          </a:xfrm>
                        </wpg:grpSpPr>
                        <wps:wsp>
                          <wps:cNvPr id="76451821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12" name="Freeform 66"/>
                          <wps:cNvSpPr>
                            <a:spLocks/>
                          </wps:cNvSpPr>
                          <wps:spPr bwMode="auto">
                            <a:xfrm>
                              <a:off x="-15880" y="0"/>
                              <a:ext cx="432175"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9208EA" w14:textId="1191B345" w:rsidR="00A55F53" w:rsidRPr="00E700FF" w:rsidRDefault="00A55F53" w:rsidP="0010682C">
                                <w:pPr>
                                  <w:pStyle w:val="BoxTitle"/>
                                  <w:spacing w:before="0" w:beforeAutospacing="0"/>
                                </w:pPr>
                                <w:r w:rsidRPr="001C1B37">
                                  <w:t>Q</w:t>
                                </w:r>
                                <w:r>
                                  <w:t>20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79254B2" id="Group 301" o:spid="_x0000_s1335" style="position:absolute;left:0;text-align:left;margin-left:-.3pt;margin-top:21.3pt;width:453.55pt;height:70.5pt;z-index:-251664321;mso-height-relative:margin" coordorigin=",628" coordsize="57600,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">
                <v:shape id="_x0000_s133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4005A39" w14:textId="77777777" w:rsidR="00A55F53" w:rsidRDefault="00A55F53" w:rsidP="0010682C">
                        <w:pPr>
                          <w:pStyle w:val="BoxTitle"/>
                          <w:spacing w:before="0" w:beforeAutospacing="0"/>
                        </w:pPr>
                        <w:r w:rsidRPr="007F6876">
                          <w:t>QUESTION</w:t>
                        </w:r>
                      </w:p>
                    </w:txbxContent>
                  </v:textbox>
                </v:shape>
                <v:group id="Group 53" o:spid="_x0000_s1337" style="position:absolute;top:3162;width:57600;height:6420" coordorigin="1837,1792" coordsize="9302,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">
                  <v:shape id="Freeform 54" o:spid="_x0000_s1338" style="position:absolute;left:1837;top:1792;width:9302;height:693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" path="m,l9354,r,7809l,7809,,e" fillcolor="#edf2ea" stroked="f">
                    <v:path arrowok="t" o:connecttype="custom" o:connectlocs="0,888;9302,888;9302,7823;0,7823;0,888" o:connectangles="0,0,0,0,0"/>
                  </v:shape>
                </v:group>
                <v:group id="Group 764518210" o:spid="_x0000_s133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">
                  <v:shape id="Freeform 58" o:spid="_x0000_s1340"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" path="m,l1815,e" filled="f" strokecolor="#72ab6a" strokeweight=".5pt">
                    <v:path arrowok="t" o:connecttype="custom" o:connectlocs="0,0;1073495,0" o:connectangles="0,0"/>
                  </v:shape>
                  <v:shape id="Freeform 66" o:spid="_x0000_s1341" style="position:absolute;left:-158;width:4320;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" adj="-11796480,,5400" path="m,470r642,l642,,,,,470e" fillcolor="#72ab6a" stroked="f">
                    <v:stroke joinstyle="round"/>
                    <v:formulas/>
                    <v:path arrowok="t" o:connecttype="custom" o:connectlocs="0,2317953;431503,2317953;431503,2065885;0,2065885;0,2317953" o:connectangles="0,0,0,0,0" textboxrect="0,0,643,470"/>
                    <v:textbox inset="1.5mm,2.3mm">
                      <w:txbxContent>
                        <w:p w14:paraId="0C9208EA" w14:textId="1191B345" w:rsidR="00A55F53" w:rsidRPr="00E700FF" w:rsidRDefault="00A55F53" w:rsidP="0010682C">
                          <w:pPr>
                            <w:pStyle w:val="BoxTitle"/>
                            <w:spacing w:before="0" w:beforeAutospacing="0"/>
                          </w:pPr>
                          <w:r w:rsidRPr="001C1B37">
                            <w:t>Q</w:t>
                          </w:r>
                          <w:r>
                            <w:t>20</w:t>
                          </w:r>
                        </w:p>
                      </w:txbxContent>
                    </v:textbox>
                  </v:shape>
                </v:group>
              </v:group>
            </w:pict>
          </mc:Fallback>
        </mc:AlternateContent>
      </w:r>
      <w:r w:rsidR="00BD5C95">
        <w:rPr>
          <w:rFonts w:ascii="ZWAdobeF" w:hAnsi="ZWAdobeF" w:cs="ZWAdobeF"/>
          <w:color w:val="auto"/>
          <w:sz w:val="2"/>
          <w:szCs w:val="2"/>
        </w:rPr>
        <w:t>269B</w:t>
      </w:r>
      <w:r w:rsidR="0049638A">
        <w:rPr>
          <w:rFonts w:ascii="ZWAdobeF" w:hAnsi="ZWAdobeF" w:cs="ZWAdobeF"/>
          <w:color w:val="auto"/>
          <w:sz w:val="2"/>
          <w:szCs w:val="2"/>
        </w:rPr>
        <w:t>269B</w:t>
      </w:r>
      <w:r w:rsidR="00D629FA">
        <w:rPr>
          <w:rFonts w:ascii="ZWAdobeF" w:hAnsi="ZWAdobeF" w:cs="ZWAdobeF"/>
          <w:color w:val="auto"/>
          <w:sz w:val="2"/>
          <w:szCs w:val="2"/>
        </w:rPr>
        <w:t>269B</w:t>
      </w:r>
      <w:r w:rsidR="00D36A28">
        <w:t>We also think t</w:t>
      </w:r>
      <w:r w:rsidR="00D36A28" w:rsidRPr="006A0418">
        <w:t xml:space="preserve">he court should have a general power to order notice in any other case. </w:t>
      </w:r>
    </w:p>
    <w:p w14:paraId="0FB91423" w14:textId="53DBE713" w:rsidR="00CC6401" w:rsidRDefault="00CC6401" w:rsidP="00CC6401">
      <w:pPr>
        <w:pStyle w:val="QuestionBox"/>
      </w:pPr>
    </w:p>
    <w:p w14:paraId="0BD3E1F0" w14:textId="77777777" w:rsidR="00CC6401" w:rsidRDefault="00CC6401" w:rsidP="00CC6401">
      <w:pPr>
        <w:pStyle w:val="QuestionBox"/>
      </w:pPr>
    </w:p>
    <w:p w14:paraId="0880F675" w14:textId="45B81DBE" w:rsidR="00D36A28" w:rsidRDefault="00BD5C95" w:rsidP="00DF4226">
      <w:pPr>
        <w:pStyle w:val="QuestionBox"/>
      </w:pPr>
      <w:r>
        <w:rPr>
          <w:rFonts w:ascii="ZWAdobeF" w:hAnsi="ZWAdobeF" w:cs="ZWAdobeF"/>
          <w:color w:val="auto"/>
          <w:sz w:val="2"/>
          <w:szCs w:val="2"/>
        </w:rPr>
        <w:t>1418B</w:t>
      </w:r>
      <w:r w:rsidR="0049638A">
        <w:rPr>
          <w:rFonts w:ascii="ZWAdobeF" w:hAnsi="ZWAdobeF" w:cs="ZWAdobeF"/>
          <w:color w:val="auto"/>
          <w:sz w:val="2"/>
          <w:szCs w:val="2"/>
        </w:rPr>
        <w:t>1418B</w:t>
      </w:r>
      <w:r w:rsidR="00D629FA">
        <w:rPr>
          <w:rFonts w:ascii="ZWAdobeF" w:hAnsi="ZWAdobeF" w:cs="ZWAdobeF"/>
          <w:color w:val="auto"/>
          <w:sz w:val="2"/>
          <w:szCs w:val="2"/>
        </w:rPr>
        <w:t>1418B</w:t>
      </w:r>
      <w:r w:rsidR="00A11EB7">
        <w:t>Do you agree with our list of events th</w:t>
      </w:r>
      <w:r w:rsidR="006B1792">
        <w:t xml:space="preserve">at should require notice to class members? </w:t>
      </w:r>
    </w:p>
    <w:p w14:paraId="571724C7" w14:textId="77777777" w:rsidR="00CC6401" w:rsidRPr="00C979B7" w:rsidRDefault="00CC6401" w:rsidP="00CC6401">
      <w:pPr>
        <w:pStyle w:val="QuestionBox"/>
      </w:pPr>
    </w:p>
    <w:p w14:paraId="567BACA3" w14:textId="77777777" w:rsidR="00D36A28" w:rsidRDefault="00D36A28" w:rsidP="0010682C">
      <w:pPr>
        <w:pStyle w:val="Heading3"/>
      </w:pPr>
      <w:r>
        <w:t xml:space="preserve">How should notice be given?  </w:t>
      </w:r>
    </w:p>
    <w:p w14:paraId="619AC3A7" w14:textId="43752C77" w:rsidR="00D36A28" w:rsidRDefault="00BD5C95" w:rsidP="004959CD">
      <w:pPr>
        <w:pStyle w:val="BodyText"/>
      </w:pPr>
      <w:r>
        <w:rPr>
          <w:rFonts w:ascii="ZWAdobeF" w:hAnsi="ZWAdobeF" w:cs="ZWAdobeF"/>
          <w:color w:val="auto"/>
          <w:sz w:val="2"/>
          <w:szCs w:val="2"/>
        </w:rPr>
        <w:t>270B</w:t>
      </w:r>
      <w:r w:rsidR="0049638A">
        <w:rPr>
          <w:rFonts w:ascii="ZWAdobeF" w:hAnsi="ZWAdobeF" w:cs="ZWAdobeF"/>
          <w:color w:val="auto"/>
          <w:sz w:val="2"/>
          <w:szCs w:val="2"/>
        </w:rPr>
        <w:t>270B</w:t>
      </w:r>
      <w:r w:rsidR="00D629FA">
        <w:rPr>
          <w:rFonts w:ascii="ZWAdobeF" w:hAnsi="ZWAdobeF" w:cs="ZWAdobeF"/>
          <w:color w:val="auto"/>
          <w:sz w:val="2"/>
          <w:szCs w:val="2"/>
        </w:rPr>
        <w:t>270B</w:t>
      </w:r>
      <w:r w:rsidR="00D36A28">
        <w:rPr>
          <w:rFonts w:cstheme="minorHAnsi"/>
        </w:rPr>
        <w:t xml:space="preserve">In </w:t>
      </w:r>
      <w:r w:rsidR="00D36A28">
        <w:rPr>
          <w:rFonts w:cstheme="minorHAnsi"/>
          <w:i/>
          <w:iCs/>
        </w:rPr>
        <w:t>Ross v Southern Response Earthquake Services Ltd</w:t>
      </w:r>
      <w:r w:rsidR="00D36A28">
        <w:rPr>
          <w:rFonts w:cstheme="minorHAnsi"/>
        </w:rPr>
        <w:t xml:space="preserve">, </w:t>
      </w:r>
      <w:r w:rsidR="00D36A28">
        <w:t xml:space="preserve">the High Court observed </w:t>
      </w:r>
      <w:r w:rsidR="006B1792">
        <w:t xml:space="preserve">that in giving notice to </w:t>
      </w:r>
      <w:r w:rsidR="00D36A28" w:rsidDel="006B1792">
        <w:t>group members</w:t>
      </w:r>
      <w:r w:rsidR="006B1792">
        <w:t xml:space="preserve">, </w:t>
      </w:r>
      <w:r w:rsidR="00D36A28">
        <w:t xml:space="preserve">the </w:t>
      </w:r>
      <w:r w:rsidR="00D36A28" w:rsidRPr="004959CD">
        <w:t>objective</w:t>
      </w:r>
      <w:r w:rsidR="00D36A28" w:rsidDel="006B1792">
        <w:t xml:space="preserve"> </w:t>
      </w:r>
      <w:r w:rsidR="00D36A28">
        <w:t>is “to find the most economical means of ensuring that [class members] are informed of the proceeding and their rights”.</w:t>
      </w:r>
      <w:r w:rsidR="00D629FA">
        <w:rPr>
          <w:rFonts w:ascii="ZWAdobeF" w:hAnsi="ZWAdobeF" w:cs="ZWAdobeF"/>
          <w:color w:val="auto"/>
          <w:sz w:val="2"/>
          <w:szCs w:val="2"/>
        </w:rPr>
        <w:t>425F</w:t>
      </w:r>
      <w:r w:rsidR="0049638A">
        <w:rPr>
          <w:rFonts w:ascii="ZWAdobeF" w:hAnsi="ZWAdobeF" w:cs="ZWAdobeF"/>
          <w:color w:val="auto"/>
          <w:sz w:val="2"/>
          <w:szCs w:val="2"/>
        </w:rPr>
        <w:t>425F</w:t>
      </w:r>
      <w:r w:rsidR="00317AE4">
        <w:rPr>
          <w:rFonts w:ascii="ZWAdobeF" w:hAnsi="ZWAdobeF" w:cs="ZWAdobeF"/>
          <w:color w:val="auto"/>
          <w:sz w:val="2"/>
          <w:szCs w:val="2"/>
        </w:rPr>
        <w:t>425F</w:t>
      </w:r>
      <w:r w:rsidR="00D36A28">
        <w:rPr>
          <w:rStyle w:val="FootnoteReference"/>
          <w:szCs w:val="20"/>
        </w:rPr>
        <w:footnoteReference w:id="427"/>
      </w:r>
      <w:r w:rsidR="00D36A28">
        <w:t xml:space="preserve"> The Court directed notice be given several ways including publication in four newspapers, publication on Facebook, by post and by email.</w:t>
      </w:r>
      <w:r w:rsidR="00D629FA">
        <w:rPr>
          <w:rFonts w:ascii="ZWAdobeF" w:hAnsi="ZWAdobeF" w:cs="ZWAdobeF"/>
          <w:color w:val="auto"/>
          <w:sz w:val="2"/>
          <w:szCs w:val="2"/>
        </w:rPr>
        <w:t>426F</w:t>
      </w:r>
      <w:r w:rsidR="0049638A">
        <w:rPr>
          <w:rFonts w:ascii="ZWAdobeF" w:hAnsi="ZWAdobeF" w:cs="ZWAdobeF"/>
          <w:color w:val="auto"/>
          <w:sz w:val="2"/>
          <w:szCs w:val="2"/>
        </w:rPr>
        <w:t>426F</w:t>
      </w:r>
      <w:r w:rsidR="00317AE4">
        <w:rPr>
          <w:rFonts w:ascii="ZWAdobeF" w:hAnsi="ZWAdobeF" w:cs="ZWAdobeF"/>
          <w:color w:val="auto"/>
          <w:sz w:val="2"/>
          <w:szCs w:val="2"/>
        </w:rPr>
        <w:t>426F</w:t>
      </w:r>
      <w:r w:rsidR="00D36A28">
        <w:rPr>
          <w:rStyle w:val="FootnoteReference"/>
          <w:szCs w:val="20"/>
        </w:rPr>
        <w:footnoteReference w:id="428"/>
      </w:r>
      <w:r w:rsidR="00D36A28">
        <w:t xml:space="preserve"> </w:t>
      </w:r>
    </w:p>
    <w:p w14:paraId="0950C0BA" w14:textId="0137A634" w:rsidR="00D36A28" w:rsidRPr="001E6311" w:rsidRDefault="00BD5C95" w:rsidP="004959CD">
      <w:pPr>
        <w:pStyle w:val="BodyText"/>
      </w:pPr>
      <w:r>
        <w:rPr>
          <w:rFonts w:ascii="ZWAdobeF" w:hAnsi="ZWAdobeF" w:cs="ZWAdobeF"/>
          <w:color w:val="auto"/>
          <w:sz w:val="2"/>
          <w:szCs w:val="2"/>
        </w:rPr>
        <w:t>271B</w:t>
      </w:r>
      <w:r w:rsidR="0049638A">
        <w:rPr>
          <w:rFonts w:ascii="ZWAdobeF" w:hAnsi="ZWAdobeF" w:cs="ZWAdobeF"/>
          <w:color w:val="auto"/>
          <w:sz w:val="2"/>
          <w:szCs w:val="2"/>
        </w:rPr>
        <w:t>271B</w:t>
      </w:r>
      <w:r w:rsidR="00D629FA">
        <w:rPr>
          <w:rFonts w:ascii="ZWAdobeF" w:hAnsi="ZWAdobeF" w:cs="ZWAdobeF"/>
          <w:color w:val="auto"/>
          <w:sz w:val="2"/>
          <w:szCs w:val="2"/>
        </w:rPr>
        <w:t>271B</w:t>
      </w:r>
      <w:r w:rsidR="00D36A28">
        <w:t xml:space="preserve">In </w:t>
      </w:r>
      <w:r w:rsidR="006B1792">
        <w:t xml:space="preserve">our </w:t>
      </w:r>
      <w:r w:rsidR="00D36A28" w:rsidRPr="004959CD" w:rsidDel="006B1792">
        <w:t>comparator</w:t>
      </w:r>
      <w:r w:rsidR="00D36A28" w:rsidDel="006B1792">
        <w:t xml:space="preserve"> jurisdictions</w:t>
      </w:r>
      <w:r w:rsidR="00D36A28">
        <w:t>, the court must direct how notice is to be given.</w:t>
      </w:r>
      <w:r w:rsidR="00D629FA">
        <w:rPr>
          <w:rFonts w:ascii="ZWAdobeF" w:hAnsi="ZWAdobeF" w:cs="ZWAdobeF"/>
          <w:color w:val="auto"/>
          <w:sz w:val="2"/>
          <w:szCs w:val="2"/>
        </w:rPr>
        <w:t>427F</w:t>
      </w:r>
      <w:r w:rsidR="0049638A">
        <w:rPr>
          <w:rFonts w:ascii="ZWAdobeF" w:hAnsi="ZWAdobeF" w:cs="ZWAdobeF"/>
          <w:color w:val="auto"/>
          <w:sz w:val="2"/>
          <w:szCs w:val="2"/>
        </w:rPr>
        <w:t>427F</w:t>
      </w:r>
      <w:r w:rsidR="00317AE4">
        <w:rPr>
          <w:rFonts w:ascii="ZWAdobeF" w:hAnsi="ZWAdobeF" w:cs="ZWAdobeF"/>
          <w:color w:val="auto"/>
          <w:sz w:val="2"/>
          <w:szCs w:val="2"/>
        </w:rPr>
        <w:t>427F</w:t>
      </w:r>
      <w:r w:rsidR="00D36A28">
        <w:rPr>
          <w:rStyle w:val="FootnoteReference"/>
          <w:szCs w:val="20"/>
          <w:bdr w:val="none" w:sz="0" w:space="0" w:color="auto" w:frame="1"/>
          <w:lang w:val="en-AU"/>
        </w:rPr>
        <w:footnoteReference w:id="429"/>
      </w:r>
      <w:r w:rsidR="00D36A28" w:rsidRPr="001E6311">
        <w:rPr>
          <w:color w:val="000000"/>
          <w:bdr w:val="none" w:sz="0" w:space="0" w:color="auto" w:frame="1"/>
          <w:lang w:val="en-AU"/>
        </w:rPr>
        <w:t xml:space="preserve"> </w:t>
      </w:r>
      <w:r w:rsidR="00DF4226">
        <w:rPr>
          <w:color w:val="000000"/>
          <w:bdr w:val="none" w:sz="0" w:space="0" w:color="auto" w:frame="1"/>
          <w:lang w:val="en-AU"/>
        </w:rPr>
        <w:t>T</w:t>
      </w:r>
      <w:r w:rsidR="00D36A28" w:rsidRPr="001E6311">
        <w:rPr>
          <w:color w:val="000000"/>
          <w:bdr w:val="none" w:sz="0" w:space="0" w:color="auto" w:frame="1"/>
          <w:lang w:val="en-AU"/>
        </w:rPr>
        <w:t xml:space="preserve">he tests to be applied </w:t>
      </w:r>
      <w:r w:rsidR="00D36A28">
        <w:rPr>
          <w:color w:val="000000"/>
          <w:bdr w:val="none" w:sz="0" w:space="0" w:color="auto" w:frame="1"/>
          <w:lang w:val="en-AU"/>
        </w:rPr>
        <w:t xml:space="preserve">when determining the means of notice </w:t>
      </w:r>
      <w:r w:rsidR="00D36A28" w:rsidRPr="001E6311">
        <w:rPr>
          <w:color w:val="000000"/>
          <w:bdr w:val="none" w:sz="0" w:space="0" w:color="auto" w:frame="1"/>
          <w:lang w:val="en-AU"/>
        </w:rPr>
        <w:t xml:space="preserve">vary across jurisdictions. </w:t>
      </w:r>
    </w:p>
    <w:p w14:paraId="79FE57FD" w14:textId="72BC539E" w:rsidR="00D36A28" w:rsidRPr="00D67FE9" w:rsidRDefault="00BD5C95" w:rsidP="004959CD">
      <w:pPr>
        <w:pStyle w:val="BodyText"/>
      </w:pPr>
      <w:r>
        <w:rPr>
          <w:rFonts w:ascii="ZWAdobeF" w:hAnsi="ZWAdobeF" w:cs="ZWAdobeF"/>
          <w:color w:val="auto"/>
          <w:sz w:val="2"/>
          <w:szCs w:val="2"/>
          <w:bdr w:val="none" w:sz="0" w:space="0" w:color="auto" w:frame="1"/>
          <w:lang w:val="en-AU"/>
        </w:rPr>
        <w:t>272B</w:t>
      </w:r>
      <w:r w:rsidR="0049638A">
        <w:rPr>
          <w:rFonts w:ascii="ZWAdobeF" w:hAnsi="ZWAdobeF" w:cs="ZWAdobeF"/>
          <w:color w:val="auto"/>
          <w:sz w:val="2"/>
          <w:szCs w:val="2"/>
          <w:bdr w:val="none" w:sz="0" w:space="0" w:color="auto" w:frame="1"/>
          <w:lang w:val="en-AU"/>
        </w:rPr>
        <w:t>272B</w:t>
      </w:r>
      <w:r w:rsidR="00D629FA">
        <w:rPr>
          <w:rFonts w:ascii="ZWAdobeF" w:hAnsi="ZWAdobeF" w:cs="ZWAdobeF"/>
          <w:color w:val="auto"/>
          <w:sz w:val="2"/>
          <w:szCs w:val="2"/>
          <w:bdr w:val="none" w:sz="0" w:space="0" w:color="auto" w:frame="1"/>
          <w:lang w:val="en-AU"/>
        </w:rPr>
        <w:t>272B</w:t>
      </w:r>
      <w:r w:rsidR="00D36A28" w:rsidRPr="00D67FE9">
        <w:rPr>
          <w:color w:val="000000"/>
          <w:bdr w:val="none" w:sz="0" w:space="0" w:color="auto" w:frame="1"/>
          <w:lang w:val="en-AU"/>
        </w:rPr>
        <w:t xml:space="preserve">In Australia, the </w:t>
      </w:r>
      <w:r w:rsidR="00D36A28" w:rsidRPr="00D67FE9">
        <w:rPr>
          <w:color w:val="000000"/>
          <w:lang w:val="en-AU"/>
        </w:rPr>
        <w:t xml:space="preserve">court may only order personal notice to each class member if </w:t>
      </w:r>
      <w:r w:rsidR="00D36A28" w:rsidRPr="00D67FE9">
        <w:rPr>
          <w:lang w:val="en-AU"/>
        </w:rPr>
        <w:t>“it is satisfied that it is reasonably practicable, and not unduly expensive, to do so”.</w:t>
      </w:r>
      <w:r w:rsidR="00D629FA">
        <w:rPr>
          <w:rFonts w:ascii="ZWAdobeF" w:hAnsi="ZWAdobeF" w:cs="ZWAdobeF"/>
          <w:color w:val="auto"/>
          <w:sz w:val="2"/>
          <w:szCs w:val="2"/>
          <w:lang w:val="en-AU"/>
        </w:rPr>
        <w:t>428F</w:t>
      </w:r>
      <w:r w:rsidR="0049638A">
        <w:rPr>
          <w:rFonts w:ascii="ZWAdobeF" w:hAnsi="ZWAdobeF" w:cs="ZWAdobeF"/>
          <w:color w:val="auto"/>
          <w:sz w:val="2"/>
          <w:szCs w:val="2"/>
          <w:lang w:val="en-AU"/>
        </w:rPr>
        <w:t>428F</w:t>
      </w:r>
      <w:r w:rsidR="00317AE4">
        <w:rPr>
          <w:rFonts w:ascii="ZWAdobeF" w:hAnsi="ZWAdobeF" w:cs="ZWAdobeF"/>
          <w:color w:val="auto"/>
          <w:sz w:val="2"/>
          <w:szCs w:val="2"/>
          <w:lang w:val="en-AU"/>
        </w:rPr>
        <w:t>428F</w:t>
      </w:r>
      <w:r w:rsidR="00D36A28" w:rsidRPr="00467004">
        <w:rPr>
          <w:rStyle w:val="FootnoteReference"/>
          <w:color w:val="000000"/>
          <w:szCs w:val="20"/>
          <w:lang w:val="en-AU"/>
        </w:rPr>
        <w:footnoteReference w:id="430"/>
      </w:r>
      <w:r w:rsidR="00D36A28">
        <w:rPr>
          <w:lang w:val="en-AU"/>
        </w:rPr>
        <w:t xml:space="preserve"> I</w:t>
      </w:r>
      <w:r w:rsidR="00D36A28" w:rsidRPr="00D67FE9">
        <w:rPr>
          <w:lang w:val="en-AU"/>
        </w:rPr>
        <w:t>n</w:t>
      </w:r>
      <w:r w:rsidR="00D36A28" w:rsidRPr="00D67FE9">
        <w:t xml:space="preserve"> the United States, </w:t>
      </w:r>
      <w:r w:rsidR="00D36A28">
        <w:t>in the context of</w:t>
      </w:r>
      <w:r w:rsidR="00D36A28" w:rsidRPr="00D67FE9">
        <w:t xml:space="preserve"> an opt-out notice in a damages claim, the court must</w:t>
      </w:r>
      <w:r w:rsidR="00D36A28">
        <w:t xml:space="preserve"> direct </w:t>
      </w:r>
      <w:r w:rsidR="00D36A28" w:rsidRPr="00B24EC7">
        <w:t>“the best notice that is practicable under the circumstances, including individual notice to all members who can be identified through reasonable effort</w:t>
      </w:r>
      <w:r w:rsidR="00D36A28">
        <w:t>”.</w:t>
      </w:r>
      <w:r w:rsidR="00D629FA">
        <w:rPr>
          <w:rFonts w:ascii="ZWAdobeF" w:hAnsi="ZWAdobeF" w:cs="ZWAdobeF"/>
          <w:color w:val="auto"/>
          <w:sz w:val="2"/>
          <w:szCs w:val="2"/>
        </w:rPr>
        <w:t>429F</w:t>
      </w:r>
      <w:r w:rsidR="0049638A">
        <w:rPr>
          <w:rFonts w:ascii="ZWAdobeF" w:hAnsi="ZWAdobeF" w:cs="ZWAdobeF"/>
          <w:color w:val="auto"/>
          <w:sz w:val="2"/>
          <w:szCs w:val="2"/>
        </w:rPr>
        <w:t>429F</w:t>
      </w:r>
      <w:r w:rsidR="00317AE4">
        <w:rPr>
          <w:rFonts w:ascii="ZWAdobeF" w:hAnsi="ZWAdobeF" w:cs="ZWAdobeF"/>
          <w:color w:val="auto"/>
          <w:sz w:val="2"/>
          <w:szCs w:val="2"/>
        </w:rPr>
        <w:t>429F</w:t>
      </w:r>
      <w:r w:rsidR="00D36A28">
        <w:rPr>
          <w:rStyle w:val="FootnoteReference"/>
        </w:rPr>
        <w:footnoteReference w:id="431"/>
      </w:r>
      <w:r w:rsidR="00D36A28" w:rsidRPr="00D67FE9">
        <w:rPr>
          <w:lang w:val="en-AU"/>
        </w:rPr>
        <w:t xml:space="preserve"> In</w:t>
      </w:r>
      <w:r w:rsidR="00D36A28">
        <w:t xml:space="preserve"> Canada, the </w:t>
      </w:r>
      <w:r w:rsidR="00D36A28">
        <w:lastRenderedPageBreak/>
        <w:t xml:space="preserve">court must consider: the cost of giving notice, the nature of the relief sought, the size of the individual claims </w:t>
      </w:r>
      <w:r w:rsidR="00D36A28" w:rsidRPr="00D67FE9">
        <w:t xml:space="preserve">of the class members, the number of class members, the presence of subclasses, whether some or all of the </w:t>
      </w:r>
      <w:r w:rsidR="00D36A28" w:rsidRPr="00D67FE9">
        <w:rPr>
          <w:color w:val="auto"/>
        </w:rPr>
        <w:t xml:space="preserve">class members may opt out of the class proceeding, </w:t>
      </w:r>
      <w:r w:rsidR="00D36A28">
        <w:rPr>
          <w:color w:val="auto"/>
        </w:rPr>
        <w:t xml:space="preserve">and where </w:t>
      </w:r>
      <w:r w:rsidR="00D36A28" w:rsidRPr="00D67FE9">
        <w:rPr>
          <w:color w:val="auto"/>
        </w:rPr>
        <w:t>the class members</w:t>
      </w:r>
      <w:r w:rsidR="00D36A28">
        <w:rPr>
          <w:color w:val="auto"/>
        </w:rPr>
        <w:t xml:space="preserve"> reside</w:t>
      </w:r>
      <w:r w:rsidR="00D36A28" w:rsidRPr="00D67FE9">
        <w:rPr>
          <w:color w:val="auto"/>
        </w:rPr>
        <w:t>.</w:t>
      </w:r>
      <w:r w:rsidR="00D629FA">
        <w:rPr>
          <w:rFonts w:ascii="ZWAdobeF" w:hAnsi="ZWAdobeF" w:cs="ZWAdobeF"/>
          <w:color w:val="auto"/>
          <w:sz w:val="2"/>
          <w:szCs w:val="2"/>
        </w:rPr>
        <w:t>430F</w:t>
      </w:r>
      <w:r w:rsidR="0049638A">
        <w:rPr>
          <w:rFonts w:ascii="ZWAdobeF" w:hAnsi="ZWAdobeF" w:cs="ZWAdobeF"/>
          <w:color w:val="auto"/>
          <w:sz w:val="2"/>
          <w:szCs w:val="2"/>
        </w:rPr>
        <w:t>430F</w:t>
      </w:r>
      <w:r w:rsidR="00317AE4">
        <w:rPr>
          <w:rFonts w:ascii="ZWAdobeF" w:hAnsi="ZWAdobeF" w:cs="ZWAdobeF"/>
          <w:color w:val="auto"/>
          <w:sz w:val="2"/>
          <w:szCs w:val="2"/>
        </w:rPr>
        <w:t>430F</w:t>
      </w:r>
      <w:r w:rsidR="00D36A28" w:rsidRPr="00275051">
        <w:rPr>
          <w:rStyle w:val="FootnoteReference"/>
          <w:color w:val="auto"/>
          <w:szCs w:val="20"/>
        </w:rPr>
        <w:footnoteReference w:id="432"/>
      </w:r>
      <w:r w:rsidR="00D36A28" w:rsidRPr="00D67FE9">
        <w:rPr>
          <w:color w:val="auto"/>
        </w:rPr>
        <w:t xml:space="preserve"> </w:t>
      </w:r>
      <w:r w:rsidR="00D36A28" w:rsidRPr="00D67FE9">
        <w:rPr>
          <w:lang w:val="en-AU"/>
        </w:rPr>
        <w:t>Some jurisdictions also provide examples of how notice may be given, including personally or by mail, press advertisement, radio or television broadcast, electronic means or any other means the court considers appropriate.</w:t>
      </w:r>
      <w:r w:rsidR="00D629FA">
        <w:rPr>
          <w:rFonts w:ascii="ZWAdobeF" w:hAnsi="ZWAdobeF" w:cs="ZWAdobeF"/>
          <w:color w:val="auto"/>
          <w:sz w:val="2"/>
          <w:szCs w:val="2"/>
          <w:lang w:val="en-AU"/>
        </w:rPr>
        <w:t>431F</w:t>
      </w:r>
      <w:r w:rsidR="0049638A">
        <w:rPr>
          <w:rFonts w:ascii="ZWAdobeF" w:hAnsi="ZWAdobeF" w:cs="ZWAdobeF"/>
          <w:color w:val="auto"/>
          <w:sz w:val="2"/>
          <w:szCs w:val="2"/>
          <w:lang w:val="en-AU"/>
        </w:rPr>
        <w:t>431F</w:t>
      </w:r>
      <w:r w:rsidR="00317AE4">
        <w:rPr>
          <w:rFonts w:ascii="ZWAdobeF" w:hAnsi="ZWAdobeF" w:cs="ZWAdobeF"/>
          <w:color w:val="auto"/>
          <w:sz w:val="2"/>
          <w:szCs w:val="2"/>
          <w:lang w:val="en-AU"/>
        </w:rPr>
        <w:t>431F</w:t>
      </w:r>
      <w:r w:rsidR="00D36A28" w:rsidRPr="00467004">
        <w:rPr>
          <w:rStyle w:val="FootnoteReference"/>
          <w:color w:val="000000"/>
          <w:szCs w:val="20"/>
          <w:lang w:val="en-AU"/>
        </w:rPr>
        <w:footnoteReference w:id="433"/>
      </w:r>
      <w:r w:rsidR="00D36A28" w:rsidRPr="00D67FE9">
        <w:rPr>
          <w:lang w:val="en-AU"/>
        </w:rPr>
        <w:t xml:space="preserve">   </w:t>
      </w:r>
    </w:p>
    <w:p w14:paraId="2D827C7F" w14:textId="3DE0D906" w:rsidR="00D36A28" w:rsidRPr="0067032B" w:rsidRDefault="00BD5C95" w:rsidP="004959CD">
      <w:pPr>
        <w:pStyle w:val="BodyText"/>
      </w:pPr>
      <w:r>
        <w:rPr>
          <w:rFonts w:ascii="ZWAdobeF" w:hAnsi="ZWAdobeF" w:cs="ZWAdobeF"/>
          <w:color w:val="auto"/>
          <w:sz w:val="2"/>
          <w:szCs w:val="2"/>
        </w:rPr>
        <w:t>273B</w:t>
      </w:r>
      <w:r w:rsidR="0049638A">
        <w:rPr>
          <w:rFonts w:ascii="ZWAdobeF" w:hAnsi="ZWAdobeF" w:cs="ZWAdobeF"/>
          <w:color w:val="auto"/>
          <w:sz w:val="2"/>
          <w:szCs w:val="2"/>
        </w:rPr>
        <w:t>273B</w:t>
      </w:r>
      <w:r w:rsidR="00D629FA">
        <w:rPr>
          <w:rFonts w:ascii="ZWAdobeF" w:hAnsi="ZWAdobeF" w:cs="ZWAdobeF"/>
          <w:color w:val="auto"/>
          <w:sz w:val="2"/>
          <w:szCs w:val="2"/>
        </w:rPr>
        <w:t>273B</w:t>
      </w:r>
      <w:r w:rsidR="00D36A28">
        <w:t xml:space="preserve">We consider the court should have a power to determine how notice to class members must be given. </w:t>
      </w:r>
      <w:r w:rsidR="00D36A28" w:rsidRPr="00844FCD">
        <w:t xml:space="preserve">We do not think there should be a presumption </w:t>
      </w:r>
      <w:r w:rsidR="00D36A28">
        <w:t>for</w:t>
      </w:r>
      <w:r w:rsidR="00D36A28" w:rsidRPr="00844FCD">
        <w:t xml:space="preserve"> any </w:t>
      </w:r>
      <w:r w:rsidR="00D36A28">
        <w:t>particular</w:t>
      </w:r>
      <w:r w:rsidR="00D36A28" w:rsidRPr="00844FCD">
        <w:t xml:space="preserve"> method of notice. </w:t>
      </w:r>
      <w:r w:rsidR="00D36A28">
        <w:t>Rather, we think that the court should have a broad discretion to order any means of notice that it considers appropriate in the circumstances.  The means of notice will likely depend on the nature of the class and the case. For example, where all class members are known, individual notice may be possible. However, in a large class with unknown class members, a broad advertising campaign may be appropriate.</w:t>
      </w:r>
      <w:r w:rsidR="00D629FA">
        <w:rPr>
          <w:rFonts w:ascii="ZWAdobeF" w:hAnsi="ZWAdobeF" w:cs="ZWAdobeF"/>
          <w:color w:val="auto"/>
          <w:sz w:val="2"/>
          <w:szCs w:val="2"/>
        </w:rPr>
        <w:t>432F</w:t>
      </w:r>
      <w:r w:rsidR="0049638A">
        <w:rPr>
          <w:rFonts w:ascii="ZWAdobeF" w:hAnsi="ZWAdobeF" w:cs="ZWAdobeF"/>
          <w:color w:val="auto"/>
          <w:sz w:val="2"/>
          <w:szCs w:val="2"/>
        </w:rPr>
        <w:t>432F</w:t>
      </w:r>
      <w:r w:rsidR="00317AE4">
        <w:rPr>
          <w:rFonts w:ascii="ZWAdobeF" w:hAnsi="ZWAdobeF" w:cs="ZWAdobeF"/>
          <w:color w:val="auto"/>
          <w:sz w:val="2"/>
          <w:szCs w:val="2"/>
        </w:rPr>
        <w:t>432F</w:t>
      </w:r>
      <w:r w:rsidR="00D36A28">
        <w:rPr>
          <w:rStyle w:val="FootnoteReference"/>
          <w:szCs w:val="20"/>
        </w:rPr>
        <w:footnoteReference w:id="434"/>
      </w:r>
    </w:p>
    <w:p w14:paraId="01EEEA15" w14:textId="599B429B" w:rsidR="00D36A28" w:rsidRDefault="00BD5C95" w:rsidP="004959CD">
      <w:pPr>
        <w:pStyle w:val="BodyText"/>
      </w:pPr>
      <w:r>
        <w:rPr>
          <w:rFonts w:ascii="ZWAdobeF" w:hAnsi="ZWAdobeF" w:cs="ZWAdobeF"/>
          <w:color w:val="auto"/>
          <w:sz w:val="2"/>
          <w:szCs w:val="2"/>
        </w:rPr>
        <w:t>274B</w:t>
      </w:r>
      <w:r w:rsidR="0049638A">
        <w:rPr>
          <w:rFonts w:ascii="ZWAdobeF" w:hAnsi="ZWAdobeF" w:cs="ZWAdobeF"/>
          <w:color w:val="auto"/>
          <w:sz w:val="2"/>
          <w:szCs w:val="2"/>
        </w:rPr>
        <w:t>274B</w:t>
      </w:r>
      <w:r w:rsidR="00D629FA">
        <w:rPr>
          <w:rFonts w:ascii="ZWAdobeF" w:hAnsi="ZWAdobeF" w:cs="ZWAdobeF"/>
          <w:color w:val="auto"/>
          <w:sz w:val="2"/>
          <w:szCs w:val="2"/>
        </w:rPr>
        <w:t>274B</w:t>
      </w:r>
      <w:r w:rsidR="00D36A28">
        <w:t>We</w:t>
      </w:r>
      <w:r w:rsidR="00D36A28" w:rsidRPr="00844FCD">
        <w:t xml:space="preserve"> think </w:t>
      </w:r>
      <w:r w:rsidR="00D36A28">
        <w:t>any</w:t>
      </w:r>
      <w:r w:rsidR="00D36A28" w:rsidRPr="00844FCD" w:rsidDel="00D00E69">
        <w:t xml:space="preserve"> </w:t>
      </w:r>
      <w:r w:rsidR="00D00E69">
        <w:t>specific</w:t>
      </w:r>
      <w:r w:rsidR="00D00E69" w:rsidRPr="00844FCD">
        <w:t xml:space="preserve"> </w:t>
      </w:r>
      <w:r w:rsidR="00D36A28" w:rsidRPr="00844FCD">
        <w:t>guidance</w:t>
      </w:r>
      <w:r w:rsidR="00D36A28">
        <w:t>,</w:t>
      </w:r>
      <w:r w:rsidR="00D36A28" w:rsidRPr="00E17729">
        <w:t xml:space="preserve"> </w:t>
      </w:r>
      <w:r w:rsidR="00D36A28" w:rsidRPr="00844FCD">
        <w:t>such as matters the court should consider when determining the method of notice</w:t>
      </w:r>
      <w:r w:rsidR="00D36A28">
        <w:t>,</w:t>
      </w:r>
      <w:r w:rsidR="00D36A28" w:rsidRPr="00844FCD">
        <w:t xml:space="preserve"> would be best contained in the High Court Rules. </w:t>
      </w:r>
    </w:p>
    <w:p w14:paraId="4596E838" w14:textId="33A0A4B4" w:rsidR="00D36A28" w:rsidRPr="00EA4E70" w:rsidRDefault="00D36A28" w:rsidP="002738EE">
      <w:pPr>
        <w:pStyle w:val="Heading3"/>
      </w:pPr>
      <w:r>
        <w:t xml:space="preserve">Defendant’s obligations with respect to notice </w:t>
      </w:r>
    </w:p>
    <w:p w14:paraId="495775DA" w14:textId="7CEADFDE" w:rsidR="00D36A28" w:rsidRPr="009C361D" w:rsidRDefault="00BD5C95" w:rsidP="004959CD">
      <w:pPr>
        <w:pStyle w:val="BodyText"/>
      </w:pPr>
      <w:r>
        <w:rPr>
          <w:rFonts w:ascii="ZWAdobeF" w:hAnsi="ZWAdobeF" w:cs="ZWAdobeF"/>
          <w:color w:val="auto"/>
          <w:sz w:val="2"/>
          <w:szCs w:val="2"/>
        </w:rPr>
        <w:t>275B</w:t>
      </w:r>
      <w:r w:rsidR="0049638A">
        <w:rPr>
          <w:rFonts w:ascii="ZWAdobeF" w:hAnsi="ZWAdobeF" w:cs="ZWAdobeF"/>
          <w:color w:val="auto"/>
          <w:sz w:val="2"/>
          <w:szCs w:val="2"/>
        </w:rPr>
        <w:t>275B</w:t>
      </w:r>
      <w:r w:rsidR="00D629FA">
        <w:rPr>
          <w:rFonts w:ascii="ZWAdobeF" w:hAnsi="ZWAdobeF" w:cs="ZWAdobeF"/>
          <w:color w:val="auto"/>
          <w:sz w:val="2"/>
          <w:szCs w:val="2"/>
        </w:rPr>
        <w:t>275B</w:t>
      </w:r>
      <w:r w:rsidR="00D36A28">
        <w:t xml:space="preserve">In some circumstances the defendant will be in a better position than the representative plaintiff to identify and contact class members, for example where all class members are current customers of the defendant. </w:t>
      </w:r>
      <w:r w:rsidR="00D00E69">
        <w:t>In such a case, i</w:t>
      </w:r>
      <w:r w:rsidR="00D36A28">
        <w:t xml:space="preserve">t may be appropriate for the defendant to facilitate notice to class members or to provide a list of class members to the representative plaintiff.  </w:t>
      </w:r>
    </w:p>
    <w:p w14:paraId="3B50FDF1" w14:textId="43BB0281" w:rsidR="00D36A28" w:rsidRPr="00D3022E" w:rsidRDefault="00BD5C95" w:rsidP="004959CD">
      <w:pPr>
        <w:pStyle w:val="BodyText"/>
        <w:rPr>
          <w:szCs w:val="20"/>
        </w:rPr>
      </w:pPr>
      <w:r>
        <w:rPr>
          <w:rFonts w:ascii="ZWAdobeF" w:hAnsi="ZWAdobeF" w:cs="ZWAdobeF"/>
          <w:color w:val="auto"/>
          <w:sz w:val="2"/>
          <w:szCs w:val="2"/>
        </w:rPr>
        <w:t>276B</w:t>
      </w:r>
      <w:r w:rsidR="0049638A">
        <w:rPr>
          <w:rFonts w:ascii="ZWAdobeF" w:hAnsi="ZWAdobeF" w:cs="ZWAdobeF"/>
          <w:color w:val="auto"/>
          <w:sz w:val="2"/>
          <w:szCs w:val="2"/>
        </w:rPr>
        <w:t>276B</w:t>
      </w:r>
      <w:r w:rsidR="00D629FA">
        <w:rPr>
          <w:rFonts w:ascii="ZWAdobeF" w:hAnsi="ZWAdobeF" w:cs="ZWAdobeF"/>
          <w:color w:val="auto"/>
          <w:sz w:val="2"/>
          <w:szCs w:val="2"/>
        </w:rPr>
        <w:t>276B</w:t>
      </w:r>
      <w:r w:rsidR="00D36A28">
        <w:t xml:space="preserve">This </w:t>
      </w:r>
      <w:r w:rsidR="00D36A28" w:rsidRPr="004959CD">
        <w:t>has</w:t>
      </w:r>
      <w:r w:rsidR="00D36A28">
        <w:t xml:space="preserve"> been considered in cases under HCR 4.24. In </w:t>
      </w:r>
      <w:r w:rsidR="00D36A28" w:rsidRPr="00D3022E">
        <w:rPr>
          <w:i/>
          <w:iCs/>
        </w:rPr>
        <w:t>Houghton v Saunders</w:t>
      </w:r>
      <w:r w:rsidR="00D36A28">
        <w:t xml:space="preserve">, the High Court appeared to accept the defendant could be compelled to directly notify </w:t>
      </w:r>
      <w:r w:rsidR="00D36A28" w:rsidRPr="00D3022E">
        <w:rPr>
          <w:szCs w:val="20"/>
        </w:rPr>
        <w:t xml:space="preserve">shareholders who were </w:t>
      </w:r>
      <w:r w:rsidR="006C6DE3">
        <w:rPr>
          <w:szCs w:val="20"/>
        </w:rPr>
        <w:t xml:space="preserve">group </w:t>
      </w:r>
      <w:r w:rsidR="00D36A28">
        <w:rPr>
          <w:szCs w:val="20"/>
        </w:rPr>
        <w:t xml:space="preserve">members in </w:t>
      </w:r>
      <w:r w:rsidR="00D36A28" w:rsidRPr="00D3022E">
        <w:rPr>
          <w:szCs w:val="20"/>
        </w:rPr>
        <w:t>the representative action.</w:t>
      </w:r>
      <w:r w:rsidR="00D629FA">
        <w:rPr>
          <w:rFonts w:ascii="ZWAdobeF" w:hAnsi="ZWAdobeF" w:cs="ZWAdobeF"/>
          <w:color w:val="auto"/>
          <w:sz w:val="2"/>
          <w:szCs w:val="2"/>
        </w:rPr>
        <w:t>433F</w:t>
      </w:r>
      <w:r w:rsidR="0049638A">
        <w:rPr>
          <w:rFonts w:ascii="ZWAdobeF" w:hAnsi="ZWAdobeF" w:cs="ZWAdobeF"/>
          <w:color w:val="auto"/>
          <w:sz w:val="2"/>
          <w:szCs w:val="2"/>
        </w:rPr>
        <w:t>433F</w:t>
      </w:r>
      <w:r w:rsidR="00317AE4">
        <w:rPr>
          <w:rFonts w:ascii="ZWAdobeF" w:hAnsi="ZWAdobeF" w:cs="ZWAdobeF"/>
          <w:color w:val="auto"/>
          <w:sz w:val="2"/>
          <w:szCs w:val="2"/>
        </w:rPr>
        <w:t>433F</w:t>
      </w:r>
      <w:r w:rsidR="00D36A28" w:rsidRPr="00413A84">
        <w:rPr>
          <w:rStyle w:val="FootnoteReference"/>
          <w:szCs w:val="20"/>
        </w:rPr>
        <w:footnoteReference w:id="435"/>
      </w:r>
      <w:r w:rsidR="00D36A28" w:rsidRPr="00D3022E">
        <w:rPr>
          <w:szCs w:val="20"/>
        </w:rPr>
        <w:t xml:space="preserve"> In </w:t>
      </w:r>
      <w:r w:rsidR="00D36A28" w:rsidRPr="00D3022E">
        <w:rPr>
          <w:i/>
          <w:iCs/>
          <w:szCs w:val="20"/>
        </w:rPr>
        <w:t>Smith v Claims Resolution Service</w:t>
      </w:r>
      <w:r w:rsidR="00D36A28" w:rsidRPr="00D3022E">
        <w:rPr>
          <w:szCs w:val="20"/>
        </w:rPr>
        <w:t>, t</w:t>
      </w:r>
      <w:r w:rsidR="00D36A28" w:rsidRPr="00D3022E">
        <w:rPr>
          <w:rFonts w:cstheme="minorHAnsi"/>
          <w:szCs w:val="20"/>
        </w:rPr>
        <w:t>he defendants were required to supply the plaintiffs and the Court with a “spreadsheet list of 178 potentially eligible clients and customers” which was to include “their full names, addresses and contact details”.</w:t>
      </w:r>
      <w:r w:rsidR="00D629FA">
        <w:rPr>
          <w:rFonts w:ascii="ZWAdobeF" w:hAnsi="ZWAdobeF" w:cs="ZWAdobeF"/>
          <w:color w:val="auto"/>
          <w:sz w:val="2"/>
          <w:szCs w:val="2"/>
        </w:rPr>
        <w:t>434F</w:t>
      </w:r>
      <w:r w:rsidR="0049638A">
        <w:rPr>
          <w:rFonts w:ascii="ZWAdobeF" w:hAnsi="ZWAdobeF" w:cs="ZWAdobeF"/>
          <w:color w:val="auto"/>
          <w:sz w:val="2"/>
          <w:szCs w:val="2"/>
        </w:rPr>
        <w:t>434F</w:t>
      </w:r>
      <w:r w:rsidR="00317AE4">
        <w:rPr>
          <w:rFonts w:ascii="ZWAdobeF" w:hAnsi="ZWAdobeF" w:cs="ZWAdobeF"/>
          <w:color w:val="auto"/>
          <w:sz w:val="2"/>
          <w:szCs w:val="2"/>
        </w:rPr>
        <w:t>434F</w:t>
      </w:r>
      <w:r w:rsidR="00D36A28" w:rsidRPr="00BA7468">
        <w:rPr>
          <w:rStyle w:val="FootnoteReference"/>
          <w:rFonts w:cstheme="minorHAnsi"/>
          <w:szCs w:val="20"/>
        </w:rPr>
        <w:footnoteReference w:id="436"/>
      </w:r>
      <w:r w:rsidR="00D36A28" w:rsidRPr="00D3022E">
        <w:rPr>
          <w:rFonts w:cstheme="minorHAnsi"/>
          <w:szCs w:val="20"/>
        </w:rPr>
        <w:t xml:space="preserve">  </w:t>
      </w:r>
      <w:r w:rsidR="00D36A28">
        <w:rPr>
          <w:rFonts w:cstheme="minorHAnsi"/>
          <w:szCs w:val="20"/>
        </w:rPr>
        <w:t xml:space="preserve">In </w:t>
      </w:r>
      <w:r w:rsidR="00D36A28">
        <w:rPr>
          <w:rFonts w:cstheme="minorHAnsi"/>
          <w:i/>
          <w:iCs/>
          <w:szCs w:val="20"/>
        </w:rPr>
        <w:t>Ross v Southern Response Earthquake Services Ltd</w:t>
      </w:r>
      <w:r w:rsidR="00D36A28">
        <w:rPr>
          <w:rFonts w:cstheme="minorHAnsi"/>
          <w:szCs w:val="20"/>
        </w:rPr>
        <w:t xml:space="preserve">, the defendant accepted in principle that it should assist with the communication of notices to </w:t>
      </w:r>
      <w:r w:rsidR="00A2150B">
        <w:rPr>
          <w:rFonts w:cstheme="minorHAnsi"/>
          <w:szCs w:val="20"/>
        </w:rPr>
        <w:t xml:space="preserve">group </w:t>
      </w:r>
      <w:r w:rsidR="00D36A28">
        <w:rPr>
          <w:rFonts w:cstheme="minorHAnsi"/>
          <w:szCs w:val="20"/>
        </w:rPr>
        <w:t>members.</w:t>
      </w:r>
      <w:r w:rsidR="00D629FA">
        <w:rPr>
          <w:rFonts w:ascii="ZWAdobeF" w:hAnsi="ZWAdobeF" w:cs="ZWAdobeF"/>
          <w:color w:val="auto"/>
          <w:sz w:val="2"/>
          <w:szCs w:val="2"/>
        </w:rPr>
        <w:t>435F</w:t>
      </w:r>
      <w:r w:rsidR="0049638A">
        <w:rPr>
          <w:rFonts w:ascii="ZWAdobeF" w:hAnsi="ZWAdobeF" w:cs="ZWAdobeF"/>
          <w:color w:val="auto"/>
          <w:sz w:val="2"/>
          <w:szCs w:val="2"/>
        </w:rPr>
        <w:t>435F</w:t>
      </w:r>
      <w:r w:rsidR="00317AE4">
        <w:rPr>
          <w:rFonts w:ascii="ZWAdobeF" w:hAnsi="ZWAdobeF" w:cs="ZWAdobeF"/>
          <w:color w:val="auto"/>
          <w:sz w:val="2"/>
          <w:szCs w:val="2"/>
        </w:rPr>
        <w:t>435F</w:t>
      </w:r>
      <w:r w:rsidR="00D36A28">
        <w:rPr>
          <w:rStyle w:val="FootnoteReference"/>
          <w:rFonts w:cstheme="minorHAnsi"/>
          <w:szCs w:val="20"/>
        </w:rPr>
        <w:footnoteReference w:id="437"/>
      </w:r>
    </w:p>
    <w:p w14:paraId="2D2AE6E9" w14:textId="72FAC4A7" w:rsidR="00D36A28" w:rsidRDefault="00BD5C95" w:rsidP="004959CD">
      <w:pPr>
        <w:pStyle w:val="BodyText"/>
      </w:pPr>
      <w:r>
        <w:rPr>
          <w:rFonts w:ascii="ZWAdobeF" w:hAnsi="ZWAdobeF" w:cs="ZWAdobeF"/>
          <w:color w:val="auto"/>
          <w:sz w:val="2"/>
          <w:szCs w:val="2"/>
        </w:rPr>
        <w:lastRenderedPageBreak/>
        <w:t>277B</w:t>
      </w:r>
      <w:r w:rsidR="0049638A">
        <w:rPr>
          <w:rFonts w:ascii="ZWAdobeF" w:hAnsi="ZWAdobeF" w:cs="ZWAdobeF"/>
          <w:color w:val="auto"/>
          <w:sz w:val="2"/>
          <w:szCs w:val="2"/>
        </w:rPr>
        <w:t>277B</w:t>
      </w:r>
      <w:r w:rsidR="00D629FA">
        <w:rPr>
          <w:rFonts w:ascii="ZWAdobeF" w:hAnsi="ZWAdobeF" w:cs="ZWAdobeF"/>
          <w:color w:val="auto"/>
          <w:sz w:val="2"/>
          <w:szCs w:val="2"/>
        </w:rPr>
        <w:t>277B</w:t>
      </w:r>
      <w:r w:rsidR="00D36A28" w:rsidRPr="004959CD">
        <w:t>However</w:t>
      </w:r>
      <w:r w:rsidR="00D36A28">
        <w:t xml:space="preserve">, in </w:t>
      </w:r>
      <w:r w:rsidR="00D36A28" w:rsidRPr="0022451E">
        <w:rPr>
          <w:i/>
          <w:iCs/>
        </w:rPr>
        <w:t xml:space="preserve">Southern Response Unresolved Claims Users Group v Southern Response, </w:t>
      </w:r>
      <w:r w:rsidR="00D36A28">
        <w:t>the High Court declined the plaintiff’s application for discovery of the names and addresses of policy holders who had unresolved claims with Southern Response.</w:t>
      </w:r>
      <w:r w:rsidR="00D629FA">
        <w:rPr>
          <w:rFonts w:ascii="ZWAdobeF" w:hAnsi="ZWAdobeF" w:cs="ZWAdobeF"/>
          <w:color w:val="auto"/>
          <w:sz w:val="2"/>
          <w:szCs w:val="2"/>
        </w:rPr>
        <w:t>436F</w:t>
      </w:r>
      <w:r w:rsidR="0049638A">
        <w:rPr>
          <w:rFonts w:ascii="ZWAdobeF" w:hAnsi="ZWAdobeF" w:cs="ZWAdobeF"/>
          <w:color w:val="auto"/>
          <w:sz w:val="2"/>
          <w:szCs w:val="2"/>
        </w:rPr>
        <w:t>436F</w:t>
      </w:r>
      <w:r w:rsidR="00317AE4">
        <w:rPr>
          <w:rFonts w:ascii="ZWAdobeF" w:hAnsi="ZWAdobeF" w:cs="ZWAdobeF"/>
          <w:color w:val="auto"/>
          <w:sz w:val="2"/>
          <w:szCs w:val="2"/>
        </w:rPr>
        <w:t>436F</w:t>
      </w:r>
      <w:r w:rsidR="00D36A28">
        <w:rPr>
          <w:rStyle w:val="FootnoteReference"/>
        </w:rPr>
        <w:footnoteReference w:id="438"/>
      </w:r>
      <w:r w:rsidR="00D36A28">
        <w:t xml:space="preserve"> This decision was upheld on appeal. The Court of Appeal considered that advertising being a less effective means of communicating with potential </w:t>
      </w:r>
      <w:r w:rsidR="00A2150B">
        <w:t xml:space="preserve">group </w:t>
      </w:r>
      <w:r w:rsidR="00D36A28">
        <w:t xml:space="preserve">members </w:t>
      </w:r>
      <w:r w:rsidR="00D00E69">
        <w:t>did</w:t>
      </w:r>
      <w:r w:rsidR="00D36A28">
        <w:t xml:space="preserve"> not justify the intrusion on the privacy interest held by people with unresolved claims.</w:t>
      </w:r>
      <w:r w:rsidR="00D629FA">
        <w:rPr>
          <w:rFonts w:ascii="ZWAdobeF" w:hAnsi="ZWAdobeF" w:cs="ZWAdobeF"/>
          <w:color w:val="auto"/>
          <w:sz w:val="2"/>
          <w:szCs w:val="2"/>
        </w:rPr>
        <w:t>437F</w:t>
      </w:r>
      <w:r w:rsidR="0049638A">
        <w:rPr>
          <w:rFonts w:ascii="ZWAdobeF" w:hAnsi="ZWAdobeF" w:cs="ZWAdobeF"/>
          <w:color w:val="auto"/>
          <w:sz w:val="2"/>
          <w:szCs w:val="2"/>
        </w:rPr>
        <w:t>437F</w:t>
      </w:r>
      <w:r w:rsidR="00317AE4">
        <w:rPr>
          <w:rFonts w:ascii="ZWAdobeF" w:hAnsi="ZWAdobeF" w:cs="ZWAdobeF"/>
          <w:color w:val="auto"/>
          <w:sz w:val="2"/>
          <w:szCs w:val="2"/>
        </w:rPr>
        <w:t>437F</w:t>
      </w:r>
      <w:r w:rsidR="00D36A28">
        <w:rPr>
          <w:rStyle w:val="FootnoteReference"/>
        </w:rPr>
        <w:footnoteReference w:id="439"/>
      </w:r>
      <w:r w:rsidR="00D36A28">
        <w:t xml:space="preserve"> </w:t>
      </w:r>
      <w:r w:rsidR="00D00E69">
        <w:t xml:space="preserve">It said </w:t>
      </w:r>
      <w:r w:rsidR="00D36A28">
        <w:t xml:space="preserve">the issue might be resolved by requiring Southern Response to provide information about the proceedings to potential </w:t>
      </w:r>
      <w:r w:rsidR="00A2150B">
        <w:t xml:space="preserve">group </w:t>
      </w:r>
      <w:r w:rsidR="00D36A28">
        <w:t>members.</w:t>
      </w:r>
      <w:r w:rsidR="00D629FA">
        <w:rPr>
          <w:rFonts w:ascii="ZWAdobeF" w:hAnsi="ZWAdobeF" w:cs="ZWAdobeF"/>
          <w:color w:val="auto"/>
          <w:sz w:val="2"/>
          <w:szCs w:val="2"/>
        </w:rPr>
        <w:t>438F</w:t>
      </w:r>
      <w:r w:rsidR="0049638A">
        <w:rPr>
          <w:rFonts w:ascii="ZWAdobeF" w:hAnsi="ZWAdobeF" w:cs="ZWAdobeF"/>
          <w:color w:val="auto"/>
          <w:sz w:val="2"/>
          <w:szCs w:val="2"/>
        </w:rPr>
        <w:t>438F</w:t>
      </w:r>
      <w:r w:rsidR="00317AE4">
        <w:rPr>
          <w:rFonts w:ascii="ZWAdobeF" w:hAnsi="ZWAdobeF" w:cs="ZWAdobeF"/>
          <w:color w:val="auto"/>
          <w:sz w:val="2"/>
          <w:szCs w:val="2"/>
        </w:rPr>
        <w:t>438F</w:t>
      </w:r>
      <w:r w:rsidR="00D36A28">
        <w:rPr>
          <w:rStyle w:val="FootnoteReference"/>
        </w:rPr>
        <w:footnoteReference w:id="440"/>
      </w:r>
      <w:r w:rsidR="00D36A28">
        <w:t xml:space="preserve">  </w:t>
      </w:r>
    </w:p>
    <w:p w14:paraId="61E942BF" w14:textId="6B132CE5" w:rsidR="00D36A28" w:rsidRDefault="00BD5C95" w:rsidP="004959CD">
      <w:pPr>
        <w:pStyle w:val="BodyText"/>
      </w:pPr>
      <w:r>
        <w:rPr>
          <w:rFonts w:ascii="ZWAdobeF" w:hAnsi="ZWAdobeF" w:cs="ZWAdobeF"/>
          <w:color w:val="auto"/>
          <w:sz w:val="2"/>
          <w:szCs w:val="2"/>
        </w:rPr>
        <w:t>278B</w:t>
      </w:r>
      <w:r w:rsidR="0049638A">
        <w:rPr>
          <w:rFonts w:ascii="ZWAdobeF" w:hAnsi="ZWAdobeF" w:cs="ZWAdobeF"/>
          <w:color w:val="auto"/>
          <w:sz w:val="2"/>
          <w:szCs w:val="2"/>
        </w:rPr>
        <w:t>278B</w:t>
      </w:r>
      <w:r w:rsidR="00D629FA">
        <w:rPr>
          <w:rFonts w:ascii="ZWAdobeF" w:hAnsi="ZWAdobeF" w:cs="ZWAdobeF"/>
          <w:color w:val="auto"/>
          <w:sz w:val="2"/>
          <w:szCs w:val="2"/>
        </w:rPr>
        <w:t>278B</w:t>
      </w:r>
      <w:r w:rsidR="00D36A28">
        <w:t>In other jurisdictions</w:t>
      </w:r>
      <w:r w:rsidR="00D36A28" w:rsidRPr="0066790D">
        <w:t xml:space="preserve">, </w:t>
      </w:r>
      <w:r w:rsidR="00D36A28">
        <w:t>the defendant may be required to assist with notice to class members in appropriate cases. For example, t</w:t>
      </w:r>
      <w:r w:rsidR="00D36A28" w:rsidRPr="0066790D">
        <w:t>he Federal Court of Australia has the power t</w:t>
      </w:r>
      <w:r w:rsidR="00D36A28" w:rsidRPr="0066790D">
        <w:rPr>
          <w:lang w:val="en-AU"/>
        </w:rPr>
        <w:t>o make orders “directing a party to provide information relevant to the giving of the notice”.</w:t>
      </w:r>
      <w:r w:rsidR="00D629FA">
        <w:rPr>
          <w:rFonts w:ascii="ZWAdobeF" w:hAnsi="ZWAdobeF" w:cs="ZWAdobeF"/>
          <w:color w:val="auto"/>
          <w:sz w:val="2"/>
          <w:szCs w:val="2"/>
          <w:lang w:val="en-AU"/>
        </w:rPr>
        <w:t>439F</w:t>
      </w:r>
      <w:r w:rsidR="0049638A">
        <w:rPr>
          <w:rFonts w:ascii="ZWAdobeF" w:hAnsi="ZWAdobeF" w:cs="ZWAdobeF"/>
          <w:color w:val="auto"/>
          <w:sz w:val="2"/>
          <w:szCs w:val="2"/>
          <w:lang w:val="en-AU"/>
        </w:rPr>
        <w:t>439F</w:t>
      </w:r>
      <w:r w:rsidR="00317AE4">
        <w:rPr>
          <w:rFonts w:ascii="ZWAdobeF" w:hAnsi="ZWAdobeF" w:cs="ZWAdobeF"/>
          <w:color w:val="auto"/>
          <w:sz w:val="2"/>
          <w:szCs w:val="2"/>
          <w:lang w:val="en-AU"/>
        </w:rPr>
        <w:t>439F</w:t>
      </w:r>
      <w:r w:rsidR="00D36A28" w:rsidRPr="00467004">
        <w:rPr>
          <w:rStyle w:val="FootnoteReference"/>
          <w:color w:val="000000"/>
          <w:szCs w:val="20"/>
          <w:lang w:val="en-AU"/>
        </w:rPr>
        <w:footnoteReference w:id="441"/>
      </w:r>
      <w:r w:rsidR="00D36A28" w:rsidRPr="0066790D">
        <w:rPr>
          <w:lang w:val="en-AU"/>
        </w:rPr>
        <w:t xml:space="preserve"> </w:t>
      </w:r>
      <w:r w:rsidR="00D36A28">
        <w:t xml:space="preserve">In Ontario, the court can order </w:t>
      </w:r>
      <w:r w:rsidR="00D36A28" w:rsidDel="008477F6">
        <w:t xml:space="preserve">the defendant </w:t>
      </w:r>
      <w:r w:rsidR="00D36A28" w:rsidDel="00B43B90">
        <w:t xml:space="preserve">to </w:t>
      </w:r>
      <w:r w:rsidR="00D36A28">
        <w:t xml:space="preserve">give notice that would otherwise be provided by </w:t>
      </w:r>
      <w:r w:rsidR="00D36A28" w:rsidDel="00B43B90">
        <w:t>the representative plaintiff</w:t>
      </w:r>
      <w:r w:rsidR="00D36A28">
        <w:t>.</w:t>
      </w:r>
      <w:r w:rsidR="00D629FA">
        <w:rPr>
          <w:rFonts w:ascii="ZWAdobeF" w:hAnsi="ZWAdobeF" w:cs="ZWAdobeF"/>
          <w:color w:val="auto"/>
          <w:sz w:val="2"/>
          <w:szCs w:val="2"/>
        </w:rPr>
        <w:t>440F</w:t>
      </w:r>
      <w:r w:rsidR="0049638A">
        <w:rPr>
          <w:rFonts w:ascii="ZWAdobeF" w:hAnsi="ZWAdobeF" w:cs="ZWAdobeF"/>
          <w:color w:val="auto"/>
          <w:sz w:val="2"/>
          <w:szCs w:val="2"/>
        </w:rPr>
        <w:t>440F</w:t>
      </w:r>
      <w:r w:rsidR="00317AE4">
        <w:rPr>
          <w:rFonts w:ascii="ZWAdobeF" w:hAnsi="ZWAdobeF" w:cs="ZWAdobeF"/>
          <w:color w:val="auto"/>
          <w:sz w:val="2"/>
          <w:szCs w:val="2"/>
        </w:rPr>
        <w:t>440F</w:t>
      </w:r>
      <w:r w:rsidR="00D36A28">
        <w:rPr>
          <w:rStyle w:val="FootnoteReference"/>
        </w:rPr>
        <w:footnoteReference w:id="442"/>
      </w:r>
      <w:r w:rsidR="00D36A28">
        <w:t xml:space="preserve"> </w:t>
      </w:r>
      <w:r w:rsidR="00D36A28" w:rsidRPr="0066790D">
        <w:rPr>
          <w:lang w:val="en-AU"/>
        </w:rPr>
        <w:t xml:space="preserve">In the United States, the </w:t>
      </w:r>
      <w:r w:rsidR="00D36A28">
        <w:rPr>
          <w:lang w:val="en-AU"/>
        </w:rPr>
        <w:t>court (on application by the representative plaintiff) may require</w:t>
      </w:r>
      <w:r w:rsidR="00D36A28" w:rsidRPr="0066790D">
        <w:rPr>
          <w:lang w:val="en-AU"/>
        </w:rPr>
        <w:t xml:space="preserve"> the defendant </w:t>
      </w:r>
      <w:r w:rsidR="00D36A28">
        <w:rPr>
          <w:lang w:val="en-AU"/>
        </w:rPr>
        <w:t>to</w:t>
      </w:r>
      <w:r w:rsidR="00D36A28" w:rsidRPr="0066790D">
        <w:rPr>
          <w:lang w:val="en-AU"/>
        </w:rPr>
        <w:t xml:space="preserve"> publish notice as part of </w:t>
      </w:r>
      <w:r w:rsidR="00DF4226">
        <w:rPr>
          <w:lang w:val="en-AU"/>
        </w:rPr>
        <w:t>a</w:t>
      </w:r>
      <w:r w:rsidR="00D36A28" w:rsidRPr="0066790D">
        <w:rPr>
          <w:lang w:val="en-AU"/>
        </w:rPr>
        <w:t xml:space="preserve"> routine mailout if class members overlap with the mailout recipients.</w:t>
      </w:r>
      <w:r w:rsidR="00D629FA">
        <w:rPr>
          <w:rFonts w:ascii="ZWAdobeF" w:hAnsi="ZWAdobeF" w:cs="ZWAdobeF"/>
          <w:color w:val="auto"/>
          <w:sz w:val="2"/>
          <w:szCs w:val="2"/>
          <w:lang w:val="en-AU"/>
        </w:rPr>
        <w:t>441F</w:t>
      </w:r>
      <w:r w:rsidR="0049638A">
        <w:rPr>
          <w:rFonts w:ascii="ZWAdobeF" w:hAnsi="ZWAdobeF" w:cs="ZWAdobeF"/>
          <w:color w:val="auto"/>
          <w:sz w:val="2"/>
          <w:szCs w:val="2"/>
          <w:lang w:val="en-AU"/>
        </w:rPr>
        <w:t>441F</w:t>
      </w:r>
      <w:r w:rsidR="00317AE4">
        <w:rPr>
          <w:rFonts w:ascii="ZWAdobeF" w:hAnsi="ZWAdobeF" w:cs="ZWAdobeF"/>
          <w:color w:val="auto"/>
          <w:sz w:val="2"/>
          <w:szCs w:val="2"/>
          <w:lang w:val="en-AU"/>
        </w:rPr>
        <w:t>441F</w:t>
      </w:r>
      <w:r w:rsidR="00D36A28">
        <w:rPr>
          <w:rStyle w:val="FootnoteReference"/>
          <w:szCs w:val="20"/>
          <w:lang w:val="en-AU"/>
        </w:rPr>
        <w:footnoteReference w:id="443"/>
      </w:r>
      <w:r w:rsidR="00D36A28" w:rsidRPr="0066790D">
        <w:rPr>
          <w:lang w:val="en-AU"/>
        </w:rPr>
        <w:t xml:space="preserve"> </w:t>
      </w:r>
    </w:p>
    <w:p w14:paraId="4CB28BE0" w14:textId="0E85B152" w:rsidR="00D36A28" w:rsidRPr="004360A0" w:rsidRDefault="00BD5C95" w:rsidP="004959CD">
      <w:pPr>
        <w:pStyle w:val="BodyText"/>
      </w:pPr>
      <w:r>
        <w:rPr>
          <w:rFonts w:ascii="ZWAdobeF" w:hAnsi="ZWAdobeF" w:cs="ZWAdobeF"/>
          <w:color w:val="auto"/>
          <w:sz w:val="2"/>
          <w:szCs w:val="2"/>
        </w:rPr>
        <w:t>279B</w:t>
      </w:r>
      <w:r w:rsidR="0049638A">
        <w:rPr>
          <w:rFonts w:ascii="ZWAdobeF" w:hAnsi="ZWAdobeF" w:cs="ZWAdobeF"/>
          <w:color w:val="auto"/>
          <w:sz w:val="2"/>
          <w:szCs w:val="2"/>
        </w:rPr>
        <w:t>279B</w:t>
      </w:r>
      <w:r w:rsidR="00D629FA">
        <w:rPr>
          <w:rFonts w:ascii="ZWAdobeF" w:hAnsi="ZWAdobeF" w:cs="ZWAdobeF"/>
          <w:color w:val="auto"/>
          <w:sz w:val="2"/>
          <w:szCs w:val="2"/>
        </w:rPr>
        <w:t>279B</w:t>
      </w:r>
      <w:r w:rsidR="00D36A28" w:rsidRPr="009738F0">
        <w:t xml:space="preserve">We </w:t>
      </w:r>
      <w:r w:rsidR="00D36A28" w:rsidRPr="004959CD">
        <w:t>consider</w:t>
      </w:r>
      <w:r w:rsidR="00D36A28" w:rsidRPr="009738F0">
        <w:t xml:space="preserve"> the court should have the power to order that the defendant provide relevant information </w:t>
      </w:r>
      <w:r w:rsidR="00F73AF8">
        <w:t>or</w:t>
      </w:r>
      <w:r w:rsidR="00D36A28" w:rsidRPr="009738F0">
        <w:t xml:space="preserve"> assist in giving notice to class members.</w:t>
      </w:r>
      <w:r w:rsidR="00D36A28">
        <w:t xml:space="preserve"> </w:t>
      </w:r>
      <w:r w:rsidR="00D36A28" w:rsidRPr="009738F0">
        <w:t xml:space="preserve">This would allow a judge to consider the circumstances of a particular case and decide what, if any, defendant involvement is appropriate. We can imagine there would be some cases where it would be very distressing for a potential class member to have their details </w:t>
      </w:r>
      <w:r w:rsidR="00D36A28">
        <w:t>given</w:t>
      </w:r>
      <w:r w:rsidR="00D36A28" w:rsidRPr="009738F0">
        <w:t xml:space="preserve"> to those running a class action or to be contacted directly by the defendant. However, there will be cases where defendant involvement is appropriate.</w:t>
      </w:r>
      <w:r w:rsidR="00D629FA">
        <w:rPr>
          <w:rFonts w:ascii="ZWAdobeF" w:hAnsi="ZWAdobeF" w:cs="ZWAdobeF"/>
          <w:color w:val="auto"/>
          <w:sz w:val="2"/>
          <w:szCs w:val="2"/>
        </w:rPr>
        <w:t>442F</w:t>
      </w:r>
      <w:r w:rsidR="0049638A">
        <w:rPr>
          <w:rFonts w:ascii="ZWAdobeF" w:hAnsi="ZWAdobeF" w:cs="ZWAdobeF"/>
          <w:color w:val="auto"/>
          <w:sz w:val="2"/>
          <w:szCs w:val="2"/>
        </w:rPr>
        <w:t>442F</w:t>
      </w:r>
      <w:r w:rsidR="00317AE4">
        <w:rPr>
          <w:rFonts w:ascii="ZWAdobeF" w:hAnsi="ZWAdobeF" w:cs="ZWAdobeF"/>
          <w:color w:val="auto"/>
          <w:sz w:val="2"/>
          <w:szCs w:val="2"/>
        </w:rPr>
        <w:t>442F</w:t>
      </w:r>
      <w:r w:rsidR="00DF4226">
        <w:rPr>
          <w:rStyle w:val="FootnoteReference"/>
        </w:rPr>
        <w:footnoteReference w:id="444"/>
      </w:r>
      <w:r w:rsidR="00D36A28" w:rsidRPr="00E25FA4">
        <w:t xml:space="preserve"> </w:t>
      </w:r>
      <w:r w:rsidR="00D36A28">
        <w:t>In some cases, the defendant</w:t>
      </w:r>
      <w:r w:rsidR="00D36A28" w:rsidRPr="00E25FA4">
        <w:t xml:space="preserve"> </w:t>
      </w:r>
      <w:r w:rsidR="00D36A28">
        <w:t xml:space="preserve">may </w:t>
      </w:r>
      <w:r w:rsidR="00D36A28" w:rsidRPr="00E25FA4">
        <w:t xml:space="preserve">prefer to provide the notice rather </w:t>
      </w:r>
      <w:r w:rsidR="00D36A28">
        <w:t>than give the representative plaintiff class member contact details.</w:t>
      </w:r>
      <w:r w:rsidR="00D629FA">
        <w:rPr>
          <w:rFonts w:ascii="ZWAdobeF" w:hAnsi="ZWAdobeF" w:cs="ZWAdobeF"/>
          <w:color w:val="auto"/>
          <w:sz w:val="2"/>
          <w:szCs w:val="2"/>
        </w:rPr>
        <w:t>443F</w:t>
      </w:r>
      <w:r w:rsidR="0049638A">
        <w:rPr>
          <w:rFonts w:ascii="ZWAdobeF" w:hAnsi="ZWAdobeF" w:cs="ZWAdobeF"/>
          <w:color w:val="auto"/>
          <w:sz w:val="2"/>
          <w:szCs w:val="2"/>
        </w:rPr>
        <w:t>443F</w:t>
      </w:r>
      <w:r w:rsidR="00317AE4">
        <w:rPr>
          <w:rFonts w:ascii="ZWAdobeF" w:hAnsi="ZWAdobeF" w:cs="ZWAdobeF"/>
          <w:color w:val="auto"/>
          <w:sz w:val="2"/>
          <w:szCs w:val="2"/>
        </w:rPr>
        <w:t>443F</w:t>
      </w:r>
      <w:r w:rsidR="00D36A28">
        <w:rPr>
          <w:rStyle w:val="FootnoteReference"/>
        </w:rPr>
        <w:footnoteReference w:id="445"/>
      </w:r>
    </w:p>
    <w:p w14:paraId="3AA7D528" w14:textId="2BD69990" w:rsidR="00CC6401" w:rsidRDefault="002738EE" w:rsidP="00CC6401">
      <w:pPr>
        <w:pStyle w:val="QuestionBox"/>
      </w:pPr>
      <w:r>
        <w:rPr>
          <w:noProof/>
        </w:rPr>
        <w:lastRenderedPageBreak/>
        <mc:AlternateContent>
          <mc:Choice Requires="wpg">
            <w:drawing>
              <wp:anchor distT="0" distB="0" distL="114300" distR="114300" simplePos="0" relativeHeight="251652160" behindDoc="1" locked="0" layoutInCell="1" allowOverlap="1" wp14:anchorId="62CDEEB2" wp14:editId="6C01E3C7">
                <wp:simplePos x="0" y="0"/>
                <wp:positionH relativeFrom="column">
                  <wp:posOffset>-1833</wp:posOffset>
                </wp:positionH>
                <wp:positionV relativeFrom="paragraph">
                  <wp:posOffset>4529</wp:posOffset>
                </wp:positionV>
                <wp:extent cx="5760085" cy="1621720"/>
                <wp:effectExtent l="0" t="0" r="0" b="0"/>
                <wp:wrapNone/>
                <wp:docPr id="764518213" name="Group 764518213"/>
                <wp:cNvGraphicFramePr/>
                <a:graphic xmlns:a="http://schemas.openxmlformats.org/drawingml/2006/main">
                  <a:graphicData uri="http://schemas.microsoft.com/office/word/2010/wordprocessingGroup">
                    <wpg:wgp>
                      <wpg:cNvGrpSpPr/>
                      <wpg:grpSpPr>
                        <a:xfrm>
                          <a:off x="0" y="0"/>
                          <a:ext cx="5760085" cy="1621720"/>
                          <a:chOff x="0" y="62865"/>
                          <a:chExt cx="5760085" cy="1621885"/>
                        </a:xfrm>
                      </wpg:grpSpPr>
                      <wps:wsp>
                        <wps:cNvPr id="76451821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A70AAF" w14:textId="77777777" w:rsidR="00A55F53" w:rsidRDefault="00A55F53" w:rsidP="002738EE">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215" name="Group 53"/>
                        <wpg:cNvGrpSpPr>
                          <a:grpSpLocks/>
                        </wpg:cNvGrpSpPr>
                        <wpg:grpSpPr bwMode="auto">
                          <a:xfrm>
                            <a:off x="0" y="316170"/>
                            <a:ext cx="5760085" cy="1368580"/>
                            <a:chOff x="1837" y="1791"/>
                            <a:chExt cx="9302" cy="14783"/>
                          </a:xfrm>
                        </wpg:grpSpPr>
                        <wps:wsp>
                          <wps:cNvPr id="764518216" name="Freeform 54"/>
                          <wps:cNvSpPr>
                            <a:spLocks/>
                          </wps:cNvSpPr>
                          <wps:spPr bwMode="auto">
                            <a:xfrm>
                              <a:off x="1837" y="1791"/>
                              <a:ext cx="9302" cy="1478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217" name="Group 764518217"/>
                        <wpg:cNvGrpSpPr/>
                        <wpg:grpSpPr>
                          <a:xfrm>
                            <a:off x="0" y="494036"/>
                            <a:ext cx="1443794" cy="252000"/>
                            <a:chOff x="-15880" y="0"/>
                            <a:chExt cx="1444379" cy="252068"/>
                          </a:xfrm>
                        </wpg:grpSpPr>
                        <wps:wsp>
                          <wps:cNvPr id="764518224"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2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51D7F5" w14:textId="448B76E7" w:rsidR="00A55F53" w:rsidRPr="00E700FF" w:rsidRDefault="00A55F53" w:rsidP="002738EE">
                                <w:pPr>
                                  <w:pStyle w:val="BoxTitle"/>
                                  <w:spacing w:before="0" w:beforeAutospacing="0"/>
                                </w:pPr>
                                <w:r w:rsidRPr="001C1B37">
                                  <w:t>Q</w:t>
                                </w:r>
                                <w:r>
                                  <w:t>21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2CDEEB2" id="Group 764518213" o:spid="_x0000_s1342" style="position:absolute;left:0;text-align:left;margin-left:-.15pt;margin-top:.35pt;width:453.55pt;height:127.7pt;z-index:-251664320;mso-height-relative:margin" coordorigin=",628" coordsize="57600,1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">
                <v:shape id="_x0000_s134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6A70AAF" w14:textId="77777777" w:rsidR="00A55F53" w:rsidRDefault="00A55F53" w:rsidP="002738EE">
                        <w:pPr>
                          <w:pStyle w:val="BoxTitle"/>
                          <w:spacing w:before="0" w:beforeAutospacing="0"/>
                        </w:pPr>
                        <w:r w:rsidRPr="007F6876">
                          <w:t>QUESTION</w:t>
                        </w:r>
                      </w:p>
                    </w:txbxContent>
                  </v:textbox>
                </v:shape>
                <v:group id="Group 53" o:spid="_x0000_s1344" style="position:absolute;top:3161;width:57600;height:13686" coordorigin="1837,1791" coordsize="9302,14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">
                  <v:shape id="Freeform 54" o:spid="_x0000_s1345" style="position:absolute;left:1837;top:1791;width:9302;height:1478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" path="m,l9354,r,7809l,7809,,e" fillcolor="#edf2ea" stroked="f">
                    <v:path arrowok="t" o:connecttype="custom" o:connectlocs="0,1893;9302,1893;9302,16676;0,16676;0,1893" o:connectangles="0,0,0,0,0"/>
                  </v:shape>
                </v:group>
                <v:group id="Group 764518217" o:spid="_x0000_s134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">
                  <v:shape id="Freeform 58" o:spid="_x0000_s134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" path="m,l1815,e" filled="f" strokecolor="#72ab6a" strokeweight=".5pt">
                    <v:path arrowok="t" o:connecttype="custom" o:connectlocs="0,0;1073495,0" o:connectangles="0,0"/>
                  </v:shape>
                  <v:shape id="Freeform 66" o:spid="_x0000_s134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151D7F5" w14:textId="448B76E7" w:rsidR="00A55F53" w:rsidRPr="00E700FF" w:rsidRDefault="00A55F53" w:rsidP="002738EE">
                          <w:pPr>
                            <w:pStyle w:val="BoxTitle"/>
                            <w:spacing w:before="0" w:beforeAutospacing="0"/>
                          </w:pPr>
                          <w:r w:rsidRPr="001C1B37">
                            <w:t>Q</w:t>
                          </w:r>
                          <w:r>
                            <w:t>21</w:t>
                          </w:r>
                        </w:p>
                      </w:txbxContent>
                    </v:textbox>
                  </v:shape>
                </v:group>
              </v:group>
            </w:pict>
          </mc:Fallback>
        </mc:AlternateContent>
      </w:r>
    </w:p>
    <w:p w14:paraId="484557C5" w14:textId="77777777" w:rsidR="00CC6401" w:rsidRDefault="00CC6401" w:rsidP="00CC6401">
      <w:pPr>
        <w:pStyle w:val="QuestionBox"/>
      </w:pPr>
    </w:p>
    <w:p w14:paraId="78ACFF31" w14:textId="5A2E9C87" w:rsidR="00D36A28" w:rsidRDefault="00BD5C95" w:rsidP="00CC6401">
      <w:pPr>
        <w:pStyle w:val="QuestionBox"/>
      </w:pPr>
      <w:r>
        <w:rPr>
          <w:rFonts w:ascii="ZWAdobeF" w:hAnsi="ZWAdobeF" w:cs="ZWAdobeF"/>
          <w:color w:val="auto"/>
          <w:sz w:val="2"/>
          <w:szCs w:val="2"/>
        </w:rPr>
        <w:t>1419B</w:t>
      </w:r>
      <w:r w:rsidR="0049638A">
        <w:rPr>
          <w:rFonts w:ascii="ZWAdobeF" w:hAnsi="ZWAdobeF" w:cs="ZWAdobeF"/>
          <w:color w:val="auto"/>
          <w:sz w:val="2"/>
          <w:szCs w:val="2"/>
        </w:rPr>
        <w:t>1419B</w:t>
      </w:r>
      <w:r w:rsidR="00D629FA">
        <w:rPr>
          <w:rFonts w:ascii="ZWAdobeF" w:hAnsi="ZWAdobeF" w:cs="ZWAdobeF"/>
          <w:color w:val="auto"/>
          <w:sz w:val="2"/>
          <w:szCs w:val="2"/>
        </w:rPr>
        <w:t>1419B</w:t>
      </w:r>
      <w:r w:rsidR="00D36A28">
        <w:t>Should the court have the power to order the defendant to:</w:t>
      </w:r>
    </w:p>
    <w:p w14:paraId="1FC6ED72" w14:textId="5A2BB794" w:rsidR="00D36A28" w:rsidRDefault="00BD5C95" w:rsidP="00B73434">
      <w:pPr>
        <w:pStyle w:val="Questionabc"/>
        <w:numPr>
          <w:ilvl w:val="0"/>
          <w:numId w:val="45"/>
        </w:numPr>
        <w:ind w:left="1418" w:hanging="425"/>
      </w:pPr>
      <w:r>
        <w:rPr>
          <w:rFonts w:ascii="ZWAdobeF" w:hAnsi="ZWAdobeF" w:cs="ZWAdobeF"/>
          <w:color w:val="auto"/>
          <w:sz w:val="2"/>
          <w:szCs w:val="2"/>
        </w:rPr>
        <w:t>1302B</w:t>
      </w:r>
      <w:r w:rsidR="0049638A">
        <w:rPr>
          <w:rFonts w:ascii="ZWAdobeF" w:hAnsi="ZWAdobeF" w:cs="ZWAdobeF"/>
          <w:color w:val="auto"/>
          <w:sz w:val="2"/>
          <w:szCs w:val="2"/>
        </w:rPr>
        <w:t>1302B</w:t>
      </w:r>
      <w:r w:rsidR="00D629FA">
        <w:rPr>
          <w:rFonts w:ascii="ZWAdobeF" w:hAnsi="ZWAdobeF" w:cs="ZWAdobeF"/>
          <w:color w:val="auto"/>
          <w:sz w:val="2"/>
          <w:szCs w:val="2"/>
        </w:rPr>
        <w:t>1302B</w:t>
      </w:r>
      <w:r w:rsidR="00D36A28">
        <w:t xml:space="preserve">Disclose the names and contact details of potential class members to the </w:t>
      </w:r>
      <w:r w:rsidR="005F57FF">
        <w:t xml:space="preserve">representative </w:t>
      </w:r>
      <w:r w:rsidR="00D36A28">
        <w:t>plaintiff?</w:t>
      </w:r>
    </w:p>
    <w:p w14:paraId="2D8FDE98" w14:textId="379E97A0" w:rsidR="00D36A28" w:rsidRDefault="00BD5C95" w:rsidP="00B73434">
      <w:pPr>
        <w:pStyle w:val="Questionabc"/>
        <w:numPr>
          <w:ilvl w:val="0"/>
          <w:numId w:val="45"/>
        </w:numPr>
        <w:ind w:left="1418" w:hanging="425"/>
      </w:pPr>
      <w:r>
        <w:rPr>
          <w:rFonts w:ascii="ZWAdobeF" w:hAnsi="ZWAdobeF" w:cs="ZWAdobeF"/>
          <w:color w:val="auto"/>
          <w:sz w:val="2"/>
          <w:szCs w:val="2"/>
        </w:rPr>
        <w:t>1303B</w:t>
      </w:r>
      <w:r w:rsidR="0049638A">
        <w:rPr>
          <w:rFonts w:ascii="ZWAdobeF" w:hAnsi="ZWAdobeF" w:cs="ZWAdobeF"/>
          <w:color w:val="auto"/>
          <w:sz w:val="2"/>
          <w:szCs w:val="2"/>
        </w:rPr>
        <w:t>1303B</w:t>
      </w:r>
      <w:r w:rsidR="00D629FA">
        <w:rPr>
          <w:rFonts w:ascii="ZWAdobeF" w:hAnsi="ZWAdobeF" w:cs="ZWAdobeF"/>
          <w:color w:val="auto"/>
          <w:sz w:val="2"/>
          <w:szCs w:val="2"/>
        </w:rPr>
        <w:t>1303B</w:t>
      </w:r>
      <w:r w:rsidR="00D36A28">
        <w:t xml:space="preserve">Assist with giving notice directly to class members?  </w:t>
      </w:r>
    </w:p>
    <w:p w14:paraId="19340E41" w14:textId="77777777" w:rsidR="00CC6401" w:rsidRPr="00CC6401" w:rsidRDefault="00CC6401" w:rsidP="00CC6401">
      <w:pPr>
        <w:pStyle w:val="QuestionBox"/>
      </w:pPr>
    </w:p>
    <w:p w14:paraId="035B3F32" w14:textId="77777777" w:rsidR="00D36A28" w:rsidRPr="009E09A9" w:rsidRDefault="00D36A28" w:rsidP="002738EE">
      <w:pPr>
        <w:pStyle w:val="Heading3"/>
      </w:pPr>
      <w:r>
        <w:t>Contents of an opt-in/opt-out notice</w:t>
      </w:r>
    </w:p>
    <w:p w14:paraId="5E9409B3" w14:textId="39F05953" w:rsidR="00D36A28" w:rsidRPr="00DD67EF" w:rsidRDefault="00BD5C95" w:rsidP="004959CD">
      <w:pPr>
        <w:pStyle w:val="BodyText"/>
        <w:rPr>
          <w:szCs w:val="20"/>
        </w:rPr>
      </w:pPr>
      <w:r>
        <w:rPr>
          <w:rFonts w:ascii="ZWAdobeF" w:hAnsi="ZWAdobeF" w:cs="ZWAdobeF"/>
          <w:color w:val="auto"/>
          <w:sz w:val="2"/>
          <w:szCs w:val="2"/>
        </w:rPr>
        <w:t>280B</w:t>
      </w:r>
      <w:r w:rsidR="0049638A">
        <w:rPr>
          <w:rFonts w:ascii="ZWAdobeF" w:hAnsi="ZWAdobeF" w:cs="ZWAdobeF"/>
          <w:color w:val="auto"/>
          <w:sz w:val="2"/>
          <w:szCs w:val="2"/>
        </w:rPr>
        <w:t>280B</w:t>
      </w:r>
      <w:r w:rsidR="00D629FA">
        <w:rPr>
          <w:rFonts w:ascii="ZWAdobeF" w:hAnsi="ZWAdobeF" w:cs="ZWAdobeF"/>
          <w:color w:val="auto"/>
          <w:sz w:val="2"/>
          <w:szCs w:val="2"/>
        </w:rPr>
        <w:t>280B</w:t>
      </w:r>
      <w:r w:rsidR="00D36A28" w:rsidRPr="004959CD">
        <w:t>We</w:t>
      </w:r>
      <w:r w:rsidR="00D36A28">
        <w:t xml:space="preserve"> think the two most critical stages for notice in a class action are the opt-in/opt-out stage and settlement. Participation in the class action or any settlement will mean an outcome which is legally binding on class members.</w:t>
      </w:r>
      <w:r w:rsidR="00D629FA">
        <w:rPr>
          <w:rFonts w:ascii="ZWAdobeF" w:hAnsi="ZWAdobeF" w:cs="ZWAdobeF"/>
          <w:color w:val="auto"/>
          <w:sz w:val="2"/>
          <w:szCs w:val="2"/>
        </w:rPr>
        <w:t>444F</w:t>
      </w:r>
      <w:r w:rsidR="0049638A">
        <w:rPr>
          <w:rFonts w:ascii="ZWAdobeF" w:hAnsi="ZWAdobeF" w:cs="ZWAdobeF"/>
          <w:color w:val="auto"/>
          <w:sz w:val="2"/>
          <w:szCs w:val="2"/>
        </w:rPr>
        <w:t>444F</w:t>
      </w:r>
      <w:r w:rsidR="00317AE4">
        <w:rPr>
          <w:rFonts w:ascii="ZWAdobeF" w:hAnsi="ZWAdobeF" w:cs="ZWAdobeF"/>
          <w:color w:val="auto"/>
          <w:sz w:val="2"/>
          <w:szCs w:val="2"/>
        </w:rPr>
        <w:t>444F</w:t>
      </w:r>
      <w:r w:rsidR="00D36A28">
        <w:rPr>
          <w:rStyle w:val="FootnoteReference"/>
        </w:rPr>
        <w:footnoteReference w:id="446"/>
      </w:r>
      <w:r w:rsidR="00D36A28">
        <w:t xml:space="preserve"> This section addresses the content of the opt-in</w:t>
      </w:r>
      <w:r w:rsidR="001778E6">
        <w:t>/</w:t>
      </w:r>
      <w:r w:rsidR="00D36A28">
        <w:t xml:space="preserve">opt-out notice, while the content of a settlement notice is addressed in Chapter 6. </w:t>
      </w:r>
    </w:p>
    <w:p w14:paraId="7044FC21" w14:textId="0C58344B" w:rsidR="00D36A28" w:rsidRPr="008A42C6" w:rsidRDefault="00BD5C95" w:rsidP="004959CD">
      <w:pPr>
        <w:pStyle w:val="BodyText"/>
        <w:rPr>
          <w:sz w:val="18"/>
          <w:szCs w:val="18"/>
        </w:rPr>
      </w:pPr>
      <w:r>
        <w:rPr>
          <w:rFonts w:ascii="ZWAdobeF" w:hAnsi="ZWAdobeF" w:cs="ZWAdobeF"/>
          <w:color w:val="auto"/>
          <w:sz w:val="2"/>
          <w:szCs w:val="2"/>
        </w:rPr>
        <w:t>281B</w:t>
      </w:r>
      <w:r w:rsidR="0049638A">
        <w:rPr>
          <w:rFonts w:ascii="ZWAdobeF" w:hAnsi="ZWAdobeF" w:cs="ZWAdobeF"/>
          <w:color w:val="auto"/>
          <w:sz w:val="2"/>
          <w:szCs w:val="2"/>
        </w:rPr>
        <w:t>281B</w:t>
      </w:r>
      <w:r w:rsidR="00D629FA">
        <w:rPr>
          <w:rFonts w:ascii="ZWAdobeF" w:hAnsi="ZWAdobeF" w:cs="ZWAdobeF"/>
          <w:color w:val="auto"/>
          <w:sz w:val="2"/>
          <w:szCs w:val="2"/>
        </w:rPr>
        <w:t>281B</w:t>
      </w:r>
      <w:r w:rsidR="00D36A28">
        <w:t xml:space="preserve">The </w:t>
      </w:r>
      <w:r w:rsidR="00D36A28" w:rsidRPr="004959CD">
        <w:t>High</w:t>
      </w:r>
      <w:r w:rsidR="00D36A28">
        <w:t xml:space="preserve"> Court has explained, in the context of a representative action, that the purpose of the opt-in</w:t>
      </w:r>
      <w:r w:rsidR="001778E6">
        <w:t>/</w:t>
      </w:r>
      <w:r w:rsidR="00D36A28">
        <w:t xml:space="preserve">opt-out notice is to ensure </w:t>
      </w:r>
      <w:r w:rsidR="00A2150B">
        <w:t xml:space="preserve">group </w:t>
      </w:r>
      <w:r w:rsidR="00D36A28">
        <w:t>members can make an informed decision.</w:t>
      </w:r>
      <w:r w:rsidR="00D629FA">
        <w:rPr>
          <w:rFonts w:ascii="ZWAdobeF" w:hAnsi="ZWAdobeF" w:cs="ZWAdobeF"/>
          <w:color w:val="auto"/>
          <w:sz w:val="2"/>
          <w:szCs w:val="2"/>
        </w:rPr>
        <w:t>445F</w:t>
      </w:r>
      <w:r w:rsidR="0049638A">
        <w:rPr>
          <w:rFonts w:ascii="ZWAdobeF" w:hAnsi="ZWAdobeF" w:cs="ZWAdobeF"/>
          <w:color w:val="auto"/>
          <w:sz w:val="2"/>
          <w:szCs w:val="2"/>
        </w:rPr>
        <w:t>445F</w:t>
      </w:r>
      <w:r w:rsidR="00317AE4">
        <w:rPr>
          <w:rFonts w:ascii="ZWAdobeF" w:hAnsi="ZWAdobeF" w:cs="ZWAdobeF"/>
          <w:color w:val="auto"/>
          <w:sz w:val="2"/>
          <w:szCs w:val="2"/>
        </w:rPr>
        <w:t>445F</w:t>
      </w:r>
      <w:r w:rsidR="00D36A28">
        <w:rPr>
          <w:rStyle w:val="FootnoteReference"/>
          <w:szCs w:val="20"/>
        </w:rPr>
        <w:footnoteReference w:id="447"/>
      </w:r>
      <w:r w:rsidR="00D36A28">
        <w:t xml:space="preserve"> The notice document is there to “inform, not recruit” and it should not be a platform to allow defendants to deter prospective </w:t>
      </w:r>
      <w:r w:rsidR="00A2150B">
        <w:t xml:space="preserve">group </w:t>
      </w:r>
      <w:r w:rsidR="00D36A28">
        <w:t>members.</w:t>
      </w:r>
      <w:r w:rsidR="00D629FA">
        <w:rPr>
          <w:rFonts w:ascii="ZWAdobeF" w:hAnsi="ZWAdobeF" w:cs="ZWAdobeF"/>
          <w:color w:val="auto"/>
          <w:sz w:val="2"/>
          <w:szCs w:val="2"/>
        </w:rPr>
        <w:t>446F</w:t>
      </w:r>
      <w:r w:rsidR="0049638A">
        <w:rPr>
          <w:rFonts w:ascii="ZWAdobeF" w:hAnsi="ZWAdobeF" w:cs="ZWAdobeF"/>
          <w:color w:val="auto"/>
          <w:sz w:val="2"/>
          <w:szCs w:val="2"/>
        </w:rPr>
        <w:t>446F</w:t>
      </w:r>
      <w:r w:rsidR="00317AE4">
        <w:rPr>
          <w:rFonts w:ascii="ZWAdobeF" w:hAnsi="ZWAdobeF" w:cs="ZWAdobeF"/>
          <w:color w:val="auto"/>
          <w:sz w:val="2"/>
          <w:szCs w:val="2"/>
        </w:rPr>
        <w:t>446F</w:t>
      </w:r>
      <w:r w:rsidR="00D36A28">
        <w:rPr>
          <w:rStyle w:val="FootnoteReference"/>
          <w:szCs w:val="20"/>
        </w:rPr>
        <w:footnoteReference w:id="448"/>
      </w:r>
      <w:r w:rsidR="00D36A28">
        <w:t xml:space="preserve"> </w:t>
      </w:r>
    </w:p>
    <w:p w14:paraId="2189719B" w14:textId="0DDD2E28" w:rsidR="00D36A28" w:rsidRPr="00B16555" w:rsidRDefault="00BD5C95" w:rsidP="004959CD">
      <w:pPr>
        <w:pStyle w:val="BodyText"/>
      </w:pPr>
      <w:r>
        <w:rPr>
          <w:rFonts w:ascii="ZWAdobeF" w:hAnsi="ZWAdobeF" w:cs="ZWAdobeF"/>
          <w:color w:val="auto"/>
          <w:sz w:val="2"/>
          <w:szCs w:val="2"/>
        </w:rPr>
        <w:t>282B</w:t>
      </w:r>
      <w:r w:rsidR="0049638A">
        <w:rPr>
          <w:rFonts w:ascii="ZWAdobeF" w:hAnsi="ZWAdobeF" w:cs="ZWAdobeF"/>
          <w:color w:val="auto"/>
          <w:sz w:val="2"/>
          <w:szCs w:val="2"/>
        </w:rPr>
        <w:t>282B</w:t>
      </w:r>
      <w:r w:rsidR="00D629FA">
        <w:rPr>
          <w:rFonts w:ascii="ZWAdobeF" w:hAnsi="ZWAdobeF" w:cs="ZWAdobeF"/>
          <w:color w:val="auto"/>
          <w:sz w:val="2"/>
          <w:szCs w:val="2"/>
        </w:rPr>
        <w:t>282B</w:t>
      </w:r>
      <w:r w:rsidR="00D36A28" w:rsidRPr="00A9620D">
        <w:t>The required content of an opt-in</w:t>
      </w:r>
      <w:r w:rsidR="001778E6">
        <w:t>/</w:t>
      </w:r>
      <w:r w:rsidR="00D36A28" w:rsidRPr="00A9620D">
        <w:t xml:space="preserve">opt-out notice varies across jurisdictions. However, </w:t>
      </w:r>
      <w:r w:rsidR="00D36A28">
        <w:t>at a minimum</w:t>
      </w:r>
      <w:r w:rsidR="00D36A28" w:rsidRPr="00A9620D">
        <w:t xml:space="preserve"> it must </w:t>
      </w:r>
      <w:r w:rsidR="00D36A28">
        <w:t xml:space="preserve">inform class </w:t>
      </w:r>
      <w:r w:rsidR="00D36A28" w:rsidRPr="00A9620D">
        <w:t xml:space="preserve">members </w:t>
      </w:r>
      <w:r w:rsidR="00D36A28">
        <w:t xml:space="preserve">of their right </w:t>
      </w:r>
      <w:r w:rsidR="00D36A28" w:rsidRPr="00A9620D">
        <w:t>to opt-in or opt-out (as relevant to the jurisdiction),</w:t>
      </w:r>
      <w:r w:rsidR="00D629FA">
        <w:rPr>
          <w:rFonts w:ascii="ZWAdobeF" w:hAnsi="ZWAdobeF" w:cs="ZWAdobeF"/>
          <w:color w:val="auto"/>
          <w:sz w:val="2"/>
          <w:szCs w:val="2"/>
        </w:rPr>
        <w:t>447F</w:t>
      </w:r>
      <w:r w:rsidR="0049638A">
        <w:rPr>
          <w:rFonts w:ascii="ZWAdobeF" w:hAnsi="ZWAdobeF" w:cs="ZWAdobeF"/>
          <w:color w:val="auto"/>
          <w:sz w:val="2"/>
          <w:szCs w:val="2"/>
        </w:rPr>
        <w:t>447F</w:t>
      </w:r>
      <w:r w:rsidR="00317AE4">
        <w:rPr>
          <w:rFonts w:ascii="ZWAdobeF" w:hAnsi="ZWAdobeF" w:cs="ZWAdobeF"/>
          <w:color w:val="auto"/>
          <w:sz w:val="2"/>
          <w:szCs w:val="2"/>
        </w:rPr>
        <w:t>447F</w:t>
      </w:r>
      <w:r w:rsidR="00D36A28">
        <w:rPr>
          <w:rStyle w:val="FootnoteReference"/>
          <w:szCs w:val="20"/>
        </w:rPr>
        <w:footnoteReference w:id="449"/>
      </w:r>
      <w:r w:rsidR="00D36A28" w:rsidRPr="00A9620D">
        <w:t xml:space="preserve"> </w:t>
      </w:r>
      <w:r w:rsidR="00E271A6">
        <w:t xml:space="preserve">explain </w:t>
      </w:r>
      <w:r w:rsidR="00D36A28" w:rsidRPr="00A9620D">
        <w:t xml:space="preserve">the binding effect of the </w:t>
      </w:r>
      <w:r w:rsidR="00D36A28">
        <w:t xml:space="preserve">judgment </w:t>
      </w:r>
      <w:r w:rsidR="00D36A28" w:rsidRPr="00A9620D">
        <w:t>on the class</w:t>
      </w:r>
      <w:r w:rsidR="00E271A6">
        <w:t>,</w:t>
      </w:r>
      <w:r w:rsidR="00D629FA">
        <w:rPr>
          <w:rFonts w:ascii="ZWAdobeF" w:hAnsi="ZWAdobeF" w:cs="ZWAdobeF"/>
          <w:color w:val="auto"/>
          <w:sz w:val="2"/>
          <w:szCs w:val="2"/>
        </w:rPr>
        <w:t>448F</w:t>
      </w:r>
      <w:r w:rsidR="0049638A">
        <w:rPr>
          <w:rFonts w:ascii="ZWAdobeF" w:hAnsi="ZWAdobeF" w:cs="ZWAdobeF"/>
          <w:color w:val="auto"/>
          <w:sz w:val="2"/>
          <w:szCs w:val="2"/>
        </w:rPr>
        <w:t>448F</w:t>
      </w:r>
      <w:r w:rsidR="00317AE4">
        <w:rPr>
          <w:rFonts w:ascii="ZWAdobeF" w:hAnsi="ZWAdobeF" w:cs="ZWAdobeF"/>
          <w:color w:val="auto"/>
          <w:sz w:val="2"/>
          <w:szCs w:val="2"/>
        </w:rPr>
        <w:t>448F</w:t>
      </w:r>
      <w:r w:rsidR="00D36A28">
        <w:rPr>
          <w:rStyle w:val="FootnoteReference"/>
          <w:szCs w:val="20"/>
        </w:rPr>
        <w:footnoteReference w:id="450"/>
      </w:r>
      <w:r w:rsidR="00D36A28" w:rsidRPr="00A9620D">
        <w:t xml:space="preserve"> and </w:t>
      </w:r>
      <w:r w:rsidR="00E271A6">
        <w:t xml:space="preserve">describe </w:t>
      </w:r>
      <w:r w:rsidR="00D36A28" w:rsidRPr="00A9620D">
        <w:t>the claim.</w:t>
      </w:r>
      <w:r w:rsidR="00D629FA">
        <w:rPr>
          <w:rFonts w:ascii="ZWAdobeF" w:hAnsi="ZWAdobeF" w:cs="ZWAdobeF"/>
          <w:color w:val="auto"/>
          <w:sz w:val="2"/>
          <w:szCs w:val="2"/>
        </w:rPr>
        <w:t>449F</w:t>
      </w:r>
      <w:r w:rsidR="0049638A">
        <w:rPr>
          <w:rFonts w:ascii="ZWAdobeF" w:hAnsi="ZWAdobeF" w:cs="ZWAdobeF"/>
          <w:color w:val="auto"/>
          <w:sz w:val="2"/>
          <w:szCs w:val="2"/>
        </w:rPr>
        <w:t>449F</w:t>
      </w:r>
      <w:r w:rsidR="00317AE4">
        <w:rPr>
          <w:rFonts w:ascii="ZWAdobeF" w:hAnsi="ZWAdobeF" w:cs="ZWAdobeF"/>
          <w:color w:val="auto"/>
          <w:sz w:val="2"/>
          <w:szCs w:val="2"/>
        </w:rPr>
        <w:t>449F</w:t>
      </w:r>
      <w:r w:rsidR="00D36A28">
        <w:rPr>
          <w:rStyle w:val="FootnoteReference"/>
          <w:szCs w:val="20"/>
        </w:rPr>
        <w:footnoteReference w:id="451"/>
      </w:r>
      <w:r w:rsidR="00D36A28">
        <w:t xml:space="preserve"> </w:t>
      </w:r>
    </w:p>
    <w:p w14:paraId="30D80547" w14:textId="64A9E3EF" w:rsidR="00D36A28" w:rsidRPr="00A668DE" w:rsidRDefault="00BD5C95" w:rsidP="00B230F4">
      <w:pPr>
        <w:pStyle w:val="BodyText"/>
      </w:pPr>
      <w:r>
        <w:rPr>
          <w:rFonts w:ascii="ZWAdobeF" w:hAnsi="ZWAdobeF" w:cs="ZWAdobeF"/>
          <w:color w:val="auto"/>
          <w:sz w:val="2"/>
          <w:szCs w:val="2"/>
        </w:rPr>
        <w:t>283B</w:t>
      </w:r>
      <w:r w:rsidR="0049638A">
        <w:rPr>
          <w:rFonts w:ascii="ZWAdobeF" w:hAnsi="ZWAdobeF" w:cs="ZWAdobeF"/>
          <w:color w:val="auto"/>
          <w:sz w:val="2"/>
          <w:szCs w:val="2"/>
        </w:rPr>
        <w:t>283B</w:t>
      </w:r>
      <w:r w:rsidR="00D629FA">
        <w:rPr>
          <w:rFonts w:ascii="ZWAdobeF" w:hAnsi="ZWAdobeF" w:cs="ZWAdobeF"/>
          <w:color w:val="auto"/>
          <w:sz w:val="2"/>
          <w:szCs w:val="2"/>
        </w:rPr>
        <w:t>283B</w:t>
      </w:r>
      <w:r w:rsidR="00D36A28" w:rsidRPr="00B230F4">
        <w:t>We</w:t>
      </w:r>
      <w:r w:rsidR="00D36A28" w:rsidRPr="00A668DE">
        <w:t xml:space="preserve"> think that relatively detailed requirements for </w:t>
      </w:r>
      <w:r w:rsidR="00D36A28">
        <w:t>opt-in/opt-out</w:t>
      </w:r>
      <w:r w:rsidR="00D36A28" w:rsidRPr="00A668DE">
        <w:t xml:space="preserve"> notices are important as class members need to receive sufficient information to make an informed decision about whether to participate in the class action. Our preliminary view is that an opt-in/opt-out notice should include: </w:t>
      </w:r>
    </w:p>
    <w:p w14:paraId="6A4F3095" w14:textId="2BBBF4C5"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lastRenderedPageBreak/>
        <w:t>722B</w:t>
      </w:r>
      <w:r w:rsidR="0049638A">
        <w:rPr>
          <w:rFonts w:ascii="ZWAdobeF" w:hAnsi="ZWAdobeF" w:cs="ZWAdobeF"/>
          <w:color w:val="auto"/>
          <w:sz w:val="2"/>
          <w:szCs w:val="2"/>
        </w:rPr>
        <w:t>722B</w:t>
      </w:r>
      <w:r w:rsidR="00D629FA">
        <w:rPr>
          <w:rFonts w:ascii="ZWAdobeF" w:hAnsi="ZWAdobeF" w:cs="ZWAdobeF"/>
          <w:color w:val="auto"/>
          <w:sz w:val="2"/>
          <w:szCs w:val="2"/>
        </w:rPr>
        <w:t>722B</w:t>
      </w:r>
      <w:r w:rsidR="00D36A28">
        <w:rPr>
          <w:szCs w:val="20"/>
        </w:rPr>
        <w:t>The identity of the representative plaintiff, including a brief explanation of their role and obligations</w:t>
      </w:r>
      <w:r w:rsidR="00E271A6">
        <w:rPr>
          <w:szCs w:val="20"/>
        </w:rPr>
        <w:t xml:space="preserve"> to the class</w:t>
      </w:r>
      <w:r w:rsidR="00D36A28">
        <w:rPr>
          <w:szCs w:val="20"/>
        </w:rPr>
        <w:t>.</w:t>
      </w:r>
    </w:p>
    <w:p w14:paraId="7B07C261" w14:textId="78BAA795"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t>723B</w:t>
      </w:r>
      <w:r w:rsidR="0049638A">
        <w:rPr>
          <w:rFonts w:ascii="ZWAdobeF" w:hAnsi="ZWAdobeF" w:cs="ZWAdobeF"/>
          <w:color w:val="auto"/>
          <w:sz w:val="2"/>
          <w:szCs w:val="2"/>
        </w:rPr>
        <w:t>723B</w:t>
      </w:r>
      <w:r w:rsidR="00D629FA">
        <w:rPr>
          <w:rFonts w:ascii="ZWAdobeF" w:hAnsi="ZWAdobeF" w:cs="ZWAdobeF"/>
          <w:color w:val="auto"/>
          <w:sz w:val="2"/>
          <w:szCs w:val="2"/>
        </w:rPr>
        <w:t>723B</w:t>
      </w:r>
      <w:r w:rsidR="00D36A28">
        <w:rPr>
          <w:szCs w:val="20"/>
        </w:rPr>
        <w:t>The identity of the lawyer acting for the representative plaintiff, including a brief explanation of their role and obligations to the class.</w:t>
      </w:r>
    </w:p>
    <w:p w14:paraId="73B905E9" w14:textId="0E94ACED"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t>724B</w:t>
      </w:r>
      <w:r w:rsidR="0049638A">
        <w:rPr>
          <w:rFonts w:ascii="ZWAdobeF" w:hAnsi="ZWAdobeF" w:cs="ZWAdobeF"/>
          <w:color w:val="auto"/>
          <w:sz w:val="2"/>
          <w:szCs w:val="2"/>
        </w:rPr>
        <w:t>724B</w:t>
      </w:r>
      <w:r w:rsidR="00D629FA">
        <w:rPr>
          <w:rFonts w:ascii="ZWAdobeF" w:hAnsi="ZWAdobeF" w:cs="ZWAdobeF"/>
          <w:color w:val="auto"/>
          <w:sz w:val="2"/>
          <w:szCs w:val="2"/>
        </w:rPr>
        <w:t>724B</w:t>
      </w:r>
      <w:r w:rsidR="00D36A28">
        <w:rPr>
          <w:szCs w:val="20"/>
        </w:rPr>
        <w:t xml:space="preserve">A description of the class action, including a class description and the identity of the defendants. </w:t>
      </w:r>
    </w:p>
    <w:p w14:paraId="1C24B375" w14:textId="2550247E"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t>725B</w:t>
      </w:r>
      <w:r w:rsidR="0049638A">
        <w:rPr>
          <w:rFonts w:ascii="ZWAdobeF" w:hAnsi="ZWAdobeF" w:cs="ZWAdobeF"/>
          <w:color w:val="auto"/>
          <w:sz w:val="2"/>
          <w:szCs w:val="2"/>
        </w:rPr>
        <w:t>725B</w:t>
      </w:r>
      <w:r w:rsidR="00D629FA">
        <w:rPr>
          <w:rFonts w:ascii="ZWAdobeF" w:hAnsi="ZWAdobeF" w:cs="ZWAdobeF"/>
          <w:color w:val="auto"/>
          <w:sz w:val="2"/>
          <w:szCs w:val="2"/>
        </w:rPr>
        <w:t>725B</w:t>
      </w:r>
      <w:r w:rsidR="00D36A28">
        <w:rPr>
          <w:szCs w:val="20"/>
        </w:rPr>
        <w:t>What a class member must do if they wish to opt into the claim or opt out of the class action (as appropriate) and the date by which they must do so.</w:t>
      </w:r>
    </w:p>
    <w:p w14:paraId="47055410" w14:textId="0BA0725E"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t>726B</w:t>
      </w:r>
      <w:r w:rsidR="0049638A">
        <w:rPr>
          <w:rFonts w:ascii="ZWAdobeF" w:hAnsi="ZWAdobeF" w:cs="ZWAdobeF"/>
          <w:color w:val="auto"/>
          <w:sz w:val="2"/>
          <w:szCs w:val="2"/>
        </w:rPr>
        <w:t>726B</w:t>
      </w:r>
      <w:r w:rsidR="00D629FA">
        <w:rPr>
          <w:rFonts w:ascii="ZWAdobeF" w:hAnsi="ZWAdobeF" w:cs="ZWAdobeF"/>
          <w:color w:val="auto"/>
          <w:sz w:val="2"/>
          <w:szCs w:val="2"/>
        </w:rPr>
        <w:t>726B</w:t>
      </w:r>
      <w:r w:rsidR="00D36A28">
        <w:rPr>
          <w:szCs w:val="20"/>
        </w:rPr>
        <w:t xml:space="preserve">An explanation of the binding effect of a class actions judgment on class members. </w:t>
      </w:r>
    </w:p>
    <w:p w14:paraId="3276CB5F" w14:textId="61761F6D" w:rsidR="00D36A28" w:rsidRPr="00761F2D" w:rsidRDefault="00BD5C95" w:rsidP="00932DB9">
      <w:pPr>
        <w:pStyle w:val="BodyTextnonum"/>
        <w:numPr>
          <w:ilvl w:val="3"/>
          <w:numId w:val="14"/>
        </w:numPr>
        <w:tabs>
          <w:tab w:val="num" w:pos="709"/>
        </w:tabs>
        <w:rPr>
          <w:szCs w:val="20"/>
        </w:rPr>
      </w:pPr>
      <w:r>
        <w:rPr>
          <w:rFonts w:ascii="ZWAdobeF" w:hAnsi="ZWAdobeF" w:cs="ZWAdobeF"/>
          <w:color w:val="auto"/>
          <w:sz w:val="2"/>
          <w:szCs w:val="2"/>
        </w:rPr>
        <w:t>727B</w:t>
      </w:r>
      <w:r w:rsidR="0049638A">
        <w:rPr>
          <w:rFonts w:ascii="ZWAdobeF" w:hAnsi="ZWAdobeF" w:cs="ZWAdobeF"/>
          <w:color w:val="auto"/>
          <w:sz w:val="2"/>
          <w:szCs w:val="2"/>
        </w:rPr>
        <w:t>727B</w:t>
      </w:r>
      <w:r w:rsidR="00D629FA">
        <w:rPr>
          <w:rFonts w:ascii="ZWAdobeF" w:hAnsi="ZWAdobeF" w:cs="ZWAdobeF"/>
          <w:color w:val="auto"/>
          <w:sz w:val="2"/>
          <w:szCs w:val="2"/>
        </w:rPr>
        <w:t>727B</w:t>
      </w:r>
      <w:r w:rsidR="00D36A28">
        <w:rPr>
          <w:szCs w:val="20"/>
        </w:rPr>
        <w:t xml:space="preserve">Who to contact if the class member would like any further information on the class action. </w:t>
      </w:r>
    </w:p>
    <w:p w14:paraId="1264C206" w14:textId="6459BB5F" w:rsidR="00D36A28" w:rsidRDefault="00BD5C95" w:rsidP="00932DB9">
      <w:pPr>
        <w:pStyle w:val="BodyTextnonum"/>
        <w:numPr>
          <w:ilvl w:val="3"/>
          <w:numId w:val="14"/>
        </w:numPr>
        <w:tabs>
          <w:tab w:val="num" w:pos="709"/>
        </w:tabs>
        <w:rPr>
          <w:szCs w:val="20"/>
        </w:rPr>
      </w:pPr>
      <w:r>
        <w:rPr>
          <w:rFonts w:ascii="ZWAdobeF" w:hAnsi="ZWAdobeF" w:cs="ZWAdobeF"/>
          <w:color w:val="auto"/>
          <w:sz w:val="2"/>
          <w:szCs w:val="2"/>
        </w:rPr>
        <w:t>728B</w:t>
      </w:r>
      <w:r w:rsidR="0049638A">
        <w:rPr>
          <w:rFonts w:ascii="ZWAdobeF" w:hAnsi="ZWAdobeF" w:cs="ZWAdobeF"/>
          <w:color w:val="auto"/>
          <w:sz w:val="2"/>
          <w:szCs w:val="2"/>
        </w:rPr>
        <w:t>728B</w:t>
      </w:r>
      <w:r w:rsidR="00D629FA">
        <w:rPr>
          <w:rFonts w:ascii="ZWAdobeF" w:hAnsi="ZWAdobeF" w:cs="ZWAdobeF"/>
          <w:color w:val="auto"/>
          <w:sz w:val="2"/>
          <w:szCs w:val="2"/>
        </w:rPr>
        <w:t>728B</w:t>
      </w:r>
      <w:r w:rsidR="00D36A28">
        <w:rPr>
          <w:szCs w:val="20"/>
        </w:rPr>
        <w:t>D</w:t>
      </w:r>
      <w:r w:rsidR="00D36A28" w:rsidRPr="00A40976">
        <w:rPr>
          <w:szCs w:val="20"/>
        </w:rPr>
        <w:t>isclosure of any potential conflicts</w:t>
      </w:r>
      <w:r w:rsidR="00D36A28">
        <w:rPr>
          <w:szCs w:val="20"/>
        </w:rPr>
        <w:t xml:space="preserve"> of interest.</w:t>
      </w:r>
      <w:r w:rsidR="00510D64">
        <w:rPr>
          <w:szCs w:val="20"/>
        </w:rPr>
        <w:t xml:space="preserve"> </w:t>
      </w:r>
    </w:p>
    <w:p w14:paraId="3E7410BC" w14:textId="788368D5" w:rsidR="00D36A28" w:rsidRPr="007C3316" w:rsidRDefault="00BD5C95" w:rsidP="00932DB9">
      <w:pPr>
        <w:pStyle w:val="BodyTextnonum"/>
        <w:numPr>
          <w:ilvl w:val="3"/>
          <w:numId w:val="14"/>
        </w:numPr>
        <w:tabs>
          <w:tab w:val="num" w:pos="709"/>
        </w:tabs>
        <w:rPr>
          <w:szCs w:val="20"/>
        </w:rPr>
      </w:pPr>
      <w:r>
        <w:rPr>
          <w:rFonts w:ascii="ZWAdobeF" w:hAnsi="ZWAdobeF" w:cs="ZWAdobeF"/>
          <w:color w:val="auto"/>
          <w:sz w:val="2"/>
          <w:szCs w:val="2"/>
        </w:rPr>
        <w:t>729B</w:t>
      </w:r>
      <w:r w:rsidR="0049638A">
        <w:rPr>
          <w:rFonts w:ascii="ZWAdobeF" w:hAnsi="ZWAdobeF" w:cs="ZWAdobeF"/>
          <w:color w:val="auto"/>
          <w:sz w:val="2"/>
          <w:szCs w:val="2"/>
        </w:rPr>
        <w:t>729B</w:t>
      </w:r>
      <w:r w:rsidR="00D629FA">
        <w:rPr>
          <w:rFonts w:ascii="ZWAdobeF" w:hAnsi="ZWAdobeF" w:cs="ZWAdobeF"/>
          <w:color w:val="auto"/>
          <w:sz w:val="2"/>
          <w:szCs w:val="2"/>
        </w:rPr>
        <w:t>729B</w:t>
      </w:r>
      <w:r w:rsidR="00D36A28">
        <w:rPr>
          <w:szCs w:val="20"/>
        </w:rPr>
        <w:t>Anything else the court considers appropriate.</w:t>
      </w:r>
    </w:p>
    <w:p w14:paraId="05B2CAC0" w14:textId="794067EE" w:rsidR="00D36A28" w:rsidRPr="00F4023A" w:rsidRDefault="00BD5C95" w:rsidP="00B230F4">
      <w:pPr>
        <w:pStyle w:val="BodyText"/>
        <w:rPr>
          <w:szCs w:val="20"/>
        </w:rPr>
      </w:pPr>
      <w:r>
        <w:rPr>
          <w:rFonts w:ascii="ZWAdobeF" w:hAnsi="ZWAdobeF" w:cs="ZWAdobeF"/>
          <w:color w:val="auto"/>
          <w:sz w:val="2"/>
          <w:szCs w:val="2"/>
        </w:rPr>
        <w:t>284B</w:t>
      </w:r>
      <w:r w:rsidR="0049638A">
        <w:rPr>
          <w:rFonts w:ascii="ZWAdobeF" w:hAnsi="ZWAdobeF" w:cs="ZWAdobeF"/>
          <w:color w:val="auto"/>
          <w:sz w:val="2"/>
          <w:szCs w:val="2"/>
        </w:rPr>
        <w:t>284B</w:t>
      </w:r>
      <w:r w:rsidR="00D629FA">
        <w:rPr>
          <w:rFonts w:ascii="ZWAdobeF" w:hAnsi="ZWAdobeF" w:cs="ZWAdobeF"/>
          <w:color w:val="auto"/>
          <w:sz w:val="2"/>
          <w:szCs w:val="2"/>
        </w:rPr>
        <w:t>284B</w:t>
      </w:r>
      <w:r w:rsidR="00D36A28" w:rsidRPr="00F4023A">
        <w:rPr>
          <w:szCs w:val="20"/>
        </w:rPr>
        <w:t xml:space="preserve">We think notice requirements should be set out in the </w:t>
      </w:r>
      <w:r w:rsidR="00D36A28">
        <w:rPr>
          <w:szCs w:val="20"/>
        </w:rPr>
        <w:t>High Court Rules</w:t>
      </w:r>
      <w:r w:rsidR="00D36A28" w:rsidRPr="00F4023A">
        <w:rPr>
          <w:szCs w:val="20"/>
        </w:rPr>
        <w:t xml:space="preserve">. </w:t>
      </w:r>
      <w:r w:rsidR="00D36A28">
        <w:t>Consideration could be given to developing a standard opt-in/opt-out notice, which could be added to the forms in Schedule 1 of the High Court Rules.</w:t>
      </w:r>
      <w:r w:rsidR="00D36A28" w:rsidRPr="00F4023A">
        <w:rPr>
          <w:szCs w:val="20"/>
        </w:rPr>
        <w:t xml:space="preserve"> </w:t>
      </w:r>
      <w:r w:rsidR="00D36A28">
        <w:rPr>
          <w:szCs w:val="20"/>
        </w:rPr>
        <w:t>We think it is desirable for opt-in/opt-out</w:t>
      </w:r>
      <w:r w:rsidR="00D36A28" w:rsidRPr="00A668DE">
        <w:rPr>
          <w:szCs w:val="20"/>
        </w:rPr>
        <w:t xml:space="preserve"> notices </w:t>
      </w:r>
      <w:r w:rsidR="00D36A28">
        <w:rPr>
          <w:szCs w:val="20"/>
        </w:rPr>
        <w:t>to use clear language that class members can easily understand.</w:t>
      </w:r>
      <w:r w:rsidR="00D629FA">
        <w:rPr>
          <w:rFonts w:ascii="ZWAdobeF" w:hAnsi="ZWAdobeF" w:cs="ZWAdobeF"/>
          <w:color w:val="auto"/>
          <w:sz w:val="2"/>
          <w:szCs w:val="2"/>
        </w:rPr>
        <w:t>450F</w:t>
      </w:r>
      <w:r w:rsidR="0049638A">
        <w:rPr>
          <w:rFonts w:ascii="ZWAdobeF" w:hAnsi="ZWAdobeF" w:cs="ZWAdobeF"/>
          <w:color w:val="auto"/>
          <w:sz w:val="2"/>
          <w:szCs w:val="2"/>
        </w:rPr>
        <w:t>450F</w:t>
      </w:r>
      <w:r w:rsidR="00317AE4">
        <w:rPr>
          <w:rFonts w:ascii="ZWAdobeF" w:hAnsi="ZWAdobeF" w:cs="ZWAdobeF"/>
          <w:color w:val="auto"/>
          <w:sz w:val="2"/>
          <w:szCs w:val="2"/>
        </w:rPr>
        <w:t>450F</w:t>
      </w:r>
      <w:r w:rsidR="00D36A28">
        <w:rPr>
          <w:rStyle w:val="FootnoteReference"/>
          <w:szCs w:val="20"/>
        </w:rPr>
        <w:footnoteReference w:id="452"/>
      </w:r>
    </w:p>
    <w:p w14:paraId="6CA29775" w14:textId="39B8210F" w:rsidR="00B230F4" w:rsidRDefault="002738EE" w:rsidP="00B230F4">
      <w:pPr>
        <w:pStyle w:val="QuestionBox"/>
      </w:pPr>
      <w:r>
        <w:rPr>
          <w:noProof/>
        </w:rPr>
        <mc:AlternateContent>
          <mc:Choice Requires="wpg">
            <w:drawing>
              <wp:anchor distT="0" distB="0" distL="114300" distR="114300" simplePos="0" relativeHeight="251652161" behindDoc="1" locked="0" layoutInCell="1" allowOverlap="1" wp14:anchorId="67D910BE" wp14:editId="1F8C2DA0">
                <wp:simplePos x="0" y="0"/>
                <wp:positionH relativeFrom="column">
                  <wp:posOffset>-3810</wp:posOffset>
                </wp:positionH>
                <wp:positionV relativeFrom="paragraph">
                  <wp:posOffset>3810</wp:posOffset>
                </wp:positionV>
                <wp:extent cx="5760085" cy="923939"/>
                <wp:effectExtent l="0" t="0" r="0" b="9525"/>
                <wp:wrapNone/>
                <wp:docPr id="764518226" name="Group 764518226"/>
                <wp:cNvGraphicFramePr/>
                <a:graphic xmlns:a="http://schemas.openxmlformats.org/drawingml/2006/main">
                  <a:graphicData uri="http://schemas.microsoft.com/office/word/2010/wordprocessingGroup">
                    <wpg:wgp>
                      <wpg:cNvGrpSpPr/>
                      <wpg:grpSpPr>
                        <a:xfrm>
                          <a:off x="0" y="0"/>
                          <a:ext cx="5760085" cy="923939"/>
                          <a:chOff x="0" y="62865"/>
                          <a:chExt cx="5760085" cy="924033"/>
                        </a:xfrm>
                      </wpg:grpSpPr>
                      <wps:wsp>
                        <wps:cNvPr id="76451822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7220A0" w14:textId="77777777" w:rsidR="00A55F53" w:rsidRDefault="00A55F53" w:rsidP="002738EE">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231" name="Group 53"/>
                        <wpg:cNvGrpSpPr>
                          <a:grpSpLocks/>
                        </wpg:cNvGrpSpPr>
                        <wpg:grpSpPr bwMode="auto">
                          <a:xfrm>
                            <a:off x="0" y="316263"/>
                            <a:ext cx="5760085" cy="670635"/>
                            <a:chOff x="1837" y="1792"/>
                            <a:chExt cx="9302" cy="7244"/>
                          </a:xfrm>
                        </wpg:grpSpPr>
                        <wps:wsp>
                          <wps:cNvPr id="764518234" name="Freeform 54"/>
                          <wps:cNvSpPr>
                            <a:spLocks/>
                          </wps:cNvSpPr>
                          <wps:spPr bwMode="auto">
                            <a:xfrm>
                              <a:off x="1837" y="1792"/>
                              <a:ext cx="9302" cy="724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235" name="Group 764518235"/>
                        <wpg:cNvGrpSpPr/>
                        <wpg:grpSpPr>
                          <a:xfrm>
                            <a:off x="0" y="494036"/>
                            <a:ext cx="1443794" cy="252000"/>
                            <a:chOff x="-15880" y="0"/>
                            <a:chExt cx="1444379" cy="252068"/>
                          </a:xfrm>
                        </wpg:grpSpPr>
                        <wps:wsp>
                          <wps:cNvPr id="76451823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3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5A7144" w14:textId="2A94CA0B" w:rsidR="00A55F53" w:rsidRPr="00E700FF" w:rsidRDefault="00A55F53" w:rsidP="002738EE">
                                <w:pPr>
                                  <w:pStyle w:val="BoxTitle"/>
                                  <w:spacing w:before="0" w:beforeAutospacing="0"/>
                                </w:pPr>
                                <w:r w:rsidRPr="001C1B37">
                                  <w:t>Q</w:t>
                                </w:r>
                                <w:r>
                                  <w:t>22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7D910BE" id="Group 764518226" o:spid="_x0000_s1349" style="position:absolute;left:0;text-align:left;margin-left:-.3pt;margin-top:.3pt;width:453.55pt;height:72.75pt;z-index:-251664319;mso-height-relative:margin" coordorigin=",628" coordsize="5760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">
                <v:shape id="_x0000_s135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07220A0" w14:textId="77777777" w:rsidR="00A55F53" w:rsidRDefault="00A55F53" w:rsidP="002738EE">
                        <w:pPr>
                          <w:pStyle w:val="BoxTitle"/>
                          <w:spacing w:before="0" w:beforeAutospacing="0"/>
                        </w:pPr>
                        <w:r w:rsidRPr="007F6876">
                          <w:t>QUESTION</w:t>
                        </w:r>
                      </w:p>
                    </w:txbxContent>
                  </v:textbox>
                </v:shape>
                <v:group id="Group 53" o:spid="_x0000_s1351" style="position:absolute;top:3162;width:57600;height:6706" coordorigin="1837,1792" coordsize="9302,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">
                  <v:shape id="Freeform 54" o:spid="_x0000_s1352" style="position:absolute;left:1837;top:1792;width:9302;height:724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" path="m,l9354,r,7809l,7809,,e" fillcolor="#edf2ea" stroked="f">
                    <v:path arrowok="t" o:connecttype="custom" o:connectlocs="0,928;9302,928;9302,8172;0,8172;0,928" o:connectangles="0,0,0,0,0"/>
                  </v:shape>
                </v:group>
                <v:group id="Group 764518235" o:spid="_x0000_s135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">
                  <v:shape id="Freeform 58" o:spid="_x0000_s135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" path="m,l1815,e" filled="f" strokecolor="#72ab6a" strokeweight=".5pt">
                    <v:path arrowok="t" o:connecttype="custom" o:connectlocs="0,0;1073495,0" o:connectangles="0,0"/>
                  </v:shape>
                  <v:shape id="Freeform 66" o:spid="_x0000_s135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55A7144" w14:textId="2A94CA0B" w:rsidR="00A55F53" w:rsidRPr="00E700FF" w:rsidRDefault="00A55F53" w:rsidP="002738EE">
                          <w:pPr>
                            <w:pStyle w:val="BoxTitle"/>
                            <w:spacing w:before="0" w:beforeAutospacing="0"/>
                          </w:pPr>
                          <w:r w:rsidRPr="001C1B37">
                            <w:t>Q</w:t>
                          </w:r>
                          <w:r>
                            <w:t>22</w:t>
                          </w:r>
                        </w:p>
                      </w:txbxContent>
                    </v:textbox>
                  </v:shape>
                </v:group>
              </v:group>
            </w:pict>
          </mc:Fallback>
        </mc:AlternateContent>
      </w:r>
    </w:p>
    <w:p w14:paraId="6109FBC0" w14:textId="77777777" w:rsidR="00B230F4" w:rsidRDefault="00B230F4" w:rsidP="00B230F4">
      <w:pPr>
        <w:pStyle w:val="QuestionBox"/>
      </w:pPr>
    </w:p>
    <w:p w14:paraId="3718E20C" w14:textId="5520DDE5" w:rsidR="00D36A28" w:rsidRDefault="00BD5C95" w:rsidP="00B230F4">
      <w:pPr>
        <w:pStyle w:val="QuestionBox"/>
      </w:pPr>
      <w:r>
        <w:rPr>
          <w:rFonts w:ascii="ZWAdobeF" w:hAnsi="ZWAdobeF" w:cs="ZWAdobeF"/>
          <w:color w:val="auto"/>
          <w:sz w:val="2"/>
          <w:szCs w:val="2"/>
        </w:rPr>
        <w:t>1420B</w:t>
      </w:r>
      <w:r w:rsidR="0049638A">
        <w:rPr>
          <w:rFonts w:ascii="ZWAdobeF" w:hAnsi="ZWAdobeF" w:cs="ZWAdobeF"/>
          <w:color w:val="auto"/>
          <w:sz w:val="2"/>
          <w:szCs w:val="2"/>
        </w:rPr>
        <w:t>1420B</w:t>
      </w:r>
      <w:r w:rsidR="00D629FA">
        <w:rPr>
          <w:rFonts w:ascii="ZWAdobeF" w:hAnsi="ZWAdobeF" w:cs="ZWAdobeF"/>
          <w:color w:val="auto"/>
          <w:sz w:val="2"/>
          <w:szCs w:val="2"/>
        </w:rPr>
        <w:t>1420B</w:t>
      </w:r>
      <w:r w:rsidR="00D36A28">
        <w:t xml:space="preserve">Do you agree with our proposed </w:t>
      </w:r>
      <w:r w:rsidR="00C14994">
        <w:t xml:space="preserve">requirements </w:t>
      </w:r>
      <w:r w:rsidR="00D36A28">
        <w:t xml:space="preserve">for an opt-in/opt-out notice? </w:t>
      </w:r>
    </w:p>
    <w:p w14:paraId="77ECB29A" w14:textId="77777777" w:rsidR="00B230F4" w:rsidRDefault="00B230F4" w:rsidP="00B230F4">
      <w:pPr>
        <w:pStyle w:val="QuestionBox"/>
      </w:pPr>
    </w:p>
    <w:p w14:paraId="50A4A5F9" w14:textId="77777777" w:rsidR="00D36A28" w:rsidRDefault="00D36A28" w:rsidP="002738EE">
      <w:pPr>
        <w:pStyle w:val="Heading2"/>
      </w:pPr>
      <w:bookmarkStart w:id="74" w:name="_Toc83895451"/>
      <w:r>
        <w:t>Case management</w:t>
      </w:r>
      <w:bookmarkEnd w:id="74"/>
      <w:r>
        <w:t xml:space="preserve"> </w:t>
      </w:r>
    </w:p>
    <w:p w14:paraId="57802376" w14:textId="297DAB49" w:rsidR="00D36A28" w:rsidRDefault="00BD5C95" w:rsidP="00B230F4">
      <w:pPr>
        <w:pStyle w:val="BodyText"/>
      </w:pPr>
      <w:r>
        <w:rPr>
          <w:rFonts w:ascii="ZWAdobeF" w:hAnsi="ZWAdobeF" w:cs="ZWAdobeF"/>
          <w:color w:val="auto"/>
          <w:sz w:val="2"/>
          <w:szCs w:val="2"/>
        </w:rPr>
        <w:t>285B</w:t>
      </w:r>
      <w:r w:rsidR="0049638A">
        <w:rPr>
          <w:rFonts w:ascii="ZWAdobeF" w:hAnsi="ZWAdobeF" w:cs="ZWAdobeF"/>
          <w:color w:val="auto"/>
          <w:sz w:val="2"/>
          <w:szCs w:val="2"/>
        </w:rPr>
        <w:t>285B</w:t>
      </w:r>
      <w:r w:rsidR="00D629FA">
        <w:rPr>
          <w:rFonts w:ascii="ZWAdobeF" w:hAnsi="ZWAdobeF" w:cs="ZWAdobeF"/>
          <w:color w:val="auto"/>
          <w:sz w:val="2"/>
          <w:szCs w:val="2"/>
        </w:rPr>
        <w:t>285B</w:t>
      </w:r>
      <w:r w:rsidR="00D36A28">
        <w:t>Class actions will need close case management to ensure they proceed efficiently, and the interests of class members are protected. While the general case management provisions in the High Court Rules and the court's inherent jurisdiction should usually be able to respond to any case management issues that arise in class actions, there may be aspects of class actions that would benefit from tailored case management provisions. In this section, we discuss some options for promoting the efficient case management of class actions.</w:t>
      </w:r>
    </w:p>
    <w:p w14:paraId="69DD562F" w14:textId="77777777" w:rsidR="00D36A28" w:rsidRDefault="00D36A28" w:rsidP="00635A84">
      <w:pPr>
        <w:pStyle w:val="Heading3"/>
      </w:pPr>
      <w:r>
        <w:t>General power to manage class actions</w:t>
      </w:r>
    </w:p>
    <w:p w14:paraId="6B402DA0" w14:textId="36E00687" w:rsidR="00D36A28" w:rsidRDefault="00BD5C95" w:rsidP="00CB0D33">
      <w:pPr>
        <w:pStyle w:val="BodyText"/>
      </w:pPr>
      <w:r>
        <w:rPr>
          <w:rFonts w:ascii="ZWAdobeF" w:hAnsi="ZWAdobeF" w:cs="ZWAdobeF"/>
          <w:color w:val="auto"/>
          <w:sz w:val="2"/>
          <w:szCs w:val="2"/>
        </w:rPr>
        <w:t>286B</w:t>
      </w:r>
      <w:r w:rsidR="0049638A">
        <w:rPr>
          <w:rFonts w:ascii="ZWAdobeF" w:hAnsi="ZWAdobeF" w:cs="ZWAdobeF"/>
          <w:color w:val="auto"/>
          <w:sz w:val="2"/>
          <w:szCs w:val="2"/>
        </w:rPr>
        <w:t>286B</w:t>
      </w:r>
      <w:r w:rsidR="00D629FA">
        <w:rPr>
          <w:rFonts w:ascii="ZWAdobeF" w:hAnsi="ZWAdobeF" w:cs="ZWAdobeF"/>
          <w:color w:val="auto"/>
          <w:sz w:val="2"/>
          <w:szCs w:val="2"/>
        </w:rPr>
        <w:t>286B</w:t>
      </w:r>
      <w:r w:rsidR="00D36A28" w:rsidRPr="00570049">
        <w:t>Some</w:t>
      </w:r>
      <w:r w:rsidR="00D36A28">
        <w:t xml:space="preserve"> overseas class action</w:t>
      </w:r>
      <w:r w:rsidR="00805C83">
        <w:t>s</w:t>
      </w:r>
      <w:r w:rsidR="00D36A28">
        <w:t xml:space="preserve"> regimes have a general power to make any orders necessary for the just and efficient conduct of a class action. For example, section 33ZF of the Federal Court of Australia Act</w:t>
      </w:r>
      <w:r w:rsidR="008F5F61">
        <w:t xml:space="preserve"> 1976</w:t>
      </w:r>
      <w:r w:rsidR="00D36A28">
        <w:t xml:space="preserve"> provides:</w:t>
      </w:r>
      <w:r w:rsidR="00D629FA">
        <w:rPr>
          <w:rFonts w:ascii="ZWAdobeF" w:hAnsi="ZWAdobeF" w:cs="ZWAdobeF"/>
          <w:color w:val="auto"/>
          <w:sz w:val="2"/>
          <w:szCs w:val="2"/>
        </w:rPr>
        <w:t>451F</w:t>
      </w:r>
      <w:r w:rsidR="0049638A">
        <w:rPr>
          <w:rFonts w:ascii="ZWAdobeF" w:hAnsi="ZWAdobeF" w:cs="ZWAdobeF"/>
          <w:color w:val="auto"/>
          <w:sz w:val="2"/>
          <w:szCs w:val="2"/>
        </w:rPr>
        <w:t>451F</w:t>
      </w:r>
      <w:r w:rsidR="00317AE4">
        <w:rPr>
          <w:rFonts w:ascii="ZWAdobeF" w:hAnsi="ZWAdobeF" w:cs="ZWAdobeF"/>
          <w:color w:val="auto"/>
          <w:sz w:val="2"/>
          <w:szCs w:val="2"/>
        </w:rPr>
        <w:t>451F</w:t>
      </w:r>
      <w:r w:rsidR="00D36A28">
        <w:rPr>
          <w:rStyle w:val="FootnoteReference"/>
        </w:rPr>
        <w:footnoteReference w:id="453"/>
      </w:r>
    </w:p>
    <w:p w14:paraId="18234A30" w14:textId="5969468D" w:rsidR="00D36A28" w:rsidRDefault="00BD5C95" w:rsidP="00D36A28">
      <w:pPr>
        <w:pStyle w:val="Quote"/>
      </w:pPr>
      <w:r>
        <w:rPr>
          <w:rFonts w:ascii="ZWAdobeF" w:hAnsi="ZWAdobeF" w:cs="ZWAdobeF"/>
          <w:color w:val="auto"/>
          <w:sz w:val="2"/>
          <w:szCs w:val="2"/>
          <w:shd w:val="clear" w:color="auto" w:fill="FFFFFF"/>
        </w:rPr>
        <w:lastRenderedPageBreak/>
        <w:t>1463B</w:t>
      </w:r>
      <w:r w:rsidR="0049638A">
        <w:rPr>
          <w:rFonts w:ascii="ZWAdobeF" w:hAnsi="ZWAdobeF" w:cs="ZWAdobeF"/>
          <w:color w:val="auto"/>
          <w:sz w:val="2"/>
          <w:szCs w:val="2"/>
          <w:shd w:val="clear" w:color="auto" w:fill="FFFFFF"/>
        </w:rPr>
        <w:t>1463B</w:t>
      </w:r>
      <w:r w:rsidR="00D629FA">
        <w:rPr>
          <w:rFonts w:ascii="ZWAdobeF" w:hAnsi="ZWAdobeF" w:cs="ZWAdobeF"/>
          <w:color w:val="auto"/>
          <w:sz w:val="2"/>
          <w:szCs w:val="2"/>
          <w:shd w:val="clear" w:color="auto" w:fill="FFFFFF"/>
        </w:rPr>
        <w:t>1463B</w:t>
      </w:r>
      <w:r w:rsidR="00D36A28">
        <w:rPr>
          <w:shd w:val="clear" w:color="auto" w:fill="FFFFFF"/>
        </w:rPr>
        <w:t>In any proceeding (including an appeal) conducted under this Part, the Court may, of its own motion or on application by a party or a group member, make any order the Court thinks appropriate or necessary to ensure that justice is done in the proceeding.</w:t>
      </w:r>
    </w:p>
    <w:p w14:paraId="1CE1DF0B" w14:textId="540D634E" w:rsidR="00D36A28" w:rsidRDefault="00BD5C95" w:rsidP="00B73434">
      <w:pPr>
        <w:pStyle w:val="BodyText"/>
        <w:numPr>
          <w:ilvl w:val="1"/>
          <w:numId w:val="43"/>
        </w:numPr>
        <w:tabs>
          <w:tab w:val="left" w:pos="709"/>
        </w:tabs>
        <w:ind w:hanging="709"/>
      </w:pPr>
      <w:r>
        <w:rPr>
          <w:rFonts w:ascii="ZWAdobeF" w:hAnsi="ZWAdobeF" w:cs="ZWAdobeF"/>
          <w:color w:val="auto"/>
          <w:sz w:val="2"/>
          <w:szCs w:val="2"/>
        </w:rPr>
        <w:t>287B</w:t>
      </w:r>
      <w:r w:rsidR="0049638A">
        <w:rPr>
          <w:rFonts w:ascii="ZWAdobeF" w:hAnsi="ZWAdobeF" w:cs="ZWAdobeF"/>
          <w:color w:val="auto"/>
          <w:sz w:val="2"/>
          <w:szCs w:val="2"/>
        </w:rPr>
        <w:t>287B</w:t>
      </w:r>
      <w:r w:rsidR="00D629FA">
        <w:rPr>
          <w:rFonts w:ascii="ZWAdobeF" w:hAnsi="ZWAdobeF" w:cs="ZWAdobeF"/>
          <w:color w:val="auto"/>
          <w:sz w:val="2"/>
          <w:szCs w:val="2"/>
        </w:rPr>
        <w:t>287B</w:t>
      </w:r>
      <w:r w:rsidR="00D36A28">
        <w:t>This general power has been used for a wide range of purposes, including closing the class, ordering a class member to provide discovery, issuing a subpoena to obtain class member contact information and permitting various aspects of settlement.</w:t>
      </w:r>
      <w:r w:rsidR="00D629FA">
        <w:rPr>
          <w:rFonts w:ascii="ZWAdobeF" w:hAnsi="ZWAdobeF" w:cs="ZWAdobeF"/>
          <w:color w:val="auto"/>
          <w:sz w:val="2"/>
          <w:szCs w:val="2"/>
        </w:rPr>
        <w:t>452F</w:t>
      </w:r>
      <w:r w:rsidR="0049638A">
        <w:rPr>
          <w:rFonts w:ascii="ZWAdobeF" w:hAnsi="ZWAdobeF" w:cs="ZWAdobeF"/>
          <w:color w:val="auto"/>
          <w:sz w:val="2"/>
          <w:szCs w:val="2"/>
        </w:rPr>
        <w:t>452F</w:t>
      </w:r>
      <w:r w:rsidR="00317AE4">
        <w:rPr>
          <w:rFonts w:ascii="ZWAdobeF" w:hAnsi="ZWAdobeF" w:cs="ZWAdobeF"/>
          <w:color w:val="auto"/>
          <w:sz w:val="2"/>
          <w:szCs w:val="2"/>
        </w:rPr>
        <w:t>452F</w:t>
      </w:r>
      <w:r w:rsidR="00D36A28">
        <w:rPr>
          <w:rStyle w:val="FootnoteReference"/>
        </w:rPr>
        <w:footnoteReference w:id="454"/>
      </w:r>
      <w:r w:rsidR="00D36A28">
        <w:t xml:space="preserve"> The High Court of Australia has commented that while the power in section 33ZF is broad, it is “essentially supplementary” and the words of limitation in the provision cannot be ignored (“to ensure that justice is done in the proceeding”).</w:t>
      </w:r>
      <w:r w:rsidR="00D629FA">
        <w:rPr>
          <w:rFonts w:ascii="ZWAdobeF" w:hAnsi="ZWAdobeF" w:cs="ZWAdobeF"/>
          <w:color w:val="auto"/>
          <w:sz w:val="2"/>
          <w:szCs w:val="2"/>
        </w:rPr>
        <w:t>453F</w:t>
      </w:r>
      <w:r w:rsidR="007A330E">
        <w:rPr>
          <w:rFonts w:ascii="ZWAdobeF" w:hAnsi="ZWAdobeF" w:cs="ZWAdobeF"/>
          <w:color w:val="auto"/>
          <w:sz w:val="2"/>
          <w:szCs w:val="2"/>
        </w:rPr>
        <w:t>453F</w:t>
      </w:r>
      <w:r w:rsidR="00317AE4">
        <w:rPr>
          <w:rFonts w:ascii="ZWAdobeF" w:hAnsi="ZWAdobeF" w:cs="ZWAdobeF"/>
          <w:color w:val="auto"/>
          <w:sz w:val="2"/>
          <w:szCs w:val="2"/>
        </w:rPr>
        <w:t>453F</w:t>
      </w:r>
      <w:r w:rsidR="00D36A28">
        <w:rPr>
          <w:rStyle w:val="FootnoteReference"/>
        </w:rPr>
        <w:footnoteReference w:id="455"/>
      </w:r>
      <w:r w:rsidR="00D36A28">
        <w:t xml:space="preserve"> </w:t>
      </w:r>
    </w:p>
    <w:p w14:paraId="2036670A" w14:textId="20A798DB" w:rsidR="00D36A28" w:rsidRDefault="00BD5C95" w:rsidP="00B73434">
      <w:pPr>
        <w:pStyle w:val="BodyText"/>
        <w:numPr>
          <w:ilvl w:val="1"/>
          <w:numId w:val="43"/>
        </w:numPr>
        <w:tabs>
          <w:tab w:val="left" w:pos="709"/>
        </w:tabs>
        <w:ind w:hanging="709"/>
      </w:pPr>
      <w:r>
        <w:rPr>
          <w:rFonts w:ascii="ZWAdobeF" w:hAnsi="ZWAdobeF" w:cs="ZWAdobeF"/>
          <w:color w:val="auto"/>
          <w:sz w:val="2"/>
          <w:szCs w:val="2"/>
        </w:rPr>
        <w:t>288B</w:t>
      </w:r>
      <w:r w:rsidR="0049638A">
        <w:rPr>
          <w:rFonts w:ascii="ZWAdobeF" w:hAnsi="ZWAdobeF" w:cs="ZWAdobeF"/>
          <w:color w:val="auto"/>
          <w:sz w:val="2"/>
          <w:szCs w:val="2"/>
        </w:rPr>
        <w:t>288B</w:t>
      </w:r>
      <w:r w:rsidR="00D629FA">
        <w:rPr>
          <w:rFonts w:ascii="ZWAdobeF" w:hAnsi="ZWAdobeF" w:cs="ZWAdobeF"/>
          <w:color w:val="auto"/>
          <w:sz w:val="2"/>
          <w:szCs w:val="2"/>
        </w:rPr>
        <w:t>288B</w:t>
      </w:r>
      <w:r w:rsidR="00D36A28">
        <w:t>Another example of a general power is the following Ontario provision:</w:t>
      </w:r>
      <w:r w:rsidR="00D629FA">
        <w:rPr>
          <w:rFonts w:ascii="ZWAdobeF" w:hAnsi="ZWAdobeF" w:cs="ZWAdobeF"/>
          <w:color w:val="auto"/>
          <w:sz w:val="2"/>
          <w:szCs w:val="2"/>
        </w:rPr>
        <w:t>454F</w:t>
      </w:r>
      <w:r w:rsidR="007A330E">
        <w:rPr>
          <w:rFonts w:ascii="ZWAdobeF" w:hAnsi="ZWAdobeF" w:cs="ZWAdobeF"/>
          <w:color w:val="auto"/>
          <w:sz w:val="2"/>
          <w:szCs w:val="2"/>
        </w:rPr>
        <w:t>454F</w:t>
      </w:r>
      <w:r w:rsidR="00317AE4">
        <w:rPr>
          <w:rFonts w:ascii="ZWAdobeF" w:hAnsi="ZWAdobeF" w:cs="ZWAdobeF"/>
          <w:color w:val="auto"/>
          <w:sz w:val="2"/>
          <w:szCs w:val="2"/>
        </w:rPr>
        <w:t>454F</w:t>
      </w:r>
      <w:r w:rsidR="00D36A28">
        <w:rPr>
          <w:rStyle w:val="FootnoteReference"/>
        </w:rPr>
        <w:footnoteReference w:id="456"/>
      </w:r>
      <w:r w:rsidR="00D36A28">
        <w:t xml:space="preserve"> </w:t>
      </w:r>
    </w:p>
    <w:p w14:paraId="621BAD64" w14:textId="12C10C7A" w:rsidR="00D36A28" w:rsidRDefault="00BD5C95" w:rsidP="00D36A28">
      <w:pPr>
        <w:pStyle w:val="Quote"/>
      </w:pPr>
      <w:r>
        <w:rPr>
          <w:rFonts w:ascii="ZWAdobeF" w:hAnsi="ZWAdobeF" w:cs="ZWAdobeF"/>
          <w:color w:val="auto"/>
          <w:sz w:val="2"/>
          <w:szCs w:val="2"/>
          <w:shd w:val="clear" w:color="auto" w:fill="FFFFFF"/>
        </w:rPr>
        <w:t>1464B</w:t>
      </w:r>
      <w:r w:rsidR="0049638A">
        <w:rPr>
          <w:rFonts w:ascii="ZWAdobeF" w:hAnsi="ZWAdobeF" w:cs="ZWAdobeF"/>
          <w:color w:val="auto"/>
          <w:sz w:val="2"/>
          <w:szCs w:val="2"/>
          <w:shd w:val="clear" w:color="auto" w:fill="FFFFFF"/>
        </w:rPr>
        <w:t>1464B</w:t>
      </w:r>
      <w:r w:rsidR="00D629FA">
        <w:rPr>
          <w:rFonts w:ascii="ZWAdobeF" w:hAnsi="ZWAdobeF" w:cs="ZWAdobeF"/>
          <w:color w:val="auto"/>
          <w:sz w:val="2"/>
          <w:szCs w:val="2"/>
          <w:shd w:val="clear" w:color="auto" w:fill="FFFFFF"/>
        </w:rPr>
        <w:t>1464B</w:t>
      </w:r>
      <w:r w:rsidR="00D36A28">
        <w:rPr>
          <w:shd w:val="clear" w:color="auto" w:fill="FFFFFF"/>
        </w:rPr>
        <w:t>The court, on its own initiative or on the motion of a party or class member, may make any order it considers appropriate respecting the conduct of a proceeding under this Act to ensure its fair and expeditious determination and, for the purpose, may impose such terms on the parties as it considers appropriate.</w:t>
      </w:r>
    </w:p>
    <w:p w14:paraId="5AD7CF76" w14:textId="589FC427" w:rsidR="00D36A28" w:rsidRDefault="00BD5C95" w:rsidP="00B73434">
      <w:pPr>
        <w:pStyle w:val="BodyText"/>
        <w:numPr>
          <w:ilvl w:val="1"/>
          <w:numId w:val="43"/>
        </w:numPr>
        <w:tabs>
          <w:tab w:val="left" w:pos="709"/>
        </w:tabs>
        <w:ind w:hanging="709"/>
      </w:pPr>
      <w:r>
        <w:rPr>
          <w:rFonts w:ascii="ZWAdobeF" w:hAnsi="ZWAdobeF" w:cs="ZWAdobeF"/>
          <w:color w:val="auto"/>
          <w:sz w:val="2"/>
          <w:szCs w:val="2"/>
        </w:rPr>
        <w:t>289B</w:t>
      </w:r>
      <w:r w:rsidR="0049638A">
        <w:rPr>
          <w:rFonts w:ascii="ZWAdobeF" w:hAnsi="ZWAdobeF" w:cs="ZWAdobeF"/>
          <w:color w:val="auto"/>
          <w:sz w:val="2"/>
          <w:szCs w:val="2"/>
        </w:rPr>
        <w:t>289B</w:t>
      </w:r>
      <w:r w:rsidR="00D629FA">
        <w:rPr>
          <w:rFonts w:ascii="ZWAdobeF" w:hAnsi="ZWAdobeF" w:cs="ZWAdobeF"/>
          <w:color w:val="auto"/>
          <w:sz w:val="2"/>
          <w:szCs w:val="2"/>
        </w:rPr>
        <w:t>289B</w:t>
      </w:r>
      <w:r w:rsidR="00D36A28">
        <w:t>This provision initially only allowed the court to make an order on the application of a party or a class member and not on the court’s own initiative. However, this was amended in 2020 following a recommendation of the Law Commission of Ontario</w:t>
      </w:r>
      <w:r w:rsidR="00D3090D">
        <w:t xml:space="preserve"> (LCO)</w:t>
      </w:r>
      <w:r w:rsidR="00D36A28">
        <w:t>.</w:t>
      </w:r>
      <w:r w:rsidR="00D629FA">
        <w:rPr>
          <w:rFonts w:ascii="ZWAdobeF" w:hAnsi="ZWAdobeF" w:cs="ZWAdobeF"/>
          <w:color w:val="auto"/>
          <w:sz w:val="2"/>
          <w:szCs w:val="2"/>
        </w:rPr>
        <w:t>455F</w:t>
      </w:r>
      <w:r w:rsidR="007A330E">
        <w:rPr>
          <w:rFonts w:ascii="ZWAdobeF" w:hAnsi="ZWAdobeF" w:cs="ZWAdobeF"/>
          <w:color w:val="auto"/>
          <w:sz w:val="2"/>
          <w:szCs w:val="2"/>
        </w:rPr>
        <w:t>455F</w:t>
      </w:r>
      <w:r w:rsidR="00317AE4">
        <w:rPr>
          <w:rFonts w:ascii="ZWAdobeF" w:hAnsi="ZWAdobeF" w:cs="ZWAdobeF"/>
          <w:color w:val="auto"/>
          <w:sz w:val="2"/>
          <w:szCs w:val="2"/>
        </w:rPr>
        <w:t>455F</w:t>
      </w:r>
      <w:r w:rsidR="00D36A28">
        <w:rPr>
          <w:rStyle w:val="FootnoteReference"/>
        </w:rPr>
        <w:footnoteReference w:id="457"/>
      </w:r>
      <w:r w:rsidR="00D36A28">
        <w:t xml:space="preserve"> </w:t>
      </w:r>
    </w:p>
    <w:p w14:paraId="243EBE8E" w14:textId="7CA7E98D" w:rsidR="00D36A28" w:rsidRDefault="00BD5C95" w:rsidP="00B73434">
      <w:pPr>
        <w:pStyle w:val="BodyText"/>
        <w:numPr>
          <w:ilvl w:val="1"/>
          <w:numId w:val="43"/>
        </w:numPr>
        <w:tabs>
          <w:tab w:val="left" w:pos="709"/>
        </w:tabs>
        <w:ind w:hanging="709"/>
      </w:pPr>
      <w:r>
        <w:rPr>
          <w:rFonts w:ascii="ZWAdobeF" w:hAnsi="ZWAdobeF" w:cs="ZWAdobeF"/>
          <w:color w:val="auto"/>
          <w:sz w:val="2"/>
          <w:szCs w:val="2"/>
        </w:rPr>
        <w:t>290B</w:t>
      </w:r>
      <w:r w:rsidR="0049638A">
        <w:rPr>
          <w:rFonts w:ascii="ZWAdobeF" w:hAnsi="ZWAdobeF" w:cs="ZWAdobeF"/>
          <w:color w:val="auto"/>
          <w:sz w:val="2"/>
          <w:szCs w:val="2"/>
        </w:rPr>
        <w:t>290B</w:t>
      </w:r>
      <w:r w:rsidR="00D629FA">
        <w:rPr>
          <w:rFonts w:ascii="ZWAdobeF" w:hAnsi="ZWAdobeF" w:cs="ZWAdobeF"/>
          <w:color w:val="auto"/>
          <w:sz w:val="2"/>
          <w:szCs w:val="2"/>
        </w:rPr>
        <w:t>290B</w:t>
      </w:r>
      <w:r w:rsidR="00D36A28">
        <w:t>We consider it is unnecessary to have a general power to manage class actions. We think it would be preferable to rely on specific provisions as much as possible, to provide certainty for parties. In Australia, there have been situations where courts have developed a practice of making certain orders under the general power (such as common fund orders and class closure orders) and later court decisions have indicated the general power does not allow this.</w:t>
      </w:r>
      <w:r w:rsidR="00D629FA">
        <w:rPr>
          <w:rFonts w:ascii="ZWAdobeF" w:hAnsi="ZWAdobeF" w:cs="ZWAdobeF"/>
          <w:color w:val="auto"/>
          <w:sz w:val="2"/>
          <w:szCs w:val="2"/>
        </w:rPr>
        <w:t>456F</w:t>
      </w:r>
      <w:r w:rsidR="007A330E">
        <w:rPr>
          <w:rFonts w:ascii="ZWAdobeF" w:hAnsi="ZWAdobeF" w:cs="ZWAdobeF"/>
          <w:color w:val="auto"/>
          <w:sz w:val="2"/>
          <w:szCs w:val="2"/>
        </w:rPr>
        <w:t>456F</w:t>
      </w:r>
      <w:r w:rsidR="00317AE4">
        <w:rPr>
          <w:rFonts w:ascii="ZWAdobeF" w:hAnsi="ZWAdobeF" w:cs="ZWAdobeF"/>
          <w:color w:val="auto"/>
          <w:sz w:val="2"/>
          <w:szCs w:val="2"/>
        </w:rPr>
        <w:t>456F</w:t>
      </w:r>
      <w:r w:rsidR="00D36A28">
        <w:rPr>
          <w:rStyle w:val="FootnoteReference"/>
        </w:rPr>
        <w:footnoteReference w:id="458"/>
      </w:r>
      <w:r w:rsidR="00D36A28">
        <w:t xml:space="preserve"> This creates significant uncertainty for parties. We also note that the court can rely on the broad range of powers available under the High Court Rules as well as the court’s inherent jurisdiction.</w:t>
      </w:r>
      <w:r w:rsidR="00D629FA">
        <w:rPr>
          <w:rFonts w:ascii="ZWAdobeF" w:hAnsi="ZWAdobeF" w:cs="ZWAdobeF"/>
          <w:color w:val="auto"/>
          <w:sz w:val="2"/>
          <w:szCs w:val="2"/>
        </w:rPr>
        <w:t>457F</w:t>
      </w:r>
      <w:r w:rsidR="007A330E">
        <w:rPr>
          <w:rFonts w:ascii="ZWAdobeF" w:hAnsi="ZWAdobeF" w:cs="ZWAdobeF"/>
          <w:color w:val="auto"/>
          <w:sz w:val="2"/>
          <w:szCs w:val="2"/>
        </w:rPr>
        <w:t>457F</w:t>
      </w:r>
      <w:r w:rsidR="00317AE4">
        <w:rPr>
          <w:rFonts w:ascii="ZWAdobeF" w:hAnsi="ZWAdobeF" w:cs="ZWAdobeF"/>
          <w:color w:val="auto"/>
          <w:sz w:val="2"/>
          <w:szCs w:val="2"/>
        </w:rPr>
        <w:t>457F</w:t>
      </w:r>
      <w:r w:rsidR="00D36A28">
        <w:rPr>
          <w:rStyle w:val="FootnoteReference"/>
        </w:rPr>
        <w:footnoteReference w:id="459"/>
      </w:r>
      <w:r w:rsidR="00D36A28">
        <w:t xml:space="preserve"> </w:t>
      </w:r>
    </w:p>
    <w:p w14:paraId="16211B84" w14:textId="77777777" w:rsidR="00D36A28" w:rsidRDefault="00D36A28" w:rsidP="00635A84">
      <w:pPr>
        <w:pStyle w:val="Heading3"/>
      </w:pPr>
      <w:r>
        <w:t xml:space="preserve">Case management conferences </w:t>
      </w:r>
    </w:p>
    <w:p w14:paraId="0F2946D6" w14:textId="3DFDF20B" w:rsidR="00D36A28" w:rsidRPr="009A5C02" w:rsidRDefault="00BD5C95" w:rsidP="00B73434">
      <w:pPr>
        <w:pStyle w:val="BodyText"/>
        <w:numPr>
          <w:ilvl w:val="1"/>
          <w:numId w:val="43"/>
        </w:numPr>
        <w:tabs>
          <w:tab w:val="left" w:pos="709"/>
        </w:tabs>
        <w:ind w:hanging="709"/>
      </w:pPr>
      <w:r>
        <w:rPr>
          <w:rFonts w:ascii="ZWAdobeF" w:hAnsi="ZWAdobeF" w:cs="ZWAdobeF"/>
          <w:color w:val="auto"/>
          <w:sz w:val="2"/>
          <w:szCs w:val="2"/>
        </w:rPr>
        <w:t>291B</w:t>
      </w:r>
      <w:r w:rsidR="0049638A">
        <w:rPr>
          <w:rFonts w:ascii="ZWAdobeF" w:hAnsi="ZWAdobeF" w:cs="ZWAdobeF"/>
          <w:color w:val="auto"/>
          <w:sz w:val="2"/>
          <w:szCs w:val="2"/>
        </w:rPr>
        <w:t>291B</w:t>
      </w:r>
      <w:r w:rsidR="00D629FA">
        <w:rPr>
          <w:rFonts w:ascii="ZWAdobeF" w:hAnsi="ZWAdobeF" w:cs="ZWAdobeF"/>
          <w:color w:val="auto"/>
          <w:sz w:val="2"/>
          <w:szCs w:val="2"/>
        </w:rPr>
        <w:t>291B</w:t>
      </w:r>
      <w:r w:rsidR="00D36A28">
        <w:t>The High Court Rules contain procedures for case management conferences and issues conferences.</w:t>
      </w:r>
      <w:r w:rsidR="00D629FA">
        <w:rPr>
          <w:rFonts w:ascii="ZWAdobeF" w:hAnsi="ZWAdobeF" w:cs="ZWAdobeF"/>
          <w:color w:val="auto"/>
          <w:sz w:val="2"/>
          <w:szCs w:val="2"/>
        </w:rPr>
        <w:t>458F</w:t>
      </w:r>
      <w:r w:rsidR="007A330E">
        <w:rPr>
          <w:rFonts w:ascii="ZWAdobeF" w:hAnsi="ZWAdobeF" w:cs="ZWAdobeF"/>
          <w:color w:val="auto"/>
          <w:sz w:val="2"/>
          <w:szCs w:val="2"/>
        </w:rPr>
        <w:t>458F</w:t>
      </w:r>
      <w:r w:rsidR="00317AE4">
        <w:rPr>
          <w:rFonts w:ascii="ZWAdobeF" w:hAnsi="ZWAdobeF" w:cs="ZWAdobeF"/>
          <w:color w:val="auto"/>
          <w:sz w:val="2"/>
          <w:szCs w:val="2"/>
        </w:rPr>
        <w:t>458F</w:t>
      </w:r>
      <w:r w:rsidR="00D36A28">
        <w:rPr>
          <w:rStyle w:val="FootnoteReference"/>
        </w:rPr>
        <w:footnoteReference w:id="460"/>
      </w:r>
      <w:r w:rsidR="00D36A28">
        <w:t xml:space="preserve"> We think it would be sufficient to rely on these for class actions, but we are interested to hear from submitters whether specific </w:t>
      </w:r>
      <w:r w:rsidR="00C14994">
        <w:t xml:space="preserve">class actions </w:t>
      </w:r>
      <w:r w:rsidR="00D36A28">
        <w:t>rules are needed. For example, an additional schedule to the High Court Rules or a class actions part of the rules could contain matters to be addressed at a class actions case management conference.</w:t>
      </w:r>
      <w:r w:rsidR="00D629FA">
        <w:rPr>
          <w:rFonts w:ascii="ZWAdobeF" w:hAnsi="ZWAdobeF" w:cs="ZWAdobeF"/>
          <w:color w:val="auto"/>
          <w:sz w:val="2"/>
          <w:szCs w:val="2"/>
        </w:rPr>
        <w:t>459F</w:t>
      </w:r>
      <w:r w:rsidR="007A330E">
        <w:rPr>
          <w:rFonts w:ascii="ZWAdobeF" w:hAnsi="ZWAdobeF" w:cs="ZWAdobeF"/>
          <w:color w:val="auto"/>
          <w:sz w:val="2"/>
          <w:szCs w:val="2"/>
        </w:rPr>
        <w:t>459F</w:t>
      </w:r>
      <w:r w:rsidR="00317AE4">
        <w:rPr>
          <w:rFonts w:ascii="ZWAdobeF" w:hAnsi="ZWAdobeF" w:cs="ZWAdobeF"/>
          <w:color w:val="auto"/>
          <w:sz w:val="2"/>
          <w:szCs w:val="2"/>
        </w:rPr>
        <w:t>459F</w:t>
      </w:r>
      <w:r w:rsidR="00D36A28">
        <w:rPr>
          <w:rStyle w:val="FootnoteReference"/>
        </w:rPr>
        <w:footnoteReference w:id="461"/>
      </w:r>
      <w:r w:rsidR="00D36A28">
        <w:t xml:space="preserve"> In Australia, class actions practice notes specify the timing of case </w:t>
      </w:r>
      <w:r w:rsidR="00D36A28">
        <w:lastRenderedPageBreak/>
        <w:t>management conferences and matters to be addressed.</w:t>
      </w:r>
      <w:r w:rsidR="00D629FA">
        <w:rPr>
          <w:rFonts w:ascii="ZWAdobeF" w:hAnsi="ZWAdobeF" w:cs="ZWAdobeF"/>
          <w:color w:val="auto"/>
          <w:sz w:val="2"/>
          <w:szCs w:val="2"/>
        </w:rPr>
        <w:t>460F</w:t>
      </w:r>
      <w:r w:rsidR="007A330E">
        <w:rPr>
          <w:rFonts w:ascii="ZWAdobeF" w:hAnsi="ZWAdobeF" w:cs="ZWAdobeF"/>
          <w:color w:val="auto"/>
          <w:sz w:val="2"/>
          <w:szCs w:val="2"/>
        </w:rPr>
        <w:t>460F</w:t>
      </w:r>
      <w:r w:rsidR="00317AE4">
        <w:rPr>
          <w:rFonts w:ascii="ZWAdobeF" w:hAnsi="ZWAdobeF" w:cs="ZWAdobeF"/>
          <w:color w:val="auto"/>
          <w:sz w:val="2"/>
          <w:szCs w:val="2"/>
        </w:rPr>
        <w:t>460F</w:t>
      </w:r>
      <w:r w:rsidR="00D36A28">
        <w:rPr>
          <w:rStyle w:val="FootnoteReference"/>
        </w:rPr>
        <w:footnoteReference w:id="462"/>
      </w:r>
      <w:r w:rsidR="00D36A28">
        <w:t xml:space="preserve"> In most Canadian provinces, general case management conference procedures apply.</w:t>
      </w:r>
      <w:r w:rsidR="00D629FA">
        <w:rPr>
          <w:rFonts w:ascii="ZWAdobeF" w:hAnsi="ZWAdobeF" w:cs="ZWAdobeF"/>
          <w:color w:val="auto"/>
          <w:sz w:val="2"/>
          <w:szCs w:val="2"/>
        </w:rPr>
        <w:t>461F</w:t>
      </w:r>
      <w:r w:rsidR="007A330E">
        <w:rPr>
          <w:rFonts w:ascii="ZWAdobeF" w:hAnsi="ZWAdobeF" w:cs="ZWAdobeF"/>
          <w:color w:val="auto"/>
          <w:sz w:val="2"/>
          <w:szCs w:val="2"/>
        </w:rPr>
        <w:t>461F</w:t>
      </w:r>
      <w:r w:rsidR="00317AE4">
        <w:rPr>
          <w:rFonts w:ascii="ZWAdobeF" w:hAnsi="ZWAdobeF" w:cs="ZWAdobeF"/>
          <w:color w:val="auto"/>
          <w:sz w:val="2"/>
          <w:szCs w:val="2"/>
        </w:rPr>
        <w:t>461F</w:t>
      </w:r>
      <w:r w:rsidR="00D36A28">
        <w:rPr>
          <w:rStyle w:val="FootnoteReference"/>
        </w:rPr>
        <w:footnoteReference w:id="463"/>
      </w:r>
      <w:r w:rsidR="00D36A28">
        <w:t xml:space="preserve"> The LCO recommended that a dedicated practice direction or amendment to the Rules of Civil Procedure be developed for case management of class actions.</w:t>
      </w:r>
      <w:r w:rsidR="00D629FA">
        <w:rPr>
          <w:rFonts w:ascii="ZWAdobeF" w:hAnsi="ZWAdobeF" w:cs="ZWAdobeF"/>
          <w:color w:val="auto"/>
          <w:sz w:val="2"/>
          <w:szCs w:val="2"/>
        </w:rPr>
        <w:t>462F</w:t>
      </w:r>
      <w:r w:rsidR="007A330E">
        <w:rPr>
          <w:rFonts w:ascii="ZWAdobeF" w:hAnsi="ZWAdobeF" w:cs="ZWAdobeF"/>
          <w:color w:val="auto"/>
          <w:sz w:val="2"/>
          <w:szCs w:val="2"/>
        </w:rPr>
        <w:t>462F</w:t>
      </w:r>
      <w:r w:rsidR="00317AE4">
        <w:rPr>
          <w:rFonts w:ascii="ZWAdobeF" w:hAnsi="ZWAdobeF" w:cs="ZWAdobeF"/>
          <w:color w:val="auto"/>
          <w:sz w:val="2"/>
          <w:szCs w:val="2"/>
        </w:rPr>
        <w:t>462F</w:t>
      </w:r>
      <w:r w:rsidR="00D36A28">
        <w:rPr>
          <w:rStyle w:val="FootnoteReference"/>
        </w:rPr>
        <w:footnoteReference w:id="464"/>
      </w:r>
      <w:r w:rsidR="00D36A28">
        <w:t xml:space="preserve">   </w:t>
      </w:r>
    </w:p>
    <w:p w14:paraId="3D8F35D7" w14:textId="77777777" w:rsidR="00D36A28" w:rsidRDefault="00D36A28" w:rsidP="00635A84">
      <w:pPr>
        <w:pStyle w:val="Heading3"/>
      </w:pPr>
      <w:r>
        <w:t>Interlocutory applications</w:t>
      </w:r>
    </w:p>
    <w:p w14:paraId="3A11587D" w14:textId="77B24283" w:rsidR="00D36A28" w:rsidRDefault="00BD5C95" w:rsidP="00B73434">
      <w:pPr>
        <w:pStyle w:val="BodyText"/>
        <w:numPr>
          <w:ilvl w:val="1"/>
          <w:numId w:val="43"/>
        </w:numPr>
        <w:tabs>
          <w:tab w:val="left" w:pos="709"/>
        </w:tabs>
        <w:ind w:hanging="709"/>
      </w:pPr>
      <w:r>
        <w:rPr>
          <w:rFonts w:ascii="ZWAdobeF" w:hAnsi="ZWAdobeF" w:cs="ZWAdobeF"/>
          <w:color w:val="auto"/>
          <w:sz w:val="2"/>
          <w:szCs w:val="2"/>
        </w:rPr>
        <w:t>292B</w:t>
      </w:r>
      <w:r w:rsidR="0049638A">
        <w:rPr>
          <w:rFonts w:ascii="ZWAdobeF" w:hAnsi="ZWAdobeF" w:cs="ZWAdobeF"/>
          <w:color w:val="auto"/>
          <w:sz w:val="2"/>
          <w:szCs w:val="2"/>
        </w:rPr>
        <w:t>292B</w:t>
      </w:r>
      <w:r w:rsidR="00D629FA">
        <w:rPr>
          <w:rFonts w:ascii="ZWAdobeF" w:hAnsi="ZWAdobeF" w:cs="ZWAdobeF"/>
          <w:color w:val="auto"/>
          <w:sz w:val="2"/>
          <w:szCs w:val="2"/>
        </w:rPr>
        <w:t>292B</w:t>
      </w:r>
      <w:r w:rsidR="00D36A28">
        <w:t xml:space="preserve">In most class actions, it will be necessary to make interlocutory applications to determine preliminary issues. While this is an inevitable aspect of complex litigation, it can add significant cost and delay to proceedings. </w:t>
      </w:r>
    </w:p>
    <w:p w14:paraId="467C9604" w14:textId="6DCD4A8F" w:rsidR="00D36A28" w:rsidRDefault="00BD5C95" w:rsidP="00B73434">
      <w:pPr>
        <w:pStyle w:val="BodyText"/>
        <w:numPr>
          <w:ilvl w:val="1"/>
          <w:numId w:val="43"/>
        </w:numPr>
        <w:tabs>
          <w:tab w:val="left" w:pos="709"/>
        </w:tabs>
        <w:ind w:hanging="709"/>
      </w:pPr>
      <w:r>
        <w:rPr>
          <w:rFonts w:ascii="ZWAdobeF" w:hAnsi="ZWAdobeF" w:cs="ZWAdobeF"/>
          <w:color w:val="auto"/>
          <w:sz w:val="2"/>
          <w:szCs w:val="2"/>
        </w:rPr>
        <w:t>293B</w:t>
      </w:r>
      <w:r w:rsidR="0049638A">
        <w:rPr>
          <w:rFonts w:ascii="ZWAdobeF" w:hAnsi="ZWAdobeF" w:cs="ZWAdobeF"/>
          <w:color w:val="auto"/>
          <w:sz w:val="2"/>
          <w:szCs w:val="2"/>
        </w:rPr>
        <w:t>293B</w:t>
      </w:r>
      <w:r w:rsidR="00D629FA">
        <w:rPr>
          <w:rFonts w:ascii="ZWAdobeF" w:hAnsi="ZWAdobeF" w:cs="ZWAdobeF"/>
          <w:color w:val="auto"/>
          <w:sz w:val="2"/>
          <w:szCs w:val="2"/>
        </w:rPr>
        <w:t>293B</w:t>
      </w:r>
      <w:r w:rsidR="00D36A28">
        <w:t>There may be ways of streamlining the process of determining interlocutory issues in class actions. For example:</w:t>
      </w:r>
    </w:p>
    <w:p w14:paraId="3493F2CB" w14:textId="523B5D3F" w:rsidR="00D36A28" w:rsidRDefault="00BD5C95" w:rsidP="00B73434">
      <w:pPr>
        <w:pStyle w:val="BodyTextnonum"/>
        <w:numPr>
          <w:ilvl w:val="3"/>
          <w:numId w:val="42"/>
        </w:numPr>
      </w:pPr>
      <w:r>
        <w:rPr>
          <w:rFonts w:ascii="ZWAdobeF" w:hAnsi="ZWAdobeF" w:cs="ZWAdobeF"/>
          <w:color w:val="auto"/>
          <w:sz w:val="2"/>
          <w:szCs w:val="2"/>
        </w:rPr>
        <w:t>730B</w:t>
      </w:r>
      <w:r w:rsidR="0049638A">
        <w:rPr>
          <w:rFonts w:ascii="ZWAdobeF" w:hAnsi="ZWAdobeF" w:cs="ZWAdobeF"/>
          <w:color w:val="auto"/>
          <w:sz w:val="2"/>
          <w:szCs w:val="2"/>
        </w:rPr>
        <w:t>730B</w:t>
      </w:r>
      <w:r w:rsidR="00D629FA">
        <w:rPr>
          <w:rFonts w:ascii="ZWAdobeF" w:hAnsi="ZWAdobeF" w:cs="ZWAdobeF"/>
          <w:color w:val="auto"/>
          <w:sz w:val="2"/>
          <w:szCs w:val="2"/>
        </w:rPr>
        <w:t>730B</w:t>
      </w:r>
      <w:r w:rsidR="00D36A28">
        <w:t>In Australia, the Federal Court Practice Note provides that the court will endeavour to deal with interlocutory applications in class actions on an expedited basis.</w:t>
      </w:r>
      <w:r w:rsidR="00D629FA">
        <w:rPr>
          <w:rFonts w:ascii="ZWAdobeF" w:hAnsi="ZWAdobeF" w:cs="ZWAdobeF"/>
          <w:color w:val="auto"/>
          <w:sz w:val="2"/>
          <w:szCs w:val="2"/>
        </w:rPr>
        <w:t>463F</w:t>
      </w:r>
      <w:r w:rsidR="007A330E">
        <w:rPr>
          <w:rFonts w:ascii="ZWAdobeF" w:hAnsi="ZWAdobeF" w:cs="ZWAdobeF"/>
          <w:color w:val="auto"/>
          <w:sz w:val="2"/>
          <w:szCs w:val="2"/>
        </w:rPr>
        <w:t>463F</w:t>
      </w:r>
      <w:r w:rsidR="00317AE4">
        <w:rPr>
          <w:rFonts w:ascii="ZWAdobeF" w:hAnsi="ZWAdobeF" w:cs="ZWAdobeF"/>
          <w:color w:val="auto"/>
          <w:sz w:val="2"/>
          <w:szCs w:val="2"/>
        </w:rPr>
        <w:t>463F</w:t>
      </w:r>
      <w:r w:rsidR="00D36A28">
        <w:rPr>
          <w:rStyle w:val="FootnoteReference"/>
        </w:rPr>
        <w:footnoteReference w:id="465"/>
      </w:r>
      <w:r w:rsidR="00D36A28">
        <w:t xml:space="preserve">  </w:t>
      </w:r>
    </w:p>
    <w:p w14:paraId="2AD61955" w14:textId="4A751E24" w:rsidR="00D36A28" w:rsidRDefault="00BD5C95" w:rsidP="00B73434">
      <w:pPr>
        <w:pStyle w:val="BodyTextnonum"/>
        <w:numPr>
          <w:ilvl w:val="3"/>
          <w:numId w:val="42"/>
        </w:numPr>
      </w:pPr>
      <w:r>
        <w:rPr>
          <w:rFonts w:ascii="ZWAdobeF" w:hAnsi="ZWAdobeF" w:cs="ZWAdobeF"/>
          <w:color w:val="auto"/>
          <w:sz w:val="2"/>
          <w:szCs w:val="2"/>
        </w:rPr>
        <w:t>731B</w:t>
      </w:r>
      <w:r w:rsidR="0049638A">
        <w:rPr>
          <w:rFonts w:ascii="ZWAdobeF" w:hAnsi="ZWAdobeF" w:cs="ZWAdobeF"/>
          <w:color w:val="auto"/>
          <w:sz w:val="2"/>
          <w:szCs w:val="2"/>
        </w:rPr>
        <w:t>731B</w:t>
      </w:r>
      <w:r w:rsidR="00D629FA">
        <w:rPr>
          <w:rFonts w:ascii="ZWAdobeF" w:hAnsi="ZWAdobeF" w:cs="ZWAdobeF"/>
          <w:color w:val="auto"/>
          <w:sz w:val="2"/>
          <w:szCs w:val="2"/>
        </w:rPr>
        <w:t>731B</w:t>
      </w:r>
      <w:r w:rsidR="00D36A28">
        <w:t>In Victoria, lawyers in class actions must confer and attempt to resolve disputes in good faith before making any interlocutory application.</w:t>
      </w:r>
      <w:r w:rsidR="00D629FA">
        <w:rPr>
          <w:rFonts w:ascii="ZWAdobeF" w:hAnsi="ZWAdobeF" w:cs="ZWAdobeF"/>
          <w:color w:val="auto"/>
          <w:sz w:val="2"/>
          <w:szCs w:val="2"/>
        </w:rPr>
        <w:t>464F</w:t>
      </w:r>
      <w:r w:rsidR="007A330E">
        <w:rPr>
          <w:rFonts w:ascii="ZWAdobeF" w:hAnsi="ZWAdobeF" w:cs="ZWAdobeF"/>
          <w:color w:val="auto"/>
          <w:sz w:val="2"/>
          <w:szCs w:val="2"/>
        </w:rPr>
        <w:t>464F</w:t>
      </w:r>
      <w:r w:rsidR="00317AE4">
        <w:rPr>
          <w:rFonts w:ascii="ZWAdobeF" w:hAnsi="ZWAdobeF" w:cs="ZWAdobeF"/>
          <w:color w:val="auto"/>
          <w:sz w:val="2"/>
          <w:szCs w:val="2"/>
        </w:rPr>
        <w:t>464F</w:t>
      </w:r>
      <w:r w:rsidR="00D36A28">
        <w:rPr>
          <w:rStyle w:val="FootnoteReference"/>
        </w:rPr>
        <w:footnoteReference w:id="466"/>
      </w:r>
      <w:r w:rsidR="00D36A28">
        <w:t xml:space="preserve">  </w:t>
      </w:r>
    </w:p>
    <w:p w14:paraId="7296A592" w14:textId="0A122645" w:rsidR="00D36A28" w:rsidRDefault="00BD5C95" w:rsidP="00B73434">
      <w:pPr>
        <w:pStyle w:val="BodyTextnonum"/>
        <w:numPr>
          <w:ilvl w:val="3"/>
          <w:numId w:val="42"/>
        </w:numPr>
      </w:pPr>
      <w:r>
        <w:rPr>
          <w:rFonts w:ascii="ZWAdobeF" w:hAnsi="ZWAdobeF" w:cs="ZWAdobeF"/>
          <w:color w:val="auto"/>
          <w:sz w:val="2"/>
          <w:szCs w:val="2"/>
        </w:rPr>
        <w:t>732B</w:t>
      </w:r>
      <w:r w:rsidR="0049638A">
        <w:rPr>
          <w:rFonts w:ascii="ZWAdobeF" w:hAnsi="ZWAdobeF" w:cs="ZWAdobeF"/>
          <w:color w:val="auto"/>
          <w:sz w:val="2"/>
          <w:szCs w:val="2"/>
        </w:rPr>
        <w:t>732B</w:t>
      </w:r>
      <w:r w:rsidR="00D629FA">
        <w:rPr>
          <w:rFonts w:ascii="ZWAdobeF" w:hAnsi="ZWAdobeF" w:cs="ZWAdobeF"/>
          <w:color w:val="auto"/>
          <w:sz w:val="2"/>
          <w:szCs w:val="2"/>
        </w:rPr>
        <w:t>732B</w:t>
      </w:r>
      <w:r w:rsidR="00D36A28">
        <w:t>The Rules Committee’s 2008 draft Class Actions Bill provided that the court could make an order prohibiting a defendant from making specified kinds of interlocutory applications if they would unnecessarily delay the conduct of the class action or would be an abuse of the court’s process.</w:t>
      </w:r>
      <w:r w:rsidR="00D629FA">
        <w:rPr>
          <w:rFonts w:ascii="ZWAdobeF" w:hAnsi="ZWAdobeF" w:cs="ZWAdobeF"/>
          <w:color w:val="auto"/>
          <w:sz w:val="2"/>
          <w:szCs w:val="2"/>
        </w:rPr>
        <w:t>465F</w:t>
      </w:r>
      <w:r w:rsidR="007A330E">
        <w:rPr>
          <w:rFonts w:ascii="ZWAdobeF" w:hAnsi="ZWAdobeF" w:cs="ZWAdobeF"/>
          <w:color w:val="auto"/>
          <w:sz w:val="2"/>
          <w:szCs w:val="2"/>
        </w:rPr>
        <w:t>465F</w:t>
      </w:r>
      <w:r w:rsidR="00317AE4">
        <w:rPr>
          <w:rFonts w:ascii="ZWAdobeF" w:hAnsi="ZWAdobeF" w:cs="ZWAdobeF"/>
          <w:color w:val="auto"/>
          <w:sz w:val="2"/>
          <w:szCs w:val="2"/>
        </w:rPr>
        <w:t>465F</w:t>
      </w:r>
      <w:r w:rsidR="00D36A28">
        <w:rPr>
          <w:rStyle w:val="FootnoteReference"/>
        </w:rPr>
        <w:footnoteReference w:id="467"/>
      </w:r>
    </w:p>
    <w:p w14:paraId="185ACE20" w14:textId="7552DAB6" w:rsidR="00D36A28" w:rsidRDefault="00BD5C95" w:rsidP="00B73434">
      <w:pPr>
        <w:pStyle w:val="BodyText"/>
        <w:numPr>
          <w:ilvl w:val="1"/>
          <w:numId w:val="43"/>
        </w:numPr>
        <w:tabs>
          <w:tab w:val="left" w:pos="709"/>
        </w:tabs>
        <w:ind w:hanging="709"/>
      </w:pPr>
      <w:r>
        <w:rPr>
          <w:rFonts w:ascii="ZWAdobeF" w:hAnsi="ZWAdobeF" w:cs="ZWAdobeF"/>
          <w:color w:val="auto"/>
          <w:sz w:val="2"/>
          <w:szCs w:val="2"/>
        </w:rPr>
        <w:t>294B</w:t>
      </w:r>
      <w:r w:rsidR="0049638A">
        <w:rPr>
          <w:rFonts w:ascii="ZWAdobeF" w:hAnsi="ZWAdobeF" w:cs="ZWAdobeF"/>
          <w:color w:val="auto"/>
          <w:sz w:val="2"/>
          <w:szCs w:val="2"/>
        </w:rPr>
        <w:t>294B</w:t>
      </w:r>
      <w:r w:rsidR="00D629FA">
        <w:rPr>
          <w:rFonts w:ascii="ZWAdobeF" w:hAnsi="ZWAdobeF" w:cs="ZWAdobeF"/>
          <w:color w:val="auto"/>
          <w:sz w:val="2"/>
          <w:szCs w:val="2"/>
        </w:rPr>
        <w:t>294B</w:t>
      </w:r>
      <w:r w:rsidR="00D36A28">
        <w:t xml:space="preserve">We note that the Rules Committee’s consultation document, </w:t>
      </w:r>
      <w:r w:rsidR="00D36A28">
        <w:rPr>
          <w:i/>
          <w:iCs/>
        </w:rPr>
        <w:t xml:space="preserve">Improving Access to Justice, </w:t>
      </w:r>
      <w:r w:rsidR="00D36A28">
        <w:t xml:space="preserve">proposes a presumption that interlocutory applications will be disposed </w:t>
      </w:r>
      <w:r w:rsidR="00E35D94">
        <w:t>o</w:t>
      </w:r>
      <w:r w:rsidR="00CF07EF">
        <w:t>f</w:t>
      </w:r>
      <w:r w:rsidR="00D36A28">
        <w:t xml:space="preserve"> on the papers. Oral hearings would only occur if this would be proportionate to the complexity and importance of the interlocutory dispute and the proceeding as a whole.</w:t>
      </w:r>
      <w:r w:rsidR="00D629FA">
        <w:rPr>
          <w:rFonts w:ascii="ZWAdobeF" w:hAnsi="ZWAdobeF" w:cs="ZWAdobeF"/>
          <w:color w:val="auto"/>
          <w:sz w:val="2"/>
          <w:szCs w:val="2"/>
        </w:rPr>
        <w:t>466F</w:t>
      </w:r>
      <w:r w:rsidR="007A330E">
        <w:rPr>
          <w:rFonts w:ascii="ZWAdobeF" w:hAnsi="ZWAdobeF" w:cs="ZWAdobeF"/>
          <w:color w:val="auto"/>
          <w:sz w:val="2"/>
          <w:szCs w:val="2"/>
        </w:rPr>
        <w:t>466F</w:t>
      </w:r>
      <w:r w:rsidR="00317AE4">
        <w:rPr>
          <w:rFonts w:ascii="ZWAdobeF" w:hAnsi="ZWAdobeF" w:cs="ZWAdobeF"/>
          <w:color w:val="auto"/>
          <w:sz w:val="2"/>
          <w:szCs w:val="2"/>
        </w:rPr>
        <w:t>466F</w:t>
      </w:r>
      <w:r w:rsidR="00D36A28">
        <w:rPr>
          <w:rStyle w:val="FootnoteReference"/>
        </w:rPr>
        <w:footnoteReference w:id="468"/>
      </w:r>
      <w:r w:rsidR="00D36A28">
        <w:t xml:space="preserve"> If this proposal is adopted, we do not think it would be necessary to have a provision in a class actions regime to streamline interlocutory applications that are filed after certification.   </w:t>
      </w:r>
    </w:p>
    <w:p w14:paraId="6EA24D4E" w14:textId="77777777" w:rsidR="00D36A28" w:rsidRDefault="00D36A28" w:rsidP="00635A84">
      <w:pPr>
        <w:pStyle w:val="Heading3"/>
      </w:pPr>
      <w:r>
        <w:lastRenderedPageBreak/>
        <w:t xml:space="preserve">Dismissal for delay </w:t>
      </w:r>
    </w:p>
    <w:p w14:paraId="637CA591" w14:textId="38310411" w:rsidR="00D36A28" w:rsidRDefault="00BD5C95" w:rsidP="00B73434">
      <w:pPr>
        <w:pStyle w:val="BodyText"/>
        <w:numPr>
          <w:ilvl w:val="1"/>
          <w:numId w:val="43"/>
        </w:numPr>
        <w:tabs>
          <w:tab w:val="left" w:pos="709"/>
        </w:tabs>
        <w:ind w:hanging="709"/>
      </w:pPr>
      <w:r>
        <w:rPr>
          <w:rFonts w:ascii="ZWAdobeF" w:hAnsi="ZWAdobeF" w:cs="ZWAdobeF"/>
          <w:color w:val="auto"/>
          <w:sz w:val="2"/>
          <w:szCs w:val="2"/>
        </w:rPr>
        <w:t>295B</w:t>
      </w:r>
      <w:r w:rsidR="0049638A">
        <w:rPr>
          <w:rFonts w:ascii="ZWAdobeF" w:hAnsi="ZWAdobeF" w:cs="ZWAdobeF"/>
          <w:color w:val="auto"/>
          <w:sz w:val="2"/>
          <w:szCs w:val="2"/>
        </w:rPr>
        <w:t>295B</w:t>
      </w:r>
      <w:r w:rsidR="00D629FA">
        <w:rPr>
          <w:rFonts w:ascii="ZWAdobeF" w:hAnsi="ZWAdobeF" w:cs="ZWAdobeF"/>
          <w:color w:val="auto"/>
          <w:sz w:val="2"/>
          <w:szCs w:val="2"/>
        </w:rPr>
        <w:t>295B</w:t>
      </w:r>
      <w:r w:rsidR="00D36A28">
        <w:t>The LCO noted that virtually everyone they consulted cited delay as a significant issue in class action litigation and that delay can harm both class members and defendants. It discussed the issue of dormant class action cases, including lawyers commencing cases they had insufficient resources to pursue.</w:t>
      </w:r>
      <w:r w:rsidR="00D629FA">
        <w:rPr>
          <w:rFonts w:ascii="ZWAdobeF" w:hAnsi="ZWAdobeF" w:cs="ZWAdobeF"/>
          <w:color w:val="auto"/>
          <w:sz w:val="2"/>
          <w:szCs w:val="2"/>
        </w:rPr>
        <w:t>467F</w:t>
      </w:r>
      <w:r w:rsidR="007A330E">
        <w:rPr>
          <w:rFonts w:ascii="ZWAdobeF" w:hAnsi="ZWAdobeF" w:cs="ZWAdobeF"/>
          <w:color w:val="auto"/>
          <w:sz w:val="2"/>
          <w:szCs w:val="2"/>
        </w:rPr>
        <w:t>467F</w:t>
      </w:r>
      <w:r w:rsidR="00317AE4">
        <w:rPr>
          <w:rFonts w:ascii="ZWAdobeF" w:hAnsi="ZWAdobeF" w:cs="ZWAdobeF"/>
          <w:color w:val="auto"/>
          <w:sz w:val="2"/>
          <w:szCs w:val="2"/>
        </w:rPr>
        <w:t>467F</w:t>
      </w:r>
      <w:r w:rsidR="00D36A28">
        <w:rPr>
          <w:rStyle w:val="FootnoteReference"/>
        </w:rPr>
        <w:footnoteReference w:id="469"/>
      </w:r>
      <w:r w:rsidR="00D36A28">
        <w:t xml:space="preserve"> The LCO recommended a one-year deadline for a certification timetable to be set and the plaintiff’s certification material filed, with automatic dismissal otherwise.</w:t>
      </w:r>
      <w:r w:rsidR="00D629FA">
        <w:rPr>
          <w:rFonts w:ascii="ZWAdobeF" w:hAnsi="ZWAdobeF" w:cs="ZWAdobeF"/>
          <w:color w:val="auto"/>
          <w:sz w:val="2"/>
          <w:szCs w:val="2"/>
        </w:rPr>
        <w:t>468F</w:t>
      </w:r>
      <w:r w:rsidR="007A330E">
        <w:rPr>
          <w:rFonts w:ascii="ZWAdobeF" w:hAnsi="ZWAdobeF" w:cs="ZWAdobeF"/>
          <w:color w:val="auto"/>
          <w:sz w:val="2"/>
          <w:szCs w:val="2"/>
        </w:rPr>
        <w:t>468F</w:t>
      </w:r>
      <w:r w:rsidR="00317AE4">
        <w:rPr>
          <w:rFonts w:ascii="ZWAdobeF" w:hAnsi="ZWAdobeF" w:cs="ZWAdobeF"/>
          <w:color w:val="auto"/>
          <w:sz w:val="2"/>
          <w:szCs w:val="2"/>
        </w:rPr>
        <w:t>468F</w:t>
      </w:r>
      <w:r w:rsidR="00D36A28">
        <w:rPr>
          <w:rStyle w:val="FootnoteReference"/>
        </w:rPr>
        <w:footnoteReference w:id="470"/>
      </w:r>
      <w:r w:rsidR="00D36A28">
        <w:t xml:space="preserve"> The Ontario legislation was subsequently amended to include a mandatory dismissal for delay provision, based on the LCO’s recommendations.</w:t>
      </w:r>
      <w:r w:rsidR="00D629FA">
        <w:rPr>
          <w:rFonts w:ascii="ZWAdobeF" w:hAnsi="ZWAdobeF" w:cs="ZWAdobeF"/>
          <w:color w:val="auto"/>
          <w:sz w:val="2"/>
          <w:szCs w:val="2"/>
        </w:rPr>
        <w:t>469F</w:t>
      </w:r>
      <w:r w:rsidR="007A330E">
        <w:rPr>
          <w:rFonts w:ascii="ZWAdobeF" w:hAnsi="ZWAdobeF" w:cs="ZWAdobeF"/>
          <w:color w:val="auto"/>
          <w:sz w:val="2"/>
          <w:szCs w:val="2"/>
        </w:rPr>
        <w:t>469F</w:t>
      </w:r>
      <w:r w:rsidR="00317AE4">
        <w:rPr>
          <w:rFonts w:ascii="ZWAdobeF" w:hAnsi="ZWAdobeF" w:cs="ZWAdobeF"/>
          <w:color w:val="auto"/>
          <w:sz w:val="2"/>
          <w:szCs w:val="2"/>
        </w:rPr>
        <w:t>469F</w:t>
      </w:r>
      <w:r w:rsidR="00D36A28">
        <w:rPr>
          <w:rStyle w:val="FootnoteReference"/>
        </w:rPr>
        <w:footnoteReference w:id="471"/>
      </w:r>
      <w:r w:rsidR="00D36A28">
        <w:t xml:space="preserve"> </w:t>
      </w:r>
    </w:p>
    <w:p w14:paraId="3FE88BCF" w14:textId="4B75D4C5" w:rsidR="00D36A28" w:rsidRDefault="008A26B9" w:rsidP="00B73434">
      <w:pPr>
        <w:pStyle w:val="BodyText"/>
        <w:numPr>
          <w:ilvl w:val="1"/>
          <w:numId w:val="43"/>
        </w:numPr>
        <w:tabs>
          <w:tab w:val="left" w:pos="709"/>
        </w:tabs>
        <w:ind w:hanging="709"/>
      </w:pPr>
      <w:r>
        <w:rPr>
          <w:noProof/>
        </w:rPr>
        <mc:AlternateContent>
          <mc:Choice Requires="wpg">
            <w:drawing>
              <wp:anchor distT="0" distB="0" distL="114300" distR="114300" simplePos="0" relativeHeight="251652162" behindDoc="1" locked="0" layoutInCell="1" allowOverlap="1" wp14:anchorId="7298B67E" wp14:editId="5FBF0EFE">
                <wp:simplePos x="0" y="0"/>
                <wp:positionH relativeFrom="column">
                  <wp:posOffset>-3810</wp:posOffset>
                </wp:positionH>
                <wp:positionV relativeFrom="paragraph">
                  <wp:posOffset>824230</wp:posOffset>
                </wp:positionV>
                <wp:extent cx="5760085" cy="2762250"/>
                <wp:effectExtent l="0" t="0" r="0" b="0"/>
                <wp:wrapNone/>
                <wp:docPr id="764518240" name="Group 764518240"/>
                <wp:cNvGraphicFramePr/>
                <a:graphic xmlns:a="http://schemas.openxmlformats.org/drawingml/2006/main">
                  <a:graphicData uri="http://schemas.microsoft.com/office/word/2010/wordprocessingGroup">
                    <wpg:wgp>
                      <wpg:cNvGrpSpPr/>
                      <wpg:grpSpPr>
                        <a:xfrm>
                          <a:off x="0" y="0"/>
                          <a:ext cx="5760085" cy="2762250"/>
                          <a:chOff x="0" y="62865"/>
                          <a:chExt cx="5760085" cy="2762539"/>
                        </a:xfrm>
                      </wpg:grpSpPr>
                      <wps:wsp>
                        <wps:cNvPr id="76451824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3EE276" w14:textId="77777777" w:rsidR="00A55F53" w:rsidRDefault="00A55F53" w:rsidP="00635A84">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243" name="Group 53"/>
                        <wpg:cNvGrpSpPr>
                          <a:grpSpLocks/>
                        </wpg:cNvGrpSpPr>
                        <wpg:grpSpPr bwMode="auto">
                          <a:xfrm>
                            <a:off x="0" y="316263"/>
                            <a:ext cx="5760085" cy="2509141"/>
                            <a:chOff x="1837" y="1792"/>
                            <a:chExt cx="9302" cy="27103"/>
                          </a:xfrm>
                        </wpg:grpSpPr>
                        <wps:wsp>
                          <wps:cNvPr id="764518244" name="Freeform 54"/>
                          <wps:cNvSpPr>
                            <a:spLocks/>
                          </wps:cNvSpPr>
                          <wps:spPr bwMode="auto">
                            <a:xfrm>
                              <a:off x="1837" y="1792"/>
                              <a:ext cx="9302" cy="2710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245" name="Group 764518245"/>
                        <wpg:cNvGrpSpPr/>
                        <wpg:grpSpPr>
                          <a:xfrm>
                            <a:off x="0" y="494036"/>
                            <a:ext cx="1443794" cy="252000"/>
                            <a:chOff x="-15880" y="0"/>
                            <a:chExt cx="1444379" cy="252068"/>
                          </a:xfrm>
                        </wpg:grpSpPr>
                        <wps:wsp>
                          <wps:cNvPr id="76451824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4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82BDAF" w14:textId="14BF5BA4" w:rsidR="00A55F53" w:rsidRPr="00E700FF" w:rsidRDefault="00A55F53" w:rsidP="00635A84">
                                <w:pPr>
                                  <w:pStyle w:val="BoxTitle"/>
                                  <w:spacing w:before="0" w:beforeAutospacing="0"/>
                                </w:pPr>
                                <w:r w:rsidRPr="001C1B37">
                                  <w:t>Q</w:t>
                                </w:r>
                                <w:r>
                                  <w:t>23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298B67E" id="Group 764518240" o:spid="_x0000_s1356" style="position:absolute;left:0;text-align:left;margin-left:-.3pt;margin-top:64.9pt;width:453.55pt;height:217.5pt;z-index:-251664318;mso-height-relative:margin" coordorigin=",628" coordsize="57600,2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">
                <v:shape id="_x0000_s135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43EE276" w14:textId="77777777" w:rsidR="00A55F53" w:rsidRDefault="00A55F53" w:rsidP="00635A84">
                        <w:pPr>
                          <w:pStyle w:val="BoxTitle"/>
                          <w:spacing w:before="0" w:beforeAutospacing="0"/>
                        </w:pPr>
                        <w:r w:rsidRPr="007F6876">
                          <w:t>QUESTION</w:t>
                        </w:r>
                      </w:p>
                    </w:txbxContent>
                  </v:textbox>
                </v:shape>
                <v:group id="Group 53" o:spid="_x0000_s1358" style="position:absolute;top:3162;width:57600;height:25092" coordorigin="1837,1792" coordsize="9302,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">
                  <v:shape id="Freeform 54" o:spid="_x0000_s1359" style="position:absolute;left:1837;top:1792;width:9302;height:2710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" path="m,l9354,r,7809l,7809,,e" fillcolor="#edf2ea" stroked="f">
                    <v:path arrowok="t" o:connecttype="custom" o:connectlocs="0,3471;9302,3471;9302,30574;0,30574;0,3471" o:connectangles="0,0,0,0,0"/>
                  </v:shape>
                </v:group>
                <v:group id="Group 764518245" o:spid="_x0000_s136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">
                  <v:shape id="Freeform 58" o:spid="_x0000_s136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" path="m,l1815,e" filled="f" strokecolor="#72ab6a" strokeweight=".5pt">
                    <v:path arrowok="t" o:connecttype="custom" o:connectlocs="0,0;1073495,0" o:connectangles="0,0"/>
                  </v:shape>
                  <v:shape id="Freeform 66" o:spid="_x0000_s136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B82BDAF" w14:textId="14BF5BA4" w:rsidR="00A55F53" w:rsidRPr="00E700FF" w:rsidRDefault="00A55F53" w:rsidP="00635A84">
                          <w:pPr>
                            <w:pStyle w:val="BoxTitle"/>
                            <w:spacing w:before="0" w:beforeAutospacing="0"/>
                          </w:pPr>
                          <w:r w:rsidRPr="001C1B37">
                            <w:t>Q</w:t>
                          </w:r>
                          <w:r>
                            <w:t>23</w:t>
                          </w:r>
                        </w:p>
                      </w:txbxContent>
                    </v:textbox>
                  </v:shape>
                </v:group>
              </v:group>
            </w:pict>
          </mc:Fallback>
        </mc:AlternateContent>
      </w:r>
      <w:r w:rsidR="00BD5C95">
        <w:rPr>
          <w:rFonts w:ascii="ZWAdobeF" w:hAnsi="ZWAdobeF" w:cs="ZWAdobeF"/>
          <w:color w:val="auto"/>
          <w:sz w:val="2"/>
          <w:szCs w:val="2"/>
        </w:rPr>
        <w:t>296B</w:t>
      </w:r>
      <w:r w:rsidR="0049638A">
        <w:rPr>
          <w:rFonts w:ascii="ZWAdobeF" w:hAnsi="ZWAdobeF" w:cs="ZWAdobeF"/>
          <w:color w:val="auto"/>
          <w:sz w:val="2"/>
          <w:szCs w:val="2"/>
        </w:rPr>
        <w:t>296B</w:t>
      </w:r>
      <w:r w:rsidR="00D629FA">
        <w:rPr>
          <w:rFonts w:ascii="ZWAdobeF" w:hAnsi="ZWAdobeF" w:cs="ZWAdobeF"/>
          <w:color w:val="auto"/>
          <w:sz w:val="2"/>
          <w:szCs w:val="2"/>
        </w:rPr>
        <w:t>296B</w:t>
      </w:r>
      <w:r w:rsidR="00D36A28">
        <w:t>Our preliminary view is that a similar provision is not necessary in Aotearoa New Zealand. We think usual timetabling and case management procedures, along with the power to dismiss or stay a proceeding for want of prosecution are likely to be sufficient to prevent cases being commenced and not progressed.</w:t>
      </w:r>
      <w:r w:rsidR="00D629FA">
        <w:rPr>
          <w:rFonts w:ascii="ZWAdobeF" w:hAnsi="ZWAdobeF" w:cs="ZWAdobeF"/>
          <w:color w:val="auto"/>
          <w:sz w:val="2"/>
          <w:szCs w:val="2"/>
        </w:rPr>
        <w:t>470F</w:t>
      </w:r>
      <w:r w:rsidR="007A330E">
        <w:rPr>
          <w:rFonts w:ascii="ZWAdobeF" w:hAnsi="ZWAdobeF" w:cs="ZWAdobeF"/>
          <w:color w:val="auto"/>
          <w:sz w:val="2"/>
          <w:szCs w:val="2"/>
        </w:rPr>
        <w:t>470F</w:t>
      </w:r>
      <w:r w:rsidR="00317AE4">
        <w:rPr>
          <w:rFonts w:ascii="ZWAdobeF" w:hAnsi="ZWAdobeF" w:cs="ZWAdobeF"/>
          <w:color w:val="auto"/>
          <w:sz w:val="2"/>
          <w:szCs w:val="2"/>
        </w:rPr>
        <w:t>470F</w:t>
      </w:r>
      <w:r w:rsidR="00D36A28">
        <w:rPr>
          <w:rStyle w:val="FootnoteReference"/>
        </w:rPr>
        <w:footnoteReference w:id="472"/>
      </w:r>
    </w:p>
    <w:p w14:paraId="583B0148" w14:textId="7C7CADA5" w:rsidR="00CB0D33" w:rsidRDefault="00CB0D33" w:rsidP="00CB0D33">
      <w:pPr>
        <w:pStyle w:val="QuestionBox"/>
      </w:pPr>
    </w:p>
    <w:p w14:paraId="0B67D8AA" w14:textId="04633D07" w:rsidR="00CB0D33" w:rsidRDefault="00717603" w:rsidP="00717603">
      <w:pPr>
        <w:pStyle w:val="QuestionBox"/>
        <w:tabs>
          <w:tab w:val="left" w:pos="5599"/>
        </w:tabs>
      </w:pPr>
      <w:r>
        <w:tab/>
      </w:r>
    </w:p>
    <w:p w14:paraId="57485FC3" w14:textId="1FBFD301" w:rsidR="00D36A28" w:rsidRDefault="00BD5C95" w:rsidP="00CB0D33">
      <w:pPr>
        <w:pStyle w:val="QuestionBox"/>
      </w:pPr>
      <w:r>
        <w:rPr>
          <w:rFonts w:ascii="ZWAdobeF" w:hAnsi="ZWAdobeF" w:cs="ZWAdobeF"/>
          <w:color w:val="auto"/>
          <w:sz w:val="2"/>
          <w:szCs w:val="2"/>
        </w:rPr>
        <w:t>1421B</w:t>
      </w:r>
      <w:r w:rsidR="0049638A">
        <w:rPr>
          <w:rFonts w:ascii="ZWAdobeF" w:hAnsi="ZWAdobeF" w:cs="ZWAdobeF"/>
          <w:color w:val="auto"/>
          <w:sz w:val="2"/>
          <w:szCs w:val="2"/>
        </w:rPr>
        <w:t>1421B</w:t>
      </w:r>
      <w:r w:rsidR="00D629FA">
        <w:rPr>
          <w:rFonts w:ascii="ZWAdobeF" w:hAnsi="ZWAdobeF" w:cs="ZWAdobeF"/>
          <w:color w:val="auto"/>
          <w:sz w:val="2"/>
          <w:szCs w:val="2"/>
        </w:rPr>
        <w:t>1421B</w:t>
      </w:r>
      <w:r w:rsidR="00D36A28">
        <w:t>Do you agree that the High Court Rules and the court’s inherent jurisdiction are adequate to ensure the efficient case management of class actions? If not, what specific provisions are needed? For example:</w:t>
      </w:r>
    </w:p>
    <w:p w14:paraId="0E8E9455" w14:textId="49501198" w:rsidR="00D36A28" w:rsidRDefault="00BD5C95" w:rsidP="00B73434">
      <w:pPr>
        <w:pStyle w:val="Questionabc"/>
        <w:numPr>
          <w:ilvl w:val="0"/>
          <w:numId w:val="46"/>
        </w:numPr>
        <w:ind w:left="1418" w:hanging="425"/>
      </w:pPr>
      <w:r>
        <w:rPr>
          <w:rFonts w:ascii="ZWAdobeF" w:hAnsi="ZWAdobeF" w:cs="ZWAdobeF"/>
          <w:color w:val="auto"/>
          <w:sz w:val="2"/>
          <w:szCs w:val="2"/>
        </w:rPr>
        <w:t>1304B</w:t>
      </w:r>
      <w:r w:rsidR="0049638A">
        <w:rPr>
          <w:rFonts w:ascii="ZWAdobeF" w:hAnsi="ZWAdobeF" w:cs="ZWAdobeF"/>
          <w:color w:val="auto"/>
          <w:sz w:val="2"/>
          <w:szCs w:val="2"/>
        </w:rPr>
        <w:t>1304B</w:t>
      </w:r>
      <w:r w:rsidR="00D629FA">
        <w:rPr>
          <w:rFonts w:ascii="ZWAdobeF" w:hAnsi="ZWAdobeF" w:cs="ZWAdobeF"/>
          <w:color w:val="auto"/>
          <w:sz w:val="2"/>
          <w:szCs w:val="2"/>
        </w:rPr>
        <w:t>1304B</w:t>
      </w:r>
      <w:r w:rsidR="00D36A28">
        <w:t>A general power for the court to make any orders necessary in a class action?</w:t>
      </w:r>
    </w:p>
    <w:p w14:paraId="0EDD4837" w14:textId="6AC2AC12" w:rsidR="00D36A28" w:rsidRDefault="00BD5C95" w:rsidP="00B73434">
      <w:pPr>
        <w:pStyle w:val="Questionabc"/>
        <w:numPr>
          <w:ilvl w:val="0"/>
          <w:numId w:val="46"/>
        </w:numPr>
        <w:ind w:left="1418" w:hanging="425"/>
      </w:pPr>
      <w:r>
        <w:rPr>
          <w:rFonts w:ascii="ZWAdobeF" w:hAnsi="ZWAdobeF" w:cs="ZWAdobeF"/>
          <w:color w:val="auto"/>
          <w:sz w:val="2"/>
          <w:szCs w:val="2"/>
        </w:rPr>
        <w:t>1305B</w:t>
      </w:r>
      <w:r w:rsidR="0049638A">
        <w:rPr>
          <w:rFonts w:ascii="ZWAdobeF" w:hAnsi="ZWAdobeF" w:cs="ZWAdobeF"/>
          <w:color w:val="auto"/>
          <w:sz w:val="2"/>
          <w:szCs w:val="2"/>
        </w:rPr>
        <w:t>1305B</w:t>
      </w:r>
      <w:r w:rsidR="00D629FA">
        <w:rPr>
          <w:rFonts w:ascii="ZWAdobeF" w:hAnsi="ZWAdobeF" w:cs="ZWAdobeF"/>
          <w:color w:val="auto"/>
          <w:sz w:val="2"/>
          <w:szCs w:val="2"/>
        </w:rPr>
        <w:t>1305B</w:t>
      </w:r>
      <w:r w:rsidR="00D36A28">
        <w:t>Specific provisions for class actions case management conferences?</w:t>
      </w:r>
    </w:p>
    <w:p w14:paraId="5A281675" w14:textId="045C7A0B" w:rsidR="00D36A28" w:rsidRDefault="00BD5C95" w:rsidP="00B73434">
      <w:pPr>
        <w:pStyle w:val="Questionabc"/>
        <w:numPr>
          <w:ilvl w:val="0"/>
          <w:numId w:val="46"/>
        </w:numPr>
        <w:ind w:left="1418" w:hanging="425"/>
      </w:pPr>
      <w:r>
        <w:rPr>
          <w:rFonts w:ascii="ZWAdobeF" w:hAnsi="ZWAdobeF" w:cs="ZWAdobeF"/>
          <w:color w:val="auto"/>
          <w:sz w:val="2"/>
          <w:szCs w:val="2"/>
        </w:rPr>
        <w:t>1306B</w:t>
      </w:r>
      <w:r w:rsidR="0049638A">
        <w:rPr>
          <w:rFonts w:ascii="ZWAdobeF" w:hAnsi="ZWAdobeF" w:cs="ZWAdobeF"/>
          <w:color w:val="auto"/>
          <w:sz w:val="2"/>
          <w:szCs w:val="2"/>
        </w:rPr>
        <w:t>1306B</w:t>
      </w:r>
      <w:r w:rsidR="00D629FA">
        <w:rPr>
          <w:rFonts w:ascii="ZWAdobeF" w:hAnsi="ZWAdobeF" w:cs="ZWAdobeF"/>
          <w:color w:val="auto"/>
          <w:sz w:val="2"/>
          <w:szCs w:val="2"/>
        </w:rPr>
        <w:t>1306B</w:t>
      </w:r>
      <w:r w:rsidR="00D36A28">
        <w:t>Restrictions on filing interlocutory applications in class actions or procedures for dealing with interlocutory applications in an expedited way?</w:t>
      </w:r>
    </w:p>
    <w:p w14:paraId="4EF27459" w14:textId="6E7E7507" w:rsidR="00D36A28" w:rsidRDefault="00BD5C95" w:rsidP="00B73434">
      <w:pPr>
        <w:pStyle w:val="Questionabc"/>
        <w:numPr>
          <w:ilvl w:val="0"/>
          <w:numId w:val="46"/>
        </w:numPr>
        <w:ind w:left="1418" w:hanging="425"/>
      </w:pPr>
      <w:r>
        <w:rPr>
          <w:rFonts w:ascii="ZWAdobeF" w:hAnsi="ZWAdobeF" w:cs="ZWAdobeF"/>
          <w:color w:val="auto"/>
          <w:sz w:val="2"/>
          <w:szCs w:val="2"/>
        </w:rPr>
        <w:t>1307B</w:t>
      </w:r>
      <w:r w:rsidR="0049638A">
        <w:rPr>
          <w:rFonts w:ascii="ZWAdobeF" w:hAnsi="ZWAdobeF" w:cs="ZWAdobeF"/>
          <w:color w:val="auto"/>
          <w:sz w:val="2"/>
          <w:szCs w:val="2"/>
        </w:rPr>
        <w:t>1307B</w:t>
      </w:r>
      <w:r w:rsidR="00D629FA">
        <w:rPr>
          <w:rFonts w:ascii="ZWAdobeF" w:hAnsi="ZWAdobeF" w:cs="ZWAdobeF"/>
          <w:color w:val="auto"/>
          <w:sz w:val="2"/>
          <w:szCs w:val="2"/>
        </w:rPr>
        <w:t>1307B</w:t>
      </w:r>
      <w:r w:rsidR="00D36A28">
        <w:t xml:space="preserve">Automatic dismissal of a class action proceeding that is not progressed within a certain time frame? </w:t>
      </w:r>
    </w:p>
    <w:p w14:paraId="2C103237" w14:textId="77777777" w:rsidR="00717603" w:rsidRPr="00717603" w:rsidRDefault="00717603" w:rsidP="00717603">
      <w:pPr>
        <w:pStyle w:val="QuestionBox"/>
      </w:pPr>
    </w:p>
    <w:p w14:paraId="46665F1C" w14:textId="77777777" w:rsidR="00D36A28" w:rsidRDefault="00D36A28" w:rsidP="00635A84">
      <w:pPr>
        <w:pStyle w:val="Heading2"/>
      </w:pPr>
      <w:bookmarkStart w:id="75" w:name="_Toc83895452"/>
      <w:r>
        <w:t>Managing individual issues</w:t>
      </w:r>
      <w:bookmarkEnd w:id="75"/>
    </w:p>
    <w:p w14:paraId="605B9AC6" w14:textId="1088E323" w:rsidR="00D36A28" w:rsidRDefault="00BD5C95" w:rsidP="00B73434">
      <w:pPr>
        <w:pStyle w:val="BodyText"/>
        <w:numPr>
          <w:ilvl w:val="1"/>
          <w:numId w:val="43"/>
        </w:numPr>
        <w:tabs>
          <w:tab w:val="left" w:pos="709"/>
        </w:tabs>
        <w:ind w:hanging="709"/>
      </w:pPr>
      <w:r>
        <w:rPr>
          <w:rFonts w:ascii="ZWAdobeF" w:hAnsi="ZWAdobeF" w:cs="ZWAdobeF"/>
          <w:color w:val="auto"/>
          <w:sz w:val="2"/>
          <w:szCs w:val="2"/>
        </w:rPr>
        <w:t>297B</w:t>
      </w:r>
      <w:r w:rsidR="0049638A">
        <w:rPr>
          <w:rFonts w:ascii="ZWAdobeF" w:hAnsi="ZWAdobeF" w:cs="ZWAdobeF"/>
          <w:color w:val="auto"/>
          <w:sz w:val="2"/>
          <w:szCs w:val="2"/>
        </w:rPr>
        <w:t>297B</w:t>
      </w:r>
      <w:r w:rsidR="00D629FA">
        <w:rPr>
          <w:rFonts w:ascii="ZWAdobeF" w:hAnsi="ZWAdobeF" w:cs="ZWAdobeF"/>
          <w:color w:val="auto"/>
          <w:sz w:val="2"/>
          <w:szCs w:val="2"/>
        </w:rPr>
        <w:t>297B</w:t>
      </w:r>
      <w:r w:rsidR="00D36A28">
        <w:t>There will always be at least one common issue to determine in a class action, due to the commonality requirement. There will generally also be non-common issues that need to be determined to ascertain a defendant’s liability to individual class members. In this section we seek views on how individual issues should be managed in a class actions regime. We discuss whether the court should be able to award damages on an aggregate basis in Chapter 5.</w:t>
      </w:r>
    </w:p>
    <w:p w14:paraId="354D8375" w14:textId="77777777" w:rsidR="00D36A28" w:rsidRDefault="00D36A28" w:rsidP="00635A84">
      <w:pPr>
        <w:pStyle w:val="Heading3"/>
      </w:pPr>
      <w:r>
        <w:lastRenderedPageBreak/>
        <w:t>Staged hearings</w:t>
      </w:r>
    </w:p>
    <w:p w14:paraId="79B8FE0F" w14:textId="2C63ED07" w:rsidR="00D36A28" w:rsidRDefault="00BD5C95" w:rsidP="00B73434">
      <w:pPr>
        <w:pStyle w:val="BodyText"/>
        <w:numPr>
          <w:ilvl w:val="1"/>
          <w:numId w:val="43"/>
        </w:numPr>
        <w:tabs>
          <w:tab w:val="left" w:pos="709"/>
        </w:tabs>
        <w:ind w:hanging="709"/>
      </w:pPr>
      <w:r>
        <w:rPr>
          <w:rFonts w:ascii="ZWAdobeF" w:hAnsi="ZWAdobeF" w:cs="ZWAdobeF"/>
          <w:color w:val="auto"/>
          <w:sz w:val="2"/>
          <w:szCs w:val="2"/>
        </w:rPr>
        <w:t>298B</w:t>
      </w:r>
      <w:r w:rsidR="0049638A">
        <w:rPr>
          <w:rFonts w:ascii="ZWAdobeF" w:hAnsi="ZWAdobeF" w:cs="ZWAdobeF"/>
          <w:color w:val="auto"/>
          <w:sz w:val="2"/>
          <w:szCs w:val="2"/>
        </w:rPr>
        <w:t>298B</w:t>
      </w:r>
      <w:r w:rsidR="00D629FA">
        <w:rPr>
          <w:rFonts w:ascii="ZWAdobeF" w:hAnsi="ZWAdobeF" w:cs="ZWAdobeF"/>
          <w:color w:val="auto"/>
          <w:sz w:val="2"/>
          <w:szCs w:val="2"/>
        </w:rPr>
        <w:t>298B</w:t>
      </w:r>
      <w:r w:rsidR="00D36A28">
        <w:t xml:space="preserve">A common method of managing a class action or representative action that has both common and individual issues is to have staged hearings (also known as split trials).  </w:t>
      </w:r>
    </w:p>
    <w:p w14:paraId="48F78E7E" w14:textId="2D0CB9AB" w:rsidR="00D36A28" w:rsidRDefault="00BD5C95" w:rsidP="00B73434">
      <w:pPr>
        <w:pStyle w:val="BodyText"/>
        <w:numPr>
          <w:ilvl w:val="1"/>
          <w:numId w:val="43"/>
        </w:numPr>
        <w:tabs>
          <w:tab w:val="left" w:pos="709"/>
        </w:tabs>
        <w:ind w:hanging="709"/>
      </w:pPr>
      <w:r>
        <w:rPr>
          <w:rFonts w:ascii="ZWAdobeF" w:hAnsi="ZWAdobeF" w:cs="ZWAdobeF"/>
          <w:color w:val="auto"/>
          <w:sz w:val="2"/>
          <w:szCs w:val="2"/>
        </w:rPr>
        <w:t>299B</w:t>
      </w:r>
      <w:r w:rsidR="0049638A">
        <w:rPr>
          <w:rFonts w:ascii="ZWAdobeF" w:hAnsi="ZWAdobeF" w:cs="ZWAdobeF"/>
          <w:color w:val="auto"/>
          <w:sz w:val="2"/>
          <w:szCs w:val="2"/>
        </w:rPr>
        <w:t>299B</w:t>
      </w:r>
      <w:r w:rsidR="00D629FA">
        <w:rPr>
          <w:rFonts w:ascii="ZWAdobeF" w:hAnsi="ZWAdobeF" w:cs="ZWAdobeF"/>
          <w:color w:val="auto"/>
          <w:sz w:val="2"/>
          <w:szCs w:val="2"/>
        </w:rPr>
        <w:t>299B</w:t>
      </w:r>
      <w:r w:rsidR="00D36A28">
        <w:t>In Aotearoa New Zealand, representative actions will often be heard in two stages, with the stage one hearing covering common issues (and sometimes also the entirety of the representative plaintiff’s claim) and a stage two hearing to address individual issues.</w:t>
      </w:r>
      <w:r w:rsidR="00D629FA">
        <w:rPr>
          <w:rFonts w:ascii="ZWAdobeF" w:hAnsi="ZWAdobeF" w:cs="ZWAdobeF"/>
          <w:color w:val="auto"/>
          <w:sz w:val="2"/>
          <w:szCs w:val="2"/>
        </w:rPr>
        <w:t>471F</w:t>
      </w:r>
      <w:r w:rsidR="007A330E">
        <w:rPr>
          <w:rFonts w:ascii="ZWAdobeF" w:hAnsi="ZWAdobeF" w:cs="ZWAdobeF"/>
          <w:color w:val="auto"/>
          <w:sz w:val="2"/>
          <w:szCs w:val="2"/>
        </w:rPr>
        <w:t>471F</w:t>
      </w:r>
      <w:r w:rsidR="00317AE4">
        <w:rPr>
          <w:rFonts w:ascii="ZWAdobeF" w:hAnsi="ZWAdobeF" w:cs="ZWAdobeF"/>
          <w:color w:val="auto"/>
          <w:sz w:val="2"/>
          <w:szCs w:val="2"/>
        </w:rPr>
        <w:t>471F</w:t>
      </w:r>
      <w:r w:rsidR="00D36A28">
        <w:rPr>
          <w:rStyle w:val="FootnoteReference"/>
        </w:rPr>
        <w:footnoteReference w:id="473"/>
      </w:r>
      <w:r w:rsidR="00D36A28">
        <w:t xml:space="preserve"> However, a staged approach to representative actions is not mandatory.</w:t>
      </w:r>
      <w:r w:rsidR="00D629FA">
        <w:rPr>
          <w:rFonts w:ascii="ZWAdobeF" w:hAnsi="ZWAdobeF" w:cs="ZWAdobeF"/>
          <w:color w:val="auto"/>
          <w:sz w:val="2"/>
          <w:szCs w:val="2"/>
        </w:rPr>
        <w:t>472F</w:t>
      </w:r>
      <w:r w:rsidR="007A330E">
        <w:rPr>
          <w:rFonts w:ascii="ZWAdobeF" w:hAnsi="ZWAdobeF" w:cs="ZWAdobeF"/>
          <w:color w:val="auto"/>
          <w:sz w:val="2"/>
          <w:szCs w:val="2"/>
        </w:rPr>
        <w:t>472F</w:t>
      </w:r>
      <w:r w:rsidR="00317AE4">
        <w:rPr>
          <w:rFonts w:ascii="ZWAdobeF" w:hAnsi="ZWAdobeF" w:cs="ZWAdobeF"/>
          <w:color w:val="auto"/>
          <w:sz w:val="2"/>
          <w:szCs w:val="2"/>
        </w:rPr>
        <w:t>472F</w:t>
      </w:r>
      <w:r w:rsidR="00D36A28">
        <w:rPr>
          <w:rStyle w:val="FootnoteReference"/>
        </w:rPr>
        <w:footnoteReference w:id="474"/>
      </w:r>
      <w:r w:rsidR="00D36A28">
        <w:t xml:space="preserve"> </w:t>
      </w:r>
    </w:p>
    <w:p w14:paraId="5C225A27" w14:textId="0509B9E7" w:rsidR="00D36A28" w:rsidRDefault="00BD5C95" w:rsidP="00B73434">
      <w:pPr>
        <w:pStyle w:val="BodyText"/>
        <w:numPr>
          <w:ilvl w:val="1"/>
          <w:numId w:val="43"/>
        </w:numPr>
        <w:tabs>
          <w:tab w:val="left" w:pos="709"/>
        </w:tabs>
        <w:ind w:hanging="709"/>
      </w:pPr>
      <w:r>
        <w:rPr>
          <w:rFonts w:ascii="ZWAdobeF" w:hAnsi="ZWAdobeF" w:cs="ZWAdobeF"/>
          <w:color w:val="auto"/>
          <w:sz w:val="2"/>
          <w:szCs w:val="2"/>
        </w:rPr>
        <w:t>300B</w:t>
      </w:r>
      <w:r w:rsidR="0049638A">
        <w:rPr>
          <w:rFonts w:ascii="ZWAdobeF" w:hAnsi="ZWAdobeF" w:cs="ZWAdobeF"/>
          <w:color w:val="auto"/>
          <w:sz w:val="2"/>
          <w:szCs w:val="2"/>
        </w:rPr>
        <w:t>300B</w:t>
      </w:r>
      <w:r w:rsidR="00D629FA">
        <w:rPr>
          <w:rFonts w:ascii="ZWAdobeF" w:hAnsi="ZWAdobeF" w:cs="ZWAdobeF"/>
          <w:color w:val="auto"/>
          <w:sz w:val="2"/>
          <w:szCs w:val="2"/>
        </w:rPr>
        <w:t>300B</w:t>
      </w:r>
      <w:r w:rsidR="00D36A28">
        <w:t>While the need for staged hearings is often agreed by the parties, there is sometimes disagreement as to which issues should be considered at each stage. For example:</w:t>
      </w:r>
    </w:p>
    <w:p w14:paraId="2CE976F7" w14:textId="5C3BAF7C" w:rsidR="00D36A28" w:rsidRDefault="00BD5C95" w:rsidP="00B73434">
      <w:pPr>
        <w:pStyle w:val="BodyTextnonum"/>
        <w:numPr>
          <w:ilvl w:val="3"/>
          <w:numId w:val="43"/>
        </w:numPr>
      </w:pPr>
      <w:r>
        <w:rPr>
          <w:rFonts w:ascii="ZWAdobeF" w:hAnsi="ZWAdobeF" w:cs="ZWAdobeF"/>
          <w:color w:val="auto"/>
          <w:sz w:val="2"/>
          <w:szCs w:val="2"/>
        </w:rPr>
        <w:t>733B</w:t>
      </w:r>
      <w:r w:rsidR="0049638A">
        <w:rPr>
          <w:rFonts w:ascii="ZWAdobeF" w:hAnsi="ZWAdobeF" w:cs="ZWAdobeF"/>
          <w:color w:val="auto"/>
          <w:sz w:val="2"/>
          <w:szCs w:val="2"/>
        </w:rPr>
        <w:t>733B</w:t>
      </w:r>
      <w:r w:rsidR="00D629FA">
        <w:rPr>
          <w:rFonts w:ascii="ZWAdobeF" w:hAnsi="ZWAdobeF" w:cs="ZWAdobeF"/>
          <w:color w:val="auto"/>
          <w:sz w:val="2"/>
          <w:szCs w:val="2"/>
        </w:rPr>
        <w:t>733B</w:t>
      </w:r>
      <w:r w:rsidR="00D36A28">
        <w:t>Whether a stage one hearing can include issues that relate to some class members but not the representative plaintiff.</w:t>
      </w:r>
      <w:r w:rsidR="00D629FA">
        <w:rPr>
          <w:rFonts w:ascii="ZWAdobeF" w:hAnsi="ZWAdobeF" w:cs="ZWAdobeF"/>
          <w:color w:val="auto"/>
          <w:sz w:val="2"/>
          <w:szCs w:val="2"/>
        </w:rPr>
        <w:t>473F</w:t>
      </w:r>
      <w:r w:rsidR="007A330E">
        <w:rPr>
          <w:rFonts w:ascii="ZWAdobeF" w:hAnsi="ZWAdobeF" w:cs="ZWAdobeF"/>
          <w:color w:val="auto"/>
          <w:sz w:val="2"/>
          <w:szCs w:val="2"/>
        </w:rPr>
        <w:t>473F</w:t>
      </w:r>
      <w:r w:rsidR="00317AE4">
        <w:rPr>
          <w:rFonts w:ascii="ZWAdobeF" w:hAnsi="ZWAdobeF" w:cs="ZWAdobeF"/>
          <w:color w:val="auto"/>
          <w:sz w:val="2"/>
          <w:szCs w:val="2"/>
        </w:rPr>
        <w:t>473F</w:t>
      </w:r>
      <w:r w:rsidR="00D36A28">
        <w:rPr>
          <w:rStyle w:val="FootnoteReference"/>
        </w:rPr>
        <w:footnoteReference w:id="475"/>
      </w:r>
      <w:r w:rsidR="00D36A28">
        <w:t xml:space="preserve"> </w:t>
      </w:r>
    </w:p>
    <w:p w14:paraId="1385B1AF" w14:textId="78C81B22" w:rsidR="00D36A28" w:rsidRDefault="00BD5C95" w:rsidP="00B73434">
      <w:pPr>
        <w:pStyle w:val="BodyTextnonum"/>
        <w:numPr>
          <w:ilvl w:val="3"/>
          <w:numId w:val="43"/>
        </w:numPr>
      </w:pPr>
      <w:r>
        <w:rPr>
          <w:rFonts w:ascii="ZWAdobeF" w:hAnsi="ZWAdobeF" w:cs="ZWAdobeF"/>
          <w:color w:val="auto"/>
          <w:sz w:val="2"/>
          <w:szCs w:val="2"/>
        </w:rPr>
        <w:t>734B</w:t>
      </w:r>
      <w:r w:rsidR="0049638A">
        <w:rPr>
          <w:rFonts w:ascii="ZWAdobeF" w:hAnsi="ZWAdobeF" w:cs="ZWAdobeF"/>
          <w:color w:val="auto"/>
          <w:sz w:val="2"/>
          <w:szCs w:val="2"/>
        </w:rPr>
        <w:t>734B</w:t>
      </w:r>
      <w:r w:rsidR="00D629FA">
        <w:rPr>
          <w:rFonts w:ascii="ZWAdobeF" w:hAnsi="ZWAdobeF" w:cs="ZWAdobeF"/>
          <w:color w:val="auto"/>
          <w:sz w:val="2"/>
          <w:szCs w:val="2"/>
        </w:rPr>
        <w:t>734B</w:t>
      </w:r>
      <w:r w:rsidR="00D36A28">
        <w:t>Whether the entire claims of a representative or sample group of class members should be heard at stage one.</w:t>
      </w:r>
      <w:r w:rsidR="00D629FA">
        <w:rPr>
          <w:rFonts w:ascii="ZWAdobeF" w:hAnsi="ZWAdobeF" w:cs="ZWAdobeF"/>
          <w:color w:val="auto"/>
          <w:sz w:val="2"/>
          <w:szCs w:val="2"/>
        </w:rPr>
        <w:t>474F</w:t>
      </w:r>
      <w:r w:rsidR="007A330E">
        <w:rPr>
          <w:rFonts w:ascii="ZWAdobeF" w:hAnsi="ZWAdobeF" w:cs="ZWAdobeF"/>
          <w:color w:val="auto"/>
          <w:sz w:val="2"/>
          <w:szCs w:val="2"/>
        </w:rPr>
        <w:t>474F</w:t>
      </w:r>
      <w:r w:rsidR="00317AE4">
        <w:rPr>
          <w:rFonts w:ascii="ZWAdobeF" w:hAnsi="ZWAdobeF" w:cs="ZWAdobeF"/>
          <w:color w:val="auto"/>
          <w:sz w:val="2"/>
          <w:szCs w:val="2"/>
        </w:rPr>
        <w:t>474F</w:t>
      </w:r>
      <w:r w:rsidR="00D36A28">
        <w:rPr>
          <w:rStyle w:val="FootnoteReference"/>
        </w:rPr>
        <w:footnoteReference w:id="476"/>
      </w:r>
      <w:r w:rsidR="00D36A28">
        <w:t xml:space="preserve"> </w:t>
      </w:r>
    </w:p>
    <w:p w14:paraId="0AFE32C9" w14:textId="7D20113C" w:rsidR="00D36A28" w:rsidRDefault="00BD5C95" w:rsidP="00B73434">
      <w:pPr>
        <w:pStyle w:val="BodyText"/>
        <w:numPr>
          <w:ilvl w:val="1"/>
          <w:numId w:val="43"/>
        </w:numPr>
        <w:tabs>
          <w:tab w:val="left" w:pos="709"/>
        </w:tabs>
        <w:ind w:hanging="709"/>
      </w:pPr>
      <w:r>
        <w:rPr>
          <w:rFonts w:ascii="ZWAdobeF" w:hAnsi="ZWAdobeF" w:cs="ZWAdobeF"/>
          <w:color w:val="auto"/>
          <w:sz w:val="2"/>
          <w:szCs w:val="2"/>
        </w:rPr>
        <w:t>301B</w:t>
      </w:r>
      <w:r w:rsidR="0049638A">
        <w:rPr>
          <w:rFonts w:ascii="ZWAdobeF" w:hAnsi="ZWAdobeF" w:cs="ZWAdobeF"/>
          <w:color w:val="auto"/>
          <w:sz w:val="2"/>
          <w:szCs w:val="2"/>
        </w:rPr>
        <w:t>301B</w:t>
      </w:r>
      <w:r w:rsidR="00D629FA">
        <w:rPr>
          <w:rFonts w:ascii="ZWAdobeF" w:hAnsi="ZWAdobeF" w:cs="ZWAdobeF"/>
          <w:color w:val="auto"/>
          <w:sz w:val="2"/>
          <w:szCs w:val="2"/>
        </w:rPr>
        <w:t>301B</w:t>
      </w:r>
      <w:r w:rsidR="00D36A28">
        <w:t>Applications for staged hearings in representative actions have relied on the court’s power to order the separate decision of questions in HCR 10.15.</w:t>
      </w:r>
      <w:r w:rsidR="00D629FA">
        <w:rPr>
          <w:rFonts w:ascii="ZWAdobeF" w:hAnsi="ZWAdobeF" w:cs="ZWAdobeF"/>
          <w:color w:val="auto"/>
          <w:sz w:val="2"/>
          <w:szCs w:val="2"/>
        </w:rPr>
        <w:t>475F</w:t>
      </w:r>
      <w:r w:rsidR="007A330E">
        <w:rPr>
          <w:rFonts w:ascii="ZWAdobeF" w:hAnsi="ZWAdobeF" w:cs="ZWAdobeF"/>
          <w:color w:val="auto"/>
          <w:sz w:val="2"/>
          <w:szCs w:val="2"/>
        </w:rPr>
        <w:t>475F</w:t>
      </w:r>
      <w:r w:rsidR="00317AE4">
        <w:rPr>
          <w:rFonts w:ascii="ZWAdobeF" w:hAnsi="ZWAdobeF" w:cs="ZWAdobeF"/>
          <w:color w:val="auto"/>
          <w:sz w:val="2"/>
          <w:szCs w:val="2"/>
        </w:rPr>
        <w:t>475F</w:t>
      </w:r>
      <w:r w:rsidR="00D36A28">
        <w:rPr>
          <w:rStyle w:val="FootnoteReference"/>
        </w:rPr>
        <w:footnoteReference w:id="477"/>
      </w:r>
      <w:r w:rsidR="00D36A28">
        <w:t xml:space="preserve"> One option would be for parties in class actions to rely on this rule and the criteria that has developed through case law.</w:t>
      </w:r>
      <w:r w:rsidR="00D629FA">
        <w:rPr>
          <w:rFonts w:ascii="ZWAdobeF" w:hAnsi="ZWAdobeF" w:cs="ZWAdobeF"/>
          <w:color w:val="auto"/>
          <w:sz w:val="2"/>
          <w:szCs w:val="2"/>
        </w:rPr>
        <w:t>476F</w:t>
      </w:r>
      <w:r w:rsidR="007A330E">
        <w:rPr>
          <w:rFonts w:ascii="ZWAdobeF" w:hAnsi="ZWAdobeF" w:cs="ZWAdobeF"/>
          <w:color w:val="auto"/>
          <w:sz w:val="2"/>
          <w:szCs w:val="2"/>
        </w:rPr>
        <w:t>476F</w:t>
      </w:r>
      <w:r w:rsidR="00317AE4">
        <w:rPr>
          <w:rFonts w:ascii="ZWAdobeF" w:hAnsi="ZWAdobeF" w:cs="ZWAdobeF"/>
          <w:color w:val="auto"/>
          <w:sz w:val="2"/>
          <w:szCs w:val="2"/>
        </w:rPr>
        <w:t>476F</w:t>
      </w:r>
      <w:r w:rsidR="00D36A28">
        <w:rPr>
          <w:rStyle w:val="FootnoteReference"/>
        </w:rPr>
        <w:footnoteReference w:id="478"/>
      </w:r>
      <w:r w:rsidR="00D36A28">
        <w:t xml:space="preserve"> However, the starting point of this rule is the presumption that all matters are to be determined in one trial and the party seeking a split trial has to displace this presumption.</w:t>
      </w:r>
      <w:r w:rsidR="00D629FA">
        <w:rPr>
          <w:rFonts w:ascii="ZWAdobeF" w:hAnsi="ZWAdobeF" w:cs="ZWAdobeF"/>
          <w:color w:val="auto"/>
          <w:sz w:val="2"/>
          <w:szCs w:val="2"/>
        </w:rPr>
        <w:t>477F</w:t>
      </w:r>
      <w:r w:rsidR="007A330E">
        <w:rPr>
          <w:rFonts w:ascii="ZWAdobeF" w:hAnsi="ZWAdobeF" w:cs="ZWAdobeF"/>
          <w:color w:val="auto"/>
          <w:sz w:val="2"/>
          <w:szCs w:val="2"/>
        </w:rPr>
        <w:t>477F</w:t>
      </w:r>
      <w:r w:rsidR="00317AE4">
        <w:rPr>
          <w:rFonts w:ascii="ZWAdobeF" w:hAnsi="ZWAdobeF" w:cs="ZWAdobeF"/>
          <w:color w:val="auto"/>
          <w:sz w:val="2"/>
          <w:szCs w:val="2"/>
        </w:rPr>
        <w:t>477F</w:t>
      </w:r>
      <w:r w:rsidR="00D36A28">
        <w:rPr>
          <w:rStyle w:val="FootnoteReference"/>
        </w:rPr>
        <w:footnoteReference w:id="479"/>
      </w:r>
      <w:r w:rsidR="00D36A28">
        <w:t xml:space="preserve"> It may be appropriate to have a presumption in favour of split trials in class actions, or at least a recognition that a split trial may be an appropriate procedure, rather than requiring </w:t>
      </w:r>
      <w:r w:rsidR="00160279">
        <w:t xml:space="preserve">the parties </w:t>
      </w:r>
      <w:r w:rsidR="00D36A28">
        <w:t xml:space="preserve">to displace the presumption each time. </w:t>
      </w:r>
    </w:p>
    <w:p w14:paraId="54EF02F0" w14:textId="4D1CCBE8" w:rsidR="00D36A28" w:rsidRDefault="00BD5C95" w:rsidP="00B73434">
      <w:pPr>
        <w:pStyle w:val="BodyText"/>
        <w:numPr>
          <w:ilvl w:val="1"/>
          <w:numId w:val="43"/>
        </w:numPr>
        <w:tabs>
          <w:tab w:val="left" w:pos="709"/>
        </w:tabs>
        <w:ind w:hanging="709"/>
      </w:pPr>
      <w:r>
        <w:rPr>
          <w:rFonts w:ascii="ZWAdobeF" w:hAnsi="ZWAdobeF" w:cs="ZWAdobeF"/>
          <w:color w:val="auto"/>
          <w:sz w:val="2"/>
          <w:szCs w:val="2"/>
        </w:rPr>
        <w:t>302B</w:t>
      </w:r>
      <w:r w:rsidR="0049638A">
        <w:rPr>
          <w:rFonts w:ascii="ZWAdobeF" w:hAnsi="ZWAdobeF" w:cs="ZWAdobeF"/>
          <w:color w:val="auto"/>
          <w:sz w:val="2"/>
          <w:szCs w:val="2"/>
        </w:rPr>
        <w:t>302B</w:t>
      </w:r>
      <w:r w:rsidR="00D629FA">
        <w:rPr>
          <w:rFonts w:ascii="ZWAdobeF" w:hAnsi="ZWAdobeF" w:cs="ZWAdobeF"/>
          <w:color w:val="auto"/>
          <w:sz w:val="2"/>
          <w:szCs w:val="2"/>
        </w:rPr>
        <w:t>302B</w:t>
      </w:r>
      <w:r w:rsidR="00D36A28">
        <w:t>Some class action</w:t>
      </w:r>
      <w:r w:rsidR="00805C83">
        <w:t>s</w:t>
      </w:r>
      <w:r w:rsidR="00D36A28">
        <w:t xml:space="preserve"> regimes have specific provisions relating to separate determination of questions in class actions. For example, </w:t>
      </w:r>
      <w:r w:rsidR="000F0E11">
        <w:t xml:space="preserve">the Ontario </w:t>
      </w:r>
      <w:r w:rsidR="00D36A28">
        <w:t>regime provide</w:t>
      </w:r>
      <w:r w:rsidR="000F0E11">
        <w:t>s</w:t>
      </w:r>
      <w:r w:rsidR="00D36A28">
        <w:t xml:space="preserve"> that common issues are to be determined together, common issues for a subclass are to be determined together and individual issues that require the participation of individual class members are to be determined individually. This is subject to the court’s general power to determine the conduct of class action proceedings.</w:t>
      </w:r>
      <w:r w:rsidR="00D629FA">
        <w:rPr>
          <w:rFonts w:ascii="ZWAdobeF" w:hAnsi="ZWAdobeF" w:cs="ZWAdobeF"/>
          <w:color w:val="auto"/>
          <w:sz w:val="2"/>
          <w:szCs w:val="2"/>
        </w:rPr>
        <w:t>478F</w:t>
      </w:r>
      <w:r w:rsidR="007A330E">
        <w:rPr>
          <w:rFonts w:ascii="ZWAdobeF" w:hAnsi="ZWAdobeF" w:cs="ZWAdobeF"/>
          <w:color w:val="auto"/>
          <w:sz w:val="2"/>
          <w:szCs w:val="2"/>
        </w:rPr>
        <w:t>478F</w:t>
      </w:r>
      <w:r w:rsidR="00317AE4">
        <w:rPr>
          <w:rFonts w:ascii="ZWAdobeF" w:hAnsi="ZWAdobeF" w:cs="ZWAdobeF"/>
          <w:color w:val="auto"/>
          <w:sz w:val="2"/>
          <w:szCs w:val="2"/>
        </w:rPr>
        <w:t>478F</w:t>
      </w:r>
      <w:r w:rsidR="00D36A28">
        <w:rPr>
          <w:rStyle w:val="FootnoteReference"/>
        </w:rPr>
        <w:footnoteReference w:id="480"/>
      </w:r>
      <w:r w:rsidR="00D36A28">
        <w:t xml:space="preserve"> The United Kingdom Competition Appeal Tribunal’s case management powers in class actions include ordering the common </w:t>
      </w:r>
      <w:r w:rsidR="00D36A28">
        <w:lastRenderedPageBreak/>
        <w:t>issues for a class or sub-class be determined together and the individual issues be determined in separate hearings.</w:t>
      </w:r>
      <w:r w:rsidR="00D629FA">
        <w:rPr>
          <w:rFonts w:ascii="ZWAdobeF" w:hAnsi="ZWAdobeF" w:cs="ZWAdobeF"/>
          <w:color w:val="auto"/>
          <w:sz w:val="2"/>
          <w:szCs w:val="2"/>
        </w:rPr>
        <w:t>479F</w:t>
      </w:r>
      <w:r w:rsidR="007A330E">
        <w:rPr>
          <w:rFonts w:ascii="ZWAdobeF" w:hAnsi="ZWAdobeF" w:cs="ZWAdobeF"/>
          <w:color w:val="auto"/>
          <w:sz w:val="2"/>
          <w:szCs w:val="2"/>
        </w:rPr>
        <w:t>479F</w:t>
      </w:r>
      <w:r w:rsidR="00317AE4">
        <w:rPr>
          <w:rFonts w:ascii="ZWAdobeF" w:hAnsi="ZWAdobeF" w:cs="ZWAdobeF"/>
          <w:color w:val="auto"/>
          <w:sz w:val="2"/>
          <w:szCs w:val="2"/>
        </w:rPr>
        <w:t>479F</w:t>
      </w:r>
      <w:r w:rsidR="00D36A28">
        <w:rPr>
          <w:rStyle w:val="FootnoteReference"/>
        </w:rPr>
        <w:footnoteReference w:id="481"/>
      </w:r>
      <w:r w:rsidR="00D36A28">
        <w:t xml:space="preserve">  </w:t>
      </w:r>
    </w:p>
    <w:p w14:paraId="70509AAF" w14:textId="4DBCB1E9" w:rsidR="00D36A28" w:rsidRDefault="00BD5C95" w:rsidP="00B73434">
      <w:pPr>
        <w:pStyle w:val="BodyText"/>
        <w:numPr>
          <w:ilvl w:val="1"/>
          <w:numId w:val="43"/>
        </w:numPr>
        <w:tabs>
          <w:tab w:val="left" w:pos="709"/>
        </w:tabs>
        <w:ind w:hanging="709"/>
      </w:pPr>
      <w:r>
        <w:rPr>
          <w:rFonts w:ascii="ZWAdobeF" w:hAnsi="ZWAdobeF" w:cs="ZWAdobeF"/>
          <w:color w:val="auto"/>
          <w:sz w:val="2"/>
          <w:szCs w:val="2"/>
        </w:rPr>
        <w:t>303B</w:t>
      </w:r>
      <w:r w:rsidR="0049638A">
        <w:rPr>
          <w:rFonts w:ascii="ZWAdobeF" w:hAnsi="ZWAdobeF" w:cs="ZWAdobeF"/>
          <w:color w:val="auto"/>
          <w:sz w:val="2"/>
          <w:szCs w:val="2"/>
        </w:rPr>
        <w:t>303B</w:t>
      </w:r>
      <w:r w:rsidR="00D629FA">
        <w:rPr>
          <w:rFonts w:ascii="ZWAdobeF" w:hAnsi="ZWAdobeF" w:cs="ZWAdobeF"/>
          <w:color w:val="auto"/>
          <w:sz w:val="2"/>
          <w:szCs w:val="2"/>
        </w:rPr>
        <w:t>303B</w:t>
      </w:r>
      <w:r w:rsidR="00D36A28">
        <w:t>In Australia, the court may consider the appropriateness of a split trial at a case management hearing.</w:t>
      </w:r>
      <w:r w:rsidR="00D629FA">
        <w:rPr>
          <w:rFonts w:ascii="ZWAdobeF" w:hAnsi="ZWAdobeF" w:cs="ZWAdobeF"/>
          <w:color w:val="auto"/>
          <w:sz w:val="2"/>
          <w:szCs w:val="2"/>
        </w:rPr>
        <w:t>480F</w:t>
      </w:r>
      <w:r w:rsidR="007A330E">
        <w:rPr>
          <w:rFonts w:ascii="ZWAdobeF" w:hAnsi="ZWAdobeF" w:cs="ZWAdobeF"/>
          <w:color w:val="auto"/>
          <w:sz w:val="2"/>
          <w:szCs w:val="2"/>
        </w:rPr>
        <w:t>480F</w:t>
      </w:r>
      <w:r w:rsidR="00317AE4">
        <w:rPr>
          <w:rFonts w:ascii="ZWAdobeF" w:hAnsi="ZWAdobeF" w:cs="ZWAdobeF"/>
          <w:color w:val="auto"/>
          <w:sz w:val="2"/>
          <w:szCs w:val="2"/>
        </w:rPr>
        <w:t>480F</w:t>
      </w:r>
      <w:r w:rsidR="00D36A28">
        <w:rPr>
          <w:rStyle w:val="FootnoteReference"/>
        </w:rPr>
        <w:footnoteReference w:id="482"/>
      </w:r>
      <w:r w:rsidR="00D36A28">
        <w:t xml:space="preserve"> For example, the Federal Court class actions practice note states:</w:t>
      </w:r>
      <w:r w:rsidR="00D629FA">
        <w:rPr>
          <w:rFonts w:ascii="ZWAdobeF" w:hAnsi="ZWAdobeF" w:cs="ZWAdobeF"/>
          <w:color w:val="auto"/>
          <w:sz w:val="2"/>
          <w:szCs w:val="2"/>
        </w:rPr>
        <w:t>481F</w:t>
      </w:r>
      <w:r w:rsidR="007A330E">
        <w:rPr>
          <w:rFonts w:ascii="ZWAdobeF" w:hAnsi="ZWAdobeF" w:cs="ZWAdobeF"/>
          <w:color w:val="auto"/>
          <w:sz w:val="2"/>
          <w:szCs w:val="2"/>
        </w:rPr>
        <w:t>481F</w:t>
      </w:r>
      <w:r w:rsidR="00317AE4">
        <w:rPr>
          <w:rFonts w:ascii="ZWAdobeF" w:hAnsi="ZWAdobeF" w:cs="ZWAdobeF"/>
          <w:color w:val="auto"/>
          <w:sz w:val="2"/>
          <w:szCs w:val="2"/>
        </w:rPr>
        <w:t>481F</w:t>
      </w:r>
      <w:r w:rsidR="00D36A28">
        <w:rPr>
          <w:rStyle w:val="FootnoteReference"/>
        </w:rPr>
        <w:footnoteReference w:id="483"/>
      </w:r>
      <w:r w:rsidR="00D36A28">
        <w:t xml:space="preserve"> </w:t>
      </w:r>
    </w:p>
    <w:p w14:paraId="5F4B222F" w14:textId="76F42F6A" w:rsidR="00D36A28" w:rsidRPr="00476D15" w:rsidRDefault="00BD5C95" w:rsidP="00D36A28">
      <w:pPr>
        <w:pStyle w:val="Quote"/>
        <w:rPr>
          <w:lang w:eastAsia="zh-CN" w:bidi="th-TH"/>
        </w:rPr>
      </w:pPr>
      <w:r>
        <w:rPr>
          <w:rFonts w:ascii="ZWAdobeF" w:hAnsi="ZWAdobeF" w:cs="ZWAdobeF"/>
          <w:color w:val="auto"/>
          <w:sz w:val="2"/>
          <w:szCs w:val="2"/>
          <w:lang w:eastAsia="zh-CN" w:bidi="th-TH"/>
        </w:rPr>
        <w:t>1465B</w:t>
      </w:r>
      <w:r w:rsidR="0049638A">
        <w:rPr>
          <w:rFonts w:ascii="ZWAdobeF" w:hAnsi="ZWAdobeF" w:cs="ZWAdobeF"/>
          <w:color w:val="auto"/>
          <w:sz w:val="2"/>
          <w:szCs w:val="2"/>
          <w:lang w:eastAsia="zh-CN" w:bidi="th-TH"/>
        </w:rPr>
        <w:t>1465B</w:t>
      </w:r>
      <w:r w:rsidR="00D629FA">
        <w:rPr>
          <w:rFonts w:ascii="ZWAdobeF" w:hAnsi="ZWAdobeF" w:cs="ZWAdobeF"/>
          <w:color w:val="auto"/>
          <w:sz w:val="2"/>
          <w:szCs w:val="2"/>
          <w:lang w:eastAsia="zh-CN" w:bidi="th-TH"/>
        </w:rPr>
        <w:t>1465B</w:t>
      </w:r>
      <w:r w:rsidR="00D36A28">
        <w:rPr>
          <w:lang w:eastAsia="zh-CN" w:bidi="th-TH"/>
        </w:rPr>
        <w:t>I</w:t>
      </w:r>
      <w:r w:rsidR="00D36A28" w:rsidRPr="00476D15">
        <w:rPr>
          <w:lang w:eastAsia="zh-CN" w:bidi="th-TH"/>
        </w:rPr>
        <w:t>n an appropriate case (and appropriateness will be determined by practical as well as legal considerations) the trial may be split so that common issues together with non-common issues concerning liability may be determined first. Such a trial may be structured to address:</w:t>
      </w:r>
    </w:p>
    <w:p w14:paraId="606B5397" w14:textId="6C2C34D8" w:rsidR="00D36A28" w:rsidRPr="00476D15" w:rsidRDefault="00BD5C95" w:rsidP="00D36A28">
      <w:pPr>
        <w:pStyle w:val="Quote"/>
        <w:rPr>
          <w:lang w:eastAsia="zh-CN" w:bidi="th-TH"/>
        </w:rPr>
      </w:pPr>
      <w:r>
        <w:rPr>
          <w:rFonts w:ascii="ZWAdobeF" w:hAnsi="ZWAdobeF" w:cs="ZWAdobeF"/>
          <w:color w:val="auto"/>
          <w:sz w:val="2"/>
          <w:szCs w:val="2"/>
          <w:lang w:eastAsia="zh-CN" w:bidi="th-TH"/>
        </w:rPr>
        <w:t>1466B</w:t>
      </w:r>
      <w:r w:rsidR="0049638A">
        <w:rPr>
          <w:rFonts w:ascii="ZWAdobeF" w:hAnsi="ZWAdobeF" w:cs="ZWAdobeF"/>
          <w:color w:val="auto"/>
          <w:sz w:val="2"/>
          <w:szCs w:val="2"/>
          <w:lang w:eastAsia="zh-CN" w:bidi="th-TH"/>
        </w:rPr>
        <w:t>1466B</w:t>
      </w:r>
      <w:r w:rsidR="00D629FA">
        <w:rPr>
          <w:rFonts w:ascii="ZWAdobeF" w:hAnsi="ZWAdobeF" w:cs="ZWAdobeF"/>
          <w:color w:val="auto"/>
          <w:sz w:val="2"/>
          <w:szCs w:val="2"/>
          <w:lang w:eastAsia="zh-CN" w:bidi="th-TH"/>
        </w:rPr>
        <w:t>1466B</w:t>
      </w:r>
      <w:r w:rsidR="00D36A28" w:rsidRPr="00476D15">
        <w:rPr>
          <w:lang w:eastAsia="zh-CN" w:bidi="th-TH"/>
        </w:rPr>
        <w:t>(a) the issues raised by the claim of the representative applicant(s), namely the common questions as well as the individual issues relating to the representative applicant(s) including any individual claims for damages; and</w:t>
      </w:r>
    </w:p>
    <w:p w14:paraId="1072C4FD" w14:textId="031588C2" w:rsidR="00D36A28" w:rsidRPr="00476D15" w:rsidRDefault="00BD5C95" w:rsidP="00D36A28">
      <w:pPr>
        <w:pStyle w:val="Quote"/>
        <w:rPr>
          <w:lang w:eastAsia="zh-CN" w:bidi="th-TH"/>
        </w:rPr>
      </w:pPr>
      <w:r>
        <w:rPr>
          <w:rFonts w:ascii="ZWAdobeF" w:hAnsi="ZWAdobeF" w:cs="ZWAdobeF"/>
          <w:color w:val="auto"/>
          <w:sz w:val="2"/>
          <w:szCs w:val="2"/>
          <w:lang w:eastAsia="zh-CN" w:bidi="th-TH"/>
        </w:rPr>
        <w:t>1467B</w:t>
      </w:r>
      <w:r w:rsidR="0049638A">
        <w:rPr>
          <w:rFonts w:ascii="ZWAdobeF" w:hAnsi="ZWAdobeF" w:cs="ZWAdobeF"/>
          <w:color w:val="auto"/>
          <w:sz w:val="2"/>
          <w:szCs w:val="2"/>
          <w:lang w:eastAsia="zh-CN" w:bidi="th-TH"/>
        </w:rPr>
        <w:t>1467B</w:t>
      </w:r>
      <w:r w:rsidR="00D629FA">
        <w:rPr>
          <w:rFonts w:ascii="ZWAdobeF" w:hAnsi="ZWAdobeF" w:cs="ZWAdobeF"/>
          <w:color w:val="auto"/>
          <w:sz w:val="2"/>
          <w:szCs w:val="2"/>
          <w:lang w:eastAsia="zh-CN" w:bidi="th-TH"/>
        </w:rPr>
        <w:t>1467B</w:t>
      </w:r>
      <w:r w:rsidR="00D36A28" w:rsidRPr="00476D15">
        <w:rPr>
          <w:lang w:eastAsia="zh-CN" w:bidi="th-TH"/>
        </w:rPr>
        <w:t>(b) issues common to sub-groups which also might efficiently be addressed at the initial trial.</w:t>
      </w:r>
    </w:p>
    <w:p w14:paraId="1DFBDE6D" w14:textId="44E79395" w:rsidR="00D36A28" w:rsidRDefault="00BD5C95" w:rsidP="00B73434">
      <w:pPr>
        <w:pStyle w:val="BodyText"/>
        <w:numPr>
          <w:ilvl w:val="1"/>
          <w:numId w:val="43"/>
        </w:numPr>
        <w:tabs>
          <w:tab w:val="left" w:pos="709"/>
        </w:tabs>
        <w:ind w:hanging="709"/>
      </w:pPr>
      <w:r>
        <w:rPr>
          <w:rFonts w:ascii="ZWAdobeF" w:hAnsi="ZWAdobeF" w:cs="ZWAdobeF"/>
          <w:color w:val="auto"/>
          <w:sz w:val="2"/>
          <w:szCs w:val="2"/>
        </w:rPr>
        <w:t>304B</w:t>
      </w:r>
      <w:r w:rsidR="0049638A">
        <w:rPr>
          <w:rFonts w:ascii="ZWAdobeF" w:hAnsi="ZWAdobeF" w:cs="ZWAdobeF"/>
          <w:color w:val="auto"/>
          <w:sz w:val="2"/>
          <w:szCs w:val="2"/>
        </w:rPr>
        <w:t>304B</w:t>
      </w:r>
      <w:r w:rsidR="00D629FA">
        <w:rPr>
          <w:rFonts w:ascii="ZWAdobeF" w:hAnsi="ZWAdobeF" w:cs="ZWAdobeF"/>
          <w:color w:val="auto"/>
          <w:sz w:val="2"/>
          <w:szCs w:val="2"/>
        </w:rPr>
        <w:t>304B</w:t>
      </w:r>
      <w:r w:rsidR="00D36A28">
        <w:t xml:space="preserve">Our preliminary view is that a class actions regime should have a provision on staged hearings, with a presumption that this will be appropriate. We think this is preferable to relying on HCR 10.15 so the parties do not have </w:t>
      </w:r>
      <w:r w:rsidR="000F0E11">
        <w:t>to</w:t>
      </w:r>
      <w:r w:rsidR="00D36A28">
        <w:t xml:space="preserve"> displace the presumption in favour of a single trial each time. However, we think that courts should have flexibility as to whether a staged trial is appropriate as there may be cases where it will be feasible to determine all issues at a single hearing. If there are staged hearings, we envisage the first hearing would normally include any common issues as well as any individual issues relating to the representative plaintiff. Again, we favour the court having some flexibility to determine which issues should be determined at the respective hearings. </w:t>
      </w:r>
    </w:p>
    <w:p w14:paraId="0B020C81" w14:textId="555D5CEE" w:rsidR="00621E2E" w:rsidRDefault="00635A84" w:rsidP="00621E2E">
      <w:pPr>
        <w:pStyle w:val="QuestionBox"/>
      </w:pPr>
      <w:r>
        <w:rPr>
          <w:noProof/>
        </w:rPr>
        <mc:AlternateContent>
          <mc:Choice Requires="wpg">
            <w:drawing>
              <wp:anchor distT="0" distB="0" distL="114300" distR="114300" simplePos="0" relativeHeight="251652163" behindDoc="1" locked="0" layoutInCell="1" allowOverlap="1" wp14:anchorId="79C30B7F" wp14:editId="3FAF0522">
                <wp:simplePos x="0" y="0"/>
                <wp:positionH relativeFrom="column">
                  <wp:posOffset>-3810</wp:posOffset>
                </wp:positionH>
                <wp:positionV relativeFrom="paragraph">
                  <wp:posOffset>3810</wp:posOffset>
                </wp:positionV>
                <wp:extent cx="5760085" cy="1628757"/>
                <wp:effectExtent l="0" t="0" r="0" b="0"/>
                <wp:wrapNone/>
                <wp:docPr id="764518248" name="Group 764518248"/>
                <wp:cNvGraphicFramePr/>
                <a:graphic xmlns:a="http://schemas.openxmlformats.org/drawingml/2006/main">
                  <a:graphicData uri="http://schemas.microsoft.com/office/word/2010/wordprocessingGroup">
                    <wpg:wgp>
                      <wpg:cNvGrpSpPr/>
                      <wpg:grpSpPr>
                        <a:xfrm>
                          <a:off x="0" y="0"/>
                          <a:ext cx="5760085" cy="1628757"/>
                          <a:chOff x="0" y="62865"/>
                          <a:chExt cx="5760085" cy="1628922"/>
                        </a:xfrm>
                      </wpg:grpSpPr>
                      <wps:wsp>
                        <wps:cNvPr id="76451824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FF99FD" w14:textId="77777777" w:rsidR="00A55F53" w:rsidRDefault="00A55F53" w:rsidP="00635A84">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259" name="Group 53"/>
                        <wpg:cNvGrpSpPr>
                          <a:grpSpLocks/>
                        </wpg:cNvGrpSpPr>
                        <wpg:grpSpPr bwMode="auto">
                          <a:xfrm>
                            <a:off x="0" y="316263"/>
                            <a:ext cx="5760085" cy="1375524"/>
                            <a:chOff x="1837" y="1792"/>
                            <a:chExt cx="9302" cy="14858"/>
                          </a:xfrm>
                        </wpg:grpSpPr>
                        <wps:wsp>
                          <wps:cNvPr id="764518260" name="Freeform 54"/>
                          <wps:cNvSpPr>
                            <a:spLocks/>
                          </wps:cNvSpPr>
                          <wps:spPr bwMode="auto">
                            <a:xfrm>
                              <a:off x="1837" y="1792"/>
                              <a:ext cx="9302" cy="1485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261" name="Group 764518261"/>
                        <wpg:cNvGrpSpPr/>
                        <wpg:grpSpPr>
                          <a:xfrm>
                            <a:off x="0" y="494036"/>
                            <a:ext cx="1443794" cy="252000"/>
                            <a:chOff x="-15880" y="0"/>
                            <a:chExt cx="1444379" cy="252068"/>
                          </a:xfrm>
                        </wpg:grpSpPr>
                        <wps:wsp>
                          <wps:cNvPr id="76451826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6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C388A1" w14:textId="34295F34" w:rsidR="00A55F53" w:rsidRPr="00E700FF" w:rsidRDefault="00A55F53" w:rsidP="00635A84">
                                <w:pPr>
                                  <w:pStyle w:val="BoxTitle"/>
                                  <w:spacing w:before="0" w:beforeAutospacing="0"/>
                                </w:pPr>
                                <w:r w:rsidRPr="001C1B37">
                                  <w:t>Q</w:t>
                                </w:r>
                                <w:r>
                                  <w:t>24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9C30B7F" id="Group 764518248" o:spid="_x0000_s1363" style="position:absolute;left:0;text-align:left;margin-left:-.3pt;margin-top:.3pt;width:453.55pt;height:128.25pt;z-index:-251664317;mso-height-relative:margin" coordorigin=",628" coordsize="57600,1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">
                <v:shape id="_x0000_s136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DFF99FD" w14:textId="77777777" w:rsidR="00A55F53" w:rsidRDefault="00A55F53" w:rsidP="00635A84">
                        <w:pPr>
                          <w:pStyle w:val="BoxTitle"/>
                          <w:spacing w:before="0" w:beforeAutospacing="0"/>
                        </w:pPr>
                        <w:r w:rsidRPr="007F6876">
                          <w:t>QUESTION</w:t>
                        </w:r>
                      </w:p>
                    </w:txbxContent>
                  </v:textbox>
                </v:shape>
                <v:group id="Group 53" o:spid="_x0000_s1365" style="position:absolute;top:3162;width:57600;height:13755" coordorigin="1837,1792" coordsize="9302,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">
                  <v:shape id="Freeform 54" o:spid="_x0000_s1366" style="position:absolute;left:1837;top:1792;width:9302;height:1485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" path="m,l9354,r,7809l,7809,,e" fillcolor="#edf2ea" stroked="f">
                    <v:path arrowok="t" o:connecttype="custom" o:connectlocs="0,1903;9302,1903;9302,16761;0,16761;0,1903" o:connectangles="0,0,0,0,0"/>
                  </v:shape>
                </v:group>
                <v:group id="Group 764518261" o:spid="_x0000_s136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">
                  <v:shape id="Freeform 58" o:spid="_x0000_s136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" path="m,l1815,e" filled="f" strokecolor="#72ab6a" strokeweight=".5pt">
                    <v:path arrowok="t" o:connecttype="custom" o:connectlocs="0,0;1073495,0" o:connectangles="0,0"/>
                  </v:shape>
                  <v:shape id="Freeform 66" o:spid="_x0000_s136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1C388A1" w14:textId="34295F34" w:rsidR="00A55F53" w:rsidRPr="00E700FF" w:rsidRDefault="00A55F53" w:rsidP="00635A84">
                          <w:pPr>
                            <w:pStyle w:val="BoxTitle"/>
                            <w:spacing w:before="0" w:beforeAutospacing="0"/>
                          </w:pPr>
                          <w:r w:rsidRPr="001C1B37">
                            <w:t>Q</w:t>
                          </w:r>
                          <w:r>
                            <w:t>24</w:t>
                          </w:r>
                        </w:p>
                      </w:txbxContent>
                    </v:textbox>
                  </v:shape>
                </v:group>
              </v:group>
            </w:pict>
          </mc:Fallback>
        </mc:AlternateContent>
      </w:r>
    </w:p>
    <w:p w14:paraId="510E1EAB" w14:textId="77777777" w:rsidR="00621E2E" w:rsidRDefault="00621E2E" w:rsidP="00621E2E">
      <w:pPr>
        <w:pStyle w:val="QuestionBox"/>
      </w:pPr>
    </w:p>
    <w:p w14:paraId="6290BE22" w14:textId="4FD1F66D" w:rsidR="00D36A28" w:rsidRDefault="00BD5C95" w:rsidP="00621E2E">
      <w:pPr>
        <w:pStyle w:val="QuestionBox"/>
      </w:pPr>
      <w:r>
        <w:rPr>
          <w:rFonts w:ascii="ZWAdobeF" w:hAnsi="ZWAdobeF" w:cs="ZWAdobeF"/>
          <w:color w:val="auto"/>
          <w:sz w:val="2"/>
          <w:szCs w:val="2"/>
        </w:rPr>
        <w:t>1422B</w:t>
      </w:r>
      <w:r w:rsidR="0049638A">
        <w:rPr>
          <w:rFonts w:ascii="ZWAdobeF" w:hAnsi="ZWAdobeF" w:cs="ZWAdobeF"/>
          <w:color w:val="auto"/>
          <w:sz w:val="2"/>
          <w:szCs w:val="2"/>
        </w:rPr>
        <w:t>1422B</w:t>
      </w:r>
      <w:r w:rsidR="00D629FA">
        <w:rPr>
          <w:rFonts w:ascii="ZWAdobeF" w:hAnsi="ZWAdobeF" w:cs="ZWAdobeF"/>
          <w:color w:val="auto"/>
          <w:sz w:val="2"/>
          <w:szCs w:val="2"/>
        </w:rPr>
        <w:t>1422B</w:t>
      </w:r>
      <w:r w:rsidR="00D36A28">
        <w:t>Do you agree that:</w:t>
      </w:r>
    </w:p>
    <w:p w14:paraId="65DB0394" w14:textId="28729BDB" w:rsidR="00D36A28" w:rsidRDefault="00BD5C95" w:rsidP="00B73434">
      <w:pPr>
        <w:pStyle w:val="Questionabc"/>
        <w:numPr>
          <w:ilvl w:val="0"/>
          <w:numId w:val="47"/>
        </w:numPr>
        <w:ind w:left="1418" w:hanging="425"/>
      </w:pPr>
      <w:r>
        <w:rPr>
          <w:rFonts w:ascii="ZWAdobeF" w:hAnsi="ZWAdobeF" w:cs="ZWAdobeF"/>
          <w:color w:val="auto"/>
          <w:sz w:val="2"/>
          <w:szCs w:val="2"/>
        </w:rPr>
        <w:t>1308B</w:t>
      </w:r>
      <w:r w:rsidR="0049638A">
        <w:rPr>
          <w:rFonts w:ascii="ZWAdobeF" w:hAnsi="ZWAdobeF" w:cs="ZWAdobeF"/>
          <w:color w:val="auto"/>
          <w:sz w:val="2"/>
          <w:szCs w:val="2"/>
        </w:rPr>
        <w:t>1308B</w:t>
      </w:r>
      <w:r w:rsidR="00D629FA">
        <w:rPr>
          <w:rFonts w:ascii="ZWAdobeF" w:hAnsi="ZWAdobeF" w:cs="ZWAdobeF"/>
          <w:color w:val="auto"/>
          <w:sz w:val="2"/>
          <w:szCs w:val="2"/>
        </w:rPr>
        <w:t>1308B</w:t>
      </w:r>
      <w:r w:rsidR="00D36A28">
        <w:t xml:space="preserve">There should be a presumption in favour of staged hearings in class actions? </w:t>
      </w:r>
    </w:p>
    <w:p w14:paraId="1E252DD1" w14:textId="2D90D61B" w:rsidR="00D36A28" w:rsidRDefault="00BD5C95" w:rsidP="00B73434">
      <w:pPr>
        <w:pStyle w:val="Questionabc"/>
        <w:numPr>
          <w:ilvl w:val="0"/>
          <w:numId w:val="47"/>
        </w:numPr>
        <w:ind w:left="1418" w:hanging="425"/>
      </w:pPr>
      <w:r>
        <w:rPr>
          <w:rFonts w:ascii="ZWAdobeF" w:hAnsi="ZWAdobeF" w:cs="ZWAdobeF"/>
          <w:color w:val="auto"/>
          <w:sz w:val="2"/>
          <w:szCs w:val="2"/>
        </w:rPr>
        <w:t>1309B</w:t>
      </w:r>
      <w:r w:rsidR="0049638A">
        <w:rPr>
          <w:rFonts w:ascii="ZWAdobeF" w:hAnsi="ZWAdobeF" w:cs="ZWAdobeF"/>
          <w:color w:val="auto"/>
          <w:sz w:val="2"/>
          <w:szCs w:val="2"/>
        </w:rPr>
        <w:t>1309B</w:t>
      </w:r>
      <w:r w:rsidR="00D629FA">
        <w:rPr>
          <w:rFonts w:ascii="ZWAdobeF" w:hAnsi="ZWAdobeF" w:cs="ZWAdobeF"/>
          <w:color w:val="auto"/>
          <w:sz w:val="2"/>
          <w:szCs w:val="2"/>
        </w:rPr>
        <w:t>1309B</w:t>
      </w:r>
      <w:r w:rsidR="00D36A28">
        <w:t>The court should have flexibility as to which issues are determined at stage one and stage two hearings?</w:t>
      </w:r>
    </w:p>
    <w:p w14:paraId="098E81CF" w14:textId="77777777" w:rsidR="00A74B43" w:rsidRPr="00A74B43" w:rsidRDefault="00A74B43" w:rsidP="00A74B43">
      <w:pPr>
        <w:pStyle w:val="QuestionBox"/>
      </w:pPr>
    </w:p>
    <w:p w14:paraId="135B77BB" w14:textId="77777777" w:rsidR="00D36A28" w:rsidRDefault="00D36A28" w:rsidP="00635A84">
      <w:pPr>
        <w:pStyle w:val="Heading3"/>
      </w:pPr>
      <w:r>
        <w:t xml:space="preserve">Determining individual issues </w:t>
      </w:r>
    </w:p>
    <w:p w14:paraId="370CFB61" w14:textId="5B020E69" w:rsidR="00D36A28" w:rsidRDefault="00BD5C95" w:rsidP="00B73434">
      <w:pPr>
        <w:pStyle w:val="BodyText"/>
        <w:numPr>
          <w:ilvl w:val="1"/>
          <w:numId w:val="43"/>
        </w:numPr>
        <w:tabs>
          <w:tab w:val="left" w:pos="709"/>
        </w:tabs>
        <w:ind w:hanging="709"/>
      </w:pPr>
      <w:r>
        <w:rPr>
          <w:rFonts w:ascii="ZWAdobeF" w:hAnsi="ZWAdobeF" w:cs="ZWAdobeF"/>
          <w:color w:val="auto"/>
          <w:sz w:val="2"/>
          <w:szCs w:val="2"/>
        </w:rPr>
        <w:t>305B</w:t>
      </w:r>
      <w:r w:rsidR="0049638A">
        <w:rPr>
          <w:rFonts w:ascii="ZWAdobeF" w:hAnsi="ZWAdobeF" w:cs="ZWAdobeF"/>
          <w:color w:val="auto"/>
          <w:sz w:val="2"/>
          <w:szCs w:val="2"/>
        </w:rPr>
        <w:t>305B</w:t>
      </w:r>
      <w:r w:rsidR="00D629FA">
        <w:rPr>
          <w:rFonts w:ascii="ZWAdobeF" w:hAnsi="ZWAdobeF" w:cs="ZWAdobeF"/>
          <w:color w:val="auto"/>
          <w:sz w:val="2"/>
          <w:szCs w:val="2"/>
        </w:rPr>
        <w:t>305B</w:t>
      </w:r>
      <w:r w:rsidR="00D36A28">
        <w:t xml:space="preserve">If the representative plaintiff obtains a successful judgment on the common issues in a class action, the individual issues in the proceeding will need to be determined. Individual issues might include: proof of purchase, reliance on a misrepresentation or establishing the loss suffered. Determining individual issues may pose a challenging exercise if the class is of a considerable size. It has been noted that if a class action will result in a long </w:t>
      </w:r>
      <w:r w:rsidR="00D36A28">
        <w:lastRenderedPageBreak/>
        <w:t>series of individual trials, then any potential judicial efficiency will be lost.</w:t>
      </w:r>
      <w:r w:rsidR="00D629FA">
        <w:rPr>
          <w:rFonts w:ascii="ZWAdobeF" w:hAnsi="ZWAdobeF" w:cs="ZWAdobeF"/>
          <w:color w:val="auto"/>
          <w:sz w:val="2"/>
          <w:szCs w:val="2"/>
        </w:rPr>
        <w:t>482F</w:t>
      </w:r>
      <w:r w:rsidR="007A330E">
        <w:rPr>
          <w:rFonts w:ascii="ZWAdobeF" w:hAnsi="ZWAdobeF" w:cs="ZWAdobeF"/>
          <w:color w:val="auto"/>
          <w:sz w:val="2"/>
          <w:szCs w:val="2"/>
        </w:rPr>
        <w:t>482F</w:t>
      </w:r>
      <w:r w:rsidR="00317AE4">
        <w:rPr>
          <w:rFonts w:ascii="ZWAdobeF" w:hAnsi="ZWAdobeF" w:cs="ZWAdobeF"/>
          <w:color w:val="auto"/>
          <w:sz w:val="2"/>
          <w:szCs w:val="2"/>
        </w:rPr>
        <w:t>482F</w:t>
      </w:r>
      <w:r w:rsidR="00D36A28">
        <w:rPr>
          <w:rStyle w:val="FootnoteReference"/>
        </w:rPr>
        <w:footnoteReference w:id="484"/>
      </w:r>
      <w:r w:rsidR="00D36A28">
        <w:t xml:space="preserve"> It is therefore important to consider how stage two issues can be resolved in </w:t>
      </w:r>
      <w:r w:rsidR="003E154C">
        <w:t xml:space="preserve">a just and efficient </w:t>
      </w:r>
      <w:r w:rsidR="00D36A28">
        <w:t>way.</w:t>
      </w:r>
    </w:p>
    <w:p w14:paraId="081485CB" w14:textId="1F99DDB8" w:rsidR="00D36A28" w:rsidRDefault="00BD5C95" w:rsidP="00B73434">
      <w:pPr>
        <w:pStyle w:val="BodyText"/>
        <w:numPr>
          <w:ilvl w:val="1"/>
          <w:numId w:val="43"/>
        </w:numPr>
        <w:tabs>
          <w:tab w:val="left" w:pos="709"/>
        </w:tabs>
        <w:ind w:hanging="709"/>
      </w:pPr>
      <w:r>
        <w:rPr>
          <w:rFonts w:ascii="ZWAdobeF" w:hAnsi="ZWAdobeF" w:cs="ZWAdobeF"/>
          <w:color w:val="auto"/>
          <w:sz w:val="2"/>
          <w:szCs w:val="2"/>
        </w:rPr>
        <w:t>306B</w:t>
      </w:r>
      <w:r w:rsidR="0049638A">
        <w:rPr>
          <w:rFonts w:ascii="ZWAdobeF" w:hAnsi="ZWAdobeF" w:cs="ZWAdobeF"/>
          <w:color w:val="auto"/>
          <w:sz w:val="2"/>
          <w:szCs w:val="2"/>
        </w:rPr>
        <w:t>306B</w:t>
      </w:r>
      <w:r w:rsidR="00D629FA">
        <w:rPr>
          <w:rFonts w:ascii="ZWAdobeF" w:hAnsi="ZWAdobeF" w:cs="ZWAdobeF"/>
          <w:color w:val="auto"/>
          <w:sz w:val="2"/>
          <w:szCs w:val="2"/>
        </w:rPr>
        <w:t>306B</w:t>
      </w:r>
      <w:r w:rsidR="00D36A28">
        <w:t>There is yet to be a ‘stage two’ hearing in a representative action under HCR 4.24 and so there is no established process in Aotearoa New Zealand for determining individual issues.</w:t>
      </w:r>
      <w:r w:rsidR="00D629FA">
        <w:rPr>
          <w:rFonts w:ascii="ZWAdobeF" w:hAnsi="ZWAdobeF" w:cs="ZWAdobeF"/>
          <w:color w:val="auto"/>
          <w:sz w:val="2"/>
          <w:szCs w:val="2"/>
        </w:rPr>
        <w:t>483F</w:t>
      </w:r>
      <w:r w:rsidR="007A330E">
        <w:rPr>
          <w:rFonts w:ascii="ZWAdobeF" w:hAnsi="ZWAdobeF" w:cs="ZWAdobeF"/>
          <w:color w:val="auto"/>
          <w:sz w:val="2"/>
          <w:szCs w:val="2"/>
        </w:rPr>
        <w:t>483F</w:t>
      </w:r>
      <w:r w:rsidR="00317AE4">
        <w:rPr>
          <w:rFonts w:ascii="ZWAdobeF" w:hAnsi="ZWAdobeF" w:cs="ZWAdobeF"/>
          <w:color w:val="auto"/>
          <w:sz w:val="2"/>
          <w:szCs w:val="2"/>
        </w:rPr>
        <w:t>483F</w:t>
      </w:r>
      <w:r w:rsidR="00D36A28">
        <w:rPr>
          <w:rStyle w:val="FootnoteReference"/>
        </w:rPr>
        <w:footnoteReference w:id="485"/>
      </w:r>
      <w:r w:rsidR="00D36A28">
        <w:t xml:space="preserve"> Overseas jurisdictions have developed a variety of approaches, and methods for determining individual issues are expressly referred to in the Australian and Canadian regimes.</w:t>
      </w:r>
      <w:r w:rsidR="00D629FA">
        <w:rPr>
          <w:rFonts w:ascii="ZWAdobeF" w:hAnsi="ZWAdobeF" w:cs="ZWAdobeF"/>
          <w:color w:val="auto"/>
          <w:sz w:val="2"/>
          <w:szCs w:val="2"/>
        </w:rPr>
        <w:t>484F</w:t>
      </w:r>
      <w:r w:rsidR="007A330E">
        <w:rPr>
          <w:rFonts w:ascii="ZWAdobeF" w:hAnsi="ZWAdobeF" w:cs="ZWAdobeF"/>
          <w:color w:val="auto"/>
          <w:sz w:val="2"/>
          <w:szCs w:val="2"/>
        </w:rPr>
        <w:t>484F</w:t>
      </w:r>
      <w:r w:rsidR="00317AE4">
        <w:rPr>
          <w:rFonts w:ascii="ZWAdobeF" w:hAnsi="ZWAdobeF" w:cs="ZWAdobeF"/>
          <w:color w:val="auto"/>
          <w:sz w:val="2"/>
          <w:szCs w:val="2"/>
        </w:rPr>
        <w:t>484F</w:t>
      </w:r>
      <w:r w:rsidR="00D36A28">
        <w:rPr>
          <w:rStyle w:val="FootnoteReference"/>
        </w:rPr>
        <w:footnoteReference w:id="486"/>
      </w:r>
      <w:r w:rsidR="00D36A28">
        <w:t xml:space="preserve"> </w:t>
      </w:r>
    </w:p>
    <w:p w14:paraId="165D7026" w14:textId="77777777" w:rsidR="00D36A28" w:rsidRDefault="00D36A28" w:rsidP="00635A84">
      <w:pPr>
        <w:pStyle w:val="Heading4"/>
      </w:pPr>
      <w:r>
        <w:t>Hearing(s) to determine individual issues</w:t>
      </w:r>
    </w:p>
    <w:p w14:paraId="19A42C83" w14:textId="6CDB9AB5" w:rsidR="00D36A28" w:rsidRDefault="00BD5C95" w:rsidP="00B73434">
      <w:pPr>
        <w:pStyle w:val="BodyText"/>
        <w:numPr>
          <w:ilvl w:val="1"/>
          <w:numId w:val="43"/>
        </w:numPr>
        <w:tabs>
          <w:tab w:val="left" w:pos="709"/>
        </w:tabs>
        <w:ind w:hanging="709"/>
      </w:pPr>
      <w:r>
        <w:rPr>
          <w:rFonts w:ascii="ZWAdobeF" w:hAnsi="ZWAdobeF" w:cs="ZWAdobeF"/>
          <w:color w:val="auto"/>
          <w:sz w:val="2"/>
          <w:szCs w:val="2"/>
        </w:rPr>
        <w:t>307B</w:t>
      </w:r>
      <w:r w:rsidR="0049638A">
        <w:rPr>
          <w:rFonts w:ascii="ZWAdobeF" w:hAnsi="ZWAdobeF" w:cs="ZWAdobeF"/>
          <w:color w:val="auto"/>
          <w:sz w:val="2"/>
          <w:szCs w:val="2"/>
        </w:rPr>
        <w:t>307B</w:t>
      </w:r>
      <w:r w:rsidR="00D629FA">
        <w:rPr>
          <w:rFonts w:ascii="ZWAdobeF" w:hAnsi="ZWAdobeF" w:cs="ZWAdobeF"/>
          <w:color w:val="auto"/>
          <w:sz w:val="2"/>
          <w:szCs w:val="2"/>
        </w:rPr>
        <w:t>307B</w:t>
      </w:r>
      <w:r w:rsidR="00D36A28">
        <w:t>Non-common issues could be determined through a separate hearing or hearings, as occurs in some other jurisdictions.</w:t>
      </w:r>
      <w:r w:rsidR="00D629FA">
        <w:rPr>
          <w:rFonts w:ascii="ZWAdobeF" w:hAnsi="ZWAdobeF" w:cs="ZWAdobeF"/>
          <w:color w:val="auto"/>
          <w:sz w:val="2"/>
          <w:szCs w:val="2"/>
        </w:rPr>
        <w:t>485F</w:t>
      </w:r>
      <w:r w:rsidR="007A330E">
        <w:rPr>
          <w:rFonts w:ascii="ZWAdobeF" w:hAnsi="ZWAdobeF" w:cs="ZWAdobeF"/>
          <w:color w:val="auto"/>
          <w:sz w:val="2"/>
          <w:szCs w:val="2"/>
        </w:rPr>
        <w:t>485F</w:t>
      </w:r>
      <w:r w:rsidR="00317AE4">
        <w:rPr>
          <w:rFonts w:ascii="ZWAdobeF" w:hAnsi="ZWAdobeF" w:cs="ZWAdobeF"/>
          <w:color w:val="auto"/>
          <w:sz w:val="2"/>
          <w:szCs w:val="2"/>
        </w:rPr>
        <w:t>485F</w:t>
      </w:r>
      <w:r w:rsidR="00D36A28">
        <w:rPr>
          <w:rStyle w:val="FootnoteReference"/>
        </w:rPr>
        <w:footnoteReference w:id="487"/>
      </w:r>
      <w:r w:rsidR="00D36A28">
        <w:t xml:space="preserve"> This could involve:</w:t>
      </w:r>
    </w:p>
    <w:p w14:paraId="4A4C54BD" w14:textId="3FCAFACE" w:rsidR="00D36A28" w:rsidRDefault="00BD5C95" w:rsidP="00B73434">
      <w:pPr>
        <w:pStyle w:val="BodyTextnonum"/>
        <w:numPr>
          <w:ilvl w:val="3"/>
          <w:numId w:val="43"/>
        </w:numPr>
      </w:pPr>
      <w:r>
        <w:rPr>
          <w:rFonts w:ascii="ZWAdobeF" w:hAnsi="ZWAdobeF" w:cs="ZWAdobeF"/>
          <w:color w:val="auto"/>
          <w:sz w:val="2"/>
          <w:szCs w:val="2"/>
        </w:rPr>
        <w:t>735B</w:t>
      </w:r>
      <w:r w:rsidR="0049638A">
        <w:rPr>
          <w:rFonts w:ascii="ZWAdobeF" w:hAnsi="ZWAdobeF" w:cs="ZWAdobeF"/>
          <w:color w:val="auto"/>
          <w:sz w:val="2"/>
          <w:szCs w:val="2"/>
        </w:rPr>
        <w:t>735B</w:t>
      </w:r>
      <w:r w:rsidR="00D629FA">
        <w:rPr>
          <w:rFonts w:ascii="ZWAdobeF" w:hAnsi="ZWAdobeF" w:cs="ZWAdobeF"/>
          <w:color w:val="auto"/>
          <w:sz w:val="2"/>
          <w:szCs w:val="2"/>
        </w:rPr>
        <w:t>735B</w:t>
      </w:r>
      <w:r w:rsidR="00D36A28">
        <w:t>Establishing sub-classes and hearing issues common to sub-class members.</w:t>
      </w:r>
      <w:r w:rsidR="00D629FA">
        <w:rPr>
          <w:rFonts w:ascii="ZWAdobeF" w:hAnsi="ZWAdobeF" w:cs="ZWAdobeF"/>
          <w:color w:val="auto"/>
          <w:sz w:val="2"/>
          <w:szCs w:val="2"/>
        </w:rPr>
        <w:t>486F</w:t>
      </w:r>
      <w:r w:rsidR="007A330E">
        <w:rPr>
          <w:rFonts w:ascii="ZWAdobeF" w:hAnsi="ZWAdobeF" w:cs="ZWAdobeF"/>
          <w:color w:val="auto"/>
          <w:sz w:val="2"/>
          <w:szCs w:val="2"/>
        </w:rPr>
        <w:t>486F</w:t>
      </w:r>
      <w:r w:rsidR="00317AE4">
        <w:rPr>
          <w:rFonts w:ascii="ZWAdobeF" w:hAnsi="ZWAdobeF" w:cs="ZWAdobeF"/>
          <w:color w:val="auto"/>
          <w:sz w:val="2"/>
          <w:szCs w:val="2"/>
        </w:rPr>
        <w:t>486F</w:t>
      </w:r>
      <w:r w:rsidR="00D36A28">
        <w:rPr>
          <w:rStyle w:val="FootnoteReference"/>
        </w:rPr>
        <w:footnoteReference w:id="488"/>
      </w:r>
      <w:r w:rsidR="00D36A28">
        <w:t xml:space="preserve"> </w:t>
      </w:r>
    </w:p>
    <w:p w14:paraId="6D5BA482" w14:textId="69047DC9" w:rsidR="00D36A28" w:rsidRDefault="00BD5C95" w:rsidP="00B73434">
      <w:pPr>
        <w:pStyle w:val="BodyTextnonum"/>
        <w:numPr>
          <w:ilvl w:val="3"/>
          <w:numId w:val="43"/>
        </w:numPr>
      </w:pPr>
      <w:r>
        <w:rPr>
          <w:rFonts w:ascii="ZWAdobeF" w:hAnsi="ZWAdobeF" w:cs="ZWAdobeF"/>
          <w:color w:val="auto"/>
          <w:sz w:val="2"/>
          <w:szCs w:val="2"/>
        </w:rPr>
        <w:t>736B</w:t>
      </w:r>
      <w:r w:rsidR="0049638A">
        <w:rPr>
          <w:rFonts w:ascii="ZWAdobeF" w:hAnsi="ZWAdobeF" w:cs="ZWAdobeF"/>
          <w:color w:val="auto"/>
          <w:sz w:val="2"/>
          <w:szCs w:val="2"/>
        </w:rPr>
        <w:t>736B</w:t>
      </w:r>
      <w:r w:rsidR="00D629FA">
        <w:rPr>
          <w:rFonts w:ascii="ZWAdobeF" w:hAnsi="ZWAdobeF" w:cs="ZWAdobeF"/>
          <w:color w:val="auto"/>
          <w:sz w:val="2"/>
          <w:szCs w:val="2"/>
        </w:rPr>
        <w:t>736B</w:t>
      </w:r>
      <w:r w:rsidR="00D36A28">
        <w:t xml:space="preserve">A </w:t>
      </w:r>
      <w:r w:rsidR="00D36A28" w:rsidRPr="006D3320">
        <w:t>hearing</w:t>
      </w:r>
      <w:r w:rsidR="00D36A28">
        <w:t xml:space="preserve"> to determine a range of issues, with individual class members allowed to participate in the hearing for the purpose of determining issues that relate to their claims.</w:t>
      </w:r>
      <w:r w:rsidR="00D629FA">
        <w:rPr>
          <w:rFonts w:ascii="ZWAdobeF" w:hAnsi="ZWAdobeF" w:cs="ZWAdobeF"/>
          <w:color w:val="auto"/>
          <w:sz w:val="2"/>
          <w:szCs w:val="2"/>
        </w:rPr>
        <w:t>487F</w:t>
      </w:r>
      <w:r w:rsidR="007A330E">
        <w:rPr>
          <w:rFonts w:ascii="ZWAdobeF" w:hAnsi="ZWAdobeF" w:cs="ZWAdobeF"/>
          <w:color w:val="auto"/>
          <w:sz w:val="2"/>
          <w:szCs w:val="2"/>
        </w:rPr>
        <w:t>487F</w:t>
      </w:r>
      <w:r w:rsidR="00317AE4">
        <w:rPr>
          <w:rFonts w:ascii="ZWAdobeF" w:hAnsi="ZWAdobeF" w:cs="ZWAdobeF"/>
          <w:color w:val="auto"/>
          <w:sz w:val="2"/>
          <w:szCs w:val="2"/>
        </w:rPr>
        <w:t>487F</w:t>
      </w:r>
      <w:r w:rsidR="00D36A28">
        <w:rPr>
          <w:rStyle w:val="FootnoteReference"/>
        </w:rPr>
        <w:footnoteReference w:id="489"/>
      </w:r>
    </w:p>
    <w:p w14:paraId="6FC304DD" w14:textId="6C5A76C3" w:rsidR="00D36A28" w:rsidRDefault="00BD5C95" w:rsidP="00B73434">
      <w:pPr>
        <w:pStyle w:val="BodyTextnonum"/>
        <w:numPr>
          <w:ilvl w:val="3"/>
          <w:numId w:val="43"/>
        </w:numPr>
      </w:pPr>
      <w:r>
        <w:rPr>
          <w:rFonts w:ascii="ZWAdobeF" w:hAnsi="ZWAdobeF" w:cs="ZWAdobeF"/>
          <w:color w:val="auto"/>
          <w:sz w:val="2"/>
          <w:szCs w:val="2"/>
        </w:rPr>
        <w:t>737B</w:t>
      </w:r>
      <w:r w:rsidR="0049638A">
        <w:rPr>
          <w:rFonts w:ascii="ZWAdobeF" w:hAnsi="ZWAdobeF" w:cs="ZWAdobeF"/>
          <w:color w:val="auto"/>
          <w:sz w:val="2"/>
          <w:szCs w:val="2"/>
        </w:rPr>
        <w:t>737B</w:t>
      </w:r>
      <w:r w:rsidR="00D629FA">
        <w:rPr>
          <w:rFonts w:ascii="ZWAdobeF" w:hAnsi="ZWAdobeF" w:cs="ZWAdobeF"/>
          <w:color w:val="auto"/>
          <w:sz w:val="2"/>
          <w:szCs w:val="2"/>
        </w:rPr>
        <w:t>737B</w:t>
      </w:r>
      <w:r w:rsidR="00D36A28">
        <w:t>Discontinuing the case as a class action, with individual class members required to file a statement of claim to pursue individual issues.</w:t>
      </w:r>
      <w:r w:rsidR="00D629FA">
        <w:rPr>
          <w:rFonts w:ascii="ZWAdobeF" w:hAnsi="ZWAdobeF" w:cs="ZWAdobeF"/>
          <w:color w:val="auto"/>
          <w:sz w:val="2"/>
          <w:szCs w:val="2"/>
        </w:rPr>
        <w:t>488F</w:t>
      </w:r>
      <w:r w:rsidR="007A330E">
        <w:rPr>
          <w:rFonts w:ascii="ZWAdobeF" w:hAnsi="ZWAdobeF" w:cs="ZWAdobeF"/>
          <w:color w:val="auto"/>
          <w:sz w:val="2"/>
          <w:szCs w:val="2"/>
        </w:rPr>
        <w:t>488F</w:t>
      </w:r>
      <w:r w:rsidR="00317AE4">
        <w:rPr>
          <w:rFonts w:ascii="ZWAdobeF" w:hAnsi="ZWAdobeF" w:cs="ZWAdobeF"/>
          <w:color w:val="auto"/>
          <w:sz w:val="2"/>
          <w:szCs w:val="2"/>
        </w:rPr>
        <w:t>488F</w:t>
      </w:r>
      <w:r w:rsidR="00D36A28">
        <w:rPr>
          <w:rStyle w:val="FootnoteReference"/>
        </w:rPr>
        <w:footnoteReference w:id="490"/>
      </w:r>
      <w:r w:rsidR="00D36A28">
        <w:t xml:space="preserve"> Individual claims could be consolidated or joined as appropriate.</w:t>
      </w:r>
    </w:p>
    <w:p w14:paraId="279E7305" w14:textId="77777777" w:rsidR="00D36A28" w:rsidRDefault="00D36A28" w:rsidP="00161734">
      <w:pPr>
        <w:pStyle w:val="Heading4"/>
      </w:pPr>
      <w:r>
        <w:t xml:space="preserve">Approaches to evidence when individual issues are determined </w:t>
      </w:r>
    </w:p>
    <w:p w14:paraId="04AF4D7A" w14:textId="67C5BA56" w:rsidR="00D36A28" w:rsidRDefault="00BD5C95" w:rsidP="00B73434">
      <w:pPr>
        <w:pStyle w:val="BodyText"/>
        <w:numPr>
          <w:ilvl w:val="1"/>
          <w:numId w:val="43"/>
        </w:numPr>
        <w:ind w:hanging="709"/>
      </w:pPr>
      <w:r>
        <w:rPr>
          <w:rFonts w:ascii="ZWAdobeF" w:hAnsi="ZWAdobeF" w:cs="ZWAdobeF"/>
          <w:color w:val="auto"/>
          <w:sz w:val="2"/>
          <w:szCs w:val="2"/>
        </w:rPr>
        <w:t>308B</w:t>
      </w:r>
      <w:r w:rsidR="0049638A">
        <w:rPr>
          <w:rFonts w:ascii="ZWAdobeF" w:hAnsi="ZWAdobeF" w:cs="ZWAdobeF"/>
          <w:color w:val="auto"/>
          <w:sz w:val="2"/>
          <w:szCs w:val="2"/>
        </w:rPr>
        <w:t>308B</w:t>
      </w:r>
      <w:r w:rsidR="00D629FA">
        <w:rPr>
          <w:rFonts w:ascii="ZWAdobeF" w:hAnsi="ZWAdobeF" w:cs="ZWAdobeF"/>
          <w:color w:val="auto"/>
          <w:sz w:val="2"/>
          <w:szCs w:val="2"/>
        </w:rPr>
        <w:t>308B</w:t>
      </w:r>
      <w:r w:rsidR="00D36A28">
        <w:t>It would be difficult for a court to hold a hearing where evidence from hundreds or thousands of individual class members is required. A class action</w:t>
      </w:r>
      <w:r w:rsidR="00805C83">
        <w:t>s</w:t>
      </w:r>
      <w:r w:rsidR="00D36A28">
        <w:t xml:space="preserve"> regime could allow for some alternative approaches to evidence on individual questions, such as:</w:t>
      </w:r>
    </w:p>
    <w:p w14:paraId="543BFFCF" w14:textId="1C1EE1B6" w:rsidR="00D36A28" w:rsidRDefault="00BD5C95" w:rsidP="00932DB9">
      <w:pPr>
        <w:pStyle w:val="BodyTextnonum"/>
        <w:numPr>
          <w:ilvl w:val="3"/>
          <w:numId w:val="14"/>
        </w:numPr>
        <w:tabs>
          <w:tab w:val="num" w:pos="709"/>
        </w:tabs>
      </w:pPr>
      <w:r>
        <w:rPr>
          <w:rFonts w:ascii="ZWAdobeF" w:hAnsi="ZWAdobeF" w:cs="ZWAdobeF"/>
          <w:color w:val="auto"/>
          <w:sz w:val="2"/>
          <w:szCs w:val="2"/>
        </w:rPr>
        <w:t>738B</w:t>
      </w:r>
      <w:r w:rsidR="0049638A">
        <w:rPr>
          <w:rFonts w:ascii="ZWAdobeF" w:hAnsi="ZWAdobeF" w:cs="ZWAdobeF"/>
          <w:color w:val="auto"/>
          <w:sz w:val="2"/>
          <w:szCs w:val="2"/>
        </w:rPr>
        <w:t>738B</w:t>
      </w:r>
      <w:r w:rsidR="00D629FA">
        <w:rPr>
          <w:rFonts w:ascii="ZWAdobeF" w:hAnsi="ZWAdobeF" w:cs="ZWAdobeF"/>
          <w:color w:val="auto"/>
          <w:sz w:val="2"/>
          <w:szCs w:val="2"/>
        </w:rPr>
        <w:t>738B</w:t>
      </w:r>
      <w:r w:rsidR="00D36A28">
        <w:t>Class members providing documentary evidence, such as affidavits or standardised claim forms.</w:t>
      </w:r>
    </w:p>
    <w:p w14:paraId="1CD194C6" w14:textId="5236D1E3" w:rsidR="00D36A28" w:rsidRPr="005B4F41" w:rsidRDefault="00BD5C95" w:rsidP="00932DB9">
      <w:pPr>
        <w:pStyle w:val="BodyTextnonum"/>
        <w:numPr>
          <w:ilvl w:val="3"/>
          <w:numId w:val="14"/>
        </w:numPr>
        <w:tabs>
          <w:tab w:val="num" w:pos="709"/>
        </w:tabs>
      </w:pPr>
      <w:r>
        <w:rPr>
          <w:rFonts w:ascii="ZWAdobeF" w:hAnsi="ZWAdobeF" w:cs="ZWAdobeF"/>
          <w:color w:val="auto"/>
          <w:sz w:val="2"/>
          <w:szCs w:val="2"/>
        </w:rPr>
        <w:t>739B</w:t>
      </w:r>
      <w:r w:rsidR="0049638A">
        <w:rPr>
          <w:rFonts w:ascii="ZWAdobeF" w:hAnsi="ZWAdobeF" w:cs="ZWAdobeF"/>
          <w:color w:val="auto"/>
          <w:sz w:val="2"/>
          <w:szCs w:val="2"/>
        </w:rPr>
        <w:t>739B</w:t>
      </w:r>
      <w:r w:rsidR="00D629FA">
        <w:rPr>
          <w:rFonts w:ascii="ZWAdobeF" w:hAnsi="ZWAdobeF" w:cs="ZWAdobeF"/>
          <w:color w:val="auto"/>
          <w:sz w:val="2"/>
          <w:szCs w:val="2"/>
        </w:rPr>
        <w:t>739B</w:t>
      </w:r>
      <w:r w:rsidR="00D36A28" w:rsidRPr="005B4F41">
        <w:t>Individual issues being proved through</w:t>
      </w:r>
      <w:r w:rsidR="00D36A28">
        <w:t xml:space="preserve"> expert evidence.</w:t>
      </w:r>
    </w:p>
    <w:p w14:paraId="2F452AF9" w14:textId="661BC3E3" w:rsidR="00D36A28" w:rsidRDefault="00BD5C95" w:rsidP="00932DB9">
      <w:pPr>
        <w:pStyle w:val="BodyTextnonum"/>
        <w:numPr>
          <w:ilvl w:val="3"/>
          <w:numId w:val="14"/>
        </w:numPr>
        <w:tabs>
          <w:tab w:val="num" w:pos="709"/>
        </w:tabs>
      </w:pPr>
      <w:r>
        <w:rPr>
          <w:rFonts w:ascii="ZWAdobeF" w:hAnsi="ZWAdobeF" w:cs="ZWAdobeF"/>
          <w:color w:val="auto"/>
          <w:sz w:val="2"/>
          <w:szCs w:val="2"/>
        </w:rPr>
        <w:t>740B</w:t>
      </w:r>
      <w:r w:rsidR="0049638A">
        <w:rPr>
          <w:rFonts w:ascii="ZWAdobeF" w:hAnsi="ZWAdobeF" w:cs="ZWAdobeF"/>
          <w:color w:val="auto"/>
          <w:sz w:val="2"/>
          <w:szCs w:val="2"/>
        </w:rPr>
        <w:t>740B</w:t>
      </w:r>
      <w:r w:rsidR="00D629FA">
        <w:rPr>
          <w:rFonts w:ascii="ZWAdobeF" w:hAnsi="ZWAdobeF" w:cs="ZWAdobeF"/>
          <w:color w:val="auto"/>
          <w:sz w:val="2"/>
          <w:szCs w:val="2"/>
        </w:rPr>
        <w:t>740B</w:t>
      </w:r>
      <w:r w:rsidR="00D36A28">
        <w:t xml:space="preserve">The court hearing evidence from a representative sample of class members. </w:t>
      </w:r>
    </w:p>
    <w:p w14:paraId="0B8E7165" w14:textId="648ED925" w:rsidR="00D36A28" w:rsidRDefault="00BD5C95" w:rsidP="00B73434">
      <w:pPr>
        <w:pStyle w:val="BodyText"/>
        <w:numPr>
          <w:ilvl w:val="1"/>
          <w:numId w:val="43"/>
        </w:numPr>
        <w:tabs>
          <w:tab w:val="clear" w:pos="709"/>
        </w:tabs>
        <w:ind w:hanging="709"/>
      </w:pPr>
      <w:bookmarkStart w:id="77" w:name="_Hlk83026937"/>
      <w:r>
        <w:rPr>
          <w:rFonts w:ascii="ZWAdobeF" w:hAnsi="ZWAdobeF" w:cs="ZWAdobeF"/>
          <w:color w:val="auto"/>
          <w:sz w:val="2"/>
          <w:szCs w:val="2"/>
        </w:rPr>
        <w:lastRenderedPageBreak/>
        <w:t>309B</w:t>
      </w:r>
      <w:r w:rsidR="0049638A">
        <w:rPr>
          <w:rFonts w:ascii="ZWAdobeF" w:hAnsi="ZWAdobeF" w:cs="ZWAdobeF"/>
          <w:color w:val="auto"/>
          <w:sz w:val="2"/>
          <w:szCs w:val="2"/>
        </w:rPr>
        <w:t>309B</w:t>
      </w:r>
      <w:r w:rsidR="00D629FA">
        <w:rPr>
          <w:rFonts w:ascii="ZWAdobeF" w:hAnsi="ZWAdobeF" w:cs="ZWAdobeF"/>
          <w:color w:val="auto"/>
          <w:sz w:val="2"/>
          <w:szCs w:val="2"/>
        </w:rPr>
        <w:t>309B</w:t>
      </w:r>
      <w:r w:rsidR="00D36A28" w:rsidRPr="00CB4451">
        <w:t xml:space="preserve">In Canada, </w:t>
      </w:r>
      <w:r w:rsidR="00D36A28">
        <w:t>when a court is determining individual issues, it may also authorise any rules relating to admission of evidence and means of proof that it considers appropriate.</w:t>
      </w:r>
      <w:r w:rsidR="00D629FA">
        <w:rPr>
          <w:rFonts w:ascii="ZWAdobeF" w:hAnsi="ZWAdobeF" w:cs="ZWAdobeF"/>
          <w:color w:val="auto"/>
          <w:sz w:val="2"/>
          <w:szCs w:val="2"/>
        </w:rPr>
        <w:t>489F</w:t>
      </w:r>
      <w:r w:rsidR="007A330E">
        <w:rPr>
          <w:rFonts w:ascii="ZWAdobeF" w:hAnsi="ZWAdobeF" w:cs="ZWAdobeF"/>
          <w:color w:val="auto"/>
          <w:sz w:val="2"/>
          <w:szCs w:val="2"/>
        </w:rPr>
        <w:t>489F</w:t>
      </w:r>
      <w:r w:rsidR="00317AE4">
        <w:rPr>
          <w:rFonts w:ascii="ZWAdobeF" w:hAnsi="ZWAdobeF" w:cs="ZWAdobeF"/>
          <w:color w:val="auto"/>
          <w:sz w:val="2"/>
          <w:szCs w:val="2"/>
        </w:rPr>
        <w:t>489F</w:t>
      </w:r>
      <w:r w:rsidR="00D36A28">
        <w:rPr>
          <w:rStyle w:val="FootnoteReference"/>
        </w:rPr>
        <w:footnoteReference w:id="491"/>
      </w:r>
      <w:r w:rsidR="00D36A28">
        <w:t xml:space="preserve"> </w:t>
      </w:r>
      <w:bookmarkEnd w:id="77"/>
      <w:r w:rsidR="00D36A28">
        <w:t>Courts in the United States have also allowed alternative approaches to evidence when individual damages are determined. For example, an expert witness can give evidence that applies to an average class member, which can then be used as the basis for individual damages awards.</w:t>
      </w:r>
      <w:r w:rsidR="00D629FA">
        <w:rPr>
          <w:rFonts w:ascii="ZWAdobeF" w:hAnsi="ZWAdobeF" w:cs="ZWAdobeF"/>
          <w:color w:val="auto"/>
          <w:sz w:val="2"/>
          <w:szCs w:val="2"/>
        </w:rPr>
        <w:t>490F</w:t>
      </w:r>
      <w:r w:rsidR="007A330E">
        <w:rPr>
          <w:rFonts w:ascii="ZWAdobeF" w:hAnsi="ZWAdobeF" w:cs="ZWAdobeF"/>
          <w:color w:val="auto"/>
          <w:sz w:val="2"/>
          <w:szCs w:val="2"/>
        </w:rPr>
        <w:t>490F</w:t>
      </w:r>
      <w:r w:rsidR="00317AE4">
        <w:rPr>
          <w:rFonts w:ascii="ZWAdobeF" w:hAnsi="ZWAdobeF" w:cs="ZWAdobeF"/>
          <w:color w:val="auto"/>
          <w:sz w:val="2"/>
          <w:szCs w:val="2"/>
        </w:rPr>
        <w:t>490F</w:t>
      </w:r>
      <w:r w:rsidR="00D36A28">
        <w:rPr>
          <w:rStyle w:val="FootnoteReference"/>
        </w:rPr>
        <w:footnoteReference w:id="492"/>
      </w:r>
      <w:r w:rsidR="00D36A28">
        <w:t xml:space="preserve"> In some cases, a formula for calculating damages can be developed by an expert or based on the defendant’s records.</w:t>
      </w:r>
      <w:r w:rsidR="00D629FA">
        <w:rPr>
          <w:rFonts w:ascii="ZWAdobeF" w:hAnsi="ZWAdobeF" w:cs="ZWAdobeF"/>
          <w:color w:val="auto"/>
          <w:sz w:val="2"/>
          <w:szCs w:val="2"/>
        </w:rPr>
        <w:t>491F</w:t>
      </w:r>
      <w:r w:rsidR="007A330E">
        <w:rPr>
          <w:rFonts w:ascii="ZWAdobeF" w:hAnsi="ZWAdobeF" w:cs="ZWAdobeF"/>
          <w:color w:val="auto"/>
          <w:sz w:val="2"/>
          <w:szCs w:val="2"/>
        </w:rPr>
        <w:t>491F</w:t>
      </w:r>
      <w:r w:rsidR="00317AE4">
        <w:rPr>
          <w:rFonts w:ascii="ZWAdobeF" w:hAnsi="ZWAdobeF" w:cs="ZWAdobeF"/>
          <w:color w:val="auto"/>
          <w:sz w:val="2"/>
          <w:szCs w:val="2"/>
        </w:rPr>
        <w:t>491F</w:t>
      </w:r>
      <w:r w:rsidR="00D36A28">
        <w:rPr>
          <w:rStyle w:val="FootnoteReference"/>
        </w:rPr>
        <w:footnoteReference w:id="493"/>
      </w:r>
      <w:r w:rsidR="00D36A28">
        <w:t xml:space="preserve"> Courts have been less willing to allow evidence from a representative sample of the class which is extrapolated to other class members, because of concerns about the representativeness of the sample and constitutional issues.</w:t>
      </w:r>
      <w:r w:rsidR="00D629FA">
        <w:rPr>
          <w:rFonts w:ascii="ZWAdobeF" w:hAnsi="ZWAdobeF" w:cs="ZWAdobeF"/>
          <w:color w:val="auto"/>
          <w:sz w:val="2"/>
          <w:szCs w:val="2"/>
        </w:rPr>
        <w:t>492F</w:t>
      </w:r>
      <w:r w:rsidR="007A330E">
        <w:rPr>
          <w:rFonts w:ascii="ZWAdobeF" w:hAnsi="ZWAdobeF" w:cs="ZWAdobeF"/>
          <w:color w:val="auto"/>
          <w:sz w:val="2"/>
          <w:szCs w:val="2"/>
        </w:rPr>
        <w:t>492F</w:t>
      </w:r>
      <w:r w:rsidR="00317AE4">
        <w:rPr>
          <w:rFonts w:ascii="ZWAdobeF" w:hAnsi="ZWAdobeF" w:cs="ZWAdobeF"/>
          <w:color w:val="auto"/>
          <w:sz w:val="2"/>
          <w:szCs w:val="2"/>
        </w:rPr>
        <w:t>492F</w:t>
      </w:r>
      <w:r w:rsidR="00D36A28">
        <w:rPr>
          <w:rStyle w:val="FootnoteReference"/>
        </w:rPr>
        <w:footnoteReference w:id="494"/>
      </w:r>
    </w:p>
    <w:p w14:paraId="72A0E87C" w14:textId="6208D0E7" w:rsidR="00D36A28" w:rsidRDefault="00BD5C95" w:rsidP="00B73434">
      <w:pPr>
        <w:pStyle w:val="BodyText"/>
        <w:numPr>
          <w:ilvl w:val="1"/>
          <w:numId w:val="43"/>
        </w:numPr>
        <w:tabs>
          <w:tab w:val="left" w:pos="709"/>
        </w:tabs>
        <w:ind w:hanging="709"/>
      </w:pPr>
      <w:r>
        <w:rPr>
          <w:rFonts w:ascii="ZWAdobeF" w:hAnsi="ZWAdobeF" w:cs="ZWAdobeF"/>
          <w:color w:val="auto"/>
          <w:sz w:val="2"/>
          <w:szCs w:val="2"/>
        </w:rPr>
        <w:t>310B</w:t>
      </w:r>
      <w:r w:rsidR="0049638A">
        <w:rPr>
          <w:rFonts w:ascii="ZWAdobeF" w:hAnsi="ZWAdobeF" w:cs="ZWAdobeF"/>
          <w:color w:val="auto"/>
          <w:sz w:val="2"/>
          <w:szCs w:val="2"/>
        </w:rPr>
        <w:t>310B</w:t>
      </w:r>
      <w:r w:rsidR="00D629FA">
        <w:rPr>
          <w:rFonts w:ascii="ZWAdobeF" w:hAnsi="ZWAdobeF" w:cs="ZWAdobeF"/>
          <w:color w:val="auto"/>
          <w:sz w:val="2"/>
          <w:szCs w:val="2"/>
        </w:rPr>
        <w:t>310B</w:t>
      </w:r>
      <w:r w:rsidR="00D36A28">
        <w:t xml:space="preserve">In </w:t>
      </w:r>
      <w:r w:rsidR="00D36A28">
        <w:rPr>
          <w:i/>
          <w:iCs/>
        </w:rPr>
        <w:t xml:space="preserve">Houghton v Saunders, </w:t>
      </w:r>
      <w:r w:rsidR="00D36A28">
        <w:t>a representative action under HCR 4.24, the plaintiff proposed to run the stage two hearing by bringing evidence from a sample of the claimants in each of four sub-groups of investors. The plaintiff intended to bring additional evidence (including expert evidence) to show that the court’s findings on the evidence of those investors could properly be applied to others in the sub-group.</w:t>
      </w:r>
      <w:r w:rsidR="00D629FA">
        <w:rPr>
          <w:rFonts w:ascii="ZWAdobeF" w:hAnsi="ZWAdobeF" w:cs="ZWAdobeF"/>
          <w:color w:val="auto"/>
          <w:sz w:val="2"/>
          <w:szCs w:val="2"/>
        </w:rPr>
        <w:t>493F</w:t>
      </w:r>
      <w:r w:rsidR="007A330E">
        <w:rPr>
          <w:rFonts w:ascii="ZWAdobeF" w:hAnsi="ZWAdobeF" w:cs="ZWAdobeF"/>
          <w:color w:val="auto"/>
          <w:sz w:val="2"/>
          <w:szCs w:val="2"/>
        </w:rPr>
        <w:t>493F</w:t>
      </w:r>
      <w:r w:rsidR="00317AE4">
        <w:rPr>
          <w:rFonts w:ascii="ZWAdobeF" w:hAnsi="ZWAdobeF" w:cs="ZWAdobeF"/>
          <w:color w:val="auto"/>
          <w:sz w:val="2"/>
          <w:szCs w:val="2"/>
        </w:rPr>
        <w:t>493F</w:t>
      </w:r>
      <w:r w:rsidR="00D36A28">
        <w:rPr>
          <w:rStyle w:val="FootnoteReference"/>
        </w:rPr>
        <w:footnoteReference w:id="495"/>
      </w:r>
      <w:r w:rsidR="00D36A28">
        <w:t xml:space="preserve"> The Court, while not ruling this approach out, expressed a provisional view that “t</w:t>
      </w:r>
      <w:r w:rsidR="00D36A28" w:rsidRPr="00E804F4">
        <w:t>he prospects of making out this novel proposition in the context of these claims are extremely forlorn</w:t>
      </w:r>
      <w:r w:rsidR="000A6BBD">
        <w:t>”.</w:t>
      </w:r>
      <w:r w:rsidR="00D629FA">
        <w:rPr>
          <w:rFonts w:ascii="ZWAdobeF" w:hAnsi="ZWAdobeF" w:cs="ZWAdobeF"/>
          <w:color w:val="auto"/>
          <w:sz w:val="2"/>
          <w:szCs w:val="2"/>
        </w:rPr>
        <w:t>494F</w:t>
      </w:r>
      <w:r w:rsidR="007A330E">
        <w:rPr>
          <w:rFonts w:ascii="ZWAdobeF" w:hAnsi="ZWAdobeF" w:cs="ZWAdobeF"/>
          <w:color w:val="auto"/>
          <w:sz w:val="2"/>
          <w:szCs w:val="2"/>
        </w:rPr>
        <w:t>494F</w:t>
      </w:r>
      <w:r w:rsidR="00317AE4">
        <w:rPr>
          <w:rFonts w:ascii="ZWAdobeF" w:hAnsi="ZWAdobeF" w:cs="ZWAdobeF"/>
          <w:color w:val="auto"/>
          <w:sz w:val="2"/>
          <w:szCs w:val="2"/>
        </w:rPr>
        <w:t>494F</w:t>
      </w:r>
      <w:r w:rsidR="00D36A28">
        <w:rPr>
          <w:rStyle w:val="FootnoteReference"/>
        </w:rPr>
        <w:footnoteReference w:id="496"/>
      </w:r>
      <w:r w:rsidR="00D36A28">
        <w:t xml:space="preserve"> A more likely outcome was that findings in relation to individual claimants would provide a basis for settlement discussions with the defendants.</w:t>
      </w:r>
      <w:r w:rsidR="00D629FA">
        <w:rPr>
          <w:rFonts w:ascii="ZWAdobeF" w:hAnsi="ZWAdobeF" w:cs="ZWAdobeF"/>
          <w:color w:val="auto"/>
          <w:sz w:val="2"/>
          <w:szCs w:val="2"/>
        </w:rPr>
        <w:t>495F</w:t>
      </w:r>
      <w:r w:rsidR="007A330E">
        <w:rPr>
          <w:rFonts w:ascii="ZWAdobeF" w:hAnsi="ZWAdobeF" w:cs="ZWAdobeF"/>
          <w:color w:val="auto"/>
          <w:sz w:val="2"/>
          <w:szCs w:val="2"/>
        </w:rPr>
        <w:t>495F</w:t>
      </w:r>
      <w:r w:rsidR="00317AE4">
        <w:rPr>
          <w:rFonts w:ascii="ZWAdobeF" w:hAnsi="ZWAdobeF" w:cs="ZWAdobeF"/>
          <w:color w:val="auto"/>
          <w:sz w:val="2"/>
          <w:szCs w:val="2"/>
        </w:rPr>
        <w:t>495F</w:t>
      </w:r>
      <w:r w:rsidR="00D36A28">
        <w:rPr>
          <w:rStyle w:val="FootnoteReference"/>
        </w:rPr>
        <w:footnoteReference w:id="497"/>
      </w:r>
    </w:p>
    <w:p w14:paraId="2203D11D" w14:textId="77777777" w:rsidR="00D36A28" w:rsidRDefault="00D36A28" w:rsidP="00161734">
      <w:pPr>
        <w:pStyle w:val="Heading4"/>
      </w:pPr>
      <w:r>
        <w:t>Determining individual issues without a court hearing</w:t>
      </w:r>
    </w:p>
    <w:p w14:paraId="077A06F4" w14:textId="0743218A" w:rsidR="00D36A28" w:rsidRDefault="00BD5C95" w:rsidP="00B73434">
      <w:pPr>
        <w:pStyle w:val="BodyText"/>
        <w:numPr>
          <w:ilvl w:val="1"/>
          <w:numId w:val="43"/>
        </w:numPr>
        <w:ind w:hanging="709"/>
      </w:pPr>
      <w:r>
        <w:rPr>
          <w:rFonts w:ascii="ZWAdobeF" w:hAnsi="ZWAdobeF" w:cs="ZWAdobeF"/>
          <w:color w:val="auto"/>
          <w:sz w:val="2"/>
          <w:szCs w:val="2"/>
        </w:rPr>
        <w:t>311B</w:t>
      </w:r>
      <w:r w:rsidR="0049638A">
        <w:rPr>
          <w:rFonts w:ascii="ZWAdobeF" w:hAnsi="ZWAdobeF" w:cs="ZWAdobeF"/>
          <w:color w:val="auto"/>
          <w:sz w:val="2"/>
          <w:szCs w:val="2"/>
        </w:rPr>
        <w:t>311B</w:t>
      </w:r>
      <w:r w:rsidR="00D629FA">
        <w:rPr>
          <w:rFonts w:ascii="ZWAdobeF" w:hAnsi="ZWAdobeF" w:cs="ZWAdobeF"/>
          <w:color w:val="auto"/>
          <w:sz w:val="2"/>
          <w:szCs w:val="2"/>
        </w:rPr>
        <w:t>311B</w:t>
      </w:r>
      <w:r w:rsidR="00D36A28">
        <w:t xml:space="preserve">Individual issues could also be determined without a court hearing. For example, the Canadian regimes </w:t>
      </w:r>
      <w:r w:rsidR="003522D0">
        <w:t xml:space="preserve">enable </w:t>
      </w:r>
      <w:r w:rsidR="00D36A28">
        <w:t>the court to appoint a person to enquire into the issues and report back to the court or direct the issues to be determined in another manner (with the consent of the parties).</w:t>
      </w:r>
      <w:r w:rsidR="00D629FA">
        <w:rPr>
          <w:rFonts w:ascii="ZWAdobeF" w:hAnsi="ZWAdobeF" w:cs="ZWAdobeF"/>
          <w:color w:val="auto"/>
          <w:sz w:val="2"/>
          <w:szCs w:val="2"/>
        </w:rPr>
        <w:t>496F</w:t>
      </w:r>
      <w:r w:rsidR="007A330E">
        <w:rPr>
          <w:rFonts w:ascii="ZWAdobeF" w:hAnsi="ZWAdobeF" w:cs="ZWAdobeF"/>
          <w:color w:val="auto"/>
          <w:sz w:val="2"/>
          <w:szCs w:val="2"/>
        </w:rPr>
        <w:t>496F</w:t>
      </w:r>
      <w:r w:rsidR="00317AE4">
        <w:rPr>
          <w:rFonts w:ascii="ZWAdobeF" w:hAnsi="ZWAdobeF" w:cs="ZWAdobeF"/>
          <w:color w:val="auto"/>
          <w:sz w:val="2"/>
          <w:szCs w:val="2"/>
        </w:rPr>
        <w:t>496F</w:t>
      </w:r>
      <w:r w:rsidR="00D36A28">
        <w:rPr>
          <w:rStyle w:val="FootnoteReference"/>
        </w:rPr>
        <w:footnoteReference w:id="498"/>
      </w:r>
      <w:r w:rsidR="00D36A28">
        <w:t xml:space="preserve"> </w:t>
      </w:r>
    </w:p>
    <w:p w14:paraId="6F6961B4" w14:textId="356A59AA" w:rsidR="00D36A28" w:rsidRDefault="00BD5C95" w:rsidP="00B73434">
      <w:pPr>
        <w:pStyle w:val="BodyText"/>
        <w:numPr>
          <w:ilvl w:val="1"/>
          <w:numId w:val="43"/>
        </w:numPr>
        <w:ind w:hanging="709"/>
      </w:pPr>
      <w:r>
        <w:rPr>
          <w:rFonts w:ascii="ZWAdobeF" w:hAnsi="ZWAdobeF" w:cs="ZWAdobeF"/>
          <w:color w:val="auto"/>
          <w:sz w:val="2"/>
          <w:szCs w:val="2"/>
        </w:rPr>
        <w:t>312B</w:t>
      </w:r>
      <w:r w:rsidR="0049638A">
        <w:rPr>
          <w:rFonts w:ascii="ZWAdobeF" w:hAnsi="ZWAdobeF" w:cs="ZWAdobeF"/>
          <w:color w:val="auto"/>
          <w:sz w:val="2"/>
          <w:szCs w:val="2"/>
        </w:rPr>
        <w:t>312B</w:t>
      </w:r>
      <w:r w:rsidR="00D629FA">
        <w:rPr>
          <w:rFonts w:ascii="ZWAdobeF" w:hAnsi="ZWAdobeF" w:cs="ZWAdobeF"/>
          <w:color w:val="auto"/>
          <w:sz w:val="2"/>
          <w:szCs w:val="2"/>
        </w:rPr>
        <w:t>312B</w:t>
      </w:r>
      <w:r w:rsidR="00D36A28">
        <w:t>Examples of mechanisms that have been used in different jurisdictions to consider individual issues include:</w:t>
      </w:r>
      <w:r w:rsidR="00D629FA">
        <w:rPr>
          <w:rFonts w:ascii="ZWAdobeF" w:hAnsi="ZWAdobeF" w:cs="ZWAdobeF"/>
          <w:color w:val="auto"/>
          <w:sz w:val="2"/>
          <w:szCs w:val="2"/>
        </w:rPr>
        <w:t>497F</w:t>
      </w:r>
      <w:r w:rsidR="007A330E">
        <w:rPr>
          <w:rFonts w:ascii="ZWAdobeF" w:hAnsi="ZWAdobeF" w:cs="ZWAdobeF"/>
          <w:color w:val="auto"/>
          <w:sz w:val="2"/>
          <w:szCs w:val="2"/>
        </w:rPr>
        <w:t>497F</w:t>
      </w:r>
      <w:r w:rsidR="00317AE4">
        <w:rPr>
          <w:rFonts w:ascii="ZWAdobeF" w:hAnsi="ZWAdobeF" w:cs="ZWAdobeF"/>
          <w:color w:val="auto"/>
          <w:sz w:val="2"/>
          <w:szCs w:val="2"/>
        </w:rPr>
        <w:t>497F</w:t>
      </w:r>
      <w:r w:rsidR="00D36A28">
        <w:rPr>
          <w:rStyle w:val="FootnoteReference"/>
        </w:rPr>
        <w:footnoteReference w:id="499"/>
      </w:r>
      <w:r w:rsidR="00D36A28">
        <w:t xml:space="preserve"> </w:t>
      </w:r>
    </w:p>
    <w:p w14:paraId="38D636E5" w14:textId="4BFEA0E1" w:rsidR="00D36A28" w:rsidRDefault="00BD5C95" w:rsidP="00B73434">
      <w:pPr>
        <w:pStyle w:val="BodyTextnonum"/>
        <w:numPr>
          <w:ilvl w:val="3"/>
          <w:numId w:val="43"/>
        </w:numPr>
      </w:pPr>
      <w:r>
        <w:rPr>
          <w:rFonts w:ascii="ZWAdobeF" w:hAnsi="ZWAdobeF" w:cs="ZWAdobeF"/>
          <w:color w:val="auto"/>
          <w:sz w:val="2"/>
          <w:szCs w:val="2"/>
        </w:rPr>
        <w:t>741B</w:t>
      </w:r>
      <w:r w:rsidR="0049638A">
        <w:rPr>
          <w:rFonts w:ascii="ZWAdobeF" w:hAnsi="ZWAdobeF" w:cs="ZWAdobeF"/>
          <w:color w:val="auto"/>
          <w:sz w:val="2"/>
          <w:szCs w:val="2"/>
        </w:rPr>
        <w:t>741B</w:t>
      </w:r>
      <w:r w:rsidR="00D629FA">
        <w:rPr>
          <w:rFonts w:ascii="ZWAdobeF" w:hAnsi="ZWAdobeF" w:cs="ZWAdobeF"/>
          <w:color w:val="auto"/>
          <w:sz w:val="2"/>
          <w:szCs w:val="2"/>
        </w:rPr>
        <w:t>741B</w:t>
      </w:r>
      <w:r w:rsidR="00D36A28">
        <w:t>Mini-hearings which use a mediation-arbitration approach.</w:t>
      </w:r>
      <w:r w:rsidR="00D629FA">
        <w:rPr>
          <w:rFonts w:ascii="ZWAdobeF" w:hAnsi="ZWAdobeF" w:cs="ZWAdobeF"/>
          <w:color w:val="auto"/>
          <w:sz w:val="2"/>
          <w:szCs w:val="2"/>
        </w:rPr>
        <w:t>498F</w:t>
      </w:r>
      <w:r w:rsidR="007A330E">
        <w:rPr>
          <w:rFonts w:ascii="ZWAdobeF" w:hAnsi="ZWAdobeF" w:cs="ZWAdobeF"/>
          <w:color w:val="auto"/>
          <w:sz w:val="2"/>
          <w:szCs w:val="2"/>
        </w:rPr>
        <w:t>498F</w:t>
      </w:r>
      <w:r w:rsidR="00317AE4">
        <w:rPr>
          <w:rFonts w:ascii="ZWAdobeF" w:hAnsi="ZWAdobeF" w:cs="ZWAdobeF"/>
          <w:color w:val="auto"/>
          <w:sz w:val="2"/>
          <w:szCs w:val="2"/>
        </w:rPr>
        <w:t>498F</w:t>
      </w:r>
      <w:r w:rsidR="00D36A28">
        <w:rPr>
          <w:rStyle w:val="FootnoteReference"/>
        </w:rPr>
        <w:footnoteReference w:id="500"/>
      </w:r>
    </w:p>
    <w:p w14:paraId="0D04B674" w14:textId="026EB494" w:rsidR="00D36A28" w:rsidRDefault="00BD5C95" w:rsidP="00B73434">
      <w:pPr>
        <w:pStyle w:val="BodyTextnonum"/>
        <w:numPr>
          <w:ilvl w:val="3"/>
          <w:numId w:val="43"/>
        </w:numPr>
      </w:pPr>
      <w:r>
        <w:rPr>
          <w:rFonts w:ascii="ZWAdobeF" w:hAnsi="ZWAdobeF" w:cs="ZWAdobeF"/>
          <w:color w:val="auto"/>
          <w:sz w:val="2"/>
          <w:szCs w:val="2"/>
        </w:rPr>
        <w:lastRenderedPageBreak/>
        <w:t>742B</w:t>
      </w:r>
      <w:r w:rsidR="0049638A">
        <w:rPr>
          <w:rFonts w:ascii="ZWAdobeF" w:hAnsi="ZWAdobeF" w:cs="ZWAdobeF"/>
          <w:color w:val="auto"/>
          <w:sz w:val="2"/>
          <w:szCs w:val="2"/>
        </w:rPr>
        <w:t>742B</w:t>
      </w:r>
      <w:r w:rsidR="00D629FA">
        <w:rPr>
          <w:rFonts w:ascii="ZWAdobeF" w:hAnsi="ZWAdobeF" w:cs="ZWAdobeF"/>
          <w:color w:val="auto"/>
          <w:sz w:val="2"/>
          <w:szCs w:val="2"/>
        </w:rPr>
        <w:t>742B</w:t>
      </w:r>
      <w:r w:rsidR="00D36A28">
        <w:t>Standardised sworn claim forms which are assessed by a panel of barristers.</w:t>
      </w:r>
      <w:r w:rsidR="00D629FA">
        <w:rPr>
          <w:rFonts w:ascii="ZWAdobeF" w:hAnsi="ZWAdobeF" w:cs="ZWAdobeF"/>
          <w:color w:val="auto"/>
          <w:sz w:val="2"/>
          <w:szCs w:val="2"/>
        </w:rPr>
        <w:t>499F</w:t>
      </w:r>
      <w:r w:rsidR="007A330E">
        <w:rPr>
          <w:rFonts w:ascii="ZWAdobeF" w:hAnsi="ZWAdobeF" w:cs="ZWAdobeF"/>
          <w:color w:val="auto"/>
          <w:sz w:val="2"/>
          <w:szCs w:val="2"/>
        </w:rPr>
        <w:t>499F</w:t>
      </w:r>
      <w:r w:rsidR="00317AE4">
        <w:rPr>
          <w:rFonts w:ascii="ZWAdobeF" w:hAnsi="ZWAdobeF" w:cs="ZWAdobeF"/>
          <w:color w:val="auto"/>
          <w:sz w:val="2"/>
          <w:szCs w:val="2"/>
        </w:rPr>
        <w:t>499F</w:t>
      </w:r>
      <w:r w:rsidR="00D36A28">
        <w:rPr>
          <w:rStyle w:val="FootnoteReference"/>
        </w:rPr>
        <w:footnoteReference w:id="501"/>
      </w:r>
    </w:p>
    <w:p w14:paraId="08D829A8" w14:textId="6C124743" w:rsidR="00D36A28" w:rsidRDefault="00BD5C95" w:rsidP="00B73434">
      <w:pPr>
        <w:pStyle w:val="BodyTextnonum"/>
        <w:numPr>
          <w:ilvl w:val="3"/>
          <w:numId w:val="43"/>
        </w:numPr>
      </w:pPr>
      <w:r>
        <w:rPr>
          <w:rFonts w:ascii="ZWAdobeF" w:hAnsi="ZWAdobeF" w:cs="ZWAdobeF"/>
          <w:color w:val="auto"/>
          <w:sz w:val="2"/>
          <w:szCs w:val="2"/>
        </w:rPr>
        <w:t>743B</w:t>
      </w:r>
      <w:r w:rsidR="0049638A">
        <w:rPr>
          <w:rFonts w:ascii="ZWAdobeF" w:hAnsi="ZWAdobeF" w:cs="ZWAdobeF"/>
          <w:color w:val="auto"/>
          <w:sz w:val="2"/>
          <w:szCs w:val="2"/>
        </w:rPr>
        <w:t>743B</w:t>
      </w:r>
      <w:r w:rsidR="00D629FA">
        <w:rPr>
          <w:rFonts w:ascii="ZWAdobeF" w:hAnsi="ZWAdobeF" w:cs="ZWAdobeF"/>
          <w:color w:val="auto"/>
          <w:sz w:val="2"/>
          <w:szCs w:val="2"/>
        </w:rPr>
        <w:t>743B</w:t>
      </w:r>
      <w:r w:rsidR="00D36A28">
        <w:t>Class members being required to file individual claims with supporting documentation and affidavits, followed by a settlement conference. Under this process, if claims cannot be settled, referees may be appointed to investigate individual circumstances and report back to the court.</w:t>
      </w:r>
      <w:r w:rsidR="00D629FA">
        <w:rPr>
          <w:rFonts w:ascii="ZWAdobeF" w:hAnsi="ZWAdobeF" w:cs="ZWAdobeF"/>
          <w:color w:val="auto"/>
          <w:sz w:val="2"/>
          <w:szCs w:val="2"/>
        </w:rPr>
        <w:t>500F</w:t>
      </w:r>
      <w:r w:rsidR="007A330E">
        <w:rPr>
          <w:rFonts w:ascii="ZWAdobeF" w:hAnsi="ZWAdobeF" w:cs="ZWAdobeF"/>
          <w:color w:val="auto"/>
          <w:sz w:val="2"/>
          <w:szCs w:val="2"/>
        </w:rPr>
        <w:t>500F</w:t>
      </w:r>
      <w:r w:rsidR="00317AE4">
        <w:rPr>
          <w:rFonts w:ascii="ZWAdobeF" w:hAnsi="ZWAdobeF" w:cs="ZWAdobeF"/>
          <w:color w:val="auto"/>
          <w:sz w:val="2"/>
          <w:szCs w:val="2"/>
        </w:rPr>
        <w:t>500F</w:t>
      </w:r>
      <w:r w:rsidR="00D36A28">
        <w:rPr>
          <w:rStyle w:val="FootnoteReference"/>
        </w:rPr>
        <w:footnoteReference w:id="502"/>
      </w:r>
    </w:p>
    <w:p w14:paraId="67C2B745" w14:textId="4E505795" w:rsidR="00D36A28" w:rsidRDefault="00BD5C95" w:rsidP="00B73434">
      <w:pPr>
        <w:pStyle w:val="BodyTextnonum"/>
        <w:numPr>
          <w:ilvl w:val="3"/>
          <w:numId w:val="43"/>
        </w:numPr>
      </w:pPr>
      <w:r>
        <w:rPr>
          <w:rFonts w:ascii="ZWAdobeF" w:hAnsi="ZWAdobeF" w:cs="ZWAdobeF"/>
          <w:color w:val="auto"/>
          <w:sz w:val="2"/>
          <w:szCs w:val="2"/>
        </w:rPr>
        <w:t>744B</w:t>
      </w:r>
      <w:r w:rsidR="0049638A">
        <w:rPr>
          <w:rFonts w:ascii="ZWAdobeF" w:hAnsi="ZWAdobeF" w:cs="ZWAdobeF"/>
          <w:color w:val="auto"/>
          <w:sz w:val="2"/>
          <w:szCs w:val="2"/>
        </w:rPr>
        <w:t>744B</w:t>
      </w:r>
      <w:r w:rsidR="00D629FA">
        <w:rPr>
          <w:rFonts w:ascii="ZWAdobeF" w:hAnsi="ZWAdobeF" w:cs="ZWAdobeF"/>
          <w:color w:val="auto"/>
          <w:sz w:val="2"/>
          <w:szCs w:val="2"/>
        </w:rPr>
        <w:t>744B</w:t>
      </w:r>
      <w:r w:rsidR="00D36A28">
        <w:t>Assessment of damages being delegated to a court-appointed registrar, special master or referee.</w:t>
      </w:r>
    </w:p>
    <w:p w14:paraId="33FDB679" w14:textId="21F1A4EA" w:rsidR="00D36A28" w:rsidRDefault="00BD5C95" w:rsidP="00B73434">
      <w:pPr>
        <w:pStyle w:val="BodyText"/>
        <w:numPr>
          <w:ilvl w:val="1"/>
          <w:numId w:val="43"/>
        </w:numPr>
        <w:ind w:hanging="709"/>
      </w:pPr>
      <w:r>
        <w:rPr>
          <w:rFonts w:ascii="ZWAdobeF" w:hAnsi="ZWAdobeF" w:cs="ZWAdobeF"/>
          <w:color w:val="auto"/>
          <w:sz w:val="2"/>
          <w:szCs w:val="2"/>
        </w:rPr>
        <w:t>313B</w:t>
      </w:r>
      <w:r w:rsidR="0049638A">
        <w:rPr>
          <w:rFonts w:ascii="ZWAdobeF" w:hAnsi="ZWAdobeF" w:cs="ZWAdobeF"/>
          <w:color w:val="auto"/>
          <w:sz w:val="2"/>
          <w:szCs w:val="2"/>
        </w:rPr>
        <w:t>313B</w:t>
      </w:r>
      <w:r w:rsidR="00D629FA">
        <w:rPr>
          <w:rFonts w:ascii="ZWAdobeF" w:hAnsi="ZWAdobeF" w:cs="ZWAdobeF"/>
          <w:color w:val="auto"/>
          <w:sz w:val="2"/>
          <w:szCs w:val="2"/>
        </w:rPr>
        <w:t>313B</w:t>
      </w:r>
      <w:r w:rsidR="0050249A">
        <w:t xml:space="preserve">We consider </w:t>
      </w:r>
      <w:r w:rsidR="00D36A28">
        <w:t>it would be desirable for the court to have some flexibility as to how individual issues should be determined. Where there is a large number of class members, it is unlikely to be feasible for each of them to give evidence on individual issues. We suggest the court’s powers could include:</w:t>
      </w:r>
    </w:p>
    <w:p w14:paraId="274E02B8" w14:textId="3FFB2CC7" w:rsidR="00D36A28" w:rsidRDefault="00BD5C95" w:rsidP="00B73434">
      <w:pPr>
        <w:pStyle w:val="BodyTextnonum"/>
        <w:numPr>
          <w:ilvl w:val="3"/>
          <w:numId w:val="43"/>
        </w:numPr>
        <w:tabs>
          <w:tab w:val="num" w:pos="709"/>
        </w:tabs>
      </w:pPr>
      <w:r>
        <w:rPr>
          <w:rFonts w:ascii="ZWAdobeF" w:hAnsi="ZWAdobeF" w:cs="ZWAdobeF"/>
          <w:color w:val="auto"/>
          <w:sz w:val="2"/>
          <w:szCs w:val="2"/>
        </w:rPr>
        <w:t>745B</w:t>
      </w:r>
      <w:r w:rsidR="0049638A">
        <w:rPr>
          <w:rFonts w:ascii="ZWAdobeF" w:hAnsi="ZWAdobeF" w:cs="ZWAdobeF"/>
          <w:color w:val="auto"/>
          <w:sz w:val="2"/>
          <w:szCs w:val="2"/>
        </w:rPr>
        <w:t>745B</w:t>
      </w:r>
      <w:r w:rsidR="00D629FA">
        <w:rPr>
          <w:rFonts w:ascii="ZWAdobeF" w:hAnsi="ZWAdobeF" w:cs="ZWAdobeF"/>
          <w:color w:val="auto"/>
          <w:sz w:val="2"/>
          <w:szCs w:val="2"/>
        </w:rPr>
        <w:t>745B</w:t>
      </w:r>
      <w:r w:rsidR="00D36A28">
        <w:t xml:space="preserve">Appointing a court expert who can report back to the court on particular issues. We do not think the court expert would necessarily determine individual issues, but they may be able to simplify the court’s task, for example by categorising individual claims into groups.  </w:t>
      </w:r>
    </w:p>
    <w:p w14:paraId="76CB209C" w14:textId="5B6EAD4C" w:rsidR="00D36A28" w:rsidRDefault="00BD5C95" w:rsidP="00B73434">
      <w:pPr>
        <w:pStyle w:val="BodyTextnonum"/>
        <w:numPr>
          <w:ilvl w:val="3"/>
          <w:numId w:val="43"/>
        </w:numPr>
        <w:tabs>
          <w:tab w:val="num" w:pos="709"/>
        </w:tabs>
      </w:pPr>
      <w:r>
        <w:rPr>
          <w:rFonts w:ascii="ZWAdobeF" w:hAnsi="ZWAdobeF" w:cs="ZWAdobeF"/>
          <w:color w:val="auto"/>
          <w:sz w:val="2"/>
          <w:szCs w:val="2"/>
        </w:rPr>
        <w:t>746B</w:t>
      </w:r>
      <w:r w:rsidR="0049638A">
        <w:rPr>
          <w:rFonts w:ascii="ZWAdobeF" w:hAnsi="ZWAdobeF" w:cs="ZWAdobeF"/>
          <w:color w:val="auto"/>
          <w:sz w:val="2"/>
          <w:szCs w:val="2"/>
        </w:rPr>
        <w:t>746B</w:t>
      </w:r>
      <w:r w:rsidR="00D629FA">
        <w:rPr>
          <w:rFonts w:ascii="ZWAdobeF" w:hAnsi="ZWAdobeF" w:cs="ZWAdobeF"/>
          <w:color w:val="auto"/>
          <w:sz w:val="2"/>
          <w:szCs w:val="2"/>
        </w:rPr>
        <w:t>746B</w:t>
      </w:r>
      <w:r w:rsidR="00D36A28">
        <w:t xml:space="preserve">Directing individual issues to be determined through a non-judicial procedure, where the parties agree (for example, a determination process run by a former judge or a senior lawyer). </w:t>
      </w:r>
    </w:p>
    <w:p w14:paraId="69AF03B8" w14:textId="1444C9B5" w:rsidR="00D36A28" w:rsidRDefault="00BD5C95" w:rsidP="00B73434">
      <w:pPr>
        <w:pStyle w:val="BodyTextnonum"/>
        <w:numPr>
          <w:ilvl w:val="3"/>
          <w:numId w:val="43"/>
        </w:numPr>
        <w:tabs>
          <w:tab w:val="num" w:pos="709"/>
        </w:tabs>
      </w:pPr>
      <w:r>
        <w:rPr>
          <w:rFonts w:ascii="ZWAdobeF" w:hAnsi="ZWAdobeF" w:cs="ZWAdobeF"/>
          <w:color w:val="auto"/>
          <w:sz w:val="2"/>
          <w:szCs w:val="2"/>
        </w:rPr>
        <w:t>747B</w:t>
      </w:r>
      <w:r w:rsidR="0049638A">
        <w:rPr>
          <w:rFonts w:ascii="ZWAdobeF" w:hAnsi="ZWAdobeF" w:cs="ZWAdobeF"/>
          <w:color w:val="auto"/>
          <w:sz w:val="2"/>
          <w:szCs w:val="2"/>
        </w:rPr>
        <w:t>747B</w:t>
      </w:r>
      <w:r w:rsidR="00D629FA">
        <w:rPr>
          <w:rFonts w:ascii="ZWAdobeF" w:hAnsi="ZWAdobeF" w:cs="ZWAdobeF"/>
          <w:color w:val="auto"/>
          <w:sz w:val="2"/>
          <w:szCs w:val="2"/>
        </w:rPr>
        <w:t>747B</w:t>
      </w:r>
      <w:r w:rsidR="00D36A28">
        <w:t>Giving directions with respect to the form or way in which evidence on individual issues may be given. It is possible that the parties will agree to a particular form of evidence, such as standardised forms.</w:t>
      </w:r>
      <w:r w:rsidR="00D629FA">
        <w:rPr>
          <w:rFonts w:ascii="ZWAdobeF" w:hAnsi="ZWAdobeF" w:cs="ZWAdobeF"/>
          <w:color w:val="auto"/>
          <w:sz w:val="2"/>
          <w:szCs w:val="2"/>
        </w:rPr>
        <w:t>501F</w:t>
      </w:r>
      <w:r w:rsidR="007A330E">
        <w:rPr>
          <w:rFonts w:ascii="ZWAdobeF" w:hAnsi="ZWAdobeF" w:cs="ZWAdobeF"/>
          <w:color w:val="auto"/>
          <w:sz w:val="2"/>
          <w:szCs w:val="2"/>
        </w:rPr>
        <w:t>501F</w:t>
      </w:r>
      <w:r w:rsidR="00317AE4">
        <w:rPr>
          <w:rFonts w:ascii="ZWAdobeF" w:hAnsi="ZWAdobeF" w:cs="ZWAdobeF"/>
          <w:color w:val="auto"/>
          <w:sz w:val="2"/>
          <w:szCs w:val="2"/>
        </w:rPr>
        <w:t>501F</w:t>
      </w:r>
      <w:r w:rsidR="00D36A28">
        <w:rPr>
          <w:rStyle w:val="FootnoteReference"/>
        </w:rPr>
        <w:footnoteReference w:id="503"/>
      </w:r>
      <w:r w:rsidR="00D36A28">
        <w:t xml:space="preserve"> </w:t>
      </w:r>
    </w:p>
    <w:p w14:paraId="5863D5B0" w14:textId="109B3C10" w:rsidR="00C035AF" w:rsidRDefault="00161734" w:rsidP="00C035AF">
      <w:pPr>
        <w:pStyle w:val="QuestionBox"/>
      </w:pPr>
      <w:r>
        <w:rPr>
          <w:noProof/>
        </w:rPr>
        <mc:AlternateContent>
          <mc:Choice Requires="wpg">
            <w:drawing>
              <wp:anchor distT="0" distB="0" distL="114300" distR="114300" simplePos="0" relativeHeight="251652164" behindDoc="1" locked="0" layoutInCell="1" allowOverlap="1" wp14:anchorId="2E5BFCAB" wp14:editId="3864C18B">
                <wp:simplePos x="0" y="0"/>
                <wp:positionH relativeFrom="column">
                  <wp:posOffset>-1833</wp:posOffset>
                </wp:positionH>
                <wp:positionV relativeFrom="paragraph">
                  <wp:posOffset>8123</wp:posOffset>
                </wp:positionV>
                <wp:extent cx="5760085" cy="2323946"/>
                <wp:effectExtent l="0" t="0" r="0" b="635"/>
                <wp:wrapNone/>
                <wp:docPr id="764518264" name="Group 764518264"/>
                <wp:cNvGraphicFramePr/>
                <a:graphic xmlns:a="http://schemas.openxmlformats.org/drawingml/2006/main">
                  <a:graphicData uri="http://schemas.microsoft.com/office/word/2010/wordprocessingGroup">
                    <wpg:wgp>
                      <wpg:cNvGrpSpPr/>
                      <wpg:grpSpPr>
                        <a:xfrm>
                          <a:off x="0" y="0"/>
                          <a:ext cx="5760085" cy="2323946"/>
                          <a:chOff x="0" y="62865"/>
                          <a:chExt cx="5760085" cy="2324182"/>
                        </a:xfrm>
                      </wpg:grpSpPr>
                      <wps:wsp>
                        <wps:cNvPr id="76451826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C92FE7" w14:textId="77777777" w:rsidR="00A55F53" w:rsidRDefault="00A55F53" w:rsidP="00161734">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266" name="Group 53"/>
                        <wpg:cNvGrpSpPr>
                          <a:grpSpLocks/>
                        </wpg:cNvGrpSpPr>
                        <wpg:grpSpPr bwMode="auto">
                          <a:xfrm>
                            <a:off x="0" y="316077"/>
                            <a:ext cx="5760085" cy="2070970"/>
                            <a:chOff x="1837" y="1790"/>
                            <a:chExt cx="9302" cy="22370"/>
                          </a:xfrm>
                        </wpg:grpSpPr>
                        <wps:wsp>
                          <wps:cNvPr id="764518268" name="Freeform 54"/>
                          <wps:cNvSpPr>
                            <a:spLocks/>
                          </wps:cNvSpPr>
                          <wps:spPr bwMode="auto">
                            <a:xfrm>
                              <a:off x="1837" y="1790"/>
                              <a:ext cx="9302" cy="2237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269" name="Group 764518269"/>
                        <wpg:cNvGrpSpPr/>
                        <wpg:grpSpPr>
                          <a:xfrm>
                            <a:off x="0" y="494036"/>
                            <a:ext cx="1443794" cy="252000"/>
                            <a:chOff x="-15880" y="0"/>
                            <a:chExt cx="1444379" cy="252068"/>
                          </a:xfrm>
                        </wpg:grpSpPr>
                        <wps:wsp>
                          <wps:cNvPr id="76451827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7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3F909A" w14:textId="359648BA" w:rsidR="00A55F53" w:rsidRPr="00E700FF" w:rsidRDefault="00A55F53" w:rsidP="00161734">
                                <w:pPr>
                                  <w:pStyle w:val="BoxTitle"/>
                                  <w:spacing w:before="0" w:beforeAutospacing="0"/>
                                </w:pPr>
                                <w:r w:rsidRPr="001C1B37">
                                  <w:t>Q</w:t>
                                </w:r>
                                <w:r>
                                  <w:t>25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E5BFCAB" id="Group 764518264" o:spid="_x0000_s1370" style="position:absolute;left:0;text-align:left;margin-left:-.15pt;margin-top:.65pt;width:453.55pt;height:183pt;z-index:-251664316;mso-height-relative:margin" coordorigin=",628" coordsize="57600,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">
                <v:shape id="_x0000_s137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2C92FE7" w14:textId="77777777" w:rsidR="00A55F53" w:rsidRDefault="00A55F53" w:rsidP="00161734">
                        <w:pPr>
                          <w:pStyle w:val="BoxTitle"/>
                          <w:spacing w:before="0" w:beforeAutospacing="0"/>
                        </w:pPr>
                        <w:r w:rsidRPr="007F6876">
                          <w:t>QUESTION</w:t>
                        </w:r>
                      </w:p>
                    </w:txbxContent>
                  </v:textbox>
                </v:shape>
                <v:group id="Group 53" o:spid="_x0000_s1372" style="position:absolute;top:3160;width:57600;height:20710" coordorigin="1837,1790" coordsize="9302,2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">
                  <v:shape id="Freeform 54" o:spid="_x0000_s1373" style="position:absolute;left:1837;top:1790;width:9302;height:2237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" path="m,l9354,r,7809l,7809,,e" fillcolor="#edf2ea" stroked="f">
                    <v:path arrowok="t" o:connecttype="custom" o:connectlocs="0,2865;9302,2865;9302,25235;0,25235;0,2865" o:connectangles="0,0,0,0,0"/>
                  </v:shape>
                </v:group>
                <v:group id="Group 764518269" o:spid="_x0000_s137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">
                  <v:shape id="Freeform 58" o:spid="_x0000_s137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" path="m,l1815,e" filled="f" strokecolor="#72ab6a" strokeweight=".5pt">
                    <v:path arrowok="t" o:connecttype="custom" o:connectlocs="0,0;1073495,0" o:connectangles="0,0"/>
                  </v:shape>
                  <v:shape id="Freeform 66" o:spid="_x0000_s137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B3F909A" w14:textId="359648BA" w:rsidR="00A55F53" w:rsidRPr="00E700FF" w:rsidRDefault="00A55F53" w:rsidP="00161734">
                          <w:pPr>
                            <w:pStyle w:val="BoxTitle"/>
                            <w:spacing w:before="0" w:beforeAutospacing="0"/>
                          </w:pPr>
                          <w:r w:rsidRPr="001C1B37">
                            <w:t>Q</w:t>
                          </w:r>
                          <w:r>
                            <w:t>25</w:t>
                          </w:r>
                        </w:p>
                      </w:txbxContent>
                    </v:textbox>
                  </v:shape>
                </v:group>
              </v:group>
            </w:pict>
          </mc:Fallback>
        </mc:AlternateContent>
      </w:r>
    </w:p>
    <w:p w14:paraId="54A5665F" w14:textId="77777777" w:rsidR="00C035AF" w:rsidRDefault="00C035AF" w:rsidP="00C035AF">
      <w:pPr>
        <w:pStyle w:val="QuestionBox"/>
      </w:pPr>
    </w:p>
    <w:p w14:paraId="7A2E9E34" w14:textId="22DE3545" w:rsidR="00D36A28" w:rsidRDefault="00BD5C95" w:rsidP="00C035AF">
      <w:pPr>
        <w:pStyle w:val="QuestionBox"/>
      </w:pPr>
      <w:r>
        <w:rPr>
          <w:rFonts w:ascii="ZWAdobeF" w:hAnsi="ZWAdobeF" w:cs="ZWAdobeF"/>
          <w:color w:val="auto"/>
          <w:sz w:val="2"/>
          <w:szCs w:val="2"/>
        </w:rPr>
        <w:t>1423B</w:t>
      </w:r>
      <w:r w:rsidR="0049638A">
        <w:rPr>
          <w:rFonts w:ascii="ZWAdobeF" w:hAnsi="ZWAdobeF" w:cs="ZWAdobeF"/>
          <w:color w:val="auto"/>
          <w:sz w:val="2"/>
          <w:szCs w:val="2"/>
        </w:rPr>
        <w:t>1423B</w:t>
      </w:r>
      <w:r w:rsidR="00D629FA">
        <w:rPr>
          <w:rFonts w:ascii="ZWAdobeF" w:hAnsi="ZWAdobeF" w:cs="ZWAdobeF"/>
          <w:color w:val="auto"/>
          <w:sz w:val="2"/>
          <w:szCs w:val="2"/>
        </w:rPr>
        <w:t>1423B</w:t>
      </w:r>
      <w:r w:rsidR="00D36A28">
        <w:t>How can individual issues in a class action be determined in an efficient way? For example, should the court have the power to:</w:t>
      </w:r>
    </w:p>
    <w:p w14:paraId="69783476" w14:textId="38B8C159" w:rsidR="00D36A28" w:rsidRDefault="00BD5C95" w:rsidP="00B73434">
      <w:pPr>
        <w:pStyle w:val="Questionabc"/>
        <w:numPr>
          <w:ilvl w:val="0"/>
          <w:numId w:val="48"/>
        </w:numPr>
        <w:ind w:left="1418" w:hanging="425"/>
      </w:pPr>
      <w:r>
        <w:rPr>
          <w:rFonts w:ascii="ZWAdobeF" w:hAnsi="ZWAdobeF" w:cs="ZWAdobeF"/>
          <w:color w:val="auto"/>
          <w:sz w:val="2"/>
          <w:szCs w:val="2"/>
        </w:rPr>
        <w:t>1310B</w:t>
      </w:r>
      <w:r w:rsidR="0049638A">
        <w:rPr>
          <w:rFonts w:ascii="ZWAdobeF" w:hAnsi="ZWAdobeF" w:cs="ZWAdobeF"/>
          <w:color w:val="auto"/>
          <w:sz w:val="2"/>
          <w:szCs w:val="2"/>
        </w:rPr>
        <w:t>1310B</w:t>
      </w:r>
      <w:r w:rsidR="00D629FA">
        <w:rPr>
          <w:rFonts w:ascii="ZWAdobeF" w:hAnsi="ZWAdobeF" w:cs="ZWAdobeF"/>
          <w:color w:val="auto"/>
          <w:sz w:val="2"/>
          <w:szCs w:val="2"/>
        </w:rPr>
        <w:t>1310B</w:t>
      </w:r>
      <w:r w:rsidR="00D36A28">
        <w:t xml:space="preserve">Appoint an expert to enquire into individual issues. </w:t>
      </w:r>
    </w:p>
    <w:p w14:paraId="43819192" w14:textId="133A2561" w:rsidR="00D36A28" w:rsidRDefault="00BD5C95" w:rsidP="00B73434">
      <w:pPr>
        <w:pStyle w:val="Questionabc"/>
        <w:numPr>
          <w:ilvl w:val="0"/>
          <w:numId w:val="48"/>
        </w:numPr>
        <w:ind w:left="1418" w:hanging="425"/>
      </w:pPr>
      <w:r>
        <w:rPr>
          <w:rFonts w:ascii="ZWAdobeF" w:hAnsi="ZWAdobeF" w:cs="ZWAdobeF"/>
          <w:color w:val="auto"/>
          <w:sz w:val="2"/>
          <w:szCs w:val="2"/>
        </w:rPr>
        <w:t>1311B</w:t>
      </w:r>
      <w:r w:rsidR="0049638A">
        <w:rPr>
          <w:rFonts w:ascii="ZWAdobeF" w:hAnsi="ZWAdobeF" w:cs="ZWAdobeF"/>
          <w:color w:val="auto"/>
          <w:sz w:val="2"/>
          <w:szCs w:val="2"/>
        </w:rPr>
        <w:t>1311B</w:t>
      </w:r>
      <w:r w:rsidR="00D629FA">
        <w:rPr>
          <w:rFonts w:ascii="ZWAdobeF" w:hAnsi="ZWAdobeF" w:cs="ZWAdobeF"/>
          <w:color w:val="auto"/>
          <w:sz w:val="2"/>
          <w:szCs w:val="2"/>
        </w:rPr>
        <w:t>1311B</w:t>
      </w:r>
      <w:r w:rsidR="0050249A">
        <w:t xml:space="preserve">Order </w:t>
      </w:r>
      <w:r w:rsidR="00D36A28">
        <w:t>individual issues to be determined through a non-judicial process, where the parties agree to that.</w:t>
      </w:r>
    </w:p>
    <w:p w14:paraId="5CBA6DCC" w14:textId="61BFB972" w:rsidR="00D36A28" w:rsidRDefault="00BD5C95" w:rsidP="00B73434">
      <w:pPr>
        <w:pStyle w:val="Questionabc"/>
        <w:numPr>
          <w:ilvl w:val="0"/>
          <w:numId w:val="48"/>
        </w:numPr>
        <w:ind w:left="1418" w:hanging="425"/>
      </w:pPr>
      <w:r>
        <w:rPr>
          <w:rFonts w:ascii="ZWAdobeF" w:hAnsi="ZWAdobeF" w:cs="ZWAdobeF"/>
          <w:color w:val="auto"/>
          <w:sz w:val="2"/>
          <w:szCs w:val="2"/>
        </w:rPr>
        <w:t>1312B</w:t>
      </w:r>
      <w:r w:rsidR="0049638A">
        <w:rPr>
          <w:rFonts w:ascii="ZWAdobeF" w:hAnsi="ZWAdobeF" w:cs="ZWAdobeF"/>
          <w:color w:val="auto"/>
          <w:sz w:val="2"/>
          <w:szCs w:val="2"/>
        </w:rPr>
        <w:t>1312B</w:t>
      </w:r>
      <w:r w:rsidR="00D629FA">
        <w:rPr>
          <w:rFonts w:ascii="ZWAdobeF" w:hAnsi="ZWAdobeF" w:cs="ZWAdobeF"/>
          <w:color w:val="auto"/>
          <w:sz w:val="2"/>
          <w:szCs w:val="2"/>
        </w:rPr>
        <w:t>1312B</w:t>
      </w:r>
      <w:r w:rsidR="00D36A28">
        <w:t xml:space="preserve">Give directions as to the form or way in which evidence on individual issues may be given. </w:t>
      </w:r>
    </w:p>
    <w:p w14:paraId="050A0DCF" w14:textId="77777777" w:rsidR="00C035AF" w:rsidRDefault="00C035AF" w:rsidP="00C035AF">
      <w:pPr>
        <w:pStyle w:val="QuestionBox"/>
      </w:pPr>
    </w:p>
    <w:p w14:paraId="77130A31" w14:textId="77777777" w:rsidR="00D36A28" w:rsidRDefault="00D36A28" w:rsidP="00161734">
      <w:pPr>
        <w:pStyle w:val="Heading2"/>
      </w:pPr>
      <w:bookmarkStart w:id="78" w:name="_Toc83895453"/>
      <w:r>
        <w:t>Discovery and other requirements to provide information</w:t>
      </w:r>
      <w:bookmarkEnd w:id="78"/>
      <w:r>
        <w:t xml:space="preserve"> </w:t>
      </w:r>
    </w:p>
    <w:p w14:paraId="307AE6E6" w14:textId="2DFAF29B" w:rsidR="00D36A28" w:rsidRDefault="00BD5C95" w:rsidP="00B73434">
      <w:pPr>
        <w:pStyle w:val="BodyText"/>
        <w:numPr>
          <w:ilvl w:val="1"/>
          <w:numId w:val="43"/>
        </w:numPr>
        <w:tabs>
          <w:tab w:val="left" w:pos="709"/>
        </w:tabs>
        <w:ind w:hanging="709"/>
      </w:pPr>
      <w:r>
        <w:rPr>
          <w:rFonts w:ascii="ZWAdobeF" w:hAnsi="ZWAdobeF" w:cs="ZWAdobeF"/>
          <w:color w:val="auto"/>
          <w:sz w:val="2"/>
          <w:szCs w:val="2"/>
        </w:rPr>
        <w:t>314B</w:t>
      </w:r>
      <w:r w:rsidR="0049638A">
        <w:rPr>
          <w:rFonts w:ascii="ZWAdobeF" w:hAnsi="ZWAdobeF" w:cs="ZWAdobeF"/>
          <w:color w:val="auto"/>
          <w:sz w:val="2"/>
          <w:szCs w:val="2"/>
        </w:rPr>
        <w:t>314B</w:t>
      </w:r>
      <w:r w:rsidR="00D629FA">
        <w:rPr>
          <w:rFonts w:ascii="ZWAdobeF" w:hAnsi="ZWAdobeF" w:cs="ZWAdobeF"/>
          <w:color w:val="auto"/>
          <w:sz w:val="2"/>
          <w:szCs w:val="2"/>
        </w:rPr>
        <w:t>314B</w:t>
      </w:r>
      <w:r w:rsidR="00D36A28">
        <w:t xml:space="preserve">We envisage that the general High Court Rules relating to discovery and inspection, interrogatories and notice to admit facts would apply to class actions, as with other civil </w:t>
      </w:r>
      <w:r w:rsidR="00D36A28">
        <w:lastRenderedPageBreak/>
        <w:t>litigation.</w:t>
      </w:r>
      <w:r w:rsidR="00D629FA">
        <w:rPr>
          <w:rFonts w:ascii="ZWAdobeF" w:hAnsi="ZWAdobeF" w:cs="ZWAdobeF"/>
          <w:color w:val="auto"/>
          <w:sz w:val="2"/>
          <w:szCs w:val="2"/>
        </w:rPr>
        <w:t>502F</w:t>
      </w:r>
      <w:r w:rsidR="007A330E">
        <w:rPr>
          <w:rFonts w:ascii="ZWAdobeF" w:hAnsi="ZWAdobeF" w:cs="ZWAdobeF"/>
          <w:color w:val="auto"/>
          <w:sz w:val="2"/>
          <w:szCs w:val="2"/>
        </w:rPr>
        <w:t>502F</w:t>
      </w:r>
      <w:r w:rsidR="00317AE4">
        <w:rPr>
          <w:rFonts w:ascii="ZWAdobeF" w:hAnsi="ZWAdobeF" w:cs="ZWAdobeF"/>
          <w:color w:val="auto"/>
          <w:sz w:val="2"/>
          <w:szCs w:val="2"/>
        </w:rPr>
        <w:t>502F</w:t>
      </w:r>
      <w:r w:rsidR="00D36A28">
        <w:rPr>
          <w:rStyle w:val="FootnoteReference"/>
        </w:rPr>
        <w:footnoteReference w:id="504"/>
      </w:r>
      <w:r w:rsidR="00D36A28">
        <w:t xml:space="preserve"> In this section, we discuss the issue of discovery by individual class members and how to ensure the defendant has sufficient information about claims. </w:t>
      </w:r>
    </w:p>
    <w:p w14:paraId="75F8CB03" w14:textId="77777777" w:rsidR="00D36A28" w:rsidRDefault="00D36A28" w:rsidP="00281E2E">
      <w:pPr>
        <w:pStyle w:val="Heading4"/>
      </w:pPr>
      <w:r>
        <w:t xml:space="preserve">Discovery by individual class members </w:t>
      </w:r>
    </w:p>
    <w:p w14:paraId="64911A8A" w14:textId="3D427BB6" w:rsidR="00D36A28" w:rsidRDefault="00BD5C95" w:rsidP="00B73434">
      <w:pPr>
        <w:pStyle w:val="BodyText"/>
        <w:numPr>
          <w:ilvl w:val="1"/>
          <w:numId w:val="43"/>
        </w:numPr>
        <w:tabs>
          <w:tab w:val="left" w:pos="709"/>
        </w:tabs>
        <w:ind w:hanging="709"/>
      </w:pPr>
      <w:r>
        <w:rPr>
          <w:rFonts w:ascii="ZWAdobeF" w:hAnsi="ZWAdobeF" w:cs="ZWAdobeF"/>
          <w:color w:val="auto"/>
          <w:sz w:val="2"/>
          <w:szCs w:val="2"/>
        </w:rPr>
        <w:t>315B</w:t>
      </w:r>
      <w:r w:rsidR="0049638A">
        <w:rPr>
          <w:rFonts w:ascii="ZWAdobeF" w:hAnsi="ZWAdobeF" w:cs="ZWAdobeF"/>
          <w:color w:val="auto"/>
          <w:sz w:val="2"/>
          <w:szCs w:val="2"/>
        </w:rPr>
        <w:t>315B</w:t>
      </w:r>
      <w:r w:rsidR="00D629FA">
        <w:rPr>
          <w:rFonts w:ascii="ZWAdobeF" w:hAnsi="ZWAdobeF" w:cs="ZWAdobeF"/>
          <w:color w:val="auto"/>
          <w:sz w:val="2"/>
          <w:szCs w:val="2"/>
        </w:rPr>
        <w:t>315B</w:t>
      </w:r>
      <w:r w:rsidR="00D36A28">
        <w:t>The representative plaintiff is a party to the proceeding and will have an obligation to meet discovery requirements. The situation of class members differs as they are not parties to the proceeding</w:t>
      </w:r>
      <w:r w:rsidR="00F74831">
        <w:t>, so an order for non-party discovery would be necessary</w:t>
      </w:r>
      <w:r w:rsidR="00D36A28">
        <w:t>.</w:t>
      </w:r>
      <w:r w:rsidR="00D629FA">
        <w:rPr>
          <w:rFonts w:ascii="ZWAdobeF" w:hAnsi="ZWAdobeF" w:cs="ZWAdobeF"/>
          <w:color w:val="auto"/>
          <w:sz w:val="2"/>
          <w:szCs w:val="2"/>
        </w:rPr>
        <w:t>503F</w:t>
      </w:r>
      <w:r w:rsidR="007A330E">
        <w:rPr>
          <w:rFonts w:ascii="ZWAdobeF" w:hAnsi="ZWAdobeF" w:cs="ZWAdobeF"/>
          <w:color w:val="auto"/>
          <w:sz w:val="2"/>
          <w:szCs w:val="2"/>
        </w:rPr>
        <w:t>503F</w:t>
      </w:r>
      <w:r w:rsidR="00317AE4">
        <w:rPr>
          <w:rFonts w:ascii="ZWAdobeF" w:hAnsi="ZWAdobeF" w:cs="ZWAdobeF"/>
          <w:color w:val="auto"/>
          <w:sz w:val="2"/>
          <w:szCs w:val="2"/>
        </w:rPr>
        <w:t>503F</w:t>
      </w:r>
      <w:r w:rsidR="00F74831">
        <w:rPr>
          <w:rStyle w:val="FootnoteReference"/>
        </w:rPr>
        <w:footnoteReference w:id="505"/>
      </w:r>
      <w:r w:rsidR="00D36A28">
        <w:t xml:space="preserve"> Information held by individual class members will be most relevant at stage two of the proceeding. However, depending on how the stage two hearing is managed, it may not be necessary for all class members to provide discovery.</w:t>
      </w:r>
      <w:r w:rsidR="00D629FA">
        <w:rPr>
          <w:rFonts w:ascii="ZWAdobeF" w:hAnsi="ZWAdobeF" w:cs="ZWAdobeF"/>
          <w:color w:val="auto"/>
          <w:sz w:val="2"/>
          <w:szCs w:val="2"/>
        </w:rPr>
        <w:t>504F</w:t>
      </w:r>
      <w:r w:rsidR="007A330E">
        <w:rPr>
          <w:rFonts w:ascii="ZWAdobeF" w:hAnsi="ZWAdobeF" w:cs="ZWAdobeF"/>
          <w:color w:val="auto"/>
          <w:sz w:val="2"/>
          <w:szCs w:val="2"/>
        </w:rPr>
        <w:t>504F</w:t>
      </w:r>
      <w:r w:rsidR="00317AE4">
        <w:rPr>
          <w:rFonts w:ascii="ZWAdobeF" w:hAnsi="ZWAdobeF" w:cs="ZWAdobeF"/>
          <w:color w:val="auto"/>
          <w:sz w:val="2"/>
          <w:szCs w:val="2"/>
        </w:rPr>
        <w:t>504F</w:t>
      </w:r>
      <w:r w:rsidR="00D36A28">
        <w:rPr>
          <w:rStyle w:val="FootnoteReference"/>
        </w:rPr>
        <w:footnoteReference w:id="506"/>
      </w:r>
      <w:r w:rsidR="00D36A28">
        <w:t xml:space="preserve"> </w:t>
      </w:r>
    </w:p>
    <w:p w14:paraId="2DB40211" w14:textId="3A90D420" w:rsidR="00D36A28" w:rsidRDefault="00BD5C95" w:rsidP="00B73434">
      <w:pPr>
        <w:pStyle w:val="BodyText"/>
        <w:numPr>
          <w:ilvl w:val="1"/>
          <w:numId w:val="43"/>
        </w:numPr>
        <w:tabs>
          <w:tab w:val="left" w:pos="709"/>
        </w:tabs>
        <w:ind w:hanging="709"/>
      </w:pPr>
      <w:r>
        <w:rPr>
          <w:rFonts w:ascii="ZWAdobeF" w:hAnsi="ZWAdobeF" w:cs="ZWAdobeF"/>
          <w:color w:val="auto"/>
          <w:sz w:val="2"/>
          <w:szCs w:val="2"/>
        </w:rPr>
        <w:t>316B</w:t>
      </w:r>
      <w:r w:rsidR="0049638A">
        <w:rPr>
          <w:rFonts w:ascii="ZWAdobeF" w:hAnsi="ZWAdobeF" w:cs="ZWAdobeF"/>
          <w:color w:val="auto"/>
          <w:sz w:val="2"/>
          <w:szCs w:val="2"/>
        </w:rPr>
        <w:t>316B</w:t>
      </w:r>
      <w:r w:rsidR="00D629FA">
        <w:rPr>
          <w:rFonts w:ascii="ZWAdobeF" w:hAnsi="ZWAdobeF" w:cs="ZWAdobeF"/>
          <w:color w:val="auto"/>
          <w:sz w:val="2"/>
          <w:szCs w:val="2"/>
        </w:rPr>
        <w:t>316B</w:t>
      </w:r>
      <w:r w:rsidR="00D36A28">
        <w:t>A class actions regime could specify a procedure for obtaining discovery against class members. The Canadian regimes provide that after the representative plaintiff has provided discovery, a party may apply for discovery against other class members. The court must consider the following matters when deciding whether to grant the application for discovery:</w:t>
      </w:r>
      <w:r w:rsidR="00D629FA">
        <w:rPr>
          <w:rFonts w:ascii="ZWAdobeF" w:hAnsi="ZWAdobeF" w:cs="ZWAdobeF"/>
          <w:color w:val="auto"/>
          <w:sz w:val="2"/>
          <w:szCs w:val="2"/>
        </w:rPr>
        <w:t>505F</w:t>
      </w:r>
      <w:r w:rsidR="007A330E">
        <w:rPr>
          <w:rFonts w:ascii="ZWAdobeF" w:hAnsi="ZWAdobeF" w:cs="ZWAdobeF"/>
          <w:color w:val="auto"/>
          <w:sz w:val="2"/>
          <w:szCs w:val="2"/>
        </w:rPr>
        <w:t>505F</w:t>
      </w:r>
      <w:r w:rsidR="00317AE4">
        <w:rPr>
          <w:rFonts w:ascii="ZWAdobeF" w:hAnsi="ZWAdobeF" w:cs="ZWAdobeF"/>
          <w:color w:val="auto"/>
          <w:sz w:val="2"/>
          <w:szCs w:val="2"/>
        </w:rPr>
        <w:t>505F</w:t>
      </w:r>
      <w:r w:rsidR="00D36A28">
        <w:rPr>
          <w:rStyle w:val="FootnoteReference"/>
        </w:rPr>
        <w:footnoteReference w:id="507"/>
      </w:r>
    </w:p>
    <w:p w14:paraId="6DC00929" w14:textId="45F82946" w:rsidR="00D36A28" w:rsidRDefault="00BD5C95" w:rsidP="00B73434">
      <w:pPr>
        <w:pStyle w:val="BodyTextnonum"/>
        <w:numPr>
          <w:ilvl w:val="3"/>
          <w:numId w:val="44"/>
        </w:numPr>
        <w:tabs>
          <w:tab w:val="clear" w:pos="567"/>
          <w:tab w:val="num" w:pos="709"/>
        </w:tabs>
        <w:ind w:left="1134"/>
      </w:pPr>
      <w:r>
        <w:rPr>
          <w:rFonts w:ascii="ZWAdobeF" w:hAnsi="ZWAdobeF" w:cs="ZWAdobeF"/>
          <w:color w:val="auto"/>
          <w:sz w:val="2"/>
          <w:szCs w:val="2"/>
        </w:rPr>
        <w:t>748B</w:t>
      </w:r>
      <w:r w:rsidR="0049638A">
        <w:rPr>
          <w:rFonts w:ascii="ZWAdobeF" w:hAnsi="ZWAdobeF" w:cs="ZWAdobeF"/>
          <w:color w:val="auto"/>
          <w:sz w:val="2"/>
          <w:szCs w:val="2"/>
        </w:rPr>
        <w:t>748B</w:t>
      </w:r>
      <w:r w:rsidR="00D629FA">
        <w:rPr>
          <w:rFonts w:ascii="ZWAdobeF" w:hAnsi="ZWAdobeF" w:cs="ZWAdobeF"/>
          <w:color w:val="auto"/>
          <w:sz w:val="2"/>
          <w:szCs w:val="2"/>
        </w:rPr>
        <w:t>748B</w:t>
      </w:r>
      <w:r w:rsidR="00D36A28">
        <w:t>The stage of the class action and the issues to be determined at that stage.</w:t>
      </w:r>
    </w:p>
    <w:p w14:paraId="7B2C5291" w14:textId="68209B71" w:rsidR="00D36A28" w:rsidRDefault="00BD5C95" w:rsidP="00B73434">
      <w:pPr>
        <w:pStyle w:val="BodyTextnonum"/>
        <w:numPr>
          <w:ilvl w:val="3"/>
          <w:numId w:val="44"/>
        </w:numPr>
        <w:tabs>
          <w:tab w:val="clear" w:pos="567"/>
          <w:tab w:val="num" w:pos="709"/>
        </w:tabs>
        <w:ind w:left="1134"/>
      </w:pPr>
      <w:r>
        <w:rPr>
          <w:rFonts w:ascii="ZWAdobeF" w:hAnsi="ZWAdobeF" w:cs="ZWAdobeF"/>
          <w:color w:val="auto"/>
          <w:sz w:val="2"/>
          <w:szCs w:val="2"/>
        </w:rPr>
        <w:t>749B</w:t>
      </w:r>
      <w:r w:rsidR="0049638A">
        <w:rPr>
          <w:rFonts w:ascii="ZWAdobeF" w:hAnsi="ZWAdobeF" w:cs="ZWAdobeF"/>
          <w:color w:val="auto"/>
          <w:sz w:val="2"/>
          <w:szCs w:val="2"/>
        </w:rPr>
        <w:t>749B</w:t>
      </w:r>
      <w:r w:rsidR="00D629FA">
        <w:rPr>
          <w:rFonts w:ascii="ZWAdobeF" w:hAnsi="ZWAdobeF" w:cs="ZWAdobeF"/>
          <w:color w:val="auto"/>
          <w:sz w:val="2"/>
          <w:szCs w:val="2"/>
        </w:rPr>
        <w:t>749B</w:t>
      </w:r>
      <w:r w:rsidR="00D36A28">
        <w:t>Whether there are sub-classes.</w:t>
      </w:r>
    </w:p>
    <w:p w14:paraId="6E687B6F" w14:textId="78EE46D7" w:rsidR="00D36A28" w:rsidRDefault="00BD5C95" w:rsidP="00B73434">
      <w:pPr>
        <w:pStyle w:val="BodyTextnonum"/>
        <w:numPr>
          <w:ilvl w:val="3"/>
          <w:numId w:val="44"/>
        </w:numPr>
        <w:tabs>
          <w:tab w:val="clear" w:pos="567"/>
          <w:tab w:val="num" w:pos="709"/>
        </w:tabs>
        <w:ind w:left="1134"/>
      </w:pPr>
      <w:r>
        <w:rPr>
          <w:rFonts w:ascii="ZWAdobeF" w:hAnsi="ZWAdobeF" w:cs="ZWAdobeF"/>
          <w:color w:val="auto"/>
          <w:sz w:val="2"/>
          <w:szCs w:val="2"/>
        </w:rPr>
        <w:t>750B</w:t>
      </w:r>
      <w:r w:rsidR="0049638A">
        <w:rPr>
          <w:rFonts w:ascii="ZWAdobeF" w:hAnsi="ZWAdobeF" w:cs="ZWAdobeF"/>
          <w:color w:val="auto"/>
          <w:sz w:val="2"/>
          <w:szCs w:val="2"/>
        </w:rPr>
        <w:t>750B</w:t>
      </w:r>
      <w:r w:rsidR="00D629FA">
        <w:rPr>
          <w:rFonts w:ascii="ZWAdobeF" w:hAnsi="ZWAdobeF" w:cs="ZWAdobeF"/>
          <w:color w:val="auto"/>
          <w:sz w:val="2"/>
          <w:szCs w:val="2"/>
        </w:rPr>
        <w:t>750B</w:t>
      </w:r>
      <w:r w:rsidR="00D36A28">
        <w:t>Whether the discovery is necessary given the claims or defences of the party seeking it.</w:t>
      </w:r>
    </w:p>
    <w:p w14:paraId="39544DC8" w14:textId="22D24D5A" w:rsidR="00D36A28" w:rsidRDefault="00BD5C95" w:rsidP="00B73434">
      <w:pPr>
        <w:pStyle w:val="BodyTextnonum"/>
        <w:numPr>
          <w:ilvl w:val="3"/>
          <w:numId w:val="44"/>
        </w:numPr>
        <w:tabs>
          <w:tab w:val="clear" w:pos="567"/>
          <w:tab w:val="num" w:pos="709"/>
        </w:tabs>
        <w:ind w:left="1134"/>
      </w:pPr>
      <w:r>
        <w:rPr>
          <w:rFonts w:ascii="ZWAdobeF" w:hAnsi="ZWAdobeF" w:cs="ZWAdobeF"/>
          <w:color w:val="auto"/>
          <w:sz w:val="2"/>
          <w:szCs w:val="2"/>
        </w:rPr>
        <w:t>751B</w:t>
      </w:r>
      <w:r w:rsidR="0049638A">
        <w:rPr>
          <w:rFonts w:ascii="ZWAdobeF" w:hAnsi="ZWAdobeF" w:cs="ZWAdobeF"/>
          <w:color w:val="auto"/>
          <w:sz w:val="2"/>
          <w:szCs w:val="2"/>
        </w:rPr>
        <w:t>751B</w:t>
      </w:r>
      <w:r w:rsidR="00D629FA">
        <w:rPr>
          <w:rFonts w:ascii="ZWAdobeF" w:hAnsi="ZWAdobeF" w:cs="ZWAdobeF"/>
          <w:color w:val="auto"/>
          <w:sz w:val="2"/>
          <w:szCs w:val="2"/>
        </w:rPr>
        <w:t>751B</w:t>
      </w:r>
      <w:r w:rsidR="00D36A28">
        <w:t>The monetary value of individual claims.</w:t>
      </w:r>
    </w:p>
    <w:p w14:paraId="7238C041" w14:textId="6DAD0CD6" w:rsidR="00D36A28" w:rsidRDefault="00BD5C95" w:rsidP="00B73434">
      <w:pPr>
        <w:pStyle w:val="BodyTextnonum"/>
        <w:numPr>
          <w:ilvl w:val="3"/>
          <w:numId w:val="44"/>
        </w:numPr>
        <w:tabs>
          <w:tab w:val="clear" w:pos="567"/>
          <w:tab w:val="num" w:pos="709"/>
        </w:tabs>
        <w:ind w:left="1134"/>
      </w:pPr>
      <w:r>
        <w:rPr>
          <w:rFonts w:ascii="ZWAdobeF" w:hAnsi="ZWAdobeF" w:cs="ZWAdobeF"/>
          <w:color w:val="auto"/>
          <w:sz w:val="2"/>
          <w:szCs w:val="2"/>
        </w:rPr>
        <w:t>752B</w:t>
      </w:r>
      <w:r w:rsidR="0049638A">
        <w:rPr>
          <w:rFonts w:ascii="ZWAdobeF" w:hAnsi="ZWAdobeF" w:cs="ZWAdobeF"/>
          <w:color w:val="auto"/>
          <w:sz w:val="2"/>
          <w:szCs w:val="2"/>
        </w:rPr>
        <w:t>752B</w:t>
      </w:r>
      <w:r w:rsidR="00D629FA">
        <w:rPr>
          <w:rFonts w:ascii="ZWAdobeF" w:hAnsi="ZWAdobeF" w:cs="ZWAdobeF"/>
          <w:color w:val="auto"/>
          <w:sz w:val="2"/>
          <w:szCs w:val="2"/>
        </w:rPr>
        <w:t>752B</w:t>
      </w:r>
      <w:r w:rsidR="00D36A28">
        <w:t>Whether discovery would be oppressive or result in undue annoyance, burden or expense for class members.</w:t>
      </w:r>
    </w:p>
    <w:p w14:paraId="06346C36" w14:textId="4186DBDA" w:rsidR="00D36A28" w:rsidRDefault="00BD5C95" w:rsidP="00B73434">
      <w:pPr>
        <w:pStyle w:val="BodyTextnonum"/>
        <w:numPr>
          <w:ilvl w:val="3"/>
          <w:numId w:val="44"/>
        </w:numPr>
        <w:tabs>
          <w:tab w:val="clear" w:pos="567"/>
          <w:tab w:val="num" w:pos="709"/>
        </w:tabs>
        <w:ind w:left="1134"/>
      </w:pPr>
      <w:r>
        <w:rPr>
          <w:rFonts w:ascii="ZWAdobeF" w:hAnsi="ZWAdobeF" w:cs="ZWAdobeF"/>
          <w:color w:val="auto"/>
          <w:sz w:val="2"/>
          <w:szCs w:val="2"/>
        </w:rPr>
        <w:t>753B</w:t>
      </w:r>
      <w:r w:rsidR="0049638A">
        <w:rPr>
          <w:rFonts w:ascii="ZWAdobeF" w:hAnsi="ZWAdobeF" w:cs="ZWAdobeF"/>
          <w:color w:val="auto"/>
          <w:sz w:val="2"/>
          <w:szCs w:val="2"/>
        </w:rPr>
        <w:t>753B</w:t>
      </w:r>
      <w:r w:rsidR="00D629FA">
        <w:rPr>
          <w:rFonts w:ascii="ZWAdobeF" w:hAnsi="ZWAdobeF" w:cs="ZWAdobeF"/>
          <w:color w:val="auto"/>
          <w:sz w:val="2"/>
          <w:szCs w:val="2"/>
        </w:rPr>
        <w:t>753B</w:t>
      </w:r>
      <w:r w:rsidR="00D36A28">
        <w:t>Any other matter the court considers relevant.</w:t>
      </w:r>
    </w:p>
    <w:p w14:paraId="24280AFE" w14:textId="251776B2" w:rsidR="00D36A28" w:rsidRDefault="00BD5C95" w:rsidP="00B73434">
      <w:pPr>
        <w:pStyle w:val="BodyText"/>
        <w:numPr>
          <w:ilvl w:val="1"/>
          <w:numId w:val="43"/>
        </w:numPr>
        <w:tabs>
          <w:tab w:val="left" w:pos="709"/>
        </w:tabs>
        <w:ind w:hanging="709"/>
      </w:pPr>
      <w:r>
        <w:rPr>
          <w:rFonts w:ascii="ZWAdobeF" w:hAnsi="ZWAdobeF" w:cs="ZWAdobeF"/>
          <w:color w:val="auto"/>
          <w:sz w:val="2"/>
          <w:szCs w:val="2"/>
        </w:rPr>
        <w:t>317B</w:t>
      </w:r>
      <w:r w:rsidR="0049638A">
        <w:rPr>
          <w:rFonts w:ascii="ZWAdobeF" w:hAnsi="ZWAdobeF" w:cs="ZWAdobeF"/>
          <w:color w:val="auto"/>
          <w:sz w:val="2"/>
          <w:szCs w:val="2"/>
        </w:rPr>
        <w:t>317B</w:t>
      </w:r>
      <w:r w:rsidR="00D629FA">
        <w:rPr>
          <w:rFonts w:ascii="ZWAdobeF" w:hAnsi="ZWAdobeF" w:cs="ZWAdobeF"/>
          <w:color w:val="auto"/>
          <w:sz w:val="2"/>
          <w:szCs w:val="2"/>
        </w:rPr>
        <w:t>317B</w:t>
      </w:r>
      <w:r w:rsidR="00D36A28">
        <w:t>In the United Kingdom Competition Appeal Tribunal, disclosure is not automatic and must follow an order or direction of the Tribunal.</w:t>
      </w:r>
      <w:r w:rsidR="00D629FA">
        <w:rPr>
          <w:rFonts w:ascii="ZWAdobeF" w:hAnsi="ZWAdobeF" w:cs="ZWAdobeF"/>
          <w:color w:val="auto"/>
          <w:sz w:val="2"/>
          <w:szCs w:val="2"/>
        </w:rPr>
        <w:t>506F</w:t>
      </w:r>
      <w:r w:rsidR="007A330E">
        <w:rPr>
          <w:rFonts w:ascii="ZWAdobeF" w:hAnsi="ZWAdobeF" w:cs="ZWAdobeF"/>
          <w:color w:val="auto"/>
          <w:sz w:val="2"/>
          <w:szCs w:val="2"/>
        </w:rPr>
        <w:t>506F</w:t>
      </w:r>
      <w:r w:rsidR="00317AE4">
        <w:rPr>
          <w:rFonts w:ascii="ZWAdobeF" w:hAnsi="ZWAdobeF" w:cs="ZWAdobeF"/>
          <w:color w:val="auto"/>
          <w:sz w:val="2"/>
          <w:szCs w:val="2"/>
        </w:rPr>
        <w:t>506F</w:t>
      </w:r>
      <w:r w:rsidR="00D36A28">
        <w:rPr>
          <w:rStyle w:val="FootnoteReference"/>
        </w:rPr>
        <w:footnoteReference w:id="508"/>
      </w:r>
      <w:r w:rsidR="00D36A28">
        <w:t xml:space="preserve"> The Tribunal relies on its general powers to order disclosure as well as its specific powers relating to disclosure in class actions. These include the power to order disclosure to be given by a class member to another other class member, the representative plaintiff or the defendant.</w:t>
      </w:r>
      <w:r w:rsidR="00D629FA">
        <w:rPr>
          <w:rFonts w:ascii="ZWAdobeF" w:hAnsi="ZWAdobeF" w:cs="ZWAdobeF"/>
          <w:color w:val="auto"/>
          <w:sz w:val="2"/>
          <w:szCs w:val="2"/>
        </w:rPr>
        <w:t>507F</w:t>
      </w:r>
      <w:r w:rsidR="007A330E">
        <w:rPr>
          <w:rFonts w:ascii="ZWAdobeF" w:hAnsi="ZWAdobeF" w:cs="ZWAdobeF"/>
          <w:color w:val="auto"/>
          <w:sz w:val="2"/>
          <w:szCs w:val="2"/>
        </w:rPr>
        <w:t>507F</w:t>
      </w:r>
      <w:r w:rsidR="00317AE4">
        <w:rPr>
          <w:rFonts w:ascii="ZWAdobeF" w:hAnsi="ZWAdobeF" w:cs="ZWAdobeF"/>
          <w:color w:val="auto"/>
          <w:sz w:val="2"/>
          <w:szCs w:val="2"/>
        </w:rPr>
        <w:t>507F</w:t>
      </w:r>
      <w:r w:rsidR="00D36A28">
        <w:rPr>
          <w:rStyle w:val="FootnoteReference"/>
        </w:rPr>
        <w:footnoteReference w:id="509"/>
      </w:r>
    </w:p>
    <w:p w14:paraId="2F3A6EAB" w14:textId="0308C1A0" w:rsidR="00D36A28" w:rsidRDefault="00BD5C95" w:rsidP="00B73434">
      <w:pPr>
        <w:pStyle w:val="BodyText"/>
        <w:numPr>
          <w:ilvl w:val="1"/>
          <w:numId w:val="43"/>
        </w:numPr>
        <w:tabs>
          <w:tab w:val="left" w:pos="709"/>
        </w:tabs>
        <w:ind w:hanging="709"/>
      </w:pPr>
      <w:r>
        <w:rPr>
          <w:rFonts w:ascii="ZWAdobeF" w:hAnsi="ZWAdobeF" w:cs="ZWAdobeF"/>
          <w:color w:val="auto"/>
          <w:sz w:val="2"/>
          <w:szCs w:val="2"/>
        </w:rPr>
        <w:t>318B</w:t>
      </w:r>
      <w:r w:rsidR="0049638A">
        <w:rPr>
          <w:rFonts w:ascii="ZWAdobeF" w:hAnsi="ZWAdobeF" w:cs="ZWAdobeF"/>
          <w:color w:val="auto"/>
          <w:sz w:val="2"/>
          <w:szCs w:val="2"/>
        </w:rPr>
        <w:t>318B</w:t>
      </w:r>
      <w:r w:rsidR="00D629FA">
        <w:rPr>
          <w:rFonts w:ascii="ZWAdobeF" w:hAnsi="ZWAdobeF" w:cs="ZWAdobeF"/>
          <w:color w:val="auto"/>
          <w:sz w:val="2"/>
          <w:szCs w:val="2"/>
        </w:rPr>
        <w:t>318B</w:t>
      </w:r>
      <w:r w:rsidR="00D36A28">
        <w:t>The Australian and United States regimes do not contain an express provision relating to discovery against class members.</w:t>
      </w:r>
    </w:p>
    <w:p w14:paraId="6FB45908" w14:textId="576CC685" w:rsidR="00D36A28" w:rsidRDefault="00BD5C95" w:rsidP="00B73434">
      <w:pPr>
        <w:pStyle w:val="BodyText"/>
        <w:numPr>
          <w:ilvl w:val="1"/>
          <w:numId w:val="43"/>
        </w:numPr>
        <w:tabs>
          <w:tab w:val="left" w:pos="709"/>
        </w:tabs>
        <w:ind w:hanging="709"/>
      </w:pPr>
      <w:r>
        <w:rPr>
          <w:rFonts w:ascii="ZWAdobeF" w:hAnsi="ZWAdobeF" w:cs="ZWAdobeF"/>
          <w:color w:val="auto"/>
          <w:sz w:val="2"/>
          <w:szCs w:val="2"/>
        </w:rPr>
        <w:lastRenderedPageBreak/>
        <w:t>319B</w:t>
      </w:r>
      <w:r w:rsidR="0049638A">
        <w:rPr>
          <w:rFonts w:ascii="ZWAdobeF" w:hAnsi="ZWAdobeF" w:cs="ZWAdobeF"/>
          <w:color w:val="auto"/>
          <w:sz w:val="2"/>
          <w:szCs w:val="2"/>
        </w:rPr>
        <w:t>319B</w:t>
      </w:r>
      <w:r w:rsidR="00D629FA">
        <w:rPr>
          <w:rFonts w:ascii="ZWAdobeF" w:hAnsi="ZWAdobeF" w:cs="ZWAdobeF"/>
          <w:color w:val="auto"/>
          <w:sz w:val="2"/>
          <w:szCs w:val="2"/>
        </w:rPr>
        <w:t>319B</w:t>
      </w:r>
      <w:r w:rsidR="00D36A28">
        <w:t xml:space="preserve">Our view is that it is not necessary for a class actions regime to have a specific provision on obtaining discovery from class members, given that the court </w:t>
      </w:r>
      <w:r w:rsidR="00F74831">
        <w:t xml:space="preserve">already </w:t>
      </w:r>
      <w:r w:rsidR="00D36A28">
        <w:t xml:space="preserve">has the power to make an order for non-party discovery. </w:t>
      </w:r>
    </w:p>
    <w:p w14:paraId="74C8699C" w14:textId="77777777" w:rsidR="00D36A28" w:rsidRDefault="00D36A28" w:rsidP="00281E2E">
      <w:pPr>
        <w:pStyle w:val="Heading4"/>
      </w:pPr>
      <w:r>
        <w:t xml:space="preserve">Ensuring the defendant has sufficient information about class member claims </w:t>
      </w:r>
    </w:p>
    <w:p w14:paraId="4788807B" w14:textId="02FA4D1B" w:rsidR="00D36A28" w:rsidRDefault="00BD5C95" w:rsidP="00B73434">
      <w:pPr>
        <w:pStyle w:val="BodyText"/>
        <w:numPr>
          <w:ilvl w:val="1"/>
          <w:numId w:val="43"/>
        </w:numPr>
        <w:tabs>
          <w:tab w:val="left" w:pos="709"/>
        </w:tabs>
        <w:ind w:hanging="709"/>
      </w:pPr>
      <w:r>
        <w:rPr>
          <w:rFonts w:ascii="ZWAdobeF" w:hAnsi="ZWAdobeF" w:cs="ZWAdobeF"/>
          <w:color w:val="auto"/>
          <w:sz w:val="2"/>
          <w:szCs w:val="2"/>
        </w:rPr>
        <w:t>320B</w:t>
      </w:r>
      <w:r w:rsidR="0049638A">
        <w:rPr>
          <w:rFonts w:ascii="ZWAdobeF" w:hAnsi="ZWAdobeF" w:cs="ZWAdobeF"/>
          <w:color w:val="auto"/>
          <w:sz w:val="2"/>
          <w:szCs w:val="2"/>
        </w:rPr>
        <w:t>320B</w:t>
      </w:r>
      <w:r w:rsidR="00D629FA">
        <w:rPr>
          <w:rFonts w:ascii="ZWAdobeF" w:hAnsi="ZWAdobeF" w:cs="ZWAdobeF"/>
          <w:color w:val="auto"/>
          <w:sz w:val="2"/>
          <w:szCs w:val="2"/>
        </w:rPr>
        <w:t>320B</w:t>
      </w:r>
      <w:r w:rsidR="00D36A28">
        <w:t xml:space="preserve">If a defendant does not know the identity of all class members or have sufficient details of the circumstances of individual claims, this can make it difficult to assess the merits of a class action and to work out how to respond. This might include identifying any third-party claims and deciding whether to initiate settlement discussions.  </w:t>
      </w:r>
    </w:p>
    <w:p w14:paraId="5AB5BD6F" w14:textId="10314C61" w:rsidR="00D36A28" w:rsidRDefault="00BD5C95" w:rsidP="00B73434">
      <w:pPr>
        <w:pStyle w:val="BodyText"/>
        <w:numPr>
          <w:ilvl w:val="1"/>
          <w:numId w:val="43"/>
        </w:numPr>
        <w:tabs>
          <w:tab w:val="left" w:pos="709"/>
        </w:tabs>
        <w:ind w:hanging="709"/>
      </w:pPr>
      <w:r>
        <w:rPr>
          <w:rFonts w:ascii="ZWAdobeF" w:hAnsi="ZWAdobeF" w:cs="ZWAdobeF"/>
          <w:color w:val="auto"/>
          <w:sz w:val="2"/>
          <w:szCs w:val="2"/>
        </w:rPr>
        <w:t>321B</w:t>
      </w:r>
      <w:r w:rsidR="0049638A">
        <w:rPr>
          <w:rFonts w:ascii="ZWAdobeF" w:hAnsi="ZWAdobeF" w:cs="ZWAdobeF"/>
          <w:color w:val="auto"/>
          <w:sz w:val="2"/>
          <w:szCs w:val="2"/>
        </w:rPr>
        <w:t>321B</w:t>
      </w:r>
      <w:r w:rsidR="00D629FA">
        <w:rPr>
          <w:rFonts w:ascii="ZWAdobeF" w:hAnsi="ZWAdobeF" w:cs="ZWAdobeF"/>
          <w:color w:val="auto"/>
          <w:sz w:val="2"/>
          <w:szCs w:val="2"/>
        </w:rPr>
        <w:t>321B</w:t>
      </w:r>
      <w:r w:rsidR="00D36A28">
        <w:t>This issue will be exacerbated with an opt-out class action as there will often be many unknown class members prior to individual issues being determined. In an opt-in claim, the identity of all class members will be known to the representative plaintiff at the end of the opt-in period. We are aware of representative actions where a defendant has successfully sought discovery of the forms submitted by individuals to opt into the proceeding.</w:t>
      </w:r>
      <w:r w:rsidR="00D629FA">
        <w:rPr>
          <w:rFonts w:ascii="ZWAdobeF" w:hAnsi="ZWAdobeF" w:cs="ZWAdobeF"/>
          <w:color w:val="auto"/>
          <w:sz w:val="2"/>
          <w:szCs w:val="2"/>
        </w:rPr>
        <w:t>508F</w:t>
      </w:r>
      <w:r w:rsidR="007A330E">
        <w:rPr>
          <w:rFonts w:ascii="ZWAdobeF" w:hAnsi="ZWAdobeF" w:cs="ZWAdobeF"/>
          <w:color w:val="auto"/>
          <w:sz w:val="2"/>
          <w:szCs w:val="2"/>
        </w:rPr>
        <w:t>508F</w:t>
      </w:r>
      <w:r w:rsidR="00317AE4">
        <w:rPr>
          <w:rFonts w:ascii="ZWAdobeF" w:hAnsi="ZWAdobeF" w:cs="ZWAdobeF"/>
          <w:color w:val="auto"/>
          <w:sz w:val="2"/>
          <w:szCs w:val="2"/>
        </w:rPr>
        <w:t>508F</w:t>
      </w:r>
      <w:r w:rsidR="00D36A28">
        <w:rPr>
          <w:rStyle w:val="FootnoteReference"/>
        </w:rPr>
        <w:footnoteReference w:id="510"/>
      </w:r>
      <w:r w:rsidR="00D36A28">
        <w:t xml:space="preserve"> </w:t>
      </w:r>
    </w:p>
    <w:p w14:paraId="0931217F" w14:textId="507D825D" w:rsidR="00D36A28" w:rsidRDefault="00BD5C95" w:rsidP="00B73434">
      <w:pPr>
        <w:pStyle w:val="BodyText"/>
        <w:numPr>
          <w:ilvl w:val="1"/>
          <w:numId w:val="43"/>
        </w:numPr>
        <w:tabs>
          <w:tab w:val="left" w:pos="709"/>
        </w:tabs>
        <w:ind w:hanging="709"/>
      </w:pPr>
      <w:r>
        <w:rPr>
          <w:rFonts w:ascii="ZWAdobeF" w:hAnsi="ZWAdobeF" w:cs="ZWAdobeF"/>
          <w:color w:val="auto"/>
          <w:sz w:val="2"/>
          <w:szCs w:val="2"/>
        </w:rPr>
        <w:t>322B</w:t>
      </w:r>
      <w:r w:rsidR="0049638A">
        <w:rPr>
          <w:rFonts w:ascii="ZWAdobeF" w:hAnsi="ZWAdobeF" w:cs="ZWAdobeF"/>
          <w:color w:val="auto"/>
          <w:sz w:val="2"/>
          <w:szCs w:val="2"/>
        </w:rPr>
        <w:t>322B</w:t>
      </w:r>
      <w:r w:rsidR="00D629FA">
        <w:rPr>
          <w:rFonts w:ascii="ZWAdobeF" w:hAnsi="ZWAdobeF" w:cs="ZWAdobeF"/>
          <w:color w:val="auto"/>
          <w:sz w:val="2"/>
          <w:szCs w:val="2"/>
        </w:rPr>
        <w:t>322B</w:t>
      </w:r>
      <w:r w:rsidR="00D36A28">
        <w:t>There are a variety of mechanisms in the High Court Rules which allow a defendant to seek further information from the representative plaintiff. As well as the ability to seek discovery, a defendant can seek further particulars from a plaintiff or file a notice to answer interrogatories or a notice to admit facts.</w:t>
      </w:r>
      <w:r w:rsidR="00D629FA">
        <w:rPr>
          <w:rFonts w:ascii="ZWAdobeF" w:hAnsi="ZWAdobeF" w:cs="ZWAdobeF"/>
          <w:color w:val="auto"/>
          <w:sz w:val="2"/>
          <w:szCs w:val="2"/>
        </w:rPr>
        <w:t>509F</w:t>
      </w:r>
      <w:r w:rsidR="007A330E">
        <w:rPr>
          <w:rFonts w:ascii="ZWAdobeF" w:hAnsi="ZWAdobeF" w:cs="ZWAdobeF"/>
          <w:color w:val="auto"/>
          <w:sz w:val="2"/>
          <w:szCs w:val="2"/>
        </w:rPr>
        <w:t>509F</w:t>
      </w:r>
      <w:r w:rsidR="00317AE4">
        <w:rPr>
          <w:rFonts w:ascii="ZWAdobeF" w:hAnsi="ZWAdobeF" w:cs="ZWAdobeF"/>
          <w:color w:val="auto"/>
          <w:sz w:val="2"/>
          <w:szCs w:val="2"/>
        </w:rPr>
        <w:t>509F</w:t>
      </w:r>
      <w:r w:rsidR="00D36A28">
        <w:rPr>
          <w:rStyle w:val="FootnoteReference"/>
        </w:rPr>
        <w:footnoteReference w:id="511"/>
      </w:r>
      <w:r w:rsidR="00D36A28">
        <w:t xml:space="preserve"> There are several cases where defendants have sought further particulars from plaintiffs in representative actions under HCR 4.24.</w:t>
      </w:r>
      <w:r w:rsidR="00D629FA">
        <w:rPr>
          <w:rFonts w:ascii="ZWAdobeF" w:hAnsi="ZWAdobeF" w:cs="ZWAdobeF"/>
          <w:color w:val="auto"/>
          <w:sz w:val="2"/>
          <w:szCs w:val="2"/>
        </w:rPr>
        <w:t>510F</w:t>
      </w:r>
      <w:r w:rsidR="007A330E">
        <w:rPr>
          <w:rFonts w:ascii="ZWAdobeF" w:hAnsi="ZWAdobeF" w:cs="ZWAdobeF"/>
          <w:color w:val="auto"/>
          <w:sz w:val="2"/>
          <w:szCs w:val="2"/>
        </w:rPr>
        <w:t>510F</w:t>
      </w:r>
      <w:r w:rsidR="00317AE4">
        <w:rPr>
          <w:rFonts w:ascii="ZWAdobeF" w:hAnsi="ZWAdobeF" w:cs="ZWAdobeF"/>
          <w:color w:val="auto"/>
          <w:sz w:val="2"/>
          <w:szCs w:val="2"/>
        </w:rPr>
        <w:t>510F</w:t>
      </w:r>
      <w:r w:rsidR="00D36A28">
        <w:rPr>
          <w:rStyle w:val="FootnoteReference"/>
        </w:rPr>
        <w:footnoteReference w:id="512"/>
      </w:r>
    </w:p>
    <w:p w14:paraId="3CDEB444" w14:textId="4A685E33" w:rsidR="00D36A28" w:rsidRDefault="00BD5C95" w:rsidP="00B73434">
      <w:pPr>
        <w:pStyle w:val="BodyText"/>
        <w:numPr>
          <w:ilvl w:val="1"/>
          <w:numId w:val="43"/>
        </w:numPr>
        <w:tabs>
          <w:tab w:val="left" w:pos="709"/>
        </w:tabs>
        <w:ind w:hanging="709"/>
      </w:pPr>
      <w:r>
        <w:rPr>
          <w:rFonts w:ascii="ZWAdobeF" w:hAnsi="ZWAdobeF" w:cs="ZWAdobeF"/>
          <w:color w:val="auto"/>
          <w:sz w:val="2"/>
          <w:szCs w:val="2"/>
        </w:rPr>
        <w:t>323B</w:t>
      </w:r>
      <w:r w:rsidR="0049638A">
        <w:rPr>
          <w:rFonts w:ascii="ZWAdobeF" w:hAnsi="ZWAdobeF" w:cs="ZWAdobeF"/>
          <w:color w:val="auto"/>
          <w:sz w:val="2"/>
          <w:szCs w:val="2"/>
        </w:rPr>
        <w:t>323B</w:t>
      </w:r>
      <w:r w:rsidR="00D629FA">
        <w:rPr>
          <w:rFonts w:ascii="ZWAdobeF" w:hAnsi="ZWAdobeF" w:cs="ZWAdobeF"/>
          <w:color w:val="auto"/>
          <w:sz w:val="2"/>
          <w:szCs w:val="2"/>
        </w:rPr>
        <w:t>323B</w:t>
      </w:r>
      <w:r w:rsidR="00D36A28">
        <w:t>We are interested to hear from submitters whether these mechanisms are sufficient to enable defendants to obtain adequate information about individual claims or whether specific class action rules are needed. For example, there could be a requirement to establish a register of class members who have opted in or out and make this available to the defendant if requested, as required in the United Kingdom Competition Appeal Tribunal.</w:t>
      </w:r>
      <w:r w:rsidR="00D629FA">
        <w:rPr>
          <w:rFonts w:ascii="ZWAdobeF" w:hAnsi="ZWAdobeF" w:cs="ZWAdobeF"/>
          <w:color w:val="auto"/>
          <w:sz w:val="2"/>
          <w:szCs w:val="2"/>
        </w:rPr>
        <w:t>511F</w:t>
      </w:r>
      <w:r w:rsidR="007A330E">
        <w:rPr>
          <w:rFonts w:ascii="ZWAdobeF" w:hAnsi="ZWAdobeF" w:cs="ZWAdobeF"/>
          <w:color w:val="auto"/>
          <w:sz w:val="2"/>
          <w:szCs w:val="2"/>
        </w:rPr>
        <w:t>511F</w:t>
      </w:r>
      <w:r w:rsidR="00317AE4">
        <w:rPr>
          <w:rFonts w:ascii="ZWAdobeF" w:hAnsi="ZWAdobeF" w:cs="ZWAdobeF"/>
          <w:color w:val="auto"/>
          <w:sz w:val="2"/>
          <w:szCs w:val="2"/>
        </w:rPr>
        <w:t>511F</w:t>
      </w:r>
      <w:r w:rsidR="00D36A28">
        <w:rPr>
          <w:rStyle w:val="FootnoteReference"/>
        </w:rPr>
        <w:footnoteReference w:id="513"/>
      </w:r>
      <w:r w:rsidR="00D36A28">
        <w:t xml:space="preserve"> A plaintiff could also have to provide an estimate of the size of the class as part of certification, as required in Canada and the United Kingdom Competition Appeal Tribunal.</w:t>
      </w:r>
      <w:r w:rsidR="00D629FA">
        <w:rPr>
          <w:rFonts w:ascii="ZWAdobeF" w:hAnsi="ZWAdobeF" w:cs="ZWAdobeF"/>
          <w:color w:val="auto"/>
          <w:sz w:val="2"/>
          <w:szCs w:val="2"/>
        </w:rPr>
        <w:t>512F</w:t>
      </w:r>
      <w:r w:rsidR="007A330E">
        <w:rPr>
          <w:rFonts w:ascii="ZWAdobeF" w:hAnsi="ZWAdobeF" w:cs="ZWAdobeF"/>
          <w:color w:val="auto"/>
          <w:sz w:val="2"/>
          <w:szCs w:val="2"/>
        </w:rPr>
        <w:t>512F</w:t>
      </w:r>
      <w:r w:rsidR="00317AE4">
        <w:rPr>
          <w:rFonts w:ascii="ZWAdobeF" w:hAnsi="ZWAdobeF" w:cs="ZWAdobeF"/>
          <w:color w:val="auto"/>
          <w:sz w:val="2"/>
          <w:szCs w:val="2"/>
        </w:rPr>
        <w:t>512F</w:t>
      </w:r>
      <w:r w:rsidR="00D36A28">
        <w:rPr>
          <w:rStyle w:val="FootnoteReference"/>
        </w:rPr>
        <w:footnoteReference w:id="514"/>
      </w:r>
      <w:r w:rsidR="00D36A28">
        <w:t xml:space="preserve"> </w:t>
      </w:r>
    </w:p>
    <w:p w14:paraId="46B67835" w14:textId="153CD6FB" w:rsidR="00D36A28" w:rsidRDefault="00BD5C95" w:rsidP="00B73434">
      <w:pPr>
        <w:pStyle w:val="BodyText"/>
        <w:numPr>
          <w:ilvl w:val="1"/>
          <w:numId w:val="43"/>
        </w:numPr>
        <w:tabs>
          <w:tab w:val="left" w:pos="709"/>
        </w:tabs>
        <w:ind w:hanging="709"/>
      </w:pPr>
      <w:r>
        <w:rPr>
          <w:rFonts w:ascii="ZWAdobeF" w:hAnsi="ZWAdobeF" w:cs="ZWAdobeF"/>
          <w:color w:val="auto"/>
          <w:sz w:val="2"/>
          <w:szCs w:val="2"/>
        </w:rPr>
        <w:t>324B</w:t>
      </w:r>
      <w:r w:rsidR="0049638A">
        <w:rPr>
          <w:rFonts w:ascii="ZWAdobeF" w:hAnsi="ZWAdobeF" w:cs="ZWAdobeF"/>
          <w:color w:val="auto"/>
          <w:sz w:val="2"/>
          <w:szCs w:val="2"/>
        </w:rPr>
        <w:t>324B</w:t>
      </w:r>
      <w:r w:rsidR="00D629FA">
        <w:rPr>
          <w:rFonts w:ascii="ZWAdobeF" w:hAnsi="ZWAdobeF" w:cs="ZWAdobeF"/>
          <w:color w:val="auto"/>
          <w:sz w:val="2"/>
          <w:szCs w:val="2"/>
        </w:rPr>
        <w:t>324B</w:t>
      </w:r>
      <w:r w:rsidR="00D36A28">
        <w:t>We propose that a representative plaintiff should be required to keep a list of class members who have opted into or opted out of a class action (as appropriate)</w:t>
      </w:r>
      <w:r w:rsidR="002A6437">
        <w:t xml:space="preserve">. The defendant should be able to request a list of persons who have opted into the class action </w:t>
      </w:r>
      <w:r w:rsidR="002A6437">
        <w:lastRenderedPageBreak/>
        <w:t>or the number of persons who have opted out of the class action.</w:t>
      </w:r>
      <w:r w:rsidR="00D629FA">
        <w:rPr>
          <w:rFonts w:ascii="ZWAdobeF" w:hAnsi="ZWAdobeF" w:cs="ZWAdobeF"/>
          <w:color w:val="auto"/>
          <w:sz w:val="2"/>
          <w:szCs w:val="2"/>
        </w:rPr>
        <w:t>513F</w:t>
      </w:r>
      <w:r w:rsidR="007A330E">
        <w:rPr>
          <w:rFonts w:ascii="ZWAdobeF" w:hAnsi="ZWAdobeF" w:cs="ZWAdobeF"/>
          <w:color w:val="auto"/>
          <w:sz w:val="2"/>
          <w:szCs w:val="2"/>
        </w:rPr>
        <w:t>513F</w:t>
      </w:r>
      <w:r w:rsidR="00317AE4">
        <w:rPr>
          <w:rFonts w:ascii="ZWAdobeF" w:hAnsi="ZWAdobeF" w:cs="ZWAdobeF"/>
          <w:color w:val="auto"/>
          <w:sz w:val="2"/>
          <w:szCs w:val="2"/>
        </w:rPr>
        <w:t>513F</w:t>
      </w:r>
      <w:r w:rsidR="002A6437">
        <w:rPr>
          <w:rStyle w:val="FootnoteReference"/>
        </w:rPr>
        <w:footnoteReference w:id="515"/>
      </w:r>
      <w:r w:rsidR="002A6437">
        <w:t xml:space="preserve"> </w:t>
      </w:r>
      <w:r w:rsidR="00D36A28">
        <w:t>While we do not think there should be an express requirement to provide information on the estimated size of the class, we note that the number or potential number of class members is a factor the court may consider as part of our proposed certification test.</w:t>
      </w:r>
      <w:r w:rsidR="00D629FA">
        <w:rPr>
          <w:rFonts w:ascii="ZWAdobeF" w:hAnsi="ZWAdobeF" w:cs="ZWAdobeF"/>
          <w:color w:val="auto"/>
          <w:sz w:val="2"/>
          <w:szCs w:val="2"/>
        </w:rPr>
        <w:t>514F</w:t>
      </w:r>
      <w:r w:rsidR="007A330E">
        <w:rPr>
          <w:rFonts w:ascii="ZWAdobeF" w:hAnsi="ZWAdobeF" w:cs="ZWAdobeF"/>
          <w:color w:val="auto"/>
          <w:sz w:val="2"/>
          <w:szCs w:val="2"/>
        </w:rPr>
        <w:t>514F</w:t>
      </w:r>
      <w:r w:rsidR="00317AE4">
        <w:rPr>
          <w:rFonts w:ascii="ZWAdobeF" w:hAnsi="ZWAdobeF" w:cs="ZWAdobeF"/>
          <w:color w:val="auto"/>
          <w:sz w:val="2"/>
          <w:szCs w:val="2"/>
        </w:rPr>
        <w:t>514F</w:t>
      </w:r>
      <w:r w:rsidR="00D36A28">
        <w:rPr>
          <w:rStyle w:val="FootnoteReference"/>
        </w:rPr>
        <w:footnoteReference w:id="516"/>
      </w:r>
      <w:r w:rsidR="00D36A28">
        <w:t xml:space="preserve"> Therefore, it is likely that </w:t>
      </w:r>
      <w:r w:rsidR="007914D1">
        <w:rPr>
          <w:noProof/>
        </w:rPr>
        <mc:AlternateContent>
          <mc:Choice Requires="wpg">
            <w:drawing>
              <wp:anchor distT="0" distB="0" distL="114300" distR="114300" simplePos="0" relativeHeight="251652165" behindDoc="1" locked="0" layoutInCell="1" allowOverlap="1" wp14:anchorId="25123204" wp14:editId="0C61C352">
                <wp:simplePos x="0" y="0"/>
                <wp:positionH relativeFrom="column">
                  <wp:posOffset>-1833</wp:posOffset>
                </wp:positionH>
                <wp:positionV relativeFrom="paragraph">
                  <wp:posOffset>1031072</wp:posOffset>
                </wp:positionV>
                <wp:extent cx="5760085" cy="2027217"/>
                <wp:effectExtent l="0" t="0" r="0" b="0"/>
                <wp:wrapNone/>
                <wp:docPr id="764518278" name="Group 764518278"/>
                <wp:cNvGraphicFramePr/>
                <a:graphic xmlns:a="http://schemas.openxmlformats.org/drawingml/2006/main">
                  <a:graphicData uri="http://schemas.microsoft.com/office/word/2010/wordprocessingGroup">
                    <wpg:wgp>
                      <wpg:cNvGrpSpPr/>
                      <wpg:grpSpPr>
                        <a:xfrm>
                          <a:off x="0" y="0"/>
                          <a:ext cx="5760085" cy="2027217"/>
                          <a:chOff x="0" y="62865"/>
                          <a:chExt cx="5760085" cy="2028025"/>
                        </a:xfrm>
                      </wpg:grpSpPr>
                      <wps:wsp>
                        <wps:cNvPr id="76451827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6E6D21" w14:textId="77777777" w:rsidR="00A55F53" w:rsidRDefault="00A55F53" w:rsidP="00281E2E">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280" name="Group 53"/>
                        <wpg:cNvGrpSpPr>
                          <a:grpSpLocks/>
                        </wpg:cNvGrpSpPr>
                        <wpg:grpSpPr bwMode="auto">
                          <a:xfrm>
                            <a:off x="0" y="316263"/>
                            <a:ext cx="5760085" cy="1774627"/>
                            <a:chOff x="1837" y="1792"/>
                            <a:chExt cx="9302" cy="19169"/>
                          </a:xfrm>
                        </wpg:grpSpPr>
                        <wps:wsp>
                          <wps:cNvPr id="764518281" name="Freeform 54"/>
                          <wps:cNvSpPr>
                            <a:spLocks/>
                          </wps:cNvSpPr>
                          <wps:spPr bwMode="auto">
                            <a:xfrm>
                              <a:off x="1837" y="1792"/>
                              <a:ext cx="9302" cy="1916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285" name="Group 764518285"/>
                        <wpg:cNvGrpSpPr/>
                        <wpg:grpSpPr>
                          <a:xfrm>
                            <a:off x="0" y="494036"/>
                            <a:ext cx="1443794" cy="252000"/>
                            <a:chOff x="-15880" y="0"/>
                            <a:chExt cx="1444379" cy="252068"/>
                          </a:xfrm>
                        </wpg:grpSpPr>
                        <wps:wsp>
                          <wps:cNvPr id="76451828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28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5D65BA" w14:textId="2BDF6A44" w:rsidR="00A55F53" w:rsidRPr="00E700FF" w:rsidRDefault="00A55F53" w:rsidP="00281E2E">
                                <w:pPr>
                                  <w:pStyle w:val="BoxTitle"/>
                                  <w:spacing w:before="0" w:beforeAutospacing="0"/>
                                </w:pPr>
                                <w:r w:rsidRPr="001C1B37">
                                  <w:t>Q</w:t>
                                </w:r>
                                <w:r>
                                  <w:t>26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5123204" id="Group 764518278" o:spid="_x0000_s1377" style="position:absolute;left:0;text-align:left;margin-left:-.15pt;margin-top:81.2pt;width:453.55pt;height:159.6pt;z-index:-251664315;mso-height-relative:margin" coordorigin=",628" coordsize="57600,2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">
                <v:shape id="_x0000_s137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26E6D21" w14:textId="77777777" w:rsidR="00A55F53" w:rsidRDefault="00A55F53" w:rsidP="00281E2E">
                        <w:pPr>
                          <w:pStyle w:val="BoxTitle"/>
                          <w:spacing w:before="0" w:beforeAutospacing="0"/>
                        </w:pPr>
                        <w:r w:rsidRPr="007F6876">
                          <w:t>QUESTION</w:t>
                        </w:r>
                      </w:p>
                    </w:txbxContent>
                  </v:textbox>
                </v:shape>
                <v:group id="Group 53" o:spid="_x0000_s1379" style="position:absolute;top:3162;width:57600;height:17746" coordorigin="1837,1792" coordsize="9302,1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">
                  <v:shape id="Freeform 54" o:spid="_x0000_s1380" style="position:absolute;left:1837;top:1792;width:9302;height:1916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" path="m,l9354,r,7809l,7809,,e" fillcolor="#edf2ea" stroked="f">
                    <v:path arrowok="t" o:connecttype="custom" o:connectlocs="0,2455;9302,2455;9302,21624;0,21624;0,2455" o:connectangles="0,0,0,0,0"/>
                  </v:shape>
                </v:group>
                <v:group id="Group 764518285" o:spid="_x0000_s138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">
                  <v:shape id="Freeform 58" o:spid="_x0000_s138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" path="m,l1815,e" filled="f" strokecolor="#72ab6a" strokeweight=".5pt">
                    <v:path arrowok="t" o:connecttype="custom" o:connectlocs="0,0;1073495,0" o:connectangles="0,0"/>
                  </v:shape>
                  <v:shape id="Freeform 66" o:spid="_x0000_s138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15D65BA" w14:textId="2BDF6A44" w:rsidR="00A55F53" w:rsidRPr="00E700FF" w:rsidRDefault="00A55F53" w:rsidP="00281E2E">
                          <w:pPr>
                            <w:pStyle w:val="BoxTitle"/>
                            <w:spacing w:before="0" w:beforeAutospacing="0"/>
                          </w:pPr>
                          <w:r w:rsidRPr="001C1B37">
                            <w:t>Q</w:t>
                          </w:r>
                          <w:r>
                            <w:t>26</w:t>
                          </w:r>
                        </w:p>
                      </w:txbxContent>
                    </v:textbox>
                  </v:shape>
                </v:group>
              </v:group>
            </w:pict>
          </mc:Fallback>
        </mc:AlternateContent>
      </w:r>
      <w:r w:rsidR="00D36A28">
        <w:t xml:space="preserve">the plaintiff would provide this information in their application for certification.  </w:t>
      </w:r>
    </w:p>
    <w:p w14:paraId="79ACF70B" w14:textId="071EEFD2" w:rsidR="001E60E3" w:rsidRDefault="001E60E3" w:rsidP="001E60E3">
      <w:pPr>
        <w:pStyle w:val="QuestionBox"/>
      </w:pPr>
    </w:p>
    <w:p w14:paraId="1CF7D886" w14:textId="77777777" w:rsidR="001E60E3" w:rsidRDefault="001E60E3" w:rsidP="001E60E3">
      <w:pPr>
        <w:pStyle w:val="QuestionBox"/>
      </w:pPr>
    </w:p>
    <w:p w14:paraId="612E6B7C" w14:textId="0EC1BE89" w:rsidR="00D36A28" w:rsidRDefault="00BD5C95" w:rsidP="001E60E3">
      <w:pPr>
        <w:pStyle w:val="QuestionBox"/>
      </w:pPr>
      <w:r>
        <w:rPr>
          <w:rFonts w:ascii="ZWAdobeF" w:hAnsi="ZWAdobeF" w:cs="ZWAdobeF"/>
          <w:color w:val="auto"/>
          <w:sz w:val="2"/>
          <w:szCs w:val="2"/>
        </w:rPr>
        <w:t>1424B</w:t>
      </w:r>
      <w:r w:rsidR="0049638A">
        <w:rPr>
          <w:rFonts w:ascii="ZWAdobeF" w:hAnsi="ZWAdobeF" w:cs="ZWAdobeF"/>
          <w:color w:val="auto"/>
          <w:sz w:val="2"/>
          <w:szCs w:val="2"/>
        </w:rPr>
        <w:t>1424B</w:t>
      </w:r>
      <w:r w:rsidR="00D629FA">
        <w:rPr>
          <w:rFonts w:ascii="ZWAdobeF" w:hAnsi="ZWAdobeF" w:cs="ZWAdobeF"/>
          <w:color w:val="auto"/>
          <w:sz w:val="2"/>
          <w:szCs w:val="2"/>
        </w:rPr>
        <w:t>1424B</w:t>
      </w:r>
      <w:r w:rsidR="00D36A28">
        <w:t>Are current rules for discovery and information provision adequate for class actions or are specific rules required? For example:</w:t>
      </w:r>
    </w:p>
    <w:p w14:paraId="4CDE52E8" w14:textId="62DE8C85" w:rsidR="00D36A28" w:rsidRDefault="00BD5C95" w:rsidP="00B73434">
      <w:pPr>
        <w:pStyle w:val="Questionabc"/>
        <w:numPr>
          <w:ilvl w:val="0"/>
          <w:numId w:val="49"/>
        </w:numPr>
        <w:ind w:left="1418" w:hanging="402"/>
      </w:pPr>
      <w:r>
        <w:rPr>
          <w:rFonts w:ascii="ZWAdobeF" w:hAnsi="ZWAdobeF" w:cs="ZWAdobeF"/>
          <w:color w:val="auto"/>
          <w:sz w:val="2"/>
          <w:szCs w:val="2"/>
        </w:rPr>
        <w:t>1313B</w:t>
      </w:r>
      <w:r w:rsidR="0049638A">
        <w:rPr>
          <w:rFonts w:ascii="ZWAdobeF" w:hAnsi="ZWAdobeF" w:cs="ZWAdobeF"/>
          <w:color w:val="auto"/>
          <w:sz w:val="2"/>
          <w:szCs w:val="2"/>
        </w:rPr>
        <w:t>1313B</w:t>
      </w:r>
      <w:r w:rsidR="00D629FA">
        <w:rPr>
          <w:rFonts w:ascii="ZWAdobeF" w:hAnsi="ZWAdobeF" w:cs="ZWAdobeF"/>
          <w:color w:val="auto"/>
          <w:sz w:val="2"/>
          <w:szCs w:val="2"/>
        </w:rPr>
        <w:t>1313B</w:t>
      </w:r>
      <w:r w:rsidR="00D36A28">
        <w:t>Should there be a specific rule permitting discovery by class members?</w:t>
      </w:r>
    </w:p>
    <w:p w14:paraId="081F667A" w14:textId="0A6514E0" w:rsidR="00D36A28" w:rsidRDefault="00BD5C95" w:rsidP="00B73434">
      <w:pPr>
        <w:pStyle w:val="Questionabc"/>
        <w:numPr>
          <w:ilvl w:val="0"/>
          <w:numId w:val="49"/>
        </w:numPr>
        <w:ind w:left="1418" w:hanging="402"/>
      </w:pPr>
      <w:r>
        <w:rPr>
          <w:rFonts w:ascii="ZWAdobeF" w:hAnsi="ZWAdobeF" w:cs="ZWAdobeF"/>
          <w:color w:val="auto"/>
          <w:sz w:val="2"/>
          <w:szCs w:val="2"/>
        </w:rPr>
        <w:t>1314B</w:t>
      </w:r>
      <w:r w:rsidR="0049638A">
        <w:rPr>
          <w:rFonts w:ascii="ZWAdobeF" w:hAnsi="ZWAdobeF" w:cs="ZWAdobeF"/>
          <w:color w:val="auto"/>
          <w:sz w:val="2"/>
          <w:szCs w:val="2"/>
        </w:rPr>
        <w:t>1314B</w:t>
      </w:r>
      <w:r w:rsidR="00D629FA">
        <w:rPr>
          <w:rFonts w:ascii="ZWAdobeF" w:hAnsi="ZWAdobeF" w:cs="ZWAdobeF"/>
          <w:color w:val="auto"/>
          <w:sz w:val="2"/>
          <w:szCs w:val="2"/>
        </w:rPr>
        <w:t>1314B</w:t>
      </w:r>
      <w:r w:rsidR="004C46B0">
        <w:t>Should the defendant be entitled to any information about class member claims such as a list of class members who have opted in or the number of class members who have opted out?</w:t>
      </w:r>
      <w:r w:rsidR="00D36A28">
        <w:t xml:space="preserve"> </w:t>
      </w:r>
    </w:p>
    <w:p w14:paraId="137EF143" w14:textId="77777777" w:rsidR="001E60E3" w:rsidRDefault="001E60E3" w:rsidP="001E60E3">
      <w:pPr>
        <w:pStyle w:val="QuestionBox"/>
      </w:pPr>
    </w:p>
    <w:p w14:paraId="37AB01C8" w14:textId="77777777" w:rsidR="00D36A28" w:rsidRDefault="00D36A28" w:rsidP="00281E2E">
      <w:pPr>
        <w:pStyle w:val="Heading2"/>
      </w:pPr>
      <w:bookmarkStart w:id="79" w:name="_Toc83895454"/>
      <w:r>
        <w:t>Funding orders</w:t>
      </w:r>
      <w:bookmarkEnd w:id="79"/>
    </w:p>
    <w:p w14:paraId="3670169F" w14:textId="5A1023A3" w:rsidR="00D36A28" w:rsidRDefault="00BD5C95" w:rsidP="00B73434">
      <w:pPr>
        <w:pStyle w:val="BodyText"/>
        <w:numPr>
          <w:ilvl w:val="1"/>
          <w:numId w:val="43"/>
        </w:numPr>
        <w:tabs>
          <w:tab w:val="left" w:pos="709"/>
        </w:tabs>
        <w:ind w:hanging="709"/>
      </w:pPr>
      <w:r>
        <w:rPr>
          <w:rFonts w:ascii="ZWAdobeF" w:hAnsi="ZWAdobeF" w:cs="ZWAdobeF"/>
          <w:color w:val="auto"/>
          <w:sz w:val="2"/>
          <w:szCs w:val="2"/>
        </w:rPr>
        <w:t>325B</w:t>
      </w:r>
      <w:r w:rsidR="0049638A">
        <w:rPr>
          <w:rFonts w:ascii="ZWAdobeF" w:hAnsi="ZWAdobeF" w:cs="ZWAdobeF"/>
          <w:color w:val="auto"/>
          <w:sz w:val="2"/>
          <w:szCs w:val="2"/>
        </w:rPr>
        <w:t>325B</w:t>
      </w:r>
      <w:r w:rsidR="00D629FA">
        <w:rPr>
          <w:rFonts w:ascii="ZWAdobeF" w:hAnsi="ZWAdobeF" w:cs="ZWAdobeF"/>
          <w:color w:val="auto"/>
          <w:sz w:val="2"/>
          <w:szCs w:val="2"/>
        </w:rPr>
        <w:t>325B</w:t>
      </w:r>
      <w:r w:rsidR="00D36A28">
        <w:t>In an opt-in class action, signing an agreement with a litigation funder can be a condition of joining the class action. However, in an opt-out class action a class member does not need to take any steps to become part of the class action. While the initial group of claimants who decide to commence a class action will often have signed an agreement with a litigation funder, there will be many class members who have not. This may lead to unfairness since all class members could benefit from any settlement or award of damages, while only some are bound to pay a percentage of that to the funder to cover the costs of the litigation.</w:t>
      </w:r>
      <w:r w:rsidR="00D629FA">
        <w:rPr>
          <w:rFonts w:ascii="ZWAdobeF" w:hAnsi="ZWAdobeF" w:cs="ZWAdobeF"/>
          <w:color w:val="auto"/>
          <w:sz w:val="2"/>
          <w:szCs w:val="2"/>
        </w:rPr>
        <w:t>515F</w:t>
      </w:r>
      <w:r w:rsidR="007A330E">
        <w:rPr>
          <w:rFonts w:ascii="ZWAdobeF" w:hAnsi="ZWAdobeF" w:cs="ZWAdobeF"/>
          <w:color w:val="auto"/>
          <w:sz w:val="2"/>
          <w:szCs w:val="2"/>
        </w:rPr>
        <w:t>515F</w:t>
      </w:r>
      <w:r w:rsidR="00317AE4">
        <w:rPr>
          <w:rFonts w:ascii="ZWAdobeF" w:hAnsi="ZWAdobeF" w:cs="ZWAdobeF"/>
          <w:color w:val="auto"/>
          <w:sz w:val="2"/>
          <w:szCs w:val="2"/>
        </w:rPr>
        <w:t>515F</w:t>
      </w:r>
      <w:r w:rsidR="00D36A28">
        <w:rPr>
          <w:rStyle w:val="FootnoteReference"/>
        </w:rPr>
        <w:footnoteReference w:id="517"/>
      </w:r>
    </w:p>
    <w:p w14:paraId="052097C0" w14:textId="383416DB" w:rsidR="00D36A28" w:rsidRDefault="00BD5C95" w:rsidP="00B73434">
      <w:pPr>
        <w:pStyle w:val="BodyText"/>
        <w:numPr>
          <w:ilvl w:val="1"/>
          <w:numId w:val="43"/>
        </w:numPr>
        <w:tabs>
          <w:tab w:val="left" w:pos="709"/>
        </w:tabs>
        <w:ind w:hanging="709"/>
      </w:pPr>
      <w:r>
        <w:rPr>
          <w:rFonts w:ascii="ZWAdobeF" w:hAnsi="ZWAdobeF" w:cs="ZWAdobeF"/>
          <w:color w:val="auto"/>
          <w:sz w:val="2"/>
          <w:szCs w:val="2"/>
        </w:rPr>
        <w:t>326B</w:t>
      </w:r>
      <w:r w:rsidR="0049638A">
        <w:rPr>
          <w:rFonts w:ascii="ZWAdobeF" w:hAnsi="ZWAdobeF" w:cs="ZWAdobeF"/>
          <w:color w:val="auto"/>
          <w:sz w:val="2"/>
          <w:szCs w:val="2"/>
        </w:rPr>
        <w:t>326B</w:t>
      </w:r>
      <w:r w:rsidR="00D629FA">
        <w:rPr>
          <w:rFonts w:ascii="ZWAdobeF" w:hAnsi="ZWAdobeF" w:cs="ZWAdobeF"/>
          <w:color w:val="auto"/>
          <w:sz w:val="2"/>
          <w:szCs w:val="2"/>
        </w:rPr>
        <w:t>326B</w:t>
      </w:r>
      <w:r w:rsidR="00D36A28">
        <w:t>In Australia, several mechanisms have been developed to manage this ‘free-rider’ problem. One option is ‘closed classes’, where the class is defined so that it only includes claimants who have entered into an agreement with the litigation funder.</w:t>
      </w:r>
      <w:r w:rsidR="00D629FA">
        <w:rPr>
          <w:rFonts w:ascii="ZWAdobeF" w:hAnsi="ZWAdobeF" w:cs="ZWAdobeF"/>
          <w:color w:val="auto"/>
          <w:sz w:val="2"/>
          <w:szCs w:val="2"/>
        </w:rPr>
        <w:t>516F</w:t>
      </w:r>
      <w:r w:rsidR="007A330E">
        <w:rPr>
          <w:rFonts w:ascii="ZWAdobeF" w:hAnsi="ZWAdobeF" w:cs="ZWAdobeF"/>
          <w:color w:val="auto"/>
          <w:sz w:val="2"/>
          <w:szCs w:val="2"/>
        </w:rPr>
        <w:t>516F</w:t>
      </w:r>
      <w:r w:rsidR="00317AE4">
        <w:rPr>
          <w:rFonts w:ascii="ZWAdobeF" w:hAnsi="ZWAdobeF" w:cs="ZWAdobeF"/>
          <w:color w:val="auto"/>
          <w:sz w:val="2"/>
          <w:szCs w:val="2"/>
        </w:rPr>
        <w:t>516F</w:t>
      </w:r>
      <w:r w:rsidR="00D36A28">
        <w:rPr>
          <w:rStyle w:val="FootnoteReference"/>
        </w:rPr>
        <w:footnoteReference w:id="518"/>
      </w:r>
      <w:r w:rsidR="00D36A28">
        <w:t xml:space="preserve"> This is very similar in effect to an opt-in class action. Because we have proposed that opt-in class actions should be available, we do not discuss this option further. </w:t>
      </w:r>
    </w:p>
    <w:p w14:paraId="4E6A46E3" w14:textId="1F0B41DA" w:rsidR="00D36A28" w:rsidRDefault="00BD5C95" w:rsidP="00B73434">
      <w:pPr>
        <w:pStyle w:val="BodyText"/>
        <w:numPr>
          <w:ilvl w:val="1"/>
          <w:numId w:val="43"/>
        </w:numPr>
        <w:tabs>
          <w:tab w:val="left" w:pos="709"/>
        </w:tabs>
        <w:ind w:hanging="709"/>
      </w:pPr>
      <w:r>
        <w:rPr>
          <w:rFonts w:ascii="ZWAdobeF" w:hAnsi="ZWAdobeF" w:cs="ZWAdobeF"/>
          <w:color w:val="auto"/>
          <w:sz w:val="2"/>
          <w:szCs w:val="2"/>
        </w:rPr>
        <w:t>327B</w:t>
      </w:r>
      <w:r w:rsidR="0049638A">
        <w:rPr>
          <w:rFonts w:ascii="ZWAdobeF" w:hAnsi="ZWAdobeF" w:cs="ZWAdobeF"/>
          <w:color w:val="auto"/>
          <w:sz w:val="2"/>
          <w:szCs w:val="2"/>
        </w:rPr>
        <w:t>327B</w:t>
      </w:r>
      <w:r w:rsidR="00D629FA">
        <w:rPr>
          <w:rFonts w:ascii="ZWAdobeF" w:hAnsi="ZWAdobeF" w:cs="ZWAdobeF"/>
          <w:color w:val="auto"/>
          <w:sz w:val="2"/>
          <w:szCs w:val="2"/>
        </w:rPr>
        <w:t>327B</w:t>
      </w:r>
      <w:r w:rsidR="00D36A28">
        <w:t xml:space="preserve">Other mechanisms are funding equalisation orders and common fund orders. Both options provide a way of sharing the costs of bringing a class action with all class members, regardless of whether they have signed a funding agreement. A common fund order also makes class actions more economic for litigation funders, by entitling them to a proportion of the proceeds of all class members, not just those who have signed a funding agreement. </w:t>
      </w:r>
    </w:p>
    <w:p w14:paraId="5E2E5DC3" w14:textId="77777777" w:rsidR="00D36A28" w:rsidRDefault="00D36A28" w:rsidP="00281E2E">
      <w:pPr>
        <w:pStyle w:val="Heading3"/>
      </w:pPr>
      <w:r>
        <w:lastRenderedPageBreak/>
        <w:t>Funding Equalisation Orders</w:t>
      </w:r>
    </w:p>
    <w:p w14:paraId="33CFDFE0" w14:textId="40B445AD" w:rsidR="00D36A28" w:rsidRDefault="00BD5C95" w:rsidP="00B73434">
      <w:pPr>
        <w:pStyle w:val="BodyText"/>
        <w:numPr>
          <w:ilvl w:val="1"/>
          <w:numId w:val="43"/>
        </w:numPr>
        <w:ind w:hanging="709"/>
      </w:pPr>
      <w:r>
        <w:rPr>
          <w:rFonts w:ascii="ZWAdobeF" w:hAnsi="ZWAdobeF" w:cs="ZWAdobeF"/>
          <w:color w:val="auto"/>
          <w:sz w:val="2"/>
          <w:szCs w:val="2"/>
        </w:rPr>
        <w:t>328B</w:t>
      </w:r>
      <w:r w:rsidR="0049638A">
        <w:rPr>
          <w:rFonts w:ascii="ZWAdobeF" w:hAnsi="ZWAdobeF" w:cs="ZWAdobeF"/>
          <w:color w:val="auto"/>
          <w:sz w:val="2"/>
          <w:szCs w:val="2"/>
        </w:rPr>
        <w:t>328B</w:t>
      </w:r>
      <w:r w:rsidR="00D629FA">
        <w:rPr>
          <w:rFonts w:ascii="ZWAdobeF" w:hAnsi="ZWAdobeF" w:cs="ZWAdobeF"/>
          <w:color w:val="auto"/>
          <w:sz w:val="2"/>
          <w:szCs w:val="2"/>
        </w:rPr>
        <w:t>328B</w:t>
      </w:r>
      <w:r w:rsidR="00D36A28" w:rsidRPr="00937273">
        <w:t>A funding equalisation order addresses the situation where there are both funded and unfunded class members in an opt-out class action. This order deducts an amount from the settlement or award paid to non-funded class members that is equivalent to the funding commission deducted from funded class members’ payments. This ensures class members are treated the same, regardless of whether they signed the funding agreement. The amount deducted from non-funded members is pooled and distributed back (pro rata) to all class members.</w:t>
      </w:r>
      <w:r w:rsidR="00D629FA">
        <w:rPr>
          <w:rFonts w:ascii="ZWAdobeF" w:hAnsi="ZWAdobeF" w:cs="ZWAdobeF"/>
          <w:color w:val="auto"/>
          <w:sz w:val="2"/>
          <w:szCs w:val="2"/>
        </w:rPr>
        <w:t>517F</w:t>
      </w:r>
      <w:r w:rsidR="007A330E">
        <w:rPr>
          <w:rFonts w:ascii="ZWAdobeF" w:hAnsi="ZWAdobeF" w:cs="ZWAdobeF"/>
          <w:color w:val="auto"/>
          <w:sz w:val="2"/>
          <w:szCs w:val="2"/>
        </w:rPr>
        <w:t>517F</w:t>
      </w:r>
      <w:r w:rsidR="00317AE4">
        <w:rPr>
          <w:rFonts w:ascii="ZWAdobeF" w:hAnsi="ZWAdobeF" w:cs="ZWAdobeF"/>
          <w:color w:val="auto"/>
          <w:sz w:val="2"/>
          <w:szCs w:val="2"/>
        </w:rPr>
        <w:t>517F</w:t>
      </w:r>
      <w:r w:rsidR="00D36A28">
        <w:rPr>
          <w:rStyle w:val="FootnoteReference"/>
        </w:rPr>
        <w:footnoteReference w:id="519"/>
      </w:r>
      <w:r w:rsidR="00D36A28" w:rsidRPr="00937273">
        <w:t xml:space="preserve"> </w:t>
      </w:r>
      <w:r w:rsidR="00D36A28">
        <w:t>In Australia, the first funding equalisation order was made in 2009.</w:t>
      </w:r>
      <w:r w:rsidR="00D629FA">
        <w:rPr>
          <w:rFonts w:ascii="ZWAdobeF" w:hAnsi="ZWAdobeF" w:cs="ZWAdobeF"/>
          <w:color w:val="auto"/>
          <w:sz w:val="2"/>
          <w:szCs w:val="2"/>
        </w:rPr>
        <w:t>518F</w:t>
      </w:r>
      <w:r w:rsidR="007A330E">
        <w:rPr>
          <w:rFonts w:ascii="ZWAdobeF" w:hAnsi="ZWAdobeF" w:cs="ZWAdobeF"/>
          <w:color w:val="auto"/>
          <w:sz w:val="2"/>
          <w:szCs w:val="2"/>
        </w:rPr>
        <w:t>518F</w:t>
      </w:r>
      <w:r w:rsidR="00317AE4">
        <w:rPr>
          <w:rFonts w:ascii="ZWAdobeF" w:hAnsi="ZWAdobeF" w:cs="ZWAdobeF"/>
          <w:color w:val="auto"/>
          <w:sz w:val="2"/>
          <w:szCs w:val="2"/>
        </w:rPr>
        <w:t>518F</w:t>
      </w:r>
      <w:r w:rsidR="00D36A28">
        <w:rPr>
          <w:rStyle w:val="FootnoteReference"/>
        </w:rPr>
        <w:footnoteReference w:id="520"/>
      </w:r>
    </w:p>
    <w:p w14:paraId="48CC6CA4" w14:textId="18B4D145" w:rsidR="00D36A28" w:rsidRDefault="00BD5C95" w:rsidP="00B73434">
      <w:pPr>
        <w:pStyle w:val="BodyText"/>
        <w:numPr>
          <w:ilvl w:val="1"/>
          <w:numId w:val="43"/>
        </w:numPr>
        <w:ind w:hanging="709"/>
      </w:pPr>
      <w:r>
        <w:rPr>
          <w:rFonts w:ascii="ZWAdobeF" w:hAnsi="ZWAdobeF" w:cs="ZWAdobeF"/>
          <w:color w:val="auto"/>
          <w:sz w:val="2"/>
          <w:szCs w:val="2"/>
        </w:rPr>
        <w:t>329B</w:t>
      </w:r>
      <w:r w:rsidR="0049638A">
        <w:rPr>
          <w:rFonts w:ascii="ZWAdobeF" w:hAnsi="ZWAdobeF" w:cs="ZWAdobeF"/>
          <w:color w:val="auto"/>
          <w:sz w:val="2"/>
          <w:szCs w:val="2"/>
        </w:rPr>
        <w:t>329B</w:t>
      </w:r>
      <w:r w:rsidR="00D629FA">
        <w:rPr>
          <w:rFonts w:ascii="ZWAdobeF" w:hAnsi="ZWAdobeF" w:cs="ZWAdobeF"/>
          <w:color w:val="auto"/>
          <w:sz w:val="2"/>
          <w:szCs w:val="2"/>
        </w:rPr>
        <w:t>329B</w:t>
      </w:r>
      <w:r w:rsidR="00D36A28">
        <w:t xml:space="preserve">A </w:t>
      </w:r>
      <w:r w:rsidR="00D36A28" w:rsidRPr="00937273">
        <w:t xml:space="preserve">funding equalisation order </w:t>
      </w:r>
      <w:r w:rsidR="00D36A28">
        <w:t xml:space="preserve">has the benefit of ensuring that </w:t>
      </w:r>
      <w:r w:rsidR="00D36A28" w:rsidRPr="00937273">
        <w:t>class members are treated equally</w:t>
      </w:r>
      <w:r w:rsidR="00D36A28">
        <w:t>. However, it does not have the benefit of making a class action more viable for a litigation funder because the amount deducted from non-funded class members is redistributed to the class rather than being paid to the litigation funder.</w:t>
      </w:r>
      <w:r w:rsidR="00D629FA">
        <w:rPr>
          <w:rFonts w:ascii="ZWAdobeF" w:hAnsi="ZWAdobeF" w:cs="ZWAdobeF"/>
          <w:color w:val="auto"/>
          <w:sz w:val="2"/>
          <w:szCs w:val="2"/>
        </w:rPr>
        <w:t>519F</w:t>
      </w:r>
      <w:r w:rsidR="007A330E">
        <w:rPr>
          <w:rFonts w:ascii="ZWAdobeF" w:hAnsi="ZWAdobeF" w:cs="ZWAdobeF"/>
          <w:color w:val="auto"/>
          <w:sz w:val="2"/>
          <w:szCs w:val="2"/>
        </w:rPr>
        <w:t>519F</w:t>
      </w:r>
      <w:r w:rsidR="00317AE4">
        <w:rPr>
          <w:rFonts w:ascii="ZWAdobeF" w:hAnsi="ZWAdobeF" w:cs="ZWAdobeF"/>
          <w:color w:val="auto"/>
          <w:sz w:val="2"/>
          <w:szCs w:val="2"/>
        </w:rPr>
        <w:t>519F</w:t>
      </w:r>
      <w:r w:rsidR="00D36A28">
        <w:rPr>
          <w:rStyle w:val="FootnoteReference"/>
        </w:rPr>
        <w:footnoteReference w:id="521"/>
      </w:r>
      <w:r w:rsidR="00D36A28">
        <w:t xml:space="preserve"> The funder is only entitled to be paid a litigation funding commission from class members it has entered into an agreement with. This means that a funder will need to engage in a process of book building to ensure that a class action has sufficient funded class members to be economically viable. This is a process which involves identifying and communicating with class members and signing them up to the litigation funding agreement.</w:t>
      </w:r>
      <w:r w:rsidR="00D629FA">
        <w:rPr>
          <w:rFonts w:ascii="ZWAdobeF" w:hAnsi="ZWAdobeF" w:cs="ZWAdobeF"/>
          <w:color w:val="auto"/>
          <w:sz w:val="2"/>
          <w:szCs w:val="2"/>
        </w:rPr>
        <w:t>520F</w:t>
      </w:r>
      <w:r w:rsidR="007A330E">
        <w:rPr>
          <w:rFonts w:ascii="ZWAdobeF" w:hAnsi="ZWAdobeF" w:cs="ZWAdobeF"/>
          <w:color w:val="auto"/>
          <w:sz w:val="2"/>
          <w:szCs w:val="2"/>
        </w:rPr>
        <w:t>520F</w:t>
      </w:r>
      <w:r w:rsidR="00317AE4">
        <w:rPr>
          <w:rFonts w:ascii="ZWAdobeF" w:hAnsi="ZWAdobeF" w:cs="ZWAdobeF"/>
          <w:color w:val="auto"/>
          <w:sz w:val="2"/>
          <w:szCs w:val="2"/>
        </w:rPr>
        <w:t>520F</w:t>
      </w:r>
      <w:r w:rsidR="00D36A28">
        <w:rPr>
          <w:rStyle w:val="FootnoteReference"/>
        </w:rPr>
        <w:footnoteReference w:id="522"/>
      </w:r>
    </w:p>
    <w:p w14:paraId="6570A85E" w14:textId="306CAABD" w:rsidR="00D36A28" w:rsidRDefault="00BD5C95" w:rsidP="00B73434">
      <w:pPr>
        <w:pStyle w:val="BodyText"/>
        <w:numPr>
          <w:ilvl w:val="1"/>
          <w:numId w:val="43"/>
        </w:numPr>
        <w:ind w:hanging="709"/>
      </w:pPr>
      <w:r>
        <w:rPr>
          <w:rFonts w:ascii="ZWAdobeF" w:hAnsi="ZWAdobeF" w:cs="ZWAdobeF"/>
          <w:color w:val="auto"/>
          <w:sz w:val="2"/>
          <w:szCs w:val="2"/>
        </w:rPr>
        <w:t>330B</w:t>
      </w:r>
      <w:r w:rsidR="0049638A">
        <w:rPr>
          <w:rFonts w:ascii="ZWAdobeF" w:hAnsi="ZWAdobeF" w:cs="ZWAdobeF"/>
          <w:color w:val="auto"/>
          <w:sz w:val="2"/>
          <w:szCs w:val="2"/>
        </w:rPr>
        <w:t>330B</w:t>
      </w:r>
      <w:r w:rsidR="00D629FA">
        <w:rPr>
          <w:rFonts w:ascii="ZWAdobeF" w:hAnsi="ZWAdobeF" w:cs="ZWAdobeF"/>
          <w:color w:val="auto"/>
          <w:sz w:val="2"/>
          <w:szCs w:val="2"/>
        </w:rPr>
        <w:t>330B</w:t>
      </w:r>
      <w:r w:rsidR="00D36A28">
        <w:t>Another feature of Australian funding equalisation orders is that the court does not assess the reasonableness of the litigation funding commission.</w:t>
      </w:r>
      <w:r w:rsidR="00D629FA">
        <w:rPr>
          <w:rFonts w:ascii="ZWAdobeF" w:hAnsi="ZWAdobeF" w:cs="ZWAdobeF"/>
          <w:color w:val="auto"/>
          <w:sz w:val="2"/>
          <w:szCs w:val="2"/>
        </w:rPr>
        <w:t>521F</w:t>
      </w:r>
      <w:r w:rsidR="007A330E">
        <w:rPr>
          <w:rFonts w:ascii="ZWAdobeF" w:hAnsi="ZWAdobeF" w:cs="ZWAdobeF"/>
          <w:color w:val="auto"/>
          <w:sz w:val="2"/>
          <w:szCs w:val="2"/>
        </w:rPr>
        <w:t>521F</w:t>
      </w:r>
      <w:r w:rsidR="00317AE4">
        <w:rPr>
          <w:rFonts w:ascii="ZWAdobeF" w:hAnsi="ZWAdobeF" w:cs="ZWAdobeF"/>
          <w:color w:val="auto"/>
          <w:sz w:val="2"/>
          <w:szCs w:val="2"/>
        </w:rPr>
        <w:t>521F</w:t>
      </w:r>
      <w:r w:rsidR="00D36A28">
        <w:rPr>
          <w:rStyle w:val="FootnoteReference"/>
        </w:rPr>
        <w:footnoteReference w:id="523"/>
      </w:r>
      <w:r w:rsidR="00D36A28">
        <w:t xml:space="preserve"> This disadvantage was highlighted by one of the dissenting judges in </w:t>
      </w:r>
      <w:r w:rsidR="00D36A28">
        <w:rPr>
          <w:i/>
          <w:iCs/>
        </w:rPr>
        <w:t>BMW v Brewster</w:t>
      </w:r>
      <w:r w:rsidR="00D36A28">
        <w:t>:</w:t>
      </w:r>
      <w:r w:rsidR="00D629FA">
        <w:rPr>
          <w:rFonts w:ascii="ZWAdobeF" w:hAnsi="ZWAdobeF" w:cs="ZWAdobeF"/>
          <w:color w:val="auto"/>
          <w:sz w:val="2"/>
          <w:szCs w:val="2"/>
        </w:rPr>
        <w:t>522F</w:t>
      </w:r>
      <w:r w:rsidR="007A330E">
        <w:rPr>
          <w:rFonts w:ascii="ZWAdobeF" w:hAnsi="ZWAdobeF" w:cs="ZWAdobeF"/>
          <w:color w:val="auto"/>
          <w:sz w:val="2"/>
          <w:szCs w:val="2"/>
        </w:rPr>
        <w:t>522F</w:t>
      </w:r>
      <w:r w:rsidR="00317AE4">
        <w:rPr>
          <w:rFonts w:ascii="ZWAdobeF" w:hAnsi="ZWAdobeF" w:cs="ZWAdobeF"/>
          <w:color w:val="auto"/>
          <w:sz w:val="2"/>
          <w:szCs w:val="2"/>
        </w:rPr>
        <w:t>522F</w:t>
      </w:r>
      <w:r w:rsidR="00D36A28">
        <w:rPr>
          <w:rStyle w:val="FootnoteReference"/>
        </w:rPr>
        <w:footnoteReference w:id="524"/>
      </w:r>
    </w:p>
    <w:p w14:paraId="2DF8015B" w14:textId="0AF3844C" w:rsidR="00D36A28" w:rsidRDefault="00BD5C95" w:rsidP="00D36A28">
      <w:pPr>
        <w:pStyle w:val="Quote"/>
      </w:pPr>
      <w:r>
        <w:rPr>
          <w:rFonts w:ascii="ZWAdobeF" w:hAnsi="ZWAdobeF" w:cs="ZWAdobeF"/>
          <w:color w:val="auto"/>
          <w:sz w:val="2"/>
          <w:szCs w:val="2"/>
        </w:rPr>
        <w:t>1468B</w:t>
      </w:r>
      <w:r w:rsidR="0049638A">
        <w:rPr>
          <w:rFonts w:ascii="ZWAdobeF" w:hAnsi="ZWAdobeF" w:cs="ZWAdobeF"/>
          <w:color w:val="auto"/>
          <w:sz w:val="2"/>
          <w:szCs w:val="2"/>
        </w:rPr>
        <w:t>1468B</w:t>
      </w:r>
      <w:r w:rsidR="00D629FA">
        <w:rPr>
          <w:rFonts w:ascii="ZWAdobeF" w:hAnsi="ZWAdobeF" w:cs="ZWAdobeF"/>
          <w:color w:val="auto"/>
          <w:sz w:val="2"/>
          <w:szCs w:val="2"/>
        </w:rPr>
        <w:t>1468B</w:t>
      </w:r>
      <w:r w:rsidR="00D36A28">
        <w:t>…the fund equalisation solution suffers from the difficulty that it involves no necessary assessment by the court of the reasonableness of the remuneration costs incurred by the group members who enter into contracts with a litigation funder. Without such assessment, the group members who did not enter contracts might have unreasonable and excessive remuneration costs imposed upon them in the process of equalisation with those members who might have entered contracts in a "compliant" manner.</w:t>
      </w:r>
    </w:p>
    <w:p w14:paraId="1E58C66B" w14:textId="77777777" w:rsidR="00D36A28" w:rsidRDefault="00D36A28" w:rsidP="00907B23">
      <w:pPr>
        <w:pStyle w:val="Heading3"/>
      </w:pPr>
      <w:r>
        <w:t xml:space="preserve">Common Fund Orders </w:t>
      </w:r>
    </w:p>
    <w:p w14:paraId="4EC0BFDA" w14:textId="2A147A50" w:rsidR="00D36A28" w:rsidRPr="00B468A5" w:rsidRDefault="00BD5C95" w:rsidP="00B73434">
      <w:pPr>
        <w:pStyle w:val="BodyText"/>
        <w:numPr>
          <w:ilvl w:val="1"/>
          <w:numId w:val="43"/>
        </w:numPr>
        <w:tabs>
          <w:tab w:val="left" w:pos="709"/>
        </w:tabs>
        <w:ind w:hanging="709"/>
      </w:pPr>
      <w:r>
        <w:rPr>
          <w:rFonts w:ascii="ZWAdobeF" w:hAnsi="ZWAdobeF" w:cs="ZWAdobeF"/>
          <w:color w:val="auto"/>
          <w:sz w:val="2"/>
          <w:szCs w:val="2"/>
        </w:rPr>
        <w:t>331B</w:t>
      </w:r>
      <w:r w:rsidR="0049638A">
        <w:rPr>
          <w:rFonts w:ascii="ZWAdobeF" w:hAnsi="ZWAdobeF" w:cs="ZWAdobeF"/>
          <w:color w:val="auto"/>
          <w:sz w:val="2"/>
          <w:szCs w:val="2"/>
        </w:rPr>
        <w:t>331B</w:t>
      </w:r>
      <w:r w:rsidR="00D629FA">
        <w:rPr>
          <w:rFonts w:ascii="ZWAdobeF" w:hAnsi="ZWAdobeF" w:cs="ZWAdobeF"/>
          <w:color w:val="auto"/>
          <w:sz w:val="2"/>
          <w:szCs w:val="2"/>
        </w:rPr>
        <w:t>331B</w:t>
      </w:r>
      <w:r w:rsidR="00D36A28">
        <w:t xml:space="preserve">A common fund order requires all class members to contribute a proportion of their proceeds from a settlement or judgment to the costs of the litigation, including the litigation funder’s commission, even if they have not signed up to the litigation funding </w:t>
      </w:r>
      <w:r w:rsidR="00D36A28">
        <w:lastRenderedPageBreak/>
        <w:t>agreement.</w:t>
      </w:r>
      <w:r w:rsidR="00D629FA">
        <w:rPr>
          <w:rFonts w:ascii="ZWAdobeF" w:hAnsi="ZWAdobeF" w:cs="ZWAdobeF"/>
          <w:color w:val="auto"/>
          <w:sz w:val="2"/>
          <w:szCs w:val="2"/>
        </w:rPr>
        <w:t>523F</w:t>
      </w:r>
      <w:r w:rsidR="007A330E">
        <w:rPr>
          <w:rFonts w:ascii="ZWAdobeF" w:hAnsi="ZWAdobeF" w:cs="ZWAdobeF"/>
          <w:color w:val="auto"/>
          <w:sz w:val="2"/>
          <w:szCs w:val="2"/>
        </w:rPr>
        <w:t>523F</w:t>
      </w:r>
      <w:r w:rsidR="00317AE4">
        <w:rPr>
          <w:rFonts w:ascii="ZWAdobeF" w:hAnsi="ZWAdobeF" w:cs="ZWAdobeF"/>
          <w:color w:val="auto"/>
          <w:sz w:val="2"/>
          <w:szCs w:val="2"/>
        </w:rPr>
        <w:t>523F</w:t>
      </w:r>
      <w:r w:rsidR="00D36A28">
        <w:rPr>
          <w:rStyle w:val="FootnoteReference"/>
        </w:rPr>
        <w:footnoteReference w:id="525"/>
      </w:r>
      <w:r w:rsidR="00D36A28">
        <w:t xml:space="preserve"> An application for a common fund order is often made at an early stage of proceedings but can also be made at settlement. A key feature of a common fund order is that the court will approve the funding commission that can be deducted. Where the court makes a common fund order at an early stage, it </w:t>
      </w:r>
      <w:r w:rsidR="00D36A28">
        <w:rPr>
          <w:rFonts w:cs="Calibri"/>
          <w:color w:val="000000"/>
          <w:shd w:val="clear" w:color="auto" w:fill="FFFFFF"/>
        </w:rPr>
        <w:t>may defer setting the funding commission until later in the proceedings, such as when approving settlement or when damages are distributed.</w:t>
      </w:r>
      <w:r w:rsidR="00D629FA">
        <w:rPr>
          <w:rFonts w:ascii="ZWAdobeF" w:hAnsi="ZWAdobeF" w:cs="ZWAdobeF"/>
          <w:color w:val="auto"/>
          <w:sz w:val="2"/>
          <w:szCs w:val="2"/>
          <w:shd w:val="clear" w:color="auto" w:fill="FFFFFF"/>
        </w:rPr>
        <w:t>524F</w:t>
      </w:r>
      <w:r w:rsidR="007A330E">
        <w:rPr>
          <w:rFonts w:ascii="ZWAdobeF" w:hAnsi="ZWAdobeF" w:cs="ZWAdobeF"/>
          <w:color w:val="auto"/>
          <w:sz w:val="2"/>
          <w:szCs w:val="2"/>
          <w:shd w:val="clear" w:color="auto" w:fill="FFFFFF"/>
        </w:rPr>
        <w:t>524F</w:t>
      </w:r>
      <w:r w:rsidR="00317AE4">
        <w:rPr>
          <w:rFonts w:ascii="ZWAdobeF" w:hAnsi="ZWAdobeF" w:cs="ZWAdobeF"/>
          <w:color w:val="auto"/>
          <w:sz w:val="2"/>
          <w:szCs w:val="2"/>
          <w:shd w:val="clear" w:color="auto" w:fill="FFFFFF"/>
        </w:rPr>
        <w:t>524F</w:t>
      </w:r>
      <w:r w:rsidR="00D36A28">
        <w:rPr>
          <w:rStyle w:val="FootnoteReference"/>
          <w:rFonts w:cs="Calibri"/>
          <w:shd w:val="clear" w:color="auto" w:fill="FFFFFF"/>
        </w:rPr>
        <w:footnoteReference w:id="526"/>
      </w:r>
      <w:r w:rsidR="00D36A28">
        <w:rPr>
          <w:rFonts w:cs="Calibri"/>
          <w:color w:val="000000"/>
          <w:shd w:val="clear" w:color="auto" w:fill="FFFFFF"/>
        </w:rPr>
        <w:t xml:space="preserve"> The court may also indicate a maximum commission that the funder may be paid, for example:</w:t>
      </w:r>
    </w:p>
    <w:p w14:paraId="538CE4E3" w14:textId="6EA512DF" w:rsidR="00D36A28" w:rsidRDefault="00BD5C95" w:rsidP="00D36A28">
      <w:pPr>
        <w:pStyle w:val="Quote"/>
      </w:pPr>
      <w:r>
        <w:rPr>
          <w:rFonts w:ascii="ZWAdobeF" w:hAnsi="ZWAdobeF" w:cs="ZWAdobeF"/>
          <w:color w:val="auto"/>
          <w:sz w:val="2"/>
          <w:szCs w:val="2"/>
        </w:rPr>
        <w:t>1469B</w:t>
      </w:r>
      <w:r w:rsidR="0049638A">
        <w:rPr>
          <w:rFonts w:ascii="ZWAdobeF" w:hAnsi="ZWAdobeF" w:cs="ZWAdobeF"/>
          <w:color w:val="auto"/>
          <w:sz w:val="2"/>
          <w:szCs w:val="2"/>
        </w:rPr>
        <w:t>1469B</w:t>
      </w:r>
      <w:r w:rsidR="00D629FA">
        <w:rPr>
          <w:rFonts w:ascii="ZWAdobeF" w:hAnsi="ZWAdobeF" w:cs="ZWAdobeF"/>
          <w:color w:val="auto"/>
          <w:sz w:val="2"/>
          <w:szCs w:val="2"/>
        </w:rPr>
        <w:t>1469B</w:t>
      </w:r>
      <w:r w:rsidR="00D36A28">
        <w:t>An amount equal to 30% of the aggregate Resolution Sums or such lower percentage as the Court considers reasonable at the time the claims are settled or judgment is given in respect of them.</w:t>
      </w:r>
      <w:r w:rsidR="00D629FA">
        <w:rPr>
          <w:rFonts w:ascii="ZWAdobeF" w:hAnsi="ZWAdobeF" w:cs="ZWAdobeF"/>
          <w:color w:val="auto"/>
          <w:sz w:val="2"/>
          <w:szCs w:val="2"/>
        </w:rPr>
        <w:t>525F</w:t>
      </w:r>
      <w:r w:rsidR="007A330E">
        <w:rPr>
          <w:rFonts w:ascii="ZWAdobeF" w:hAnsi="ZWAdobeF" w:cs="ZWAdobeF"/>
          <w:color w:val="auto"/>
          <w:sz w:val="2"/>
          <w:szCs w:val="2"/>
        </w:rPr>
        <w:t>525F</w:t>
      </w:r>
      <w:r w:rsidR="00317AE4">
        <w:rPr>
          <w:rFonts w:ascii="ZWAdobeF" w:hAnsi="ZWAdobeF" w:cs="ZWAdobeF"/>
          <w:color w:val="auto"/>
          <w:sz w:val="2"/>
          <w:szCs w:val="2"/>
        </w:rPr>
        <w:t>525F</w:t>
      </w:r>
      <w:r w:rsidR="00D36A28">
        <w:rPr>
          <w:rStyle w:val="FootnoteReference"/>
        </w:rPr>
        <w:footnoteReference w:id="527"/>
      </w:r>
    </w:p>
    <w:p w14:paraId="5F35B85F" w14:textId="4DD1DD9C" w:rsidR="00D36A28" w:rsidRDefault="00BD5C95" w:rsidP="00D36A28">
      <w:pPr>
        <w:pStyle w:val="Quote"/>
      </w:pPr>
      <w:r>
        <w:rPr>
          <w:rFonts w:ascii="ZWAdobeF" w:hAnsi="ZWAdobeF" w:cs="ZWAdobeF"/>
          <w:color w:val="auto"/>
          <w:sz w:val="2"/>
          <w:szCs w:val="2"/>
        </w:rPr>
        <w:t>1470B</w:t>
      </w:r>
      <w:r w:rsidR="0049638A">
        <w:rPr>
          <w:rFonts w:ascii="ZWAdobeF" w:hAnsi="ZWAdobeF" w:cs="ZWAdobeF"/>
          <w:color w:val="auto"/>
          <w:sz w:val="2"/>
          <w:szCs w:val="2"/>
        </w:rPr>
        <w:t>1470B</w:t>
      </w:r>
      <w:r w:rsidR="00D629FA">
        <w:rPr>
          <w:rFonts w:ascii="ZWAdobeF" w:hAnsi="ZWAdobeF" w:cs="ZWAdobeF"/>
          <w:color w:val="auto"/>
          <w:sz w:val="2"/>
          <w:szCs w:val="2"/>
        </w:rPr>
        <w:t>1470B</w:t>
      </w:r>
      <w:r w:rsidR="00D36A28">
        <w:t>A percentage proportion, to be determined by the Court at a future date, of the amount for which the claims are settled or judgment is given, but group members shall be informed such percentage will be no more than 28%.</w:t>
      </w:r>
      <w:r w:rsidR="00D629FA">
        <w:rPr>
          <w:rFonts w:ascii="ZWAdobeF" w:hAnsi="ZWAdobeF" w:cs="ZWAdobeF"/>
          <w:color w:val="auto"/>
          <w:sz w:val="2"/>
          <w:szCs w:val="2"/>
        </w:rPr>
        <w:t>526F</w:t>
      </w:r>
      <w:r w:rsidR="007A330E">
        <w:rPr>
          <w:rFonts w:ascii="ZWAdobeF" w:hAnsi="ZWAdobeF" w:cs="ZWAdobeF"/>
          <w:color w:val="auto"/>
          <w:sz w:val="2"/>
          <w:szCs w:val="2"/>
        </w:rPr>
        <w:t>526F</w:t>
      </w:r>
      <w:r w:rsidR="00317AE4">
        <w:rPr>
          <w:rFonts w:ascii="ZWAdobeF" w:hAnsi="ZWAdobeF" w:cs="ZWAdobeF"/>
          <w:color w:val="auto"/>
          <w:sz w:val="2"/>
          <w:szCs w:val="2"/>
        </w:rPr>
        <w:t>526F</w:t>
      </w:r>
      <w:r w:rsidR="00D36A28">
        <w:rPr>
          <w:rStyle w:val="FootnoteReference"/>
        </w:rPr>
        <w:footnoteReference w:id="528"/>
      </w:r>
      <w:r w:rsidR="00D36A28">
        <w:t xml:space="preserve"> </w:t>
      </w:r>
    </w:p>
    <w:p w14:paraId="2AEF0189" w14:textId="64DDA05D" w:rsidR="00D36A28" w:rsidRDefault="00BD5C95" w:rsidP="00B73434">
      <w:pPr>
        <w:pStyle w:val="BodyText"/>
        <w:numPr>
          <w:ilvl w:val="1"/>
          <w:numId w:val="43"/>
        </w:numPr>
        <w:tabs>
          <w:tab w:val="left" w:pos="709"/>
        </w:tabs>
        <w:ind w:hanging="709"/>
      </w:pPr>
      <w:r>
        <w:rPr>
          <w:rFonts w:ascii="ZWAdobeF" w:hAnsi="ZWAdobeF" w:cs="ZWAdobeF"/>
          <w:color w:val="auto"/>
          <w:sz w:val="2"/>
          <w:szCs w:val="2"/>
        </w:rPr>
        <w:t>332B</w:t>
      </w:r>
      <w:r w:rsidR="0049638A">
        <w:rPr>
          <w:rFonts w:ascii="ZWAdobeF" w:hAnsi="ZWAdobeF" w:cs="ZWAdobeF"/>
          <w:color w:val="auto"/>
          <w:sz w:val="2"/>
          <w:szCs w:val="2"/>
        </w:rPr>
        <w:t>332B</w:t>
      </w:r>
      <w:r w:rsidR="00D629FA">
        <w:rPr>
          <w:rFonts w:ascii="ZWAdobeF" w:hAnsi="ZWAdobeF" w:cs="ZWAdobeF"/>
          <w:color w:val="auto"/>
          <w:sz w:val="2"/>
          <w:szCs w:val="2"/>
        </w:rPr>
        <w:t>332B</w:t>
      </w:r>
      <w:r w:rsidR="00D36A28">
        <w:t xml:space="preserve">In Australia, a common fund order was first made by the Federal Court in 2016 in </w:t>
      </w:r>
      <w:r w:rsidR="00D36A28">
        <w:rPr>
          <w:i/>
          <w:iCs/>
        </w:rPr>
        <w:t>Money Max Int Pty Ltd v QBE Insurance Group Ltd</w:t>
      </w:r>
      <w:r w:rsidR="00D36A28">
        <w:t>.</w:t>
      </w:r>
      <w:r w:rsidR="00D629FA">
        <w:rPr>
          <w:rFonts w:ascii="ZWAdobeF" w:hAnsi="ZWAdobeF" w:cs="ZWAdobeF"/>
          <w:color w:val="auto"/>
          <w:sz w:val="2"/>
          <w:szCs w:val="2"/>
        </w:rPr>
        <w:t>527F</w:t>
      </w:r>
      <w:r w:rsidR="007A330E">
        <w:rPr>
          <w:rFonts w:ascii="ZWAdobeF" w:hAnsi="ZWAdobeF" w:cs="ZWAdobeF"/>
          <w:color w:val="auto"/>
          <w:sz w:val="2"/>
          <w:szCs w:val="2"/>
        </w:rPr>
        <w:t>527F</w:t>
      </w:r>
      <w:r w:rsidR="00317AE4">
        <w:rPr>
          <w:rFonts w:ascii="ZWAdobeF" w:hAnsi="ZWAdobeF" w:cs="ZWAdobeF"/>
          <w:color w:val="auto"/>
          <w:sz w:val="2"/>
          <w:szCs w:val="2"/>
        </w:rPr>
        <w:t>527F</w:t>
      </w:r>
      <w:r w:rsidR="00D36A28">
        <w:rPr>
          <w:rStyle w:val="FootnoteReference"/>
        </w:rPr>
        <w:footnoteReference w:id="529"/>
      </w:r>
      <w:r w:rsidR="00D36A28">
        <w:t xml:space="preserve"> There are many subsequent examples of courts making common fund orders in funded class actions.</w:t>
      </w:r>
      <w:r w:rsidR="00D629FA">
        <w:rPr>
          <w:rFonts w:ascii="ZWAdobeF" w:hAnsi="ZWAdobeF" w:cs="ZWAdobeF"/>
          <w:color w:val="auto"/>
          <w:sz w:val="2"/>
          <w:szCs w:val="2"/>
        </w:rPr>
        <w:t>528F</w:t>
      </w:r>
      <w:r w:rsidR="007A330E">
        <w:rPr>
          <w:rFonts w:ascii="ZWAdobeF" w:hAnsi="ZWAdobeF" w:cs="ZWAdobeF"/>
          <w:color w:val="auto"/>
          <w:sz w:val="2"/>
          <w:szCs w:val="2"/>
        </w:rPr>
        <w:t>528F</w:t>
      </w:r>
      <w:r w:rsidR="00317AE4">
        <w:rPr>
          <w:rFonts w:ascii="ZWAdobeF" w:hAnsi="ZWAdobeF" w:cs="ZWAdobeF"/>
          <w:color w:val="auto"/>
          <w:sz w:val="2"/>
          <w:szCs w:val="2"/>
        </w:rPr>
        <w:t>528F</w:t>
      </w:r>
      <w:r w:rsidR="00D36A28">
        <w:rPr>
          <w:rStyle w:val="FootnoteReference"/>
        </w:rPr>
        <w:footnoteReference w:id="530"/>
      </w:r>
      <w:r w:rsidR="00D36A28">
        <w:t xml:space="preserve"> However, in </w:t>
      </w:r>
      <w:r w:rsidR="00D36A28">
        <w:rPr>
          <w:i/>
          <w:iCs/>
        </w:rPr>
        <w:t>BMW v Brewster</w:t>
      </w:r>
      <w:r w:rsidR="00D36A28">
        <w:t>, a majority of the High Court of Australia held that the Federal Court does not have jurisdiction to make a common fund order under its general power in section 33ZF.</w:t>
      </w:r>
      <w:r w:rsidR="00D629FA">
        <w:rPr>
          <w:rFonts w:ascii="ZWAdobeF" w:hAnsi="ZWAdobeF" w:cs="ZWAdobeF"/>
          <w:color w:val="auto"/>
          <w:sz w:val="2"/>
          <w:szCs w:val="2"/>
        </w:rPr>
        <w:t>529F</w:t>
      </w:r>
      <w:r w:rsidR="007A330E">
        <w:rPr>
          <w:rFonts w:ascii="ZWAdobeF" w:hAnsi="ZWAdobeF" w:cs="ZWAdobeF"/>
          <w:color w:val="auto"/>
          <w:sz w:val="2"/>
          <w:szCs w:val="2"/>
        </w:rPr>
        <w:t>529F</w:t>
      </w:r>
      <w:r w:rsidR="00317AE4">
        <w:rPr>
          <w:rFonts w:ascii="ZWAdobeF" w:hAnsi="ZWAdobeF" w:cs="ZWAdobeF"/>
          <w:color w:val="auto"/>
          <w:sz w:val="2"/>
          <w:szCs w:val="2"/>
        </w:rPr>
        <w:t>529F</w:t>
      </w:r>
      <w:r w:rsidR="00D36A28">
        <w:rPr>
          <w:rStyle w:val="FootnoteReference"/>
        </w:rPr>
        <w:footnoteReference w:id="531"/>
      </w:r>
      <w:r w:rsidR="00D36A28">
        <w:t xml:space="preserve"> In some subsequent cases, the Federal Court has expressed the view that the High Court’s decision does not preclude common fund orders at the settlement stage or </w:t>
      </w:r>
      <w:r w:rsidR="00D36A28">
        <w:lastRenderedPageBreak/>
        <w:t xml:space="preserve">following judgment, relying instead on the court’s power to make </w:t>
      </w:r>
      <w:r w:rsidR="00D36A28" w:rsidRPr="00C63CB0">
        <w:t>orders with respect to the distribution of any money paid under a settlement</w:t>
      </w:r>
      <w:r w:rsidR="00D36A28">
        <w:t>.</w:t>
      </w:r>
      <w:r w:rsidR="00D629FA">
        <w:rPr>
          <w:rFonts w:ascii="ZWAdobeF" w:hAnsi="ZWAdobeF" w:cs="ZWAdobeF"/>
          <w:color w:val="auto"/>
          <w:sz w:val="2"/>
          <w:szCs w:val="2"/>
        </w:rPr>
        <w:t>530F</w:t>
      </w:r>
      <w:r w:rsidR="007A330E">
        <w:rPr>
          <w:rFonts w:ascii="ZWAdobeF" w:hAnsi="ZWAdobeF" w:cs="ZWAdobeF"/>
          <w:color w:val="auto"/>
          <w:sz w:val="2"/>
          <w:szCs w:val="2"/>
        </w:rPr>
        <w:t>530F</w:t>
      </w:r>
      <w:r w:rsidR="00317AE4">
        <w:rPr>
          <w:rFonts w:ascii="ZWAdobeF" w:hAnsi="ZWAdobeF" w:cs="ZWAdobeF"/>
          <w:color w:val="auto"/>
          <w:sz w:val="2"/>
          <w:szCs w:val="2"/>
        </w:rPr>
        <w:t>530F</w:t>
      </w:r>
      <w:r w:rsidR="00D36A28">
        <w:rPr>
          <w:rStyle w:val="FootnoteReference"/>
        </w:rPr>
        <w:footnoteReference w:id="532"/>
      </w:r>
      <w:r w:rsidR="00D36A28">
        <w:t xml:space="preserve"> </w:t>
      </w:r>
    </w:p>
    <w:p w14:paraId="2E1AA343" w14:textId="150B7D25" w:rsidR="00D36A28" w:rsidRDefault="00BD5C95" w:rsidP="00932DB9">
      <w:pPr>
        <w:pStyle w:val="BodyText"/>
        <w:tabs>
          <w:tab w:val="num" w:pos="709"/>
        </w:tabs>
        <w:ind w:hanging="596"/>
      </w:pPr>
      <w:r>
        <w:rPr>
          <w:rFonts w:ascii="ZWAdobeF" w:hAnsi="ZWAdobeF" w:cs="ZWAdobeF"/>
          <w:color w:val="auto"/>
          <w:sz w:val="2"/>
          <w:szCs w:val="2"/>
        </w:rPr>
        <w:t>333B</w:t>
      </w:r>
      <w:r w:rsidR="0049638A">
        <w:rPr>
          <w:rFonts w:ascii="ZWAdobeF" w:hAnsi="ZWAdobeF" w:cs="ZWAdobeF"/>
          <w:color w:val="auto"/>
          <w:sz w:val="2"/>
          <w:szCs w:val="2"/>
        </w:rPr>
        <w:t>333B</w:t>
      </w:r>
      <w:r w:rsidR="00D629FA">
        <w:rPr>
          <w:rFonts w:ascii="ZWAdobeF" w:hAnsi="ZWAdobeF" w:cs="ZWAdobeF"/>
          <w:color w:val="auto"/>
          <w:sz w:val="2"/>
          <w:szCs w:val="2"/>
        </w:rPr>
        <w:t>333B</w:t>
      </w:r>
      <w:r w:rsidR="00D36A28">
        <w:t xml:space="preserve">A common fund order has been sought in </w:t>
      </w:r>
      <w:r w:rsidR="00D36A28">
        <w:rPr>
          <w:i/>
          <w:iCs/>
        </w:rPr>
        <w:t xml:space="preserve">Ross v Southern Response, </w:t>
      </w:r>
      <w:r w:rsidR="00D36A28">
        <w:t>but the application was adjourned while the issue of whether the case could proceed on an opt-out basis was determined.</w:t>
      </w:r>
      <w:r w:rsidR="00D629FA">
        <w:rPr>
          <w:rFonts w:ascii="ZWAdobeF" w:hAnsi="ZWAdobeF" w:cs="ZWAdobeF"/>
          <w:color w:val="auto"/>
          <w:sz w:val="2"/>
          <w:szCs w:val="2"/>
        </w:rPr>
        <w:t>531F</w:t>
      </w:r>
      <w:r w:rsidR="007A330E">
        <w:rPr>
          <w:rFonts w:ascii="ZWAdobeF" w:hAnsi="ZWAdobeF" w:cs="ZWAdobeF"/>
          <w:color w:val="auto"/>
          <w:sz w:val="2"/>
          <w:szCs w:val="2"/>
        </w:rPr>
        <w:t>531F</w:t>
      </w:r>
      <w:r w:rsidR="00317AE4">
        <w:rPr>
          <w:rFonts w:ascii="ZWAdobeF" w:hAnsi="ZWAdobeF" w:cs="ZWAdobeF"/>
          <w:color w:val="auto"/>
          <w:sz w:val="2"/>
          <w:szCs w:val="2"/>
        </w:rPr>
        <w:t>531F</w:t>
      </w:r>
      <w:r w:rsidR="00D36A28">
        <w:rPr>
          <w:rStyle w:val="FootnoteReference"/>
        </w:rPr>
        <w:footnoteReference w:id="533"/>
      </w:r>
      <w:r w:rsidR="00D36A28">
        <w:t xml:space="preserve"> The Court of Appeal commented that it would be inappropriate to comment on the availability of a common fund order under HCR 4.24 given that the application remained to be determined in the High Court. However, it was confident that the High Court had the necessary tools to address any real unfairness that arose in this context, whether under the High Court Rules or through exercising its inherent powers.</w:t>
      </w:r>
      <w:r w:rsidR="00D629FA">
        <w:rPr>
          <w:rFonts w:ascii="ZWAdobeF" w:hAnsi="ZWAdobeF" w:cs="ZWAdobeF"/>
          <w:color w:val="auto"/>
          <w:sz w:val="2"/>
          <w:szCs w:val="2"/>
        </w:rPr>
        <w:t>532F</w:t>
      </w:r>
      <w:r w:rsidR="007A330E">
        <w:rPr>
          <w:rFonts w:ascii="ZWAdobeF" w:hAnsi="ZWAdobeF" w:cs="ZWAdobeF"/>
          <w:color w:val="auto"/>
          <w:sz w:val="2"/>
          <w:szCs w:val="2"/>
        </w:rPr>
        <w:t>532F</w:t>
      </w:r>
      <w:r w:rsidR="00317AE4">
        <w:rPr>
          <w:rFonts w:ascii="ZWAdobeF" w:hAnsi="ZWAdobeF" w:cs="ZWAdobeF"/>
          <w:color w:val="auto"/>
          <w:sz w:val="2"/>
          <w:szCs w:val="2"/>
        </w:rPr>
        <w:t>532F</w:t>
      </w:r>
      <w:r w:rsidR="00D36A28">
        <w:rPr>
          <w:rStyle w:val="FootnoteReference"/>
        </w:rPr>
        <w:footnoteReference w:id="534"/>
      </w:r>
      <w:r w:rsidR="00D36A28">
        <w:t xml:space="preserve"> The High Court declined an application by plaintiffs for the defendant to set aside 15 per cent of any settlement reached with an individual </w:t>
      </w:r>
      <w:r w:rsidR="00690690">
        <w:t xml:space="preserve">group </w:t>
      </w:r>
      <w:r w:rsidR="00D36A28">
        <w:t>member until their application for a common fund order was determined.</w:t>
      </w:r>
      <w:r w:rsidR="00D629FA">
        <w:rPr>
          <w:rFonts w:ascii="ZWAdobeF" w:hAnsi="ZWAdobeF" w:cs="ZWAdobeF"/>
          <w:color w:val="auto"/>
          <w:sz w:val="2"/>
          <w:szCs w:val="2"/>
        </w:rPr>
        <w:t>533F</w:t>
      </w:r>
      <w:r w:rsidR="007A330E">
        <w:rPr>
          <w:rFonts w:ascii="ZWAdobeF" w:hAnsi="ZWAdobeF" w:cs="ZWAdobeF"/>
          <w:color w:val="auto"/>
          <w:sz w:val="2"/>
          <w:szCs w:val="2"/>
        </w:rPr>
        <w:t>533F</w:t>
      </w:r>
      <w:r w:rsidR="00317AE4">
        <w:rPr>
          <w:rFonts w:ascii="ZWAdobeF" w:hAnsi="ZWAdobeF" w:cs="ZWAdobeF"/>
          <w:color w:val="auto"/>
          <w:sz w:val="2"/>
          <w:szCs w:val="2"/>
        </w:rPr>
        <w:t>533F</w:t>
      </w:r>
      <w:r w:rsidR="00D36A28">
        <w:rPr>
          <w:rStyle w:val="FootnoteReference"/>
        </w:rPr>
        <w:footnoteReference w:id="535"/>
      </w:r>
      <w:r w:rsidR="00D36A28">
        <w:t xml:space="preserve"> </w:t>
      </w:r>
    </w:p>
    <w:p w14:paraId="4EF6078C" w14:textId="0886B8F9" w:rsidR="00D36A28" w:rsidRDefault="00BD5C95" w:rsidP="00B73434">
      <w:pPr>
        <w:pStyle w:val="BodyText"/>
        <w:numPr>
          <w:ilvl w:val="1"/>
          <w:numId w:val="43"/>
        </w:numPr>
        <w:tabs>
          <w:tab w:val="left" w:pos="709"/>
        </w:tabs>
        <w:ind w:hanging="709"/>
      </w:pPr>
      <w:r>
        <w:rPr>
          <w:rFonts w:ascii="ZWAdobeF" w:hAnsi="ZWAdobeF" w:cs="ZWAdobeF"/>
          <w:color w:val="auto"/>
          <w:sz w:val="2"/>
          <w:szCs w:val="2"/>
        </w:rPr>
        <w:t>334B</w:t>
      </w:r>
      <w:r w:rsidR="0049638A">
        <w:rPr>
          <w:rFonts w:ascii="ZWAdobeF" w:hAnsi="ZWAdobeF" w:cs="ZWAdobeF"/>
          <w:color w:val="auto"/>
          <w:sz w:val="2"/>
          <w:szCs w:val="2"/>
        </w:rPr>
        <w:t>334B</w:t>
      </w:r>
      <w:r w:rsidR="00D629FA">
        <w:rPr>
          <w:rFonts w:ascii="ZWAdobeF" w:hAnsi="ZWAdobeF" w:cs="ZWAdobeF"/>
          <w:color w:val="auto"/>
          <w:sz w:val="2"/>
          <w:szCs w:val="2"/>
        </w:rPr>
        <w:t>334B</w:t>
      </w:r>
      <w:r w:rsidR="00D36A28">
        <w:t xml:space="preserve">Common fund orders are likely to have three key effects:  </w:t>
      </w:r>
    </w:p>
    <w:p w14:paraId="4F8C6744" w14:textId="434D5370" w:rsidR="00D36A28" w:rsidRDefault="00BD5C95" w:rsidP="00932DB9">
      <w:pPr>
        <w:pStyle w:val="BodyTextnonum"/>
        <w:numPr>
          <w:ilvl w:val="3"/>
          <w:numId w:val="14"/>
        </w:numPr>
      </w:pPr>
      <w:r>
        <w:rPr>
          <w:rFonts w:ascii="ZWAdobeF" w:hAnsi="ZWAdobeF" w:cs="ZWAdobeF"/>
          <w:color w:val="auto"/>
          <w:sz w:val="2"/>
          <w:szCs w:val="2"/>
        </w:rPr>
        <w:t>754B</w:t>
      </w:r>
      <w:r w:rsidR="0049638A">
        <w:rPr>
          <w:rFonts w:ascii="ZWAdobeF" w:hAnsi="ZWAdobeF" w:cs="ZWAdobeF"/>
          <w:color w:val="auto"/>
          <w:sz w:val="2"/>
          <w:szCs w:val="2"/>
        </w:rPr>
        <w:t>754B</w:t>
      </w:r>
      <w:r w:rsidR="00D629FA">
        <w:rPr>
          <w:rFonts w:ascii="ZWAdobeF" w:hAnsi="ZWAdobeF" w:cs="ZWAdobeF"/>
          <w:color w:val="auto"/>
          <w:sz w:val="2"/>
          <w:szCs w:val="2"/>
        </w:rPr>
        <w:t>754B</w:t>
      </w:r>
      <w:r w:rsidR="00D36A28">
        <w:t xml:space="preserve">Improving the economics of opt-out class actions for litigation funders.  </w:t>
      </w:r>
    </w:p>
    <w:p w14:paraId="58627AA3" w14:textId="46CD0BDF" w:rsidR="00D36A28" w:rsidRDefault="00BD5C95" w:rsidP="00932DB9">
      <w:pPr>
        <w:pStyle w:val="BodyTextnonum"/>
        <w:numPr>
          <w:ilvl w:val="3"/>
          <w:numId w:val="14"/>
        </w:numPr>
      </w:pPr>
      <w:r>
        <w:rPr>
          <w:rFonts w:ascii="ZWAdobeF" w:hAnsi="ZWAdobeF" w:cs="ZWAdobeF"/>
          <w:color w:val="auto"/>
          <w:sz w:val="2"/>
          <w:szCs w:val="2"/>
        </w:rPr>
        <w:t>755B</w:t>
      </w:r>
      <w:r w:rsidR="0049638A">
        <w:rPr>
          <w:rFonts w:ascii="ZWAdobeF" w:hAnsi="ZWAdobeF" w:cs="ZWAdobeF"/>
          <w:color w:val="auto"/>
          <w:sz w:val="2"/>
          <w:szCs w:val="2"/>
        </w:rPr>
        <w:t>755B</w:t>
      </w:r>
      <w:r w:rsidR="00D629FA">
        <w:rPr>
          <w:rFonts w:ascii="ZWAdobeF" w:hAnsi="ZWAdobeF" w:cs="ZWAdobeF"/>
          <w:color w:val="auto"/>
          <w:sz w:val="2"/>
          <w:szCs w:val="2"/>
        </w:rPr>
        <w:t>755B</w:t>
      </w:r>
      <w:r w:rsidR="00D36A28">
        <w:t xml:space="preserve">Court supervision of litigation funding </w:t>
      </w:r>
      <w:r w:rsidR="004C46B0">
        <w:t>commissions</w:t>
      </w:r>
      <w:r w:rsidR="00D36A28">
        <w:t xml:space="preserve">, which can directly lower funding commissions as well as incentivise competitive rates more generally. </w:t>
      </w:r>
    </w:p>
    <w:p w14:paraId="55079E5F" w14:textId="66182194" w:rsidR="00D36A28" w:rsidRDefault="00BD5C95" w:rsidP="00932DB9">
      <w:pPr>
        <w:pStyle w:val="BodyTextnonum"/>
        <w:numPr>
          <w:ilvl w:val="3"/>
          <w:numId w:val="14"/>
        </w:numPr>
      </w:pPr>
      <w:r>
        <w:rPr>
          <w:rFonts w:ascii="ZWAdobeF" w:hAnsi="ZWAdobeF" w:cs="ZWAdobeF"/>
          <w:color w:val="auto"/>
          <w:sz w:val="2"/>
          <w:szCs w:val="2"/>
        </w:rPr>
        <w:t>756B</w:t>
      </w:r>
      <w:r w:rsidR="0049638A">
        <w:rPr>
          <w:rFonts w:ascii="ZWAdobeF" w:hAnsi="ZWAdobeF" w:cs="ZWAdobeF"/>
          <w:color w:val="auto"/>
          <w:sz w:val="2"/>
          <w:szCs w:val="2"/>
        </w:rPr>
        <w:t>756B</w:t>
      </w:r>
      <w:r w:rsidR="00D629FA">
        <w:rPr>
          <w:rFonts w:ascii="ZWAdobeF" w:hAnsi="ZWAdobeF" w:cs="ZWAdobeF"/>
          <w:color w:val="auto"/>
          <w:sz w:val="2"/>
          <w:szCs w:val="2"/>
        </w:rPr>
        <w:t>756B</w:t>
      </w:r>
      <w:r w:rsidR="00D36A28">
        <w:t xml:space="preserve">Fairness as between class members. </w:t>
      </w:r>
    </w:p>
    <w:p w14:paraId="20539694" w14:textId="2E96B12F" w:rsidR="00D36A28" w:rsidRDefault="00BD5C95" w:rsidP="00B73434">
      <w:pPr>
        <w:pStyle w:val="BodyText"/>
        <w:numPr>
          <w:ilvl w:val="1"/>
          <w:numId w:val="43"/>
        </w:numPr>
        <w:ind w:hanging="709"/>
      </w:pPr>
      <w:r>
        <w:rPr>
          <w:rFonts w:ascii="ZWAdobeF" w:hAnsi="ZWAdobeF" w:cs="ZWAdobeF"/>
          <w:color w:val="auto"/>
          <w:sz w:val="2"/>
          <w:szCs w:val="2"/>
        </w:rPr>
        <w:t>335B</w:t>
      </w:r>
      <w:r w:rsidR="0049638A">
        <w:rPr>
          <w:rFonts w:ascii="ZWAdobeF" w:hAnsi="ZWAdobeF" w:cs="ZWAdobeF"/>
          <w:color w:val="auto"/>
          <w:sz w:val="2"/>
          <w:szCs w:val="2"/>
        </w:rPr>
        <w:t>335B</w:t>
      </w:r>
      <w:r w:rsidR="00D629FA">
        <w:rPr>
          <w:rFonts w:ascii="ZWAdobeF" w:hAnsi="ZWAdobeF" w:cs="ZWAdobeF"/>
          <w:color w:val="auto"/>
          <w:sz w:val="2"/>
          <w:szCs w:val="2"/>
        </w:rPr>
        <w:t>335B</w:t>
      </w:r>
      <w:r w:rsidR="00D36A28">
        <w:t>We discuss each of these below.</w:t>
      </w:r>
    </w:p>
    <w:p w14:paraId="41C46D1A" w14:textId="77777777" w:rsidR="00D36A28" w:rsidRDefault="00D36A28" w:rsidP="00907B23">
      <w:pPr>
        <w:pStyle w:val="Heading4"/>
      </w:pPr>
      <w:r>
        <w:t>Improving the economics of opt-out class actions for funders</w:t>
      </w:r>
    </w:p>
    <w:p w14:paraId="279A6746" w14:textId="5A51FA3B" w:rsidR="00D36A28" w:rsidRDefault="00BD5C95" w:rsidP="00B73434">
      <w:pPr>
        <w:pStyle w:val="BodyText"/>
        <w:numPr>
          <w:ilvl w:val="1"/>
          <w:numId w:val="43"/>
        </w:numPr>
        <w:tabs>
          <w:tab w:val="left" w:pos="709"/>
        </w:tabs>
        <w:ind w:hanging="709"/>
      </w:pPr>
      <w:r>
        <w:rPr>
          <w:rFonts w:ascii="ZWAdobeF" w:hAnsi="ZWAdobeF" w:cs="ZWAdobeF"/>
          <w:color w:val="auto"/>
          <w:sz w:val="2"/>
          <w:szCs w:val="2"/>
        </w:rPr>
        <w:t>336B</w:t>
      </w:r>
      <w:r w:rsidR="0049638A">
        <w:rPr>
          <w:rFonts w:ascii="ZWAdobeF" w:hAnsi="ZWAdobeF" w:cs="ZWAdobeF"/>
          <w:color w:val="auto"/>
          <w:sz w:val="2"/>
          <w:szCs w:val="2"/>
        </w:rPr>
        <w:t>336B</w:t>
      </w:r>
      <w:r w:rsidR="00D629FA">
        <w:rPr>
          <w:rFonts w:ascii="ZWAdobeF" w:hAnsi="ZWAdobeF" w:cs="ZWAdobeF"/>
          <w:color w:val="auto"/>
          <w:sz w:val="2"/>
          <w:szCs w:val="2"/>
        </w:rPr>
        <w:t>336B</w:t>
      </w:r>
      <w:r w:rsidR="00D36A28">
        <w:t>An opt-out class action may not be economic for a litigation funder without a mechanism such as a common fund order. A litigation funder will otherwise need to engage in book building to sign up class members to the litigation funding agreement.</w:t>
      </w:r>
      <w:r w:rsidR="00D629FA">
        <w:rPr>
          <w:rFonts w:ascii="ZWAdobeF" w:hAnsi="ZWAdobeF" w:cs="ZWAdobeF"/>
          <w:color w:val="auto"/>
          <w:sz w:val="2"/>
          <w:szCs w:val="2"/>
        </w:rPr>
        <w:t>534F</w:t>
      </w:r>
      <w:r w:rsidR="007A330E">
        <w:rPr>
          <w:rFonts w:ascii="ZWAdobeF" w:hAnsi="ZWAdobeF" w:cs="ZWAdobeF"/>
          <w:color w:val="auto"/>
          <w:sz w:val="2"/>
          <w:szCs w:val="2"/>
        </w:rPr>
        <w:t>534F</w:t>
      </w:r>
      <w:r w:rsidR="00317AE4">
        <w:rPr>
          <w:rFonts w:ascii="ZWAdobeF" w:hAnsi="ZWAdobeF" w:cs="ZWAdobeF"/>
          <w:color w:val="auto"/>
          <w:sz w:val="2"/>
          <w:szCs w:val="2"/>
        </w:rPr>
        <w:t>534F</w:t>
      </w:r>
      <w:r w:rsidR="00D36A28">
        <w:rPr>
          <w:rStyle w:val="FootnoteReference"/>
        </w:rPr>
        <w:footnoteReference w:id="536"/>
      </w:r>
      <w:r w:rsidR="00D36A28">
        <w:t xml:space="preserve"> Book building may be an expensive process, although this is not inevitably so.</w:t>
      </w:r>
      <w:r w:rsidR="00D629FA">
        <w:rPr>
          <w:rFonts w:ascii="ZWAdobeF" w:hAnsi="ZWAdobeF" w:cs="ZWAdobeF"/>
          <w:color w:val="auto"/>
          <w:sz w:val="2"/>
          <w:szCs w:val="2"/>
        </w:rPr>
        <w:t>535F</w:t>
      </w:r>
      <w:r w:rsidR="007A330E">
        <w:rPr>
          <w:rFonts w:ascii="ZWAdobeF" w:hAnsi="ZWAdobeF" w:cs="ZWAdobeF"/>
          <w:color w:val="auto"/>
          <w:sz w:val="2"/>
          <w:szCs w:val="2"/>
        </w:rPr>
        <w:t>535F</w:t>
      </w:r>
      <w:r w:rsidR="00317AE4">
        <w:rPr>
          <w:rFonts w:ascii="ZWAdobeF" w:hAnsi="ZWAdobeF" w:cs="ZWAdobeF"/>
          <w:color w:val="auto"/>
          <w:sz w:val="2"/>
          <w:szCs w:val="2"/>
        </w:rPr>
        <w:t>535F</w:t>
      </w:r>
      <w:r w:rsidR="00D36A28">
        <w:rPr>
          <w:rStyle w:val="FootnoteReference"/>
        </w:rPr>
        <w:footnoteReference w:id="537"/>
      </w:r>
      <w:r w:rsidR="00D36A28">
        <w:t xml:space="preserve"> In Australia, prior to common fund orders, the requirement to book build made it challenging to bring a funded class action where there were</w:t>
      </w:r>
      <w:r w:rsidR="00D36A28" w:rsidDel="00DA6CD5">
        <w:t xml:space="preserve"> </w:t>
      </w:r>
      <w:r w:rsidR="00D36A28">
        <w:t>a large number of smaller value claims or it was difficult to ascertain the identities of class members.</w:t>
      </w:r>
      <w:r w:rsidR="00D629FA">
        <w:rPr>
          <w:rFonts w:ascii="ZWAdobeF" w:hAnsi="ZWAdobeF" w:cs="ZWAdobeF"/>
          <w:color w:val="auto"/>
          <w:sz w:val="2"/>
          <w:szCs w:val="2"/>
        </w:rPr>
        <w:t>536F</w:t>
      </w:r>
      <w:r w:rsidR="007A330E">
        <w:rPr>
          <w:rFonts w:ascii="ZWAdobeF" w:hAnsi="ZWAdobeF" w:cs="ZWAdobeF"/>
          <w:color w:val="auto"/>
          <w:sz w:val="2"/>
          <w:szCs w:val="2"/>
        </w:rPr>
        <w:t>536F</w:t>
      </w:r>
      <w:r w:rsidR="00317AE4">
        <w:rPr>
          <w:rFonts w:ascii="ZWAdobeF" w:hAnsi="ZWAdobeF" w:cs="ZWAdobeF"/>
          <w:color w:val="auto"/>
          <w:sz w:val="2"/>
          <w:szCs w:val="2"/>
        </w:rPr>
        <w:t>536F</w:t>
      </w:r>
      <w:r w:rsidR="00D36A28">
        <w:rPr>
          <w:rStyle w:val="FootnoteReference"/>
        </w:rPr>
        <w:footnoteReference w:id="538"/>
      </w:r>
      <w:r w:rsidR="00D36A28">
        <w:t xml:space="preserve"> It may be easier </w:t>
      </w:r>
      <w:r w:rsidR="0037050F">
        <w:t xml:space="preserve">to book build </w:t>
      </w:r>
      <w:r w:rsidR="00D36A28">
        <w:t xml:space="preserve">in shareholder </w:t>
      </w:r>
      <w:r w:rsidR="00D36A28">
        <w:lastRenderedPageBreak/>
        <w:t>class actions because class members can be identified through shareholder registries.</w:t>
      </w:r>
      <w:r w:rsidR="00D629FA">
        <w:rPr>
          <w:rFonts w:ascii="ZWAdobeF" w:hAnsi="ZWAdobeF" w:cs="ZWAdobeF"/>
          <w:color w:val="auto"/>
          <w:sz w:val="2"/>
          <w:szCs w:val="2"/>
        </w:rPr>
        <w:t>537F</w:t>
      </w:r>
      <w:r w:rsidR="007A330E">
        <w:rPr>
          <w:rFonts w:ascii="ZWAdobeF" w:hAnsi="ZWAdobeF" w:cs="ZWAdobeF"/>
          <w:color w:val="auto"/>
          <w:sz w:val="2"/>
          <w:szCs w:val="2"/>
        </w:rPr>
        <w:t>537F</w:t>
      </w:r>
      <w:r w:rsidR="00317AE4">
        <w:rPr>
          <w:rFonts w:ascii="ZWAdobeF" w:hAnsi="ZWAdobeF" w:cs="ZWAdobeF"/>
          <w:color w:val="auto"/>
          <w:sz w:val="2"/>
          <w:szCs w:val="2"/>
        </w:rPr>
        <w:t>537F</w:t>
      </w:r>
      <w:r w:rsidR="00D36A28">
        <w:rPr>
          <w:rStyle w:val="FootnoteReference"/>
        </w:rPr>
        <w:footnoteReference w:id="539"/>
      </w:r>
      <w:r w:rsidR="00D36A28">
        <w:t xml:space="preserve"> In Aotearoa New Zealand, our small population size may assist with identifying potential class members and alerting them to the litigation.</w:t>
      </w:r>
    </w:p>
    <w:p w14:paraId="6978A053" w14:textId="05C22D3F" w:rsidR="00D36A28" w:rsidRDefault="00BD5C95" w:rsidP="00B73434">
      <w:pPr>
        <w:pStyle w:val="BodyText"/>
        <w:numPr>
          <w:ilvl w:val="1"/>
          <w:numId w:val="43"/>
        </w:numPr>
        <w:tabs>
          <w:tab w:val="left" w:pos="709"/>
        </w:tabs>
        <w:ind w:hanging="709"/>
      </w:pPr>
      <w:r>
        <w:rPr>
          <w:rFonts w:ascii="ZWAdobeF" w:hAnsi="ZWAdobeF" w:cs="ZWAdobeF"/>
          <w:color w:val="auto"/>
          <w:sz w:val="2"/>
          <w:szCs w:val="2"/>
        </w:rPr>
        <w:t>337B</w:t>
      </w:r>
      <w:r w:rsidR="0049638A">
        <w:rPr>
          <w:rFonts w:ascii="ZWAdobeF" w:hAnsi="ZWAdobeF" w:cs="ZWAdobeF"/>
          <w:color w:val="auto"/>
          <w:sz w:val="2"/>
          <w:szCs w:val="2"/>
        </w:rPr>
        <w:t>337B</w:t>
      </w:r>
      <w:r w:rsidR="00D629FA">
        <w:rPr>
          <w:rFonts w:ascii="ZWAdobeF" w:hAnsi="ZWAdobeF" w:cs="ZWAdobeF"/>
          <w:color w:val="auto"/>
          <w:sz w:val="2"/>
          <w:szCs w:val="2"/>
        </w:rPr>
        <w:t>337B</w:t>
      </w:r>
      <w:r w:rsidR="00D36A28">
        <w:t xml:space="preserve">There is little incentive for class members to sign up to a litigation funding arrangement under an opt-out class action because it is not a prerequisite to participating in the class action and benefitting from the proceeds. Therefore, absent a mechanism such as a common fund order, we would expect litigation funders to prefer opt-in class actions, where signing up to litigation funding arrangements can be a requirement of the opt-in process. </w:t>
      </w:r>
    </w:p>
    <w:p w14:paraId="53AB7D52" w14:textId="21029C89" w:rsidR="00D36A28" w:rsidRDefault="00BD5C95" w:rsidP="00B73434">
      <w:pPr>
        <w:pStyle w:val="BodyText"/>
        <w:numPr>
          <w:ilvl w:val="1"/>
          <w:numId w:val="43"/>
        </w:numPr>
        <w:tabs>
          <w:tab w:val="left" w:pos="709"/>
        </w:tabs>
        <w:ind w:hanging="709"/>
      </w:pPr>
      <w:r>
        <w:rPr>
          <w:rFonts w:ascii="ZWAdobeF" w:hAnsi="ZWAdobeF" w:cs="ZWAdobeF"/>
          <w:color w:val="auto"/>
          <w:sz w:val="2"/>
          <w:szCs w:val="2"/>
        </w:rPr>
        <w:t>338B</w:t>
      </w:r>
      <w:r w:rsidR="0049638A">
        <w:rPr>
          <w:rFonts w:ascii="ZWAdobeF" w:hAnsi="ZWAdobeF" w:cs="ZWAdobeF"/>
          <w:color w:val="auto"/>
          <w:sz w:val="2"/>
          <w:szCs w:val="2"/>
        </w:rPr>
        <w:t>338B</w:t>
      </w:r>
      <w:r w:rsidR="00D629FA">
        <w:rPr>
          <w:rFonts w:ascii="ZWAdobeF" w:hAnsi="ZWAdobeF" w:cs="ZWAdobeF"/>
          <w:color w:val="auto"/>
          <w:sz w:val="2"/>
          <w:szCs w:val="2"/>
        </w:rPr>
        <w:t>338B</w:t>
      </w:r>
      <w:r w:rsidR="00D36A28">
        <w:t>Common fund orders will make opt-out class actions more economic for litigation funders because they will be paid a funding fee from all class members without having to incur the costs of book building.</w:t>
      </w:r>
      <w:r w:rsidR="00D629FA">
        <w:rPr>
          <w:rFonts w:ascii="ZWAdobeF" w:hAnsi="ZWAdobeF" w:cs="ZWAdobeF"/>
          <w:color w:val="auto"/>
          <w:sz w:val="2"/>
          <w:szCs w:val="2"/>
        </w:rPr>
        <w:t>538F</w:t>
      </w:r>
      <w:r w:rsidR="007A330E">
        <w:rPr>
          <w:rFonts w:ascii="ZWAdobeF" w:hAnsi="ZWAdobeF" w:cs="ZWAdobeF"/>
          <w:color w:val="auto"/>
          <w:sz w:val="2"/>
          <w:szCs w:val="2"/>
        </w:rPr>
        <w:t>538F</w:t>
      </w:r>
      <w:r w:rsidR="00317AE4">
        <w:rPr>
          <w:rFonts w:ascii="ZWAdobeF" w:hAnsi="ZWAdobeF" w:cs="ZWAdobeF"/>
          <w:color w:val="auto"/>
          <w:sz w:val="2"/>
          <w:szCs w:val="2"/>
        </w:rPr>
        <w:t>538F</w:t>
      </w:r>
      <w:r w:rsidR="00D36A28">
        <w:rPr>
          <w:rStyle w:val="FootnoteReference"/>
        </w:rPr>
        <w:footnoteReference w:id="540"/>
      </w:r>
      <w:r w:rsidR="00D36A28">
        <w:t xml:space="preserve"> The majority in </w:t>
      </w:r>
      <w:r w:rsidR="00D36A28">
        <w:rPr>
          <w:i/>
          <w:iCs/>
        </w:rPr>
        <w:t xml:space="preserve">BMW v Brewster </w:t>
      </w:r>
      <w:r w:rsidR="00D36A28">
        <w:t>did not see improving the economics of class actions for litigation funders as the Court’s role:</w:t>
      </w:r>
      <w:r w:rsidR="00D629FA">
        <w:rPr>
          <w:rFonts w:ascii="ZWAdobeF" w:hAnsi="ZWAdobeF" w:cs="ZWAdobeF"/>
          <w:color w:val="auto"/>
          <w:sz w:val="2"/>
          <w:szCs w:val="2"/>
        </w:rPr>
        <w:t>539F</w:t>
      </w:r>
      <w:r w:rsidR="007A330E">
        <w:rPr>
          <w:rFonts w:ascii="ZWAdobeF" w:hAnsi="ZWAdobeF" w:cs="ZWAdobeF"/>
          <w:color w:val="auto"/>
          <w:sz w:val="2"/>
          <w:szCs w:val="2"/>
        </w:rPr>
        <w:t>539F</w:t>
      </w:r>
      <w:r w:rsidR="00317AE4">
        <w:rPr>
          <w:rFonts w:ascii="ZWAdobeF" w:hAnsi="ZWAdobeF" w:cs="ZWAdobeF"/>
          <w:color w:val="auto"/>
          <w:sz w:val="2"/>
          <w:szCs w:val="2"/>
        </w:rPr>
        <w:t>539F</w:t>
      </w:r>
      <w:r w:rsidR="00D36A28">
        <w:rPr>
          <w:rStyle w:val="FootnoteReference"/>
        </w:rPr>
        <w:footnoteReference w:id="541"/>
      </w:r>
    </w:p>
    <w:p w14:paraId="74F3A594" w14:textId="62C15F00" w:rsidR="00D36A28" w:rsidRPr="00DF12EA" w:rsidRDefault="00BD5C95" w:rsidP="00D36A28">
      <w:pPr>
        <w:pStyle w:val="Quote"/>
      </w:pPr>
      <w:r>
        <w:rPr>
          <w:rFonts w:ascii="ZWAdobeF" w:hAnsi="ZWAdobeF" w:cs="ZWAdobeF"/>
          <w:color w:val="auto"/>
          <w:sz w:val="2"/>
          <w:szCs w:val="2"/>
        </w:rPr>
        <w:t>1471B</w:t>
      </w:r>
      <w:r w:rsidR="0049638A">
        <w:rPr>
          <w:rFonts w:ascii="ZWAdobeF" w:hAnsi="ZWAdobeF" w:cs="ZWAdobeF"/>
          <w:color w:val="auto"/>
          <w:sz w:val="2"/>
          <w:szCs w:val="2"/>
        </w:rPr>
        <w:t>1471B</w:t>
      </w:r>
      <w:r w:rsidR="00D629FA">
        <w:rPr>
          <w:rFonts w:ascii="ZWAdobeF" w:hAnsi="ZWAdobeF" w:cs="ZWAdobeF"/>
          <w:color w:val="auto"/>
          <w:sz w:val="2"/>
          <w:szCs w:val="2"/>
        </w:rPr>
        <w:t>1471B</w:t>
      </w:r>
      <w:r w:rsidR="00D36A28" w:rsidRPr="00DF12EA">
        <w:t>To the extent that a CFO may allow a litigation funder to avoid the burden of the process of book building by enlisting the court's aid, there is no warrant to supplement the legislative scheme by judicial involvement to ease the commercial anxieties of litigation funders or to relieve them of the need to make their decisions as to whether a class action should be supported based on their own analysis of risk and reward.</w:t>
      </w:r>
    </w:p>
    <w:p w14:paraId="42240318" w14:textId="215CAAF9" w:rsidR="00D36A28" w:rsidRDefault="00BD5C95" w:rsidP="00B73434">
      <w:pPr>
        <w:pStyle w:val="BodyText"/>
        <w:numPr>
          <w:ilvl w:val="1"/>
          <w:numId w:val="43"/>
        </w:numPr>
        <w:tabs>
          <w:tab w:val="left" w:pos="709"/>
        </w:tabs>
        <w:ind w:hanging="709"/>
      </w:pPr>
      <w:r>
        <w:rPr>
          <w:rFonts w:ascii="ZWAdobeF" w:hAnsi="ZWAdobeF" w:cs="ZWAdobeF"/>
          <w:color w:val="auto"/>
          <w:sz w:val="2"/>
          <w:szCs w:val="2"/>
        </w:rPr>
        <w:t>339B</w:t>
      </w:r>
      <w:r w:rsidR="0049638A">
        <w:rPr>
          <w:rFonts w:ascii="ZWAdobeF" w:hAnsi="ZWAdobeF" w:cs="ZWAdobeF"/>
          <w:color w:val="auto"/>
          <w:sz w:val="2"/>
          <w:szCs w:val="2"/>
        </w:rPr>
        <w:t>339B</w:t>
      </w:r>
      <w:r w:rsidR="00D629FA">
        <w:rPr>
          <w:rFonts w:ascii="ZWAdobeF" w:hAnsi="ZWAdobeF" w:cs="ZWAdobeF"/>
          <w:color w:val="auto"/>
          <w:sz w:val="2"/>
          <w:szCs w:val="2"/>
        </w:rPr>
        <w:t>339B</w:t>
      </w:r>
      <w:r w:rsidR="00D36A28">
        <w:t>The suggestion that book building was “wasted costs” was said to ignore the reality that class members would have to take action at some stage to obtain any payment they were entitled to.</w:t>
      </w:r>
      <w:r w:rsidR="00D629FA">
        <w:rPr>
          <w:rFonts w:ascii="ZWAdobeF" w:hAnsi="ZWAdobeF" w:cs="ZWAdobeF"/>
          <w:color w:val="auto"/>
          <w:sz w:val="2"/>
          <w:szCs w:val="2"/>
        </w:rPr>
        <w:t>540F</w:t>
      </w:r>
      <w:r w:rsidR="007A330E">
        <w:rPr>
          <w:rFonts w:ascii="ZWAdobeF" w:hAnsi="ZWAdobeF" w:cs="ZWAdobeF"/>
          <w:color w:val="auto"/>
          <w:sz w:val="2"/>
          <w:szCs w:val="2"/>
        </w:rPr>
        <w:t>540F</w:t>
      </w:r>
      <w:r w:rsidR="00317AE4">
        <w:rPr>
          <w:rFonts w:ascii="ZWAdobeF" w:hAnsi="ZWAdobeF" w:cs="ZWAdobeF"/>
          <w:color w:val="auto"/>
          <w:sz w:val="2"/>
          <w:szCs w:val="2"/>
        </w:rPr>
        <w:t>540F</w:t>
      </w:r>
      <w:r w:rsidR="00D36A28">
        <w:rPr>
          <w:rStyle w:val="FootnoteReference"/>
        </w:rPr>
        <w:footnoteReference w:id="542"/>
      </w:r>
      <w:r w:rsidR="00D36A28">
        <w:t xml:space="preserve"> In other words, an opt-out class action almost always has to convert to an opt-in class action at some point, because individual class members need to establish their individual entitlement to relief.</w:t>
      </w:r>
      <w:r w:rsidR="00D629FA">
        <w:rPr>
          <w:rFonts w:ascii="ZWAdobeF" w:hAnsi="ZWAdobeF" w:cs="ZWAdobeF"/>
          <w:color w:val="auto"/>
          <w:sz w:val="2"/>
          <w:szCs w:val="2"/>
        </w:rPr>
        <w:t>541F</w:t>
      </w:r>
      <w:r w:rsidR="007A330E">
        <w:rPr>
          <w:rFonts w:ascii="ZWAdobeF" w:hAnsi="ZWAdobeF" w:cs="ZWAdobeF"/>
          <w:color w:val="auto"/>
          <w:sz w:val="2"/>
          <w:szCs w:val="2"/>
        </w:rPr>
        <w:t>541F</w:t>
      </w:r>
      <w:r w:rsidR="00317AE4">
        <w:rPr>
          <w:rFonts w:ascii="ZWAdobeF" w:hAnsi="ZWAdobeF" w:cs="ZWAdobeF"/>
          <w:color w:val="auto"/>
          <w:sz w:val="2"/>
          <w:szCs w:val="2"/>
        </w:rPr>
        <w:t>541F</w:t>
      </w:r>
      <w:r w:rsidR="00D36A28">
        <w:rPr>
          <w:rStyle w:val="FootnoteReference"/>
        </w:rPr>
        <w:footnoteReference w:id="543"/>
      </w:r>
    </w:p>
    <w:p w14:paraId="7A9791F2" w14:textId="3910E89B" w:rsidR="00D36A28" w:rsidRDefault="00BD5C95" w:rsidP="00B73434">
      <w:pPr>
        <w:pStyle w:val="BodyText"/>
        <w:numPr>
          <w:ilvl w:val="1"/>
          <w:numId w:val="43"/>
        </w:numPr>
        <w:tabs>
          <w:tab w:val="left" w:pos="709"/>
        </w:tabs>
        <w:ind w:hanging="709"/>
      </w:pPr>
      <w:r>
        <w:rPr>
          <w:rFonts w:ascii="ZWAdobeF" w:hAnsi="ZWAdobeF" w:cs="ZWAdobeF"/>
          <w:color w:val="auto"/>
          <w:sz w:val="2"/>
          <w:szCs w:val="2"/>
        </w:rPr>
        <w:t>340B</w:t>
      </w:r>
      <w:r w:rsidR="0049638A">
        <w:rPr>
          <w:rFonts w:ascii="ZWAdobeF" w:hAnsi="ZWAdobeF" w:cs="ZWAdobeF"/>
          <w:color w:val="auto"/>
          <w:sz w:val="2"/>
          <w:szCs w:val="2"/>
        </w:rPr>
        <w:t>340B</w:t>
      </w:r>
      <w:r w:rsidR="00D629FA">
        <w:rPr>
          <w:rFonts w:ascii="ZWAdobeF" w:hAnsi="ZWAdobeF" w:cs="ZWAdobeF"/>
          <w:color w:val="auto"/>
          <w:sz w:val="2"/>
          <w:szCs w:val="2"/>
        </w:rPr>
        <w:t>340B</w:t>
      </w:r>
      <w:r w:rsidR="00D36A28">
        <w:t>A consequence of making opt-out class actions more economic for litigation funders is that more opt-out class actions will be brought, although there may still be circumstances where a litigation funder will prefer to bring a class action on an opt-in basis.</w:t>
      </w:r>
      <w:r w:rsidR="00D629FA">
        <w:rPr>
          <w:rFonts w:ascii="ZWAdobeF" w:hAnsi="ZWAdobeF" w:cs="ZWAdobeF"/>
          <w:color w:val="auto"/>
          <w:sz w:val="2"/>
          <w:szCs w:val="2"/>
        </w:rPr>
        <w:t>542F</w:t>
      </w:r>
      <w:r w:rsidR="007A330E">
        <w:rPr>
          <w:rFonts w:ascii="ZWAdobeF" w:hAnsi="ZWAdobeF" w:cs="ZWAdobeF"/>
          <w:color w:val="auto"/>
          <w:sz w:val="2"/>
          <w:szCs w:val="2"/>
        </w:rPr>
        <w:t>542F</w:t>
      </w:r>
      <w:r w:rsidR="00317AE4">
        <w:rPr>
          <w:rFonts w:ascii="ZWAdobeF" w:hAnsi="ZWAdobeF" w:cs="ZWAdobeF"/>
          <w:color w:val="auto"/>
          <w:sz w:val="2"/>
          <w:szCs w:val="2"/>
        </w:rPr>
        <w:t>542F</w:t>
      </w:r>
      <w:r w:rsidR="00D36A28">
        <w:rPr>
          <w:rStyle w:val="FootnoteReference"/>
        </w:rPr>
        <w:footnoteReference w:id="544"/>
      </w:r>
      <w:r w:rsidR="00D36A28">
        <w:t xml:space="preserve"> In Australia, the availability of common fund orders has led to an increase in ‘open class actions’ and a decrease in ‘closed class actions</w:t>
      </w:r>
      <w:r w:rsidR="00987C22">
        <w:t>’.</w:t>
      </w:r>
      <w:r w:rsidR="00D629FA">
        <w:rPr>
          <w:rFonts w:ascii="ZWAdobeF" w:hAnsi="ZWAdobeF" w:cs="ZWAdobeF"/>
          <w:color w:val="auto"/>
          <w:sz w:val="2"/>
          <w:szCs w:val="2"/>
        </w:rPr>
        <w:t>543F</w:t>
      </w:r>
      <w:r w:rsidR="007A330E">
        <w:rPr>
          <w:rFonts w:ascii="ZWAdobeF" w:hAnsi="ZWAdobeF" w:cs="ZWAdobeF"/>
          <w:color w:val="auto"/>
          <w:sz w:val="2"/>
          <w:szCs w:val="2"/>
        </w:rPr>
        <w:t>543F</w:t>
      </w:r>
      <w:r w:rsidR="00317AE4">
        <w:rPr>
          <w:rFonts w:ascii="ZWAdobeF" w:hAnsi="ZWAdobeF" w:cs="ZWAdobeF"/>
          <w:color w:val="auto"/>
          <w:sz w:val="2"/>
          <w:szCs w:val="2"/>
        </w:rPr>
        <w:t>543F</w:t>
      </w:r>
      <w:r w:rsidR="00D36A28">
        <w:rPr>
          <w:rStyle w:val="FootnoteReference"/>
        </w:rPr>
        <w:footnoteReference w:id="545"/>
      </w:r>
      <w:r w:rsidR="00D36A28">
        <w:t xml:space="preserve"> An increase in opt-out class actions may lead to a greater variety of class actions being brought, improving access to justice. Our Issues Paper discusses the ways in which opt-out class actions may facilitate access to justice.</w:t>
      </w:r>
      <w:r w:rsidR="00D629FA">
        <w:rPr>
          <w:rFonts w:ascii="ZWAdobeF" w:hAnsi="ZWAdobeF" w:cs="ZWAdobeF"/>
          <w:color w:val="auto"/>
          <w:sz w:val="2"/>
          <w:szCs w:val="2"/>
        </w:rPr>
        <w:t>544F</w:t>
      </w:r>
      <w:r w:rsidR="007A330E">
        <w:rPr>
          <w:rFonts w:ascii="ZWAdobeF" w:hAnsi="ZWAdobeF" w:cs="ZWAdobeF"/>
          <w:color w:val="auto"/>
          <w:sz w:val="2"/>
          <w:szCs w:val="2"/>
        </w:rPr>
        <w:t>544F</w:t>
      </w:r>
      <w:r w:rsidR="00317AE4">
        <w:rPr>
          <w:rFonts w:ascii="ZWAdobeF" w:hAnsi="ZWAdobeF" w:cs="ZWAdobeF"/>
          <w:color w:val="auto"/>
          <w:sz w:val="2"/>
          <w:szCs w:val="2"/>
        </w:rPr>
        <w:t>544F</w:t>
      </w:r>
      <w:r w:rsidR="00D36A28">
        <w:rPr>
          <w:rStyle w:val="FootnoteReference"/>
        </w:rPr>
        <w:footnoteReference w:id="546"/>
      </w:r>
      <w:r w:rsidR="00D36A28">
        <w:t xml:space="preserve"> </w:t>
      </w:r>
      <w:r w:rsidR="00D36A28">
        <w:lastRenderedPageBreak/>
        <w:t>Some submitters to the Australian Parliamentary Inquiry asserted that common fund orders had made consumer class actions viable as well as class actions on behalf of superannuation fund members.</w:t>
      </w:r>
      <w:r w:rsidR="00D629FA">
        <w:rPr>
          <w:rFonts w:ascii="ZWAdobeF" w:hAnsi="ZWAdobeF" w:cs="ZWAdobeF"/>
          <w:color w:val="auto"/>
          <w:sz w:val="2"/>
          <w:szCs w:val="2"/>
        </w:rPr>
        <w:t>545F</w:t>
      </w:r>
      <w:r w:rsidR="007A330E">
        <w:rPr>
          <w:rFonts w:ascii="ZWAdobeF" w:hAnsi="ZWAdobeF" w:cs="ZWAdobeF"/>
          <w:color w:val="auto"/>
          <w:sz w:val="2"/>
          <w:szCs w:val="2"/>
        </w:rPr>
        <w:t>545F</w:t>
      </w:r>
      <w:r w:rsidR="00317AE4">
        <w:rPr>
          <w:rFonts w:ascii="ZWAdobeF" w:hAnsi="ZWAdobeF" w:cs="ZWAdobeF"/>
          <w:color w:val="auto"/>
          <w:sz w:val="2"/>
          <w:szCs w:val="2"/>
        </w:rPr>
        <w:t>545F</w:t>
      </w:r>
      <w:r w:rsidR="00D36A28">
        <w:rPr>
          <w:rStyle w:val="FootnoteReference"/>
        </w:rPr>
        <w:footnoteReference w:id="547"/>
      </w:r>
      <w:r w:rsidR="00D36A28">
        <w:t xml:space="preserve">  </w:t>
      </w:r>
    </w:p>
    <w:p w14:paraId="23C6F623" w14:textId="67F551D4" w:rsidR="00D36A28" w:rsidRDefault="00BD5C95" w:rsidP="00B73434">
      <w:pPr>
        <w:pStyle w:val="BodyText"/>
        <w:numPr>
          <w:ilvl w:val="1"/>
          <w:numId w:val="43"/>
        </w:numPr>
        <w:tabs>
          <w:tab w:val="left" w:pos="709"/>
        </w:tabs>
        <w:ind w:hanging="709"/>
      </w:pPr>
      <w:r>
        <w:rPr>
          <w:rFonts w:ascii="ZWAdobeF" w:hAnsi="ZWAdobeF" w:cs="ZWAdobeF"/>
          <w:color w:val="auto"/>
          <w:sz w:val="2"/>
          <w:szCs w:val="2"/>
        </w:rPr>
        <w:t>341B</w:t>
      </w:r>
      <w:r w:rsidR="0049638A">
        <w:rPr>
          <w:rFonts w:ascii="ZWAdobeF" w:hAnsi="ZWAdobeF" w:cs="ZWAdobeF"/>
          <w:color w:val="auto"/>
          <w:sz w:val="2"/>
          <w:szCs w:val="2"/>
        </w:rPr>
        <w:t>341B</w:t>
      </w:r>
      <w:r w:rsidR="00D629FA">
        <w:rPr>
          <w:rFonts w:ascii="ZWAdobeF" w:hAnsi="ZWAdobeF" w:cs="ZWAdobeF"/>
          <w:color w:val="auto"/>
          <w:sz w:val="2"/>
          <w:szCs w:val="2"/>
        </w:rPr>
        <w:t>341B</w:t>
      </w:r>
      <w:r w:rsidR="00D36A28">
        <w:t>Removing the requirement for a litigation funder to book build could also encourage class actions to be commenced without sufficient investigation of whether there is interest among class members or full consideration of the merits and viability of a case.</w:t>
      </w:r>
      <w:r w:rsidR="00D629FA">
        <w:rPr>
          <w:rFonts w:ascii="ZWAdobeF" w:hAnsi="ZWAdobeF" w:cs="ZWAdobeF"/>
          <w:color w:val="auto"/>
          <w:sz w:val="2"/>
          <w:szCs w:val="2"/>
        </w:rPr>
        <w:t>546F</w:t>
      </w:r>
      <w:r w:rsidR="007A330E">
        <w:rPr>
          <w:rFonts w:ascii="ZWAdobeF" w:hAnsi="ZWAdobeF" w:cs="ZWAdobeF"/>
          <w:color w:val="auto"/>
          <w:sz w:val="2"/>
          <w:szCs w:val="2"/>
        </w:rPr>
        <w:t>546F</w:t>
      </w:r>
      <w:r w:rsidR="00317AE4">
        <w:rPr>
          <w:rFonts w:ascii="ZWAdobeF" w:hAnsi="ZWAdobeF" w:cs="ZWAdobeF"/>
          <w:color w:val="auto"/>
          <w:sz w:val="2"/>
          <w:szCs w:val="2"/>
        </w:rPr>
        <w:t>546F</w:t>
      </w:r>
      <w:r w:rsidR="00D36A28">
        <w:rPr>
          <w:rStyle w:val="FootnoteReference"/>
        </w:rPr>
        <w:footnoteReference w:id="548"/>
      </w:r>
      <w:r w:rsidR="00D36A28">
        <w:t xml:space="preserve"> It has also been argued that common fund orders may result in “windfall profits” for litigation funders, despite very few class members having signed up to the litigation funding arrangements.</w:t>
      </w:r>
      <w:r w:rsidR="00D629FA">
        <w:rPr>
          <w:rFonts w:ascii="ZWAdobeF" w:hAnsi="ZWAdobeF" w:cs="ZWAdobeF"/>
          <w:color w:val="auto"/>
          <w:sz w:val="2"/>
          <w:szCs w:val="2"/>
        </w:rPr>
        <w:t>547F</w:t>
      </w:r>
      <w:r w:rsidR="007A330E">
        <w:rPr>
          <w:rFonts w:ascii="ZWAdobeF" w:hAnsi="ZWAdobeF" w:cs="ZWAdobeF"/>
          <w:color w:val="auto"/>
          <w:sz w:val="2"/>
          <w:szCs w:val="2"/>
        </w:rPr>
        <w:t>547F</w:t>
      </w:r>
      <w:r w:rsidR="00317AE4">
        <w:rPr>
          <w:rFonts w:ascii="ZWAdobeF" w:hAnsi="ZWAdobeF" w:cs="ZWAdobeF"/>
          <w:color w:val="auto"/>
          <w:sz w:val="2"/>
          <w:szCs w:val="2"/>
        </w:rPr>
        <w:t>547F</w:t>
      </w:r>
      <w:r w:rsidR="00D36A28">
        <w:rPr>
          <w:rStyle w:val="FootnoteReference"/>
        </w:rPr>
        <w:footnoteReference w:id="549"/>
      </w:r>
      <w:r w:rsidR="00D36A28">
        <w:t xml:space="preserve"> The increased profitability of class actions due to common fund orders may also lead to an increase in competing class actions.</w:t>
      </w:r>
      <w:r w:rsidR="00D629FA">
        <w:rPr>
          <w:rFonts w:ascii="ZWAdobeF" w:hAnsi="ZWAdobeF" w:cs="ZWAdobeF"/>
          <w:color w:val="auto"/>
          <w:sz w:val="2"/>
          <w:szCs w:val="2"/>
        </w:rPr>
        <w:t>548F</w:t>
      </w:r>
      <w:r w:rsidR="007A330E">
        <w:rPr>
          <w:rFonts w:ascii="ZWAdobeF" w:hAnsi="ZWAdobeF" w:cs="ZWAdobeF"/>
          <w:color w:val="auto"/>
          <w:sz w:val="2"/>
          <w:szCs w:val="2"/>
        </w:rPr>
        <w:t>548F</w:t>
      </w:r>
      <w:r w:rsidR="00317AE4">
        <w:rPr>
          <w:rFonts w:ascii="ZWAdobeF" w:hAnsi="ZWAdobeF" w:cs="ZWAdobeF"/>
          <w:color w:val="auto"/>
          <w:sz w:val="2"/>
          <w:szCs w:val="2"/>
        </w:rPr>
        <w:t>548F</w:t>
      </w:r>
      <w:r w:rsidR="00D36A28">
        <w:rPr>
          <w:rStyle w:val="FootnoteReference"/>
        </w:rPr>
        <w:footnoteReference w:id="550"/>
      </w:r>
    </w:p>
    <w:p w14:paraId="22DD750F" w14:textId="77777777" w:rsidR="00D36A28" w:rsidRDefault="00D36A28" w:rsidP="00907B23">
      <w:pPr>
        <w:pStyle w:val="Heading4"/>
      </w:pPr>
      <w:r>
        <w:t xml:space="preserve">Court supervision of litigation funding commission </w:t>
      </w:r>
    </w:p>
    <w:p w14:paraId="24E079D9" w14:textId="4845DF71" w:rsidR="00D36A28" w:rsidRDefault="00BD5C95" w:rsidP="00B73434">
      <w:pPr>
        <w:pStyle w:val="BodyText"/>
        <w:numPr>
          <w:ilvl w:val="1"/>
          <w:numId w:val="43"/>
        </w:numPr>
        <w:tabs>
          <w:tab w:val="left" w:pos="709"/>
        </w:tabs>
        <w:ind w:hanging="709"/>
      </w:pPr>
      <w:r>
        <w:rPr>
          <w:rFonts w:ascii="ZWAdobeF" w:hAnsi="ZWAdobeF" w:cs="ZWAdobeF"/>
          <w:color w:val="auto"/>
          <w:sz w:val="2"/>
          <w:szCs w:val="2"/>
        </w:rPr>
        <w:t>342B</w:t>
      </w:r>
      <w:r w:rsidR="0049638A">
        <w:rPr>
          <w:rFonts w:ascii="ZWAdobeF" w:hAnsi="ZWAdobeF" w:cs="ZWAdobeF"/>
          <w:color w:val="auto"/>
          <w:sz w:val="2"/>
          <w:szCs w:val="2"/>
        </w:rPr>
        <w:t>342B</w:t>
      </w:r>
      <w:r w:rsidR="00D629FA">
        <w:rPr>
          <w:rFonts w:ascii="ZWAdobeF" w:hAnsi="ZWAdobeF" w:cs="ZWAdobeF"/>
          <w:color w:val="auto"/>
          <w:sz w:val="2"/>
          <w:szCs w:val="2"/>
        </w:rPr>
        <w:t>342B</w:t>
      </w:r>
      <w:r w:rsidR="00D36A28">
        <w:t xml:space="preserve">A key feature of a common fund order is that the court will approve the litigation funding commission. This is important because a common fund order incurs obligations on class members who are not party to the funding agreement and may not even be aware of the class action.  In </w:t>
      </w:r>
      <w:r w:rsidR="00D36A28">
        <w:rPr>
          <w:i/>
          <w:iCs/>
        </w:rPr>
        <w:t xml:space="preserve">Money Max, </w:t>
      </w:r>
      <w:r w:rsidR="00D36A28">
        <w:t>where the Federal Court first made a common fund order, the fact that class members’ interests would be protected by judicial oversight of the funding commission was central to the Court’s decision.</w:t>
      </w:r>
      <w:r w:rsidR="00D629FA">
        <w:rPr>
          <w:rFonts w:ascii="ZWAdobeF" w:hAnsi="ZWAdobeF" w:cs="ZWAdobeF"/>
          <w:color w:val="auto"/>
          <w:sz w:val="2"/>
          <w:szCs w:val="2"/>
        </w:rPr>
        <w:t>549F</w:t>
      </w:r>
      <w:r w:rsidR="007A330E">
        <w:rPr>
          <w:rFonts w:ascii="ZWAdobeF" w:hAnsi="ZWAdobeF" w:cs="ZWAdobeF"/>
          <w:color w:val="auto"/>
          <w:sz w:val="2"/>
          <w:szCs w:val="2"/>
        </w:rPr>
        <w:t>549F</w:t>
      </w:r>
      <w:r w:rsidR="00317AE4">
        <w:rPr>
          <w:rFonts w:ascii="ZWAdobeF" w:hAnsi="ZWAdobeF" w:cs="ZWAdobeF"/>
          <w:color w:val="auto"/>
          <w:sz w:val="2"/>
          <w:szCs w:val="2"/>
        </w:rPr>
        <w:t>549F</w:t>
      </w:r>
      <w:r w:rsidR="00D36A28">
        <w:rPr>
          <w:rStyle w:val="FootnoteReference"/>
        </w:rPr>
        <w:footnoteReference w:id="551"/>
      </w:r>
      <w:r w:rsidR="00D36A28">
        <w:t xml:space="preserve"> The Court provided a list of factors that were likely to be relevant when approving a reasonable funding rate but said these were ultimately a matter for the judge hearing the approval application.</w:t>
      </w:r>
      <w:r w:rsidR="00D629FA">
        <w:rPr>
          <w:rFonts w:ascii="ZWAdobeF" w:hAnsi="ZWAdobeF" w:cs="ZWAdobeF"/>
          <w:color w:val="auto"/>
          <w:sz w:val="2"/>
          <w:szCs w:val="2"/>
        </w:rPr>
        <w:t>550F</w:t>
      </w:r>
      <w:r w:rsidR="007A330E">
        <w:rPr>
          <w:rFonts w:ascii="ZWAdobeF" w:hAnsi="ZWAdobeF" w:cs="ZWAdobeF"/>
          <w:color w:val="auto"/>
          <w:sz w:val="2"/>
          <w:szCs w:val="2"/>
        </w:rPr>
        <w:t>550F</w:t>
      </w:r>
      <w:r w:rsidR="00317AE4">
        <w:rPr>
          <w:rFonts w:ascii="ZWAdobeF" w:hAnsi="ZWAdobeF" w:cs="ZWAdobeF"/>
          <w:color w:val="auto"/>
          <w:sz w:val="2"/>
          <w:szCs w:val="2"/>
        </w:rPr>
        <w:t>550F</w:t>
      </w:r>
      <w:r w:rsidR="00D36A28">
        <w:rPr>
          <w:rStyle w:val="FootnoteReference"/>
        </w:rPr>
        <w:footnoteReference w:id="552"/>
      </w:r>
    </w:p>
    <w:p w14:paraId="52AF328D" w14:textId="16B6D56D" w:rsidR="00D36A28" w:rsidRDefault="00BD5C95" w:rsidP="00B73434">
      <w:pPr>
        <w:pStyle w:val="BodyText"/>
        <w:numPr>
          <w:ilvl w:val="1"/>
          <w:numId w:val="43"/>
        </w:numPr>
        <w:tabs>
          <w:tab w:val="left" w:pos="709"/>
        </w:tabs>
        <w:ind w:hanging="709"/>
      </w:pPr>
      <w:r>
        <w:rPr>
          <w:rFonts w:ascii="ZWAdobeF" w:hAnsi="ZWAdobeF" w:cs="ZWAdobeF"/>
          <w:color w:val="auto"/>
          <w:sz w:val="2"/>
          <w:szCs w:val="2"/>
        </w:rPr>
        <w:t>343B</w:t>
      </w:r>
      <w:r w:rsidR="0049638A">
        <w:rPr>
          <w:rFonts w:ascii="ZWAdobeF" w:hAnsi="ZWAdobeF" w:cs="ZWAdobeF"/>
          <w:color w:val="auto"/>
          <w:sz w:val="2"/>
          <w:szCs w:val="2"/>
        </w:rPr>
        <w:t>343B</w:t>
      </w:r>
      <w:r w:rsidR="00D629FA">
        <w:rPr>
          <w:rFonts w:ascii="ZWAdobeF" w:hAnsi="ZWAdobeF" w:cs="ZWAdobeF"/>
          <w:color w:val="auto"/>
          <w:sz w:val="2"/>
          <w:szCs w:val="2"/>
        </w:rPr>
        <w:t>343B</w:t>
      </w:r>
      <w:r w:rsidR="00D36A28">
        <w:t xml:space="preserve">This feature of a common fund order raises the question of whether </w:t>
      </w:r>
      <w:r w:rsidR="001B05ED">
        <w:t xml:space="preserve">approving </w:t>
      </w:r>
      <w:r w:rsidR="00D36A28">
        <w:t>litigation funding commission</w:t>
      </w:r>
      <w:r w:rsidR="001B05ED">
        <w:t>s</w:t>
      </w:r>
      <w:r w:rsidR="00D36A28">
        <w:t xml:space="preserve"> is within the court’s institutional competence.</w:t>
      </w:r>
      <w:r w:rsidR="00D629FA">
        <w:rPr>
          <w:rFonts w:ascii="ZWAdobeF" w:hAnsi="ZWAdobeF" w:cs="ZWAdobeF"/>
          <w:color w:val="auto"/>
          <w:sz w:val="2"/>
          <w:szCs w:val="2"/>
        </w:rPr>
        <w:t>551F</w:t>
      </w:r>
      <w:r w:rsidR="007A330E">
        <w:rPr>
          <w:rFonts w:ascii="ZWAdobeF" w:hAnsi="ZWAdobeF" w:cs="ZWAdobeF"/>
          <w:color w:val="auto"/>
          <w:sz w:val="2"/>
          <w:szCs w:val="2"/>
        </w:rPr>
        <w:t>551F</w:t>
      </w:r>
      <w:r w:rsidR="00317AE4">
        <w:rPr>
          <w:rFonts w:ascii="ZWAdobeF" w:hAnsi="ZWAdobeF" w:cs="ZWAdobeF"/>
          <w:color w:val="auto"/>
          <w:sz w:val="2"/>
          <w:szCs w:val="2"/>
        </w:rPr>
        <w:t>551F</w:t>
      </w:r>
      <w:r w:rsidR="00D36A28">
        <w:rPr>
          <w:rStyle w:val="FootnoteReference"/>
        </w:rPr>
        <w:footnoteReference w:id="553"/>
      </w:r>
      <w:r w:rsidR="00D36A28">
        <w:t xml:space="preserve"> This is part of a much larger discussion about the role of the courts in regulating litigation funding, outlined in our Issues Paper.</w:t>
      </w:r>
      <w:r w:rsidR="00D629FA">
        <w:rPr>
          <w:rFonts w:ascii="ZWAdobeF" w:hAnsi="ZWAdobeF" w:cs="ZWAdobeF"/>
          <w:color w:val="auto"/>
          <w:sz w:val="2"/>
          <w:szCs w:val="2"/>
        </w:rPr>
        <w:t>552F</w:t>
      </w:r>
      <w:r w:rsidR="007A330E">
        <w:rPr>
          <w:rFonts w:ascii="ZWAdobeF" w:hAnsi="ZWAdobeF" w:cs="ZWAdobeF"/>
          <w:color w:val="auto"/>
          <w:sz w:val="2"/>
          <w:szCs w:val="2"/>
        </w:rPr>
        <w:t>552F</w:t>
      </w:r>
      <w:r w:rsidR="00317AE4">
        <w:rPr>
          <w:rFonts w:ascii="ZWAdobeF" w:hAnsi="ZWAdobeF" w:cs="ZWAdobeF"/>
          <w:color w:val="auto"/>
          <w:sz w:val="2"/>
          <w:szCs w:val="2"/>
        </w:rPr>
        <w:t>552F</w:t>
      </w:r>
      <w:r w:rsidR="00D36A28">
        <w:rPr>
          <w:rStyle w:val="FootnoteReference"/>
        </w:rPr>
        <w:footnoteReference w:id="554"/>
      </w:r>
      <w:r w:rsidR="00D36A28">
        <w:t xml:space="preserve"> To the extent courts have allowed common fund orders, this indicates an acceptance that it falls within their expertise.</w:t>
      </w:r>
    </w:p>
    <w:p w14:paraId="26333852" w14:textId="403A4FA2" w:rsidR="00D36A28" w:rsidRDefault="00BD5C95" w:rsidP="00B73434">
      <w:pPr>
        <w:pStyle w:val="BodyText"/>
        <w:numPr>
          <w:ilvl w:val="1"/>
          <w:numId w:val="43"/>
        </w:numPr>
        <w:tabs>
          <w:tab w:val="left" w:pos="709"/>
        </w:tabs>
        <w:ind w:hanging="709"/>
      </w:pPr>
      <w:r>
        <w:rPr>
          <w:rFonts w:ascii="ZWAdobeF" w:hAnsi="ZWAdobeF" w:cs="ZWAdobeF"/>
          <w:color w:val="auto"/>
          <w:sz w:val="2"/>
          <w:szCs w:val="2"/>
        </w:rPr>
        <w:t>344B</w:t>
      </w:r>
      <w:r w:rsidR="0049638A">
        <w:rPr>
          <w:rFonts w:ascii="ZWAdobeF" w:hAnsi="ZWAdobeF" w:cs="ZWAdobeF"/>
          <w:color w:val="auto"/>
          <w:sz w:val="2"/>
          <w:szCs w:val="2"/>
        </w:rPr>
        <w:t>344B</w:t>
      </w:r>
      <w:r w:rsidR="00D629FA">
        <w:rPr>
          <w:rFonts w:ascii="ZWAdobeF" w:hAnsi="ZWAdobeF" w:cs="ZWAdobeF"/>
          <w:color w:val="auto"/>
          <w:sz w:val="2"/>
          <w:szCs w:val="2"/>
        </w:rPr>
        <w:t>344B</w:t>
      </w:r>
      <w:r w:rsidR="00D36A28">
        <w:t>Court approval of litigation funding rates through common fund orders can directly lead to lower commissions in opt-out class actions. In Australia, commission rates approved by courts at the settlement stage under a common fund order have ranged from 8.3 per cent to 30 per cent of the gross settlement sum, with a median rate of 21.9 per cent.</w:t>
      </w:r>
      <w:r w:rsidR="00D629FA">
        <w:rPr>
          <w:rFonts w:ascii="ZWAdobeF" w:hAnsi="ZWAdobeF" w:cs="ZWAdobeF"/>
          <w:color w:val="auto"/>
          <w:sz w:val="2"/>
          <w:szCs w:val="2"/>
        </w:rPr>
        <w:t>553F</w:t>
      </w:r>
      <w:r w:rsidR="007A330E">
        <w:rPr>
          <w:rFonts w:ascii="ZWAdobeF" w:hAnsi="ZWAdobeF" w:cs="ZWAdobeF"/>
          <w:color w:val="auto"/>
          <w:sz w:val="2"/>
          <w:szCs w:val="2"/>
        </w:rPr>
        <w:t>553F</w:t>
      </w:r>
      <w:r w:rsidR="00317AE4">
        <w:rPr>
          <w:rFonts w:ascii="ZWAdobeF" w:hAnsi="ZWAdobeF" w:cs="ZWAdobeF"/>
          <w:color w:val="auto"/>
          <w:sz w:val="2"/>
          <w:szCs w:val="2"/>
        </w:rPr>
        <w:t>553F</w:t>
      </w:r>
      <w:r w:rsidR="00D36A28">
        <w:rPr>
          <w:rStyle w:val="FootnoteReference"/>
        </w:rPr>
        <w:footnoteReference w:id="555"/>
      </w:r>
      <w:r w:rsidR="00D36A28">
        <w:t xml:space="preserve"> </w:t>
      </w:r>
      <w:r w:rsidR="00D36A28">
        <w:lastRenderedPageBreak/>
        <w:t>This can be compared with a median commission of 30 per cent in funded class actions between 2013 and 2018.</w:t>
      </w:r>
      <w:r w:rsidR="00D629FA">
        <w:rPr>
          <w:rFonts w:ascii="ZWAdobeF" w:hAnsi="ZWAdobeF" w:cs="ZWAdobeF"/>
          <w:color w:val="auto"/>
          <w:sz w:val="2"/>
          <w:szCs w:val="2"/>
        </w:rPr>
        <w:t>554F</w:t>
      </w:r>
      <w:r w:rsidR="007A330E">
        <w:rPr>
          <w:rFonts w:ascii="ZWAdobeF" w:hAnsi="ZWAdobeF" w:cs="ZWAdobeF"/>
          <w:color w:val="auto"/>
          <w:sz w:val="2"/>
          <w:szCs w:val="2"/>
        </w:rPr>
        <w:t>554F</w:t>
      </w:r>
      <w:r w:rsidR="00317AE4">
        <w:rPr>
          <w:rFonts w:ascii="ZWAdobeF" w:hAnsi="ZWAdobeF" w:cs="ZWAdobeF"/>
          <w:color w:val="auto"/>
          <w:sz w:val="2"/>
          <w:szCs w:val="2"/>
        </w:rPr>
        <w:t>554F</w:t>
      </w:r>
      <w:r w:rsidR="00D36A28">
        <w:rPr>
          <w:rStyle w:val="FootnoteReference"/>
        </w:rPr>
        <w:footnoteReference w:id="556"/>
      </w:r>
      <w:r w:rsidR="00D36A28">
        <w:t xml:space="preserve"> Court oversight of litigation funding rates through common fund orders has been said to result in “heightened transparency” of funding fees and commissions.</w:t>
      </w:r>
      <w:r w:rsidR="00D629FA">
        <w:rPr>
          <w:rFonts w:ascii="ZWAdobeF" w:hAnsi="ZWAdobeF" w:cs="ZWAdobeF"/>
          <w:color w:val="auto"/>
          <w:sz w:val="2"/>
          <w:szCs w:val="2"/>
        </w:rPr>
        <w:t>555F</w:t>
      </w:r>
      <w:r w:rsidR="007A330E">
        <w:rPr>
          <w:rFonts w:ascii="ZWAdobeF" w:hAnsi="ZWAdobeF" w:cs="ZWAdobeF"/>
          <w:color w:val="auto"/>
          <w:sz w:val="2"/>
          <w:szCs w:val="2"/>
        </w:rPr>
        <w:t>555F</w:t>
      </w:r>
      <w:r w:rsidR="00317AE4">
        <w:rPr>
          <w:rFonts w:ascii="ZWAdobeF" w:hAnsi="ZWAdobeF" w:cs="ZWAdobeF"/>
          <w:color w:val="auto"/>
          <w:sz w:val="2"/>
          <w:szCs w:val="2"/>
        </w:rPr>
        <w:t>555F</w:t>
      </w:r>
      <w:r w:rsidR="00D36A28">
        <w:rPr>
          <w:rStyle w:val="FootnoteReference"/>
        </w:rPr>
        <w:footnoteReference w:id="557"/>
      </w:r>
      <w:r w:rsidR="00D36A28">
        <w:t xml:space="preserve"> There may also be an indirect effect on funding commissions if the availability of common fund orders leads to increased competition in the litigation funding market. In Australia, it has been suggested that common fund orders have incentivised more litigation funders to enter the litigation market, putting downwards pressure on commission</w:t>
      </w:r>
      <w:r w:rsidR="006C47C6">
        <w:t>s</w:t>
      </w:r>
      <w:r w:rsidR="00D36A28">
        <w:t>.</w:t>
      </w:r>
      <w:r w:rsidR="00D629FA">
        <w:rPr>
          <w:rFonts w:ascii="ZWAdobeF" w:hAnsi="ZWAdobeF" w:cs="ZWAdobeF"/>
          <w:color w:val="auto"/>
          <w:sz w:val="2"/>
          <w:szCs w:val="2"/>
        </w:rPr>
        <w:t>556F</w:t>
      </w:r>
      <w:r w:rsidR="007A330E">
        <w:rPr>
          <w:rFonts w:ascii="ZWAdobeF" w:hAnsi="ZWAdobeF" w:cs="ZWAdobeF"/>
          <w:color w:val="auto"/>
          <w:sz w:val="2"/>
          <w:szCs w:val="2"/>
        </w:rPr>
        <w:t>556F</w:t>
      </w:r>
      <w:r w:rsidR="00317AE4">
        <w:rPr>
          <w:rFonts w:ascii="ZWAdobeF" w:hAnsi="ZWAdobeF" w:cs="ZWAdobeF"/>
          <w:color w:val="auto"/>
          <w:sz w:val="2"/>
          <w:szCs w:val="2"/>
        </w:rPr>
        <w:t>556F</w:t>
      </w:r>
      <w:r w:rsidR="00D36A28">
        <w:rPr>
          <w:rStyle w:val="FootnoteReference"/>
        </w:rPr>
        <w:footnoteReference w:id="558"/>
      </w:r>
    </w:p>
    <w:p w14:paraId="16046740" w14:textId="0A97C0D9" w:rsidR="00D36A28" w:rsidRPr="00F9017B" w:rsidRDefault="00D36A28" w:rsidP="00907B23">
      <w:pPr>
        <w:pStyle w:val="Heading4"/>
      </w:pPr>
      <w:r>
        <w:t xml:space="preserve">Fairness between class members </w:t>
      </w:r>
    </w:p>
    <w:p w14:paraId="41F9C456" w14:textId="180DC289" w:rsidR="00D36A28" w:rsidRDefault="00BD5C95" w:rsidP="00B73434">
      <w:pPr>
        <w:pStyle w:val="BodyText"/>
        <w:numPr>
          <w:ilvl w:val="1"/>
          <w:numId w:val="43"/>
        </w:numPr>
        <w:tabs>
          <w:tab w:val="left" w:pos="709"/>
        </w:tabs>
        <w:ind w:hanging="709"/>
      </w:pPr>
      <w:r>
        <w:rPr>
          <w:rFonts w:ascii="ZWAdobeF" w:hAnsi="ZWAdobeF" w:cs="ZWAdobeF"/>
          <w:color w:val="auto"/>
          <w:sz w:val="2"/>
          <w:szCs w:val="2"/>
        </w:rPr>
        <w:t>345B</w:t>
      </w:r>
      <w:r w:rsidR="0049638A">
        <w:rPr>
          <w:rFonts w:ascii="ZWAdobeF" w:hAnsi="ZWAdobeF" w:cs="ZWAdobeF"/>
          <w:color w:val="auto"/>
          <w:sz w:val="2"/>
          <w:szCs w:val="2"/>
        </w:rPr>
        <w:t>345B</w:t>
      </w:r>
      <w:r w:rsidR="00D629FA">
        <w:rPr>
          <w:rFonts w:ascii="ZWAdobeF" w:hAnsi="ZWAdobeF" w:cs="ZWAdobeF"/>
          <w:color w:val="auto"/>
          <w:sz w:val="2"/>
          <w:szCs w:val="2"/>
        </w:rPr>
        <w:t>345B</w:t>
      </w:r>
      <w:r w:rsidR="00D36A28">
        <w:t xml:space="preserve">A common fund order ensures fairness between class members and prevents class members from benefitting from a class action without contributing to the costs or ‘free riding’. However, a funding equalisation order also provides this benefit and the plurality </w:t>
      </w:r>
      <w:r w:rsidR="006C47C6">
        <w:t xml:space="preserve">judgment </w:t>
      </w:r>
      <w:r w:rsidR="00D36A28">
        <w:t xml:space="preserve">in </w:t>
      </w:r>
      <w:r w:rsidR="00D36A28">
        <w:rPr>
          <w:i/>
          <w:iCs/>
        </w:rPr>
        <w:t xml:space="preserve">BMW v Brewster </w:t>
      </w:r>
      <w:r w:rsidR="00D36A28">
        <w:t>saw this as the preferable option:</w:t>
      </w:r>
      <w:r w:rsidR="00D629FA">
        <w:rPr>
          <w:rFonts w:ascii="ZWAdobeF" w:hAnsi="ZWAdobeF" w:cs="ZWAdobeF"/>
          <w:color w:val="auto"/>
          <w:sz w:val="2"/>
          <w:szCs w:val="2"/>
        </w:rPr>
        <w:t>557F</w:t>
      </w:r>
      <w:r w:rsidR="007A330E">
        <w:rPr>
          <w:rFonts w:ascii="ZWAdobeF" w:hAnsi="ZWAdobeF" w:cs="ZWAdobeF"/>
          <w:color w:val="auto"/>
          <w:sz w:val="2"/>
          <w:szCs w:val="2"/>
        </w:rPr>
        <w:t>557F</w:t>
      </w:r>
      <w:r w:rsidR="00317AE4">
        <w:rPr>
          <w:rFonts w:ascii="ZWAdobeF" w:hAnsi="ZWAdobeF" w:cs="ZWAdobeF"/>
          <w:color w:val="auto"/>
          <w:sz w:val="2"/>
          <w:szCs w:val="2"/>
        </w:rPr>
        <w:t>557F</w:t>
      </w:r>
      <w:r w:rsidR="00D36A28">
        <w:rPr>
          <w:rStyle w:val="FootnoteReference"/>
        </w:rPr>
        <w:footnoteReference w:id="559"/>
      </w:r>
    </w:p>
    <w:p w14:paraId="25EDF907" w14:textId="07340D8C" w:rsidR="00D36A28" w:rsidRPr="00C054DB" w:rsidRDefault="00BD5C95" w:rsidP="00D36A28">
      <w:pPr>
        <w:pStyle w:val="Quote"/>
      </w:pPr>
      <w:r>
        <w:rPr>
          <w:rFonts w:ascii="ZWAdobeF" w:hAnsi="ZWAdobeF" w:cs="ZWAdobeF"/>
          <w:color w:val="auto"/>
          <w:sz w:val="2"/>
          <w:szCs w:val="2"/>
        </w:rPr>
        <w:t>1472B</w:t>
      </w:r>
      <w:r w:rsidR="0049638A">
        <w:rPr>
          <w:rFonts w:ascii="ZWAdobeF" w:hAnsi="ZWAdobeF" w:cs="ZWAdobeF"/>
          <w:color w:val="auto"/>
          <w:sz w:val="2"/>
          <w:szCs w:val="2"/>
        </w:rPr>
        <w:t>1472B</w:t>
      </w:r>
      <w:r w:rsidR="00D629FA">
        <w:rPr>
          <w:rFonts w:ascii="ZWAdobeF" w:hAnsi="ZWAdobeF" w:cs="ZWAdobeF"/>
          <w:color w:val="auto"/>
          <w:sz w:val="2"/>
          <w:szCs w:val="2"/>
        </w:rPr>
        <w:t>1472B</w:t>
      </w:r>
      <w:r w:rsidR="00D36A28" w:rsidRPr="00C054DB">
        <w:t>The equitable spreading of the cost is, in fact, better achieved by the making of a FEO, which takes, as its starting point, the actual cost incurred in funding the litigation. While it must be accepted that the burden of the amounts that funded group members have agreed to pay to the funder under their agreements with the funder must be distributed fairly, a FEO is apt equitably to distribute those amounts whereas a CFO seeks to impose an additional cost by imposing new obligations on the unfunded group members.</w:t>
      </w:r>
    </w:p>
    <w:p w14:paraId="35773698" w14:textId="62ECBC96" w:rsidR="00D36A28" w:rsidRDefault="00BD5C95" w:rsidP="00B73434">
      <w:pPr>
        <w:pStyle w:val="BodyText"/>
        <w:numPr>
          <w:ilvl w:val="1"/>
          <w:numId w:val="43"/>
        </w:numPr>
        <w:ind w:hanging="709"/>
      </w:pPr>
      <w:r>
        <w:rPr>
          <w:rFonts w:ascii="ZWAdobeF" w:hAnsi="ZWAdobeF" w:cs="ZWAdobeF"/>
          <w:color w:val="auto"/>
          <w:sz w:val="2"/>
          <w:szCs w:val="2"/>
        </w:rPr>
        <w:t>346B</w:t>
      </w:r>
      <w:r w:rsidR="0049638A">
        <w:rPr>
          <w:rFonts w:ascii="ZWAdobeF" w:hAnsi="ZWAdobeF" w:cs="ZWAdobeF"/>
          <w:color w:val="auto"/>
          <w:sz w:val="2"/>
          <w:szCs w:val="2"/>
        </w:rPr>
        <w:t>346B</w:t>
      </w:r>
      <w:r w:rsidR="00D629FA">
        <w:rPr>
          <w:rFonts w:ascii="ZWAdobeF" w:hAnsi="ZWAdobeF" w:cs="ZWAdobeF"/>
          <w:color w:val="auto"/>
          <w:sz w:val="2"/>
          <w:szCs w:val="2"/>
        </w:rPr>
        <w:t>346B</w:t>
      </w:r>
      <w:r w:rsidR="00D36A28">
        <w:t xml:space="preserve">The </w:t>
      </w:r>
      <w:r w:rsidR="006C47C6">
        <w:t xml:space="preserve">plurality judgment </w:t>
      </w:r>
      <w:r w:rsidR="00D36A28">
        <w:t>described a common fund order as ordering a “complex relationship” between class members and a litigation funder to be established in circumstances where class members would otherwise have had no relationship at all.</w:t>
      </w:r>
      <w:r w:rsidR="00D629FA">
        <w:rPr>
          <w:rFonts w:ascii="ZWAdobeF" w:hAnsi="ZWAdobeF" w:cs="ZWAdobeF"/>
          <w:color w:val="auto"/>
          <w:sz w:val="2"/>
          <w:szCs w:val="2"/>
        </w:rPr>
        <w:t>558F</w:t>
      </w:r>
      <w:r w:rsidR="007A330E">
        <w:rPr>
          <w:rFonts w:ascii="ZWAdobeF" w:hAnsi="ZWAdobeF" w:cs="ZWAdobeF"/>
          <w:color w:val="auto"/>
          <w:sz w:val="2"/>
          <w:szCs w:val="2"/>
        </w:rPr>
        <w:t>558F</w:t>
      </w:r>
      <w:r w:rsidR="00317AE4">
        <w:rPr>
          <w:rFonts w:ascii="ZWAdobeF" w:hAnsi="ZWAdobeF" w:cs="ZWAdobeF"/>
          <w:color w:val="auto"/>
          <w:sz w:val="2"/>
          <w:szCs w:val="2"/>
        </w:rPr>
        <w:t>558F</w:t>
      </w:r>
      <w:r w:rsidR="00D36A28">
        <w:rPr>
          <w:rStyle w:val="FootnoteReference"/>
        </w:rPr>
        <w:footnoteReference w:id="560"/>
      </w:r>
      <w:r w:rsidR="00D36A28">
        <w:t xml:space="preserve">  </w:t>
      </w:r>
    </w:p>
    <w:p w14:paraId="39762FC6" w14:textId="77777777" w:rsidR="00D36A28" w:rsidRDefault="00D36A28" w:rsidP="00907B23">
      <w:pPr>
        <w:pStyle w:val="Heading4"/>
      </w:pPr>
      <w:r>
        <w:t>Common fund orders for Aotearoa New Zealand?</w:t>
      </w:r>
    </w:p>
    <w:p w14:paraId="06138E82" w14:textId="2F0BB6E3" w:rsidR="00D36A28" w:rsidRDefault="00BD5C95" w:rsidP="00B73434">
      <w:pPr>
        <w:pStyle w:val="BodyText"/>
        <w:numPr>
          <w:ilvl w:val="1"/>
          <w:numId w:val="43"/>
        </w:numPr>
        <w:tabs>
          <w:tab w:val="left" w:pos="709"/>
        </w:tabs>
        <w:ind w:hanging="709"/>
      </w:pPr>
      <w:r>
        <w:rPr>
          <w:rFonts w:ascii="ZWAdobeF" w:hAnsi="ZWAdobeF" w:cs="ZWAdobeF"/>
          <w:color w:val="auto"/>
          <w:sz w:val="2"/>
          <w:szCs w:val="2"/>
        </w:rPr>
        <w:t>347B</w:t>
      </w:r>
      <w:r w:rsidR="0049638A">
        <w:rPr>
          <w:rFonts w:ascii="ZWAdobeF" w:hAnsi="ZWAdobeF" w:cs="ZWAdobeF"/>
          <w:color w:val="auto"/>
          <w:sz w:val="2"/>
          <w:szCs w:val="2"/>
        </w:rPr>
        <w:t>347B</w:t>
      </w:r>
      <w:r w:rsidR="00D629FA">
        <w:rPr>
          <w:rFonts w:ascii="ZWAdobeF" w:hAnsi="ZWAdobeF" w:cs="ZWAdobeF"/>
          <w:color w:val="auto"/>
          <w:sz w:val="2"/>
          <w:szCs w:val="2"/>
        </w:rPr>
        <w:t>347B</w:t>
      </w:r>
      <w:r w:rsidR="00D36A28">
        <w:t>We have not formed a preliminary view as to whether common fund orders and/or funding equalisation orders should be allowed in Aotearoa New Zealand. We think it would be desirable to have one of these options available to prevent the unfairness of only some class members having to fund the costs of an opt-out class action beneficial to all. It could also be possible to have both options available, although this may lead to unnecessary litigation and delay.</w:t>
      </w:r>
      <w:r w:rsidR="00D629FA">
        <w:rPr>
          <w:rFonts w:ascii="ZWAdobeF" w:hAnsi="ZWAdobeF" w:cs="ZWAdobeF"/>
          <w:color w:val="auto"/>
          <w:sz w:val="2"/>
          <w:szCs w:val="2"/>
        </w:rPr>
        <w:t>559F</w:t>
      </w:r>
      <w:r w:rsidR="007A330E">
        <w:rPr>
          <w:rFonts w:ascii="ZWAdobeF" w:hAnsi="ZWAdobeF" w:cs="ZWAdobeF"/>
          <w:color w:val="auto"/>
          <w:sz w:val="2"/>
          <w:szCs w:val="2"/>
        </w:rPr>
        <w:t>559F</w:t>
      </w:r>
      <w:r w:rsidR="00317AE4">
        <w:rPr>
          <w:rFonts w:ascii="ZWAdobeF" w:hAnsi="ZWAdobeF" w:cs="ZWAdobeF"/>
          <w:color w:val="auto"/>
          <w:sz w:val="2"/>
          <w:szCs w:val="2"/>
        </w:rPr>
        <w:t>559F</w:t>
      </w:r>
      <w:r w:rsidR="00D36A28">
        <w:rPr>
          <w:rStyle w:val="FootnoteReference"/>
        </w:rPr>
        <w:footnoteReference w:id="561"/>
      </w:r>
      <w:r w:rsidR="00D36A28">
        <w:t xml:space="preserve"> Our eventual recommendation on this issue will be informed by submitters’ feedback, as well as our broader conclusions on litigation funding. </w:t>
      </w:r>
    </w:p>
    <w:p w14:paraId="374EC0F5" w14:textId="6F73E79F" w:rsidR="00D36A28" w:rsidRDefault="00BD5C95" w:rsidP="00B73434">
      <w:pPr>
        <w:pStyle w:val="BodyText"/>
        <w:numPr>
          <w:ilvl w:val="1"/>
          <w:numId w:val="43"/>
        </w:numPr>
        <w:tabs>
          <w:tab w:val="left" w:pos="709"/>
        </w:tabs>
        <w:ind w:hanging="709"/>
      </w:pPr>
      <w:r>
        <w:rPr>
          <w:rFonts w:ascii="ZWAdobeF" w:hAnsi="ZWAdobeF" w:cs="ZWAdobeF"/>
          <w:color w:val="auto"/>
          <w:sz w:val="2"/>
          <w:szCs w:val="2"/>
        </w:rPr>
        <w:lastRenderedPageBreak/>
        <w:t>348B</w:t>
      </w:r>
      <w:r w:rsidR="0049638A">
        <w:rPr>
          <w:rFonts w:ascii="ZWAdobeF" w:hAnsi="ZWAdobeF" w:cs="ZWAdobeF"/>
          <w:color w:val="auto"/>
          <w:sz w:val="2"/>
          <w:szCs w:val="2"/>
        </w:rPr>
        <w:t>348B</w:t>
      </w:r>
      <w:r w:rsidR="00D629FA">
        <w:rPr>
          <w:rFonts w:ascii="ZWAdobeF" w:hAnsi="ZWAdobeF" w:cs="ZWAdobeF"/>
          <w:color w:val="auto"/>
          <w:sz w:val="2"/>
          <w:szCs w:val="2"/>
        </w:rPr>
        <w:t>348B</w:t>
      </w:r>
      <w:r w:rsidR="00D36A28">
        <w:t>If a common fund order or funding equalisation order is available, we think it should be expressly provided for in the legislative regime. The Australian experience shows that considerable uncertainty can result from relying on a court’s general powers to provide for common fund orders. The Australian Parliamentary Inquiry and the Australian Law Reform Commission have recommended legislative clarity in this area.</w:t>
      </w:r>
      <w:r w:rsidR="00D629FA">
        <w:rPr>
          <w:rFonts w:ascii="ZWAdobeF" w:hAnsi="ZWAdobeF" w:cs="ZWAdobeF"/>
          <w:color w:val="auto"/>
          <w:sz w:val="2"/>
          <w:szCs w:val="2"/>
        </w:rPr>
        <w:t>560F</w:t>
      </w:r>
      <w:r w:rsidR="007A330E">
        <w:rPr>
          <w:rFonts w:ascii="ZWAdobeF" w:hAnsi="ZWAdobeF" w:cs="ZWAdobeF"/>
          <w:color w:val="auto"/>
          <w:sz w:val="2"/>
          <w:szCs w:val="2"/>
        </w:rPr>
        <w:t>560F</w:t>
      </w:r>
      <w:r w:rsidR="00317AE4">
        <w:rPr>
          <w:rFonts w:ascii="ZWAdobeF" w:hAnsi="ZWAdobeF" w:cs="ZWAdobeF"/>
          <w:color w:val="auto"/>
          <w:sz w:val="2"/>
          <w:szCs w:val="2"/>
        </w:rPr>
        <w:t>560F</w:t>
      </w:r>
      <w:r w:rsidR="00D36A28">
        <w:rPr>
          <w:rStyle w:val="FootnoteReference"/>
        </w:rPr>
        <w:footnoteReference w:id="562"/>
      </w:r>
      <w:r w:rsidR="00D36A28">
        <w:t xml:space="preserve"> </w:t>
      </w:r>
    </w:p>
    <w:p w14:paraId="03CEEC5D" w14:textId="746C97DA" w:rsidR="006C25AE" w:rsidRDefault="00907B23" w:rsidP="001E60E3">
      <w:pPr>
        <w:pStyle w:val="QuestionBox"/>
      </w:pPr>
      <w:r>
        <w:rPr>
          <w:noProof/>
        </w:rPr>
        <mc:AlternateContent>
          <mc:Choice Requires="wpg">
            <w:drawing>
              <wp:anchor distT="0" distB="0" distL="114300" distR="114300" simplePos="0" relativeHeight="251652166" behindDoc="1" locked="0" layoutInCell="1" allowOverlap="1" wp14:anchorId="050A6CDA" wp14:editId="1D8EE1C1">
                <wp:simplePos x="0" y="0"/>
                <wp:positionH relativeFrom="column">
                  <wp:posOffset>-3810</wp:posOffset>
                </wp:positionH>
                <wp:positionV relativeFrom="paragraph">
                  <wp:posOffset>3810</wp:posOffset>
                </wp:positionV>
                <wp:extent cx="5760085" cy="1447785"/>
                <wp:effectExtent l="0" t="0" r="0" b="635"/>
                <wp:wrapNone/>
                <wp:docPr id="764518288" name="Group 764518288"/>
                <wp:cNvGraphicFramePr/>
                <a:graphic xmlns:a="http://schemas.openxmlformats.org/drawingml/2006/main">
                  <a:graphicData uri="http://schemas.microsoft.com/office/word/2010/wordprocessingGroup">
                    <wpg:wgp>
                      <wpg:cNvGrpSpPr/>
                      <wpg:grpSpPr>
                        <a:xfrm>
                          <a:off x="0" y="0"/>
                          <a:ext cx="5760085" cy="1447785"/>
                          <a:chOff x="0" y="62865"/>
                          <a:chExt cx="5760085" cy="1447932"/>
                        </a:xfrm>
                      </wpg:grpSpPr>
                      <wps:wsp>
                        <wps:cNvPr id="76451830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FBDBCB" w14:textId="77777777" w:rsidR="00A55F53" w:rsidRDefault="00A55F53" w:rsidP="00907B23">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307" name="Group 53"/>
                        <wpg:cNvGrpSpPr>
                          <a:grpSpLocks/>
                        </wpg:cNvGrpSpPr>
                        <wpg:grpSpPr bwMode="auto">
                          <a:xfrm>
                            <a:off x="0" y="316263"/>
                            <a:ext cx="5760085" cy="1194534"/>
                            <a:chOff x="1837" y="1792"/>
                            <a:chExt cx="9302" cy="12903"/>
                          </a:xfrm>
                        </wpg:grpSpPr>
                        <wps:wsp>
                          <wps:cNvPr id="764518308" name="Freeform 54"/>
                          <wps:cNvSpPr>
                            <a:spLocks/>
                          </wps:cNvSpPr>
                          <wps:spPr bwMode="auto">
                            <a:xfrm>
                              <a:off x="1837" y="1792"/>
                              <a:ext cx="9302" cy="1290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309" name="Group 764518309"/>
                        <wpg:cNvGrpSpPr/>
                        <wpg:grpSpPr>
                          <a:xfrm>
                            <a:off x="0" y="494036"/>
                            <a:ext cx="1443794" cy="252000"/>
                            <a:chOff x="-15880" y="0"/>
                            <a:chExt cx="1444379" cy="252068"/>
                          </a:xfrm>
                        </wpg:grpSpPr>
                        <wps:wsp>
                          <wps:cNvPr id="764518314"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2BF542" w14:textId="6512A3A5" w:rsidR="00A55F53" w:rsidRPr="00E700FF" w:rsidRDefault="00A55F53" w:rsidP="00907B23">
                                <w:pPr>
                                  <w:pStyle w:val="BoxTitle"/>
                                  <w:spacing w:before="0" w:beforeAutospacing="0"/>
                                </w:pPr>
                                <w:r w:rsidRPr="001C1B37">
                                  <w:t>Q</w:t>
                                </w:r>
                                <w:r>
                                  <w:t>27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50A6CDA" id="Group 764518288" o:spid="_x0000_s1384" style="position:absolute;left:0;text-align:left;margin-left:-.3pt;margin-top:.3pt;width:453.55pt;height:114pt;z-index:-251664314;mso-height-relative:margin" coordorigin=",628" coordsize="57600,1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">
                <v:shape id="_x0000_s138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EFBDBCB" w14:textId="77777777" w:rsidR="00A55F53" w:rsidRDefault="00A55F53" w:rsidP="00907B23">
                        <w:pPr>
                          <w:pStyle w:val="BoxTitle"/>
                          <w:spacing w:before="0" w:beforeAutospacing="0"/>
                        </w:pPr>
                        <w:r w:rsidRPr="007F6876">
                          <w:t>QUESTION</w:t>
                        </w:r>
                      </w:p>
                    </w:txbxContent>
                  </v:textbox>
                </v:shape>
                <v:group id="Group 53" o:spid="_x0000_s1386" style="position:absolute;top:3162;width:57600;height:11945" coordorigin="1837,1792" coordsize="9302,1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">
                  <v:shape id="Freeform 54" o:spid="_x0000_s1387" style="position:absolute;left:1837;top:1792;width:9302;height:1290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" path="m,l9354,r,7809l,7809,,e" fillcolor="#edf2ea" stroked="f">
                    <v:path arrowok="t" o:connecttype="custom" o:connectlocs="0,1652;9302,1652;9302,14555;0,14555;0,1652" o:connectangles="0,0,0,0,0"/>
                  </v:shape>
                </v:group>
                <v:group id="Group 764518309" o:spid="_x0000_s138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">
                  <v:shape id="Freeform 58" o:spid="_x0000_s138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" path="m,l1815,e" filled="f" strokecolor="#72ab6a" strokeweight=".5pt">
                    <v:path arrowok="t" o:connecttype="custom" o:connectlocs="0,0;1073495,0" o:connectangles="0,0"/>
                  </v:shape>
                  <v:shape id="Freeform 66" o:spid="_x0000_s139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F2BF542" w14:textId="6512A3A5" w:rsidR="00A55F53" w:rsidRPr="00E700FF" w:rsidRDefault="00A55F53" w:rsidP="00907B23">
                          <w:pPr>
                            <w:pStyle w:val="BoxTitle"/>
                            <w:spacing w:before="0" w:beforeAutospacing="0"/>
                          </w:pPr>
                          <w:r w:rsidRPr="001C1B37">
                            <w:t>Q</w:t>
                          </w:r>
                          <w:r>
                            <w:t>27</w:t>
                          </w:r>
                        </w:p>
                      </w:txbxContent>
                    </v:textbox>
                  </v:shape>
                </v:group>
              </v:group>
            </w:pict>
          </mc:Fallback>
        </mc:AlternateContent>
      </w:r>
    </w:p>
    <w:p w14:paraId="7312C4F3" w14:textId="70C61D15" w:rsidR="006C25AE" w:rsidRDefault="006C25AE" w:rsidP="006C25AE">
      <w:pPr>
        <w:pStyle w:val="QuestionBox"/>
        <w:tabs>
          <w:tab w:val="left" w:pos="5368"/>
        </w:tabs>
      </w:pPr>
      <w:r>
        <w:tab/>
      </w:r>
    </w:p>
    <w:p w14:paraId="634D4587" w14:textId="244A4FD6" w:rsidR="00D36A28" w:rsidRDefault="00BD5C95" w:rsidP="006C25AE">
      <w:pPr>
        <w:pStyle w:val="QuestionBox"/>
        <w:tabs>
          <w:tab w:val="center" w:pos="4896"/>
        </w:tabs>
      </w:pPr>
      <w:r>
        <w:rPr>
          <w:rFonts w:ascii="ZWAdobeF" w:hAnsi="ZWAdobeF" w:cs="ZWAdobeF"/>
          <w:color w:val="auto"/>
          <w:sz w:val="2"/>
          <w:szCs w:val="2"/>
        </w:rPr>
        <w:t>1425B</w:t>
      </w:r>
      <w:r w:rsidR="0049638A">
        <w:rPr>
          <w:rFonts w:ascii="ZWAdobeF" w:hAnsi="ZWAdobeF" w:cs="ZWAdobeF"/>
          <w:color w:val="auto"/>
          <w:sz w:val="2"/>
          <w:szCs w:val="2"/>
        </w:rPr>
        <w:t>1425B</w:t>
      </w:r>
      <w:r w:rsidR="00D629FA">
        <w:rPr>
          <w:rFonts w:ascii="ZWAdobeF" w:hAnsi="ZWAdobeF" w:cs="ZWAdobeF"/>
          <w:color w:val="auto"/>
          <w:sz w:val="2"/>
          <w:szCs w:val="2"/>
        </w:rPr>
        <w:t>1425B</w:t>
      </w:r>
      <w:r w:rsidR="00D36A28">
        <w:t>Do you support?</w:t>
      </w:r>
      <w:r w:rsidR="006C25AE">
        <w:tab/>
      </w:r>
    </w:p>
    <w:p w14:paraId="267133AC" w14:textId="63A74D38" w:rsidR="00D36A28" w:rsidRDefault="00BD5C95" w:rsidP="00B73434">
      <w:pPr>
        <w:pStyle w:val="Questionabc"/>
        <w:numPr>
          <w:ilvl w:val="0"/>
          <w:numId w:val="50"/>
        </w:numPr>
        <w:ind w:left="1418" w:hanging="425"/>
      </w:pPr>
      <w:r>
        <w:rPr>
          <w:rFonts w:ascii="ZWAdobeF" w:hAnsi="ZWAdobeF" w:cs="ZWAdobeF"/>
          <w:color w:val="auto"/>
          <w:sz w:val="2"/>
          <w:szCs w:val="2"/>
        </w:rPr>
        <w:t>1315B</w:t>
      </w:r>
      <w:r w:rsidR="0049638A">
        <w:rPr>
          <w:rFonts w:ascii="ZWAdobeF" w:hAnsi="ZWAdobeF" w:cs="ZWAdobeF"/>
          <w:color w:val="auto"/>
          <w:sz w:val="2"/>
          <w:szCs w:val="2"/>
        </w:rPr>
        <w:t>1315B</w:t>
      </w:r>
      <w:r w:rsidR="00D629FA">
        <w:rPr>
          <w:rFonts w:ascii="ZWAdobeF" w:hAnsi="ZWAdobeF" w:cs="ZWAdobeF"/>
          <w:color w:val="auto"/>
          <w:sz w:val="2"/>
          <w:szCs w:val="2"/>
        </w:rPr>
        <w:t>1315B</w:t>
      </w:r>
      <w:r w:rsidR="00D36A28">
        <w:t>The court having an express power to make common fund orders; and/or</w:t>
      </w:r>
    </w:p>
    <w:p w14:paraId="5FD808FA" w14:textId="566E61B5" w:rsidR="00D36A28" w:rsidRDefault="00BD5C95" w:rsidP="00B73434">
      <w:pPr>
        <w:pStyle w:val="Questionabc"/>
        <w:numPr>
          <w:ilvl w:val="0"/>
          <w:numId w:val="50"/>
        </w:numPr>
        <w:ind w:left="1418" w:hanging="425"/>
      </w:pPr>
      <w:r>
        <w:rPr>
          <w:rFonts w:ascii="ZWAdobeF" w:hAnsi="ZWAdobeF" w:cs="ZWAdobeF"/>
          <w:color w:val="auto"/>
          <w:sz w:val="2"/>
          <w:szCs w:val="2"/>
        </w:rPr>
        <w:t>1316B</w:t>
      </w:r>
      <w:r w:rsidR="0049638A">
        <w:rPr>
          <w:rFonts w:ascii="ZWAdobeF" w:hAnsi="ZWAdobeF" w:cs="ZWAdobeF"/>
          <w:color w:val="auto"/>
          <w:sz w:val="2"/>
          <w:szCs w:val="2"/>
        </w:rPr>
        <w:t>1316B</w:t>
      </w:r>
      <w:r w:rsidR="00D629FA">
        <w:rPr>
          <w:rFonts w:ascii="ZWAdobeF" w:hAnsi="ZWAdobeF" w:cs="ZWAdobeF"/>
          <w:color w:val="auto"/>
          <w:sz w:val="2"/>
          <w:szCs w:val="2"/>
        </w:rPr>
        <w:t>1316B</w:t>
      </w:r>
      <w:r w:rsidR="00D36A28">
        <w:t>The court having an express power to make funding equalisation orders.</w:t>
      </w:r>
    </w:p>
    <w:p w14:paraId="415B9093" w14:textId="77777777" w:rsidR="006C25AE" w:rsidRPr="006C25AE" w:rsidRDefault="006C25AE" w:rsidP="006C25AE">
      <w:pPr>
        <w:pStyle w:val="QuestionBox"/>
      </w:pPr>
    </w:p>
    <w:p w14:paraId="7DDD4133" w14:textId="77777777" w:rsidR="00D36A28" w:rsidRDefault="00D36A28" w:rsidP="00907B23">
      <w:pPr>
        <w:pStyle w:val="Heading4"/>
      </w:pPr>
      <w:r>
        <w:t>Appropriate stage for a common fund order</w:t>
      </w:r>
    </w:p>
    <w:p w14:paraId="2C1B2E53" w14:textId="5F157D22" w:rsidR="00D36A28" w:rsidRDefault="00BD5C95" w:rsidP="00B73434">
      <w:pPr>
        <w:pStyle w:val="BodyText"/>
        <w:numPr>
          <w:ilvl w:val="1"/>
          <w:numId w:val="43"/>
        </w:numPr>
        <w:tabs>
          <w:tab w:val="left" w:pos="709"/>
        </w:tabs>
        <w:ind w:hanging="709"/>
      </w:pPr>
      <w:r>
        <w:rPr>
          <w:rFonts w:ascii="ZWAdobeF" w:hAnsi="ZWAdobeF" w:cs="ZWAdobeF"/>
          <w:color w:val="auto"/>
          <w:sz w:val="2"/>
          <w:szCs w:val="2"/>
        </w:rPr>
        <w:t>349B</w:t>
      </w:r>
      <w:r w:rsidR="0049638A">
        <w:rPr>
          <w:rFonts w:ascii="ZWAdobeF" w:hAnsi="ZWAdobeF" w:cs="ZWAdobeF"/>
          <w:color w:val="auto"/>
          <w:sz w:val="2"/>
          <w:szCs w:val="2"/>
        </w:rPr>
        <w:t>349B</w:t>
      </w:r>
      <w:r w:rsidR="00D629FA">
        <w:rPr>
          <w:rFonts w:ascii="ZWAdobeF" w:hAnsi="ZWAdobeF" w:cs="ZWAdobeF"/>
          <w:color w:val="auto"/>
          <w:sz w:val="2"/>
          <w:szCs w:val="2"/>
        </w:rPr>
        <w:t>349B</w:t>
      </w:r>
      <w:r w:rsidR="00D36A28">
        <w:t xml:space="preserve">If common fund orders are allowed, there are several points in a proceeding at which they could be made. The issue of when an order should be made also applies to funding equalisation orders (although to a lesser extent since these orders are less likely to affect the viability of a class action). </w:t>
      </w:r>
    </w:p>
    <w:p w14:paraId="29CCF61A" w14:textId="77777777" w:rsidR="00D36A28" w:rsidRPr="001B693A" w:rsidRDefault="00D36A28" w:rsidP="00110138">
      <w:pPr>
        <w:pStyle w:val="BodyText"/>
        <w:numPr>
          <w:ilvl w:val="0"/>
          <w:numId w:val="0"/>
        </w:numPr>
        <w:rPr>
          <w:rStyle w:val="Strong"/>
        </w:rPr>
      </w:pPr>
      <w:r w:rsidRPr="001B693A">
        <w:rPr>
          <w:rStyle w:val="Strong"/>
        </w:rPr>
        <w:t>Early stage of proceedings</w:t>
      </w:r>
    </w:p>
    <w:p w14:paraId="370A1604" w14:textId="53437CBF" w:rsidR="00D36A28" w:rsidRDefault="00BD5C95" w:rsidP="00B73434">
      <w:pPr>
        <w:pStyle w:val="BodyText"/>
        <w:numPr>
          <w:ilvl w:val="1"/>
          <w:numId w:val="43"/>
        </w:numPr>
        <w:tabs>
          <w:tab w:val="left" w:pos="709"/>
        </w:tabs>
        <w:ind w:hanging="709"/>
      </w:pPr>
      <w:r>
        <w:rPr>
          <w:rFonts w:ascii="ZWAdobeF" w:hAnsi="ZWAdobeF" w:cs="ZWAdobeF"/>
          <w:color w:val="auto"/>
          <w:sz w:val="2"/>
          <w:szCs w:val="2"/>
        </w:rPr>
        <w:t>350B</w:t>
      </w:r>
      <w:r w:rsidR="0049638A">
        <w:rPr>
          <w:rFonts w:ascii="ZWAdobeF" w:hAnsi="ZWAdobeF" w:cs="ZWAdobeF"/>
          <w:color w:val="auto"/>
          <w:sz w:val="2"/>
          <w:szCs w:val="2"/>
        </w:rPr>
        <w:t>350B</w:t>
      </w:r>
      <w:r w:rsidR="00D629FA">
        <w:rPr>
          <w:rFonts w:ascii="ZWAdobeF" w:hAnsi="ZWAdobeF" w:cs="ZWAdobeF"/>
          <w:color w:val="auto"/>
          <w:sz w:val="2"/>
          <w:szCs w:val="2"/>
        </w:rPr>
        <w:t>350B</w:t>
      </w:r>
      <w:r w:rsidR="00D36A28">
        <w:t>A common fund order could be made at an early stage of the proceeding such as at certification, or shortly afterwards. The court could set the litigation funding commission at this stage, provide a provisional or maximum rate with the rate to be confirmed at a later point, or leave the rate entirely to a later stage of proceedings.</w:t>
      </w:r>
    </w:p>
    <w:p w14:paraId="18FB77BD" w14:textId="59731271" w:rsidR="00D36A28" w:rsidRDefault="00BD5C95" w:rsidP="00B73434">
      <w:pPr>
        <w:pStyle w:val="BodyText"/>
        <w:numPr>
          <w:ilvl w:val="1"/>
          <w:numId w:val="43"/>
        </w:numPr>
        <w:tabs>
          <w:tab w:val="left" w:pos="709"/>
        </w:tabs>
        <w:ind w:hanging="709"/>
      </w:pPr>
      <w:r>
        <w:rPr>
          <w:rFonts w:ascii="ZWAdobeF" w:hAnsi="ZWAdobeF" w:cs="ZWAdobeF"/>
          <w:color w:val="auto"/>
          <w:sz w:val="2"/>
          <w:szCs w:val="2"/>
        </w:rPr>
        <w:t>351B</w:t>
      </w:r>
      <w:r w:rsidR="0049638A">
        <w:rPr>
          <w:rFonts w:ascii="ZWAdobeF" w:hAnsi="ZWAdobeF" w:cs="ZWAdobeF"/>
          <w:color w:val="auto"/>
          <w:sz w:val="2"/>
          <w:szCs w:val="2"/>
        </w:rPr>
        <w:t>351B</w:t>
      </w:r>
      <w:r w:rsidR="00D629FA">
        <w:rPr>
          <w:rFonts w:ascii="ZWAdobeF" w:hAnsi="ZWAdobeF" w:cs="ZWAdobeF"/>
          <w:color w:val="auto"/>
          <w:sz w:val="2"/>
          <w:szCs w:val="2"/>
        </w:rPr>
        <w:t>351B</w:t>
      </w:r>
      <w:r w:rsidR="00D36A28">
        <w:t>Making a common fund order at an early stage has the benefit of providing a litigation funder with more certainty as to funding arrangements, particularly if a rate or provisional rate is set. It also means that class members can be informed of the common fund order in the opt-out notice and can consider this when deciding whether to opt out of proceedings.</w:t>
      </w:r>
      <w:r w:rsidR="00D629FA">
        <w:rPr>
          <w:rFonts w:ascii="ZWAdobeF" w:hAnsi="ZWAdobeF" w:cs="ZWAdobeF"/>
          <w:color w:val="auto"/>
          <w:sz w:val="2"/>
          <w:szCs w:val="2"/>
        </w:rPr>
        <w:t>561F</w:t>
      </w:r>
      <w:r w:rsidR="007A330E">
        <w:rPr>
          <w:rFonts w:ascii="ZWAdobeF" w:hAnsi="ZWAdobeF" w:cs="ZWAdobeF"/>
          <w:color w:val="auto"/>
          <w:sz w:val="2"/>
          <w:szCs w:val="2"/>
        </w:rPr>
        <w:t>561F</w:t>
      </w:r>
      <w:r w:rsidR="00317AE4">
        <w:rPr>
          <w:rFonts w:ascii="ZWAdobeF" w:hAnsi="ZWAdobeF" w:cs="ZWAdobeF"/>
          <w:color w:val="auto"/>
          <w:sz w:val="2"/>
          <w:szCs w:val="2"/>
        </w:rPr>
        <w:t>561F</w:t>
      </w:r>
      <w:r w:rsidR="00D36A28">
        <w:rPr>
          <w:rStyle w:val="FootnoteReference"/>
        </w:rPr>
        <w:footnoteReference w:id="563"/>
      </w:r>
      <w:r w:rsidR="00D36A28">
        <w:t xml:space="preserve"> There is also an argument that litigation risk is more accurately assessed at the start of a proceeding, without the risk of hindsight bias.</w:t>
      </w:r>
      <w:r w:rsidR="00D629FA">
        <w:rPr>
          <w:rFonts w:ascii="ZWAdobeF" w:hAnsi="ZWAdobeF" w:cs="ZWAdobeF"/>
          <w:color w:val="auto"/>
          <w:sz w:val="2"/>
          <w:szCs w:val="2"/>
        </w:rPr>
        <w:t>562F</w:t>
      </w:r>
      <w:r w:rsidR="007A330E">
        <w:rPr>
          <w:rFonts w:ascii="ZWAdobeF" w:hAnsi="ZWAdobeF" w:cs="ZWAdobeF"/>
          <w:color w:val="auto"/>
          <w:sz w:val="2"/>
          <w:szCs w:val="2"/>
        </w:rPr>
        <w:t>562F</w:t>
      </w:r>
      <w:r w:rsidR="00317AE4">
        <w:rPr>
          <w:rFonts w:ascii="ZWAdobeF" w:hAnsi="ZWAdobeF" w:cs="ZWAdobeF"/>
          <w:color w:val="auto"/>
          <w:sz w:val="2"/>
          <w:szCs w:val="2"/>
        </w:rPr>
        <w:t>562F</w:t>
      </w:r>
      <w:r w:rsidR="00D36A28">
        <w:rPr>
          <w:rStyle w:val="FootnoteReference"/>
        </w:rPr>
        <w:footnoteReference w:id="564"/>
      </w:r>
      <w:r w:rsidR="00D36A28">
        <w:t xml:space="preserve"> </w:t>
      </w:r>
    </w:p>
    <w:p w14:paraId="022D50CD" w14:textId="7C624F71" w:rsidR="00D36A28" w:rsidRDefault="00BD5C95" w:rsidP="00B73434">
      <w:pPr>
        <w:pStyle w:val="BodyText"/>
        <w:numPr>
          <w:ilvl w:val="1"/>
          <w:numId w:val="43"/>
        </w:numPr>
        <w:tabs>
          <w:tab w:val="left" w:pos="709"/>
        </w:tabs>
        <w:ind w:hanging="709"/>
      </w:pPr>
      <w:r>
        <w:rPr>
          <w:rFonts w:ascii="ZWAdobeF" w:hAnsi="ZWAdobeF" w:cs="ZWAdobeF"/>
          <w:color w:val="auto"/>
          <w:sz w:val="2"/>
          <w:szCs w:val="2"/>
        </w:rPr>
        <w:t>352B</w:t>
      </w:r>
      <w:r w:rsidR="0049638A">
        <w:rPr>
          <w:rFonts w:ascii="ZWAdobeF" w:hAnsi="ZWAdobeF" w:cs="ZWAdobeF"/>
          <w:color w:val="auto"/>
          <w:sz w:val="2"/>
          <w:szCs w:val="2"/>
        </w:rPr>
        <w:t>352B</w:t>
      </w:r>
      <w:r w:rsidR="00D629FA">
        <w:rPr>
          <w:rFonts w:ascii="ZWAdobeF" w:hAnsi="ZWAdobeF" w:cs="ZWAdobeF"/>
          <w:color w:val="auto"/>
          <w:sz w:val="2"/>
          <w:szCs w:val="2"/>
        </w:rPr>
        <w:t>352B</w:t>
      </w:r>
      <w:r w:rsidR="00D36A28">
        <w:t xml:space="preserve">However, it may be difficult for the court to assess a fair rate of remuneration at the outset of proceedings, when the total legal costs of bringing the proceeding and the amount recouped by class members is unknown. In </w:t>
      </w:r>
      <w:r w:rsidR="00D36A28">
        <w:rPr>
          <w:i/>
          <w:iCs/>
        </w:rPr>
        <w:t xml:space="preserve">BMW v Brewster, </w:t>
      </w:r>
      <w:r w:rsidR="00D36A28">
        <w:t>the plurality commented that if the court attempts to fix a rate of remuneration at the outset of proceedings, even provisionally, this necessarily engages the court in a “speculative exercise”.</w:t>
      </w:r>
      <w:r w:rsidR="00D629FA">
        <w:rPr>
          <w:rFonts w:ascii="ZWAdobeF" w:hAnsi="ZWAdobeF" w:cs="ZWAdobeF"/>
          <w:color w:val="auto"/>
          <w:sz w:val="2"/>
          <w:szCs w:val="2"/>
        </w:rPr>
        <w:t>563F</w:t>
      </w:r>
      <w:r w:rsidR="007A330E">
        <w:rPr>
          <w:rFonts w:ascii="ZWAdobeF" w:hAnsi="ZWAdobeF" w:cs="ZWAdobeF"/>
          <w:color w:val="auto"/>
          <w:sz w:val="2"/>
          <w:szCs w:val="2"/>
        </w:rPr>
        <w:t>563F</w:t>
      </w:r>
      <w:r w:rsidR="00317AE4">
        <w:rPr>
          <w:rFonts w:ascii="ZWAdobeF" w:hAnsi="ZWAdobeF" w:cs="ZWAdobeF"/>
          <w:color w:val="auto"/>
          <w:sz w:val="2"/>
          <w:szCs w:val="2"/>
        </w:rPr>
        <w:t>563F</w:t>
      </w:r>
      <w:r w:rsidR="00D36A28">
        <w:rPr>
          <w:rStyle w:val="FootnoteReference"/>
        </w:rPr>
        <w:footnoteReference w:id="565"/>
      </w:r>
      <w:r w:rsidR="00D36A28">
        <w:t xml:space="preserve"> Their judgment cites an earlier authority that asking whether the bargain </w:t>
      </w:r>
      <w:r w:rsidR="00D36A28">
        <w:lastRenderedPageBreak/>
        <w:t>struck between a litigation funder and a litigant is “fair” involves an unfounded assumption that “there is some ascertainable objective standard against which fairness is to be measured</w:t>
      </w:r>
      <w:r w:rsidR="000A6BBD">
        <w:t>”.</w:t>
      </w:r>
      <w:r w:rsidR="00D629FA">
        <w:rPr>
          <w:rFonts w:ascii="ZWAdobeF" w:hAnsi="ZWAdobeF" w:cs="ZWAdobeF"/>
          <w:color w:val="auto"/>
          <w:sz w:val="2"/>
          <w:szCs w:val="2"/>
        </w:rPr>
        <w:t>564F</w:t>
      </w:r>
      <w:r w:rsidR="007A330E">
        <w:rPr>
          <w:rFonts w:ascii="ZWAdobeF" w:hAnsi="ZWAdobeF" w:cs="ZWAdobeF"/>
          <w:color w:val="auto"/>
          <w:sz w:val="2"/>
          <w:szCs w:val="2"/>
        </w:rPr>
        <w:t>564F</w:t>
      </w:r>
      <w:r w:rsidR="00317AE4">
        <w:rPr>
          <w:rFonts w:ascii="ZWAdobeF" w:hAnsi="ZWAdobeF" w:cs="ZWAdobeF"/>
          <w:color w:val="auto"/>
          <w:sz w:val="2"/>
          <w:szCs w:val="2"/>
        </w:rPr>
        <w:t>564F</w:t>
      </w:r>
      <w:r w:rsidR="00D36A28">
        <w:rPr>
          <w:rStyle w:val="FootnoteReference"/>
        </w:rPr>
        <w:footnoteReference w:id="566"/>
      </w:r>
      <w:r w:rsidR="00D36A28">
        <w:t xml:space="preserve"> The plurality therefore considered that the conclusion of the proceeding was the appropriate stage to make orders regarding sharing the cost burden of the litigation.</w:t>
      </w:r>
      <w:r w:rsidR="00D629FA">
        <w:rPr>
          <w:rFonts w:ascii="ZWAdobeF" w:hAnsi="ZWAdobeF" w:cs="ZWAdobeF"/>
          <w:color w:val="auto"/>
          <w:sz w:val="2"/>
          <w:szCs w:val="2"/>
        </w:rPr>
        <w:t>565F</w:t>
      </w:r>
      <w:r w:rsidR="007A330E">
        <w:rPr>
          <w:rFonts w:ascii="ZWAdobeF" w:hAnsi="ZWAdobeF" w:cs="ZWAdobeF"/>
          <w:color w:val="auto"/>
          <w:sz w:val="2"/>
          <w:szCs w:val="2"/>
        </w:rPr>
        <w:t>565F</w:t>
      </w:r>
      <w:r w:rsidR="00317AE4">
        <w:rPr>
          <w:rFonts w:ascii="ZWAdobeF" w:hAnsi="ZWAdobeF" w:cs="ZWAdobeF"/>
          <w:color w:val="auto"/>
          <w:sz w:val="2"/>
          <w:szCs w:val="2"/>
        </w:rPr>
        <w:t>565F</w:t>
      </w:r>
      <w:r w:rsidR="00D36A28">
        <w:rPr>
          <w:rStyle w:val="FootnoteReference"/>
        </w:rPr>
        <w:footnoteReference w:id="567"/>
      </w:r>
      <w:r w:rsidR="00D36A28">
        <w:t xml:space="preserve"> </w:t>
      </w:r>
    </w:p>
    <w:p w14:paraId="1F81725C" w14:textId="628E8FF8" w:rsidR="00D36A28" w:rsidRDefault="00BD5C95" w:rsidP="00B73434">
      <w:pPr>
        <w:pStyle w:val="BodyText"/>
        <w:numPr>
          <w:ilvl w:val="1"/>
          <w:numId w:val="43"/>
        </w:numPr>
        <w:tabs>
          <w:tab w:val="left" w:pos="709"/>
        </w:tabs>
        <w:ind w:hanging="709"/>
      </w:pPr>
      <w:r>
        <w:rPr>
          <w:rFonts w:ascii="ZWAdobeF" w:hAnsi="ZWAdobeF" w:cs="ZWAdobeF"/>
          <w:color w:val="auto"/>
          <w:sz w:val="2"/>
          <w:szCs w:val="2"/>
        </w:rPr>
        <w:t>353B</w:t>
      </w:r>
      <w:r w:rsidR="0049638A">
        <w:rPr>
          <w:rFonts w:ascii="ZWAdobeF" w:hAnsi="ZWAdobeF" w:cs="ZWAdobeF"/>
          <w:color w:val="auto"/>
          <w:sz w:val="2"/>
          <w:szCs w:val="2"/>
        </w:rPr>
        <w:t>353B</w:t>
      </w:r>
      <w:r w:rsidR="00D629FA">
        <w:rPr>
          <w:rFonts w:ascii="ZWAdobeF" w:hAnsi="ZWAdobeF" w:cs="ZWAdobeF"/>
          <w:color w:val="auto"/>
          <w:sz w:val="2"/>
          <w:szCs w:val="2"/>
        </w:rPr>
        <w:t>353B</w:t>
      </w:r>
      <w:r w:rsidR="00D36A28">
        <w:t xml:space="preserve">In </w:t>
      </w:r>
      <w:r w:rsidR="00D36A28">
        <w:rPr>
          <w:i/>
          <w:iCs/>
        </w:rPr>
        <w:t xml:space="preserve">Money Max, </w:t>
      </w:r>
      <w:r w:rsidR="00D36A28">
        <w:t>the Court noted that concerns about making a common fund order at an early stage were dealt with by the Court approving the rate at a later stage when it had better information. The Court also noted that other possible ways of addressing this issue were allowing a commission rate on a sliding scale or setting a cap on the aggregate commission.</w:t>
      </w:r>
      <w:r w:rsidR="00D629FA">
        <w:rPr>
          <w:rFonts w:ascii="ZWAdobeF" w:hAnsi="ZWAdobeF" w:cs="ZWAdobeF"/>
          <w:color w:val="auto"/>
          <w:sz w:val="2"/>
          <w:szCs w:val="2"/>
        </w:rPr>
        <w:t>566F</w:t>
      </w:r>
      <w:r w:rsidR="007A330E">
        <w:rPr>
          <w:rFonts w:ascii="ZWAdobeF" w:hAnsi="ZWAdobeF" w:cs="ZWAdobeF"/>
          <w:color w:val="auto"/>
          <w:sz w:val="2"/>
          <w:szCs w:val="2"/>
        </w:rPr>
        <w:t>566F</w:t>
      </w:r>
      <w:r w:rsidR="00317AE4">
        <w:rPr>
          <w:rFonts w:ascii="ZWAdobeF" w:hAnsi="ZWAdobeF" w:cs="ZWAdobeF"/>
          <w:color w:val="auto"/>
          <w:sz w:val="2"/>
          <w:szCs w:val="2"/>
        </w:rPr>
        <w:t>566F</w:t>
      </w:r>
      <w:r w:rsidR="00D36A28">
        <w:rPr>
          <w:rStyle w:val="FootnoteReference"/>
        </w:rPr>
        <w:footnoteReference w:id="568"/>
      </w:r>
      <w:r w:rsidR="00D36A28">
        <w:t xml:space="preserve">  </w:t>
      </w:r>
    </w:p>
    <w:p w14:paraId="440CFB81" w14:textId="26249C02" w:rsidR="00D36A28" w:rsidRDefault="00BD5C95" w:rsidP="00B73434">
      <w:pPr>
        <w:pStyle w:val="BodyText"/>
        <w:numPr>
          <w:ilvl w:val="1"/>
          <w:numId w:val="43"/>
        </w:numPr>
        <w:tabs>
          <w:tab w:val="left" w:pos="709"/>
        </w:tabs>
        <w:ind w:hanging="709"/>
      </w:pPr>
      <w:r>
        <w:rPr>
          <w:rFonts w:ascii="ZWAdobeF" w:hAnsi="ZWAdobeF" w:cs="ZWAdobeF"/>
          <w:color w:val="auto"/>
          <w:sz w:val="2"/>
          <w:szCs w:val="2"/>
        </w:rPr>
        <w:t>354B</w:t>
      </w:r>
      <w:r w:rsidR="0049638A">
        <w:rPr>
          <w:rFonts w:ascii="ZWAdobeF" w:hAnsi="ZWAdobeF" w:cs="ZWAdobeF"/>
          <w:color w:val="auto"/>
          <w:sz w:val="2"/>
          <w:szCs w:val="2"/>
        </w:rPr>
        <w:t>354B</w:t>
      </w:r>
      <w:r w:rsidR="00D629FA">
        <w:rPr>
          <w:rFonts w:ascii="ZWAdobeF" w:hAnsi="ZWAdobeF" w:cs="ZWAdobeF"/>
          <w:color w:val="auto"/>
          <w:sz w:val="2"/>
          <w:szCs w:val="2"/>
        </w:rPr>
        <w:t>354B</w:t>
      </w:r>
      <w:r w:rsidR="00D36A28">
        <w:t xml:space="preserve">If a common fund order can be made at an early stage, we think it would be important for the court to have some flexibility to ensure that the funding commission is fair and reasonable to both class members and the litigation funder, in light of the legal costs spent and the amount recovered by class members.  </w:t>
      </w:r>
    </w:p>
    <w:p w14:paraId="41196AAA" w14:textId="77777777" w:rsidR="00D36A28" w:rsidRPr="00623AAE" w:rsidRDefault="00D36A28" w:rsidP="00110138">
      <w:pPr>
        <w:pStyle w:val="BodyText"/>
        <w:numPr>
          <w:ilvl w:val="0"/>
          <w:numId w:val="0"/>
        </w:numPr>
        <w:rPr>
          <w:rStyle w:val="Strong"/>
        </w:rPr>
      </w:pPr>
      <w:r w:rsidRPr="00623AAE">
        <w:rPr>
          <w:rStyle w:val="Strong"/>
        </w:rPr>
        <w:t xml:space="preserve">After </w:t>
      </w:r>
      <w:r>
        <w:rPr>
          <w:rStyle w:val="Strong"/>
        </w:rPr>
        <w:t xml:space="preserve">the common issues have been determined </w:t>
      </w:r>
    </w:p>
    <w:p w14:paraId="071DDDB1" w14:textId="12361475" w:rsidR="00D36A28" w:rsidRDefault="00BD5C95" w:rsidP="00B73434">
      <w:pPr>
        <w:pStyle w:val="BodyText"/>
        <w:numPr>
          <w:ilvl w:val="1"/>
          <w:numId w:val="43"/>
        </w:numPr>
        <w:tabs>
          <w:tab w:val="left" w:pos="709"/>
        </w:tabs>
        <w:ind w:hanging="709"/>
      </w:pPr>
      <w:r>
        <w:rPr>
          <w:rFonts w:ascii="ZWAdobeF" w:hAnsi="ZWAdobeF" w:cs="ZWAdobeF"/>
          <w:color w:val="auto"/>
          <w:sz w:val="2"/>
          <w:szCs w:val="2"/>
        </w:rPr>
        <w:t>355B</w:t>
      </w:r>
      <w:r w:rsidR="0049638A">
        <w:rPr>
          <w:rFonts w:ascii="ZWAdobeF" w:hAnsi="ZWAdobeF" w:cs="ZWAdobeF"/>
          <w:color w:val="auto"/>
          <w:sz w:val="2"/>
          <w:szCs w:val="2"/>
        </w:rPr>
        <w:t>355B</w:t>
      </w:r>
      <w:r w:rsidR="00D629FA">
        <w:rPr>
          <w:rFonts w:ascii="ZWAdobeF" w:hAnsi="ZWAdobeF" w:cs="ZWAdobeF"/>
          <w:color w:val="auto"/>
          <w:sz w:val="2"/>
          <w:szCs w:val="2"/>
        </w:rPr>
        <w:t>355B</w:t>
      </w:r>
      <w:r w:rsidR="00D36A28">
        <w:t xml:space="preserve">In </w:t>
      </w:r>
      <w:r w:rsidR="00D36A28" w:rsidRPr="0025133F">
        <w:rPr>
          <w:i/>
          <w:iCs/>
        </w:rPr>
        <w:t>Ross v Southern Response</w:t>
      </w:r>
      <w:r w:rsidR="00D36A28">
        <w:t>, the Court of Appeal made obiter comments that there was merit in leaving the question of whether a common fund order was desirable until after stage one had been determined. This would avoid the time and cost of litigating about a common fund order if the proceeding was unsuccessful at stage one. If the proceedings were successful at stage one, the issue could be dealt with on a more informed basis.</w:t>
      </w:r>
      <w:r w:rsidR="00D629FA">
        <w:rPr>
          <w:rFonts w:ascii="ZWAdobeF" w:hAnsi="ZWAdobeF" w:cs="ZWAdobeF"/>
          <w:color w:val="auto"/>
          <w:sz w:val="2"/>
          <w:szCs w:val="2"/>
        </w:rPr>
        <w:t>567F</w:t>
      </w:r>
      <w:r w:rsidR="007A330E">
        <w:rPr>
          <w:rFonts w:ascii="ZWAdobeF" w:hAnsi="ZWAdobeF" w:cs="ZWAdobeF"/>
          <w:color w:val="auto"/>
          <w:sz w:val="2"/>
          <w:szCs w:val="2"/>
        </w:rPr>
        <w:t>567F</w:t>
      </w:r>
      <w:r w:rsidR="00317AE4">
        <w:rPr>
          <w:rFonts w:ascii="ZWAdobeF" w:hAnsi="ZWAdobeF" w:cs="ZWAdobeF"/>
          <w:color w:val="auto"/>
          <w:sz w:val="2"/>
          <w:szCs w:val="2"/>
        </w:rPr>
        <w:t>567F</w:t>
      </w:r>
      <w:r w:rsidR="00D36A28">
        <w:rPr>
          <w:rStyle w:val="FootnoteReference"/>
        </w:rPr>
        <w:footnoteReference w:id="569"/>
      </w:r>
      <w:r w:rsidR="00D36A28">
        <w:t xml:space="preserve">  </w:t>
      </w:r>
    </w:p>
    <w:p w14:paraId="1FCE924A" w14:textId="3B13E45F" w:rsidR="00D36A28" w:rsidRDefault="00BD5C95" w:rsidP="00B73434">
      <w:pPr>
        <w:pStyle w:val="BodyText"/>
        <w:numPr>
          <w:ilvl w:val="1"/>
          <w:numId w:val="43"/>
        </w:numPr>
        <w:tabs>
          <w:tab w:val="left" w:pos="709"/>
        </w:tabs>
        <w:ind w:hanging="709"/>
      </w:pPr>
      <w:r>
        <w:rPr>
          <w:rFonts w:ascii="ZWAdobeF" w:hAnsi="ZWAdobeF" w:cs="ZWAdobeF"/>
          <w:color w:val="auto"/>
          <w:sz w:val="2"/>
          <w:szCs w:val="2"/>
        </w:rPr>
        <w:t>356B</w:t>
      </w:r>
      <w:r w:rsidR="0049638A">
        <w:rPr>
          <w:rFonts w:ascii="ZWAdobeF" w:hAnsi="ZWAdobeF" w:cs="ZWAdobeF"/>
          <w:color w:val="auto"/>
          <w:sz w:val="2"/>
          <w:szCs w:val="2"/>
        </w:rPr>
        <w:t>356B</w:t>
      </w:r>
      <w:r w:rsidR="00D629FA">
        <w:rPr>
          <w:rFonts w:ascii="ZWAdobeF" w:hAnsi="ZWAdobeF" w:cs="ZWAdobeF"/>
          <w:color w:val="auto"/>
          <w:sz w:val="2"/>
          <w:szCs w:val="2"/>
        </w:rPr>
        <w:t>356B</w:t>
      </w:r>
      <w:r w:rsidR="00D36A28" w:rsidRPr="00904CD6">
        <w:t xml:space="preserve">We note also that a class action may need to convert to opt-in at stage two </w:t>
      </w:r>
      <w:r w:rsidR="00D36A28">
        <w:t xml:space="preserve">so that individual class members can establish their </w:t>
      </w:r>
      <w:r w:rsidR="00D36A28" w:rsidRPr="00904CD6">
        <w:t xml:space="preserve">entitlement to a remedy. If this stage two opt-in process included a requirement to sign up to litigation funding arrangements, a common fund order would not be necessary. </w:t>
      </w:r>
    </w:p>
    <w:p w14:paraId="52CEE332" w14:textId="77777777" w:rsidR="00D36A28" w:rsidRDefault="00D36A28" w:rsidP="00110138">
      <w:pPr>
        <w:pStyle w:val="BodyText"/>
        <w:numPr>
          <w:ilvl w:val="0"/>
          <w:numId w:val="0"/>
        </w:numPr>
        <w:rPr>
          <w:rStyle w:val="Strong"/>
        </w:rPr>
      </w:pPr>
      <w:r w:rsidRPr="00623AAE">
        <w:rPr>
          <w:rStyle w:val="Strong"/>
        </w:rPr>
        <w:t>At a late stage of proceedings</w:t>
      </w:r>
    </w:p>
    <w:p w14:paraId="65EEC57C" w14:textId="3FBB8D8B" w:rsidR="00D36A28" w:rsidRDefault="00BD5C95" w:rsidP="0033360F">
      <w:pPr>
        <w:pStyle w:val="BodyText"/>
        <w:rPr>
          <w:rStyle w:val="Strong"/>
          <w:b w:val="0"/>
          <w:bCs w:val="0"/>
        </w:rPr>
      </w:pPr>
      <w:r>
        <w:rPr>
          <w:rFonts w:ascii="ZWAdobeF" w:hAnsi="ZWAdobeF" w:cs="ZWAdobeF"/>
          <w:color w:val="auto"/>
          <w:sz w:val="2"/>
          <w:szCs w:val="2"/>
        </w:rPr>
        <w:t>357B</w:t>
      </w:r>
      <w:r w:rsidR="0049638A">
        <w:rPr>
          <w:rFonts w:ascii="ZWAdobeF" w:hAnsi="ZWAdobeF" w:cs="ZWAdobeF"/>
          <w:color w:val="auto"/>
          <w:sz w:val="2"/>
          <w:szCs w:val="2"/>
        </w:rPr>
        <w:t>357B</w:t>
      </w:r>
      <w:r w:rsidR="00D629FA">
        <w:rPr>
          <w:rFonts w:ascii="ZWAdobeF" w:hAnsi="ZWAdobeF" w:cs="ZWAdobeF"/>
          <w:color w:val="auto"/>
          <w:sz w:val="2"/>
          <w:szCs w:val="2"/>
        </w:rPr>
        <w:t>357B</w:t>
      </w:r>
      <w:r w:rsidR="00D36A28" w:rsidRPr="0033360F">
        <w:t>A final option is for a common fund order to be made at a late stage of proceedings, such as at settlement or before damages are to be distributed. At this stage, the cost of the litigation as well as the benefit to class members is clear</w:t>
      </w:r>
      <w:r w:rsidR="00D36A28">
        <w:rPr>
          <w:rStyle w:val="Strong"/>
        </w:rPr>
        <w:t>.</w:t>
      </w:r>
      <w:r w:rsidR="00D629FA">
        <w:rPr>
          <w:rStyle w:val="Strong"/>
          <w:rFonts w:ascii="ZWAdobeF" w:hAnsi="ZWAdobeF" w:cs="ZWAdobeF"/>
          <w:b w:val="0"/>
          <w:color w:val="auto"/>
          <w:sz w:val="2"/>
          <w:szCs w:val="2"/>
        </w:rPr>
        <w:t>568F</w:t>
      </w:r>
      <w:r w:rsidR="007A330E">
        <w:rPr>
          <w:rStyle w:val="Strong"/>
          <w:rFonts w:ascii="ZWAdobeF" w:hAnsi="ZWAdobeF" w:cs="ZWAdobeF"/>
          <w:b w:val="0"/>
          <w:color w:val="auto"/>
          <w:sz w:val="2"/>
          <w:szCs w:val="2"/>
        </w:rPr>
        <w:t>568F</w:t>
      </w:r>
      <w:r w:rsidR="00317AE4">
        <w:rPr>
          <w:rStyle w:val="Strong"/>
          <w:rFonts w:ascii="ZWAdobeF" w:hAnsi="ZWAdobeF" w:cs="ZWAdobeF"/>
          <w:b w:val="0"/>
          <w:color w:val="auto"/>
          <w:sz w:val="2"/>
          <w:szCs w:val="2"/>
        </w:rPr>
        <w:t>568F</w:t>
      </w:r>
      <w:r w:rsidR="00D36A28">
        <w:rPr>
          <w:rStyle w:val="FootnoteReference"/>
        </w:rPr>
        <w:footnoteReference w:id="570"/>
      </w:r>
      <w:r w:rsidR="00D36A28">
        <w:rPr>
          <w:rStyle w:val="Strong"/>
        </w:rPr>
        <w:t xml:space="preserve"> </w:t>
      </w:r>
    </w:p>
    <w:p w14:paraId="141B1B76" w14:textId="6A2DC9BF" w:rsidR="00D36A28" w:rsidRDefault="00D36A28" w:rsidP="0033360F">
      <w:pPr>
        <w:pStyle w:val="BodyText"/>
        <w:rPr>
          <w:rStyle w:val="Strong"/>
          <w:b w:val="0"/>
          <w:bCs w:val="0"/>
          <w:color w:val="000000" w:themeColor="text1"/>
        </w:rPr>
      </w:pPr>
      <w:r w:rsidRPr="0033360F">
        <w:rPr>
          <w:rStyle w:val="Strong"/>
          <w:b w:val="0"/>
          <w:bCs w:val="0"/>
          <w:color w:val="000000" w:themeColor="text1"/>
        </w:rPr>
        <w:t xml:space="preserve">A disadvantage is that it does not provide litigation funders or class members with an early indication of whether a common fund order will be made and what the rate is likely to be. A class member who had this information earlier in the process may have exercised their right to opt out of the proceeding (although as we discuss in Chapter 6, one option would be to provide another opportunity to opt out at settlement.)  </w:t>
      </w:r>
    </w:p>
    <w:p w14:paraId="79A19274" w14:textId="467C65D3" w:rsidR="00364B9F" w:rsidRDefault="00364B9F">
      <w:pPr>
        <w:widowControl w:val="0"/>
        <w:spacing w:after="200" w:line="276" w:lineRule="auto"/>
        <w:rPr>
          <w:rStyle w:val="Strong"/>
          <w:b w:val="0"/>
          <w:bCs w:val="0"/>
          <w:color w:val="000000" w:themeColor="text1"/>
        </w:rPr>
      </w:pPr>
      <w:r>
        <w:rPr>
          <w:rStyle w:val="Strong"/>
          <w:b w:val="0"/>
          <w:bCs w:val="0"/>
          <w:color w:val="000000" w:themeColor="text1"/>
        </w:rPr>
        <w:br w:type="page"/>
      </w:r>
    </w:p>
    <w:p w14:paraId="22F60ED7" w14:textId="4EA3026B" w:rsidR="00E52BAF" w:rsidRDefault="00907B23" w:rsidP="0033360F">
      <w:pPr>
        <w:pStyle w:val="QuestionBox"/>
        <w:rPr>
          <w:rStyle w:val="Strong"/>
          <w:b w:val="0"/>
          <w:bCs w:val="0"/>
          <w:color w:val="262626" w:themeColor="text1" w:themeTint="D9"/>
        </w:rPr>
      </w:pPr>
      <w:r>
        <w:rPr>
          <w:noProof/>
        </w:rPr>
        <w:lastRenderedPageBreak/>
        <mc:AlternateContent>
          <mc:Choice Requires="wpg">
            <w:drawing>
              <wp:anchor distT="0" distB="0" distL="114300" distR="114300" simplePos="0" relativeHeight="251652167" behindDoc="1" locked="0" layoutInCell="1" allowOverlap="1" wp14:anchorId="5EA08FAC" wp14:editId="0D776F1A">
                <wp:simplePos x="0" y="0"/>
                <wp:positionH relativeFrom="column">
                  <wp:posOffset>-3810</wp:posOffset>
                </wp:positionH>
                <wp:positionV relativeFrom="paragraph">
                  <wp:posOffset>3810</wp:posOffset>
                </wp:positionV>
                <wp:extent cx="5760085" cy="2695609"/>
                <wp:effectExtent l="0" t="0" r="0" b="9525"/>
                <wp:wrapNone/>
                <wp:docPr id="764518316" name="Group 764518316"/>
                <wp:cNvGraphicFramePr/>
                <a:graphic xmlns:a="http://schemas.openxmlformats.org/drawingml/2006/main">
                  <a:graphicData uri="http://schemas.microsoft.com/office/word/2010/wordprocessingGroup">
                    <wpg:wgp>
                      <wpg:cNvGrpSpPr/>
                      <wpg:grpSpPr>
                        <a:xfrm>
                          <a:off x="0" y="0"/>
                          <a:ext cx="5760085" cy="2695609"/>
                          <a:chOff x="0" y="62865"/>
                          <a:chExt cx="5760085" cy="2695883"/>
                        </a:xfrm>
                      </wpg:grpSpPr>
                      <wps:wsp>
                        <wps:cNvPr id="76451831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AC32ED" w14:textId="77777777" w:rsidR="00A55F53" w:rsidRDefault="00A55F53" w:rsidP="00907B23">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318" name="Group 53"/>
                        <wpg:cNvGrpSpPr>
                          <a:grpSpLocks/>
                        </wpg:cNvGrpSpPr>
                        <wpg:grpSpPr bwMode="auto">
                          <a:xfrm>
                            <a:off x="0" y="316263"/>
                            <a:ext cx="5760085" cy="2442485"/>
                            <a:chOff x="1837" y="1792"/>
                            <a:chExt cx="9302" cy="26383"/>
                          </a:xfrm>
                        </wpg:grpSpPr>
                        <wps:wsp>
                          <wps:cNvPr id="764518319" name="Freeform 54"/>
                          <wps:cNvSpPr>
                            <a:spLocks/>
                          </wps:cNvSpPr>
                          <wps:spPr bwMode="auto">
                            <a:xfrm>
                              <a:off x="1837" y="1792"/>
                              <a:ext cx="9302" cy="2638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320" name="Group 764518320"/>
                        <wpg:cNvGrpSpPr/>
                        <wpg:grpSpPr>
                          <a:xfrm>
                            <a:off x="0" y="494036"/>
                            <a:ext cx="1443794" cy="252000"/>
                            <a:chOff x="-15880" y="0"/>
                            <a:chExt cx="1444379" cy="252068"/>
                          </a:xfrm>
                        </wpg:grpSpPr>
                        <wps:wsp>
                          <wps:cNvPr id="76451832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2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2A6CF7" w14:textId="6DE01C97" w:rsidR="00A55F53" w:rsidRPr="00E700FF" w:rsidRDefault="00A55F53" w:rsidP="00907B23">
                                <w:pPr>
                                  <w:pStyle w:val="BoxTitle"/>
                                  <w:spacing w:before="0" w:beforeAutospacing="0"/>
                                </w:pPr>
                                <w:r w:rsidRPr="001C1B37">
                                  <w:t>Q</w:t>
                                </w:r>
                                <w:r>
                                  <w:t>28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EA08FAC" id="Group 764518316" o:spid="_x0000_s1391" style="position:absolute;left:0;text-align:left;margin-left:-.3pt;margin-top:.3pt;width:453.55pt;height:212.25pt;z-index:-251664313;mso-height-relative:margin" coordorigin=",628" coordsize="57600,2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">
                <v:shape id="_x0000_s139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BAC32ED" w14:textId="77777777" w:rsidR="00A55F53" w:rsidRDefault="00A55F53" w:rsidP="00907B23">
                        <w:pPr>
                          <w:pStyle w:val="BoxTitle"/>
                          <w:spacing w:before="0" w:beforeAutospacing="0"/>
                        </w:pPr>
                        <w:r w:rsidRPr="007F6876">
                          <w:t>QUESTION</w:t>
                        </w:r>
                      </w:p>
                    </w:txbxContent>
                  </v:textbox>
                </v:shape>
                <v:group id="Group 53" o:spid="_x0000_s1393" style="position:absolute;top:3162;width:57600;height:24425" coordorigin="1837,1792" coordsize="9302,2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">
                  <v:shape id="Freeform 54" o:spid="_x0000_s1394" style="position:absolute;left:1837;top:1792;width:9302;height:2638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" path="m,l9354,r,7809l,7809,,e" fillcolor="#edf2ea" stroked="f">
                    <v:path arrowok="t" o:connecttype="custom" o:connectlocs="0,3379;9302,3379;9302,29762;0,29762;0,3379" o:connectangles="0,0,0,0,0"/>
                  </v:shape>
                </v:group>
                <v:group id="Group 764518320" o:spid="_x0000_s139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">
                  <v:shape id="Freeform 58" o:spid="_x0000_s139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" path="m,l1815,e" filled="f" strokecolor="#72ab6a" strokeweight=".5pt">
                    <v:path arrowok="t" o:connecttype="custom" o:connectlocs="0,0;1073495,0" o:connectangles="0,0"/>
                  </v:shape>
                  <v:shape id="Freeform 66" o:spid="_x0000_s139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82A6CF7" w14:textId="6DE01C97" w:rsidR="00A55F53" w:rsidRPr="00E700FF" w:rsidRDefault="00A55F53" w:rsidP="00907B23">
                          <w:pPr>
                            <w:pStyle w:val="BoxTitle"/>
                            <w:spacing w:before="0" w:beforeAutospacing="0"/>
                          </w:pPr>
                          <w:r w:rsidRPr="001C1B37">
                            <w:t>Q</w:t>
                          </w:r>
                          <w:r>
                            <w:t>28</w:t>
                          </w:r>
                        </w:p>
                      </w:txbxContent>
                    </v:textbox>
                  </v:shape>
                </v:group>
              </v:group>
            </w:pict>
          </mc:Fallback>
        </mc:AlternateContent>
      </w:r>
    </w:p>
    <w:p w14:paraId="0D91273E" w14:textId="77777777" w:rsidR="00E52BAF" w:rsidRDefault="00E52BAF" w:rsidP="0033360F">
      <w:pPr>
        <w:pStyle w:val="QuestionBox"/>
        <w:rPr>
          <w:rStyle w:val="Strong"/>
          <w:b w:val="0"/>
          <w:bCs w:val="0"/>
          <w:color w:val="262626" w:themeColor="text1" w:themeTint="D9"/>
        </w:rPr>
      </w:pPr>
    </w:p>
    <w:p w14:paraId="6EF9498B" w14:textId="2F6695E4" w:rsidR="00D36A28" w:rsidRPr="0033360F" w:rsidRDefault="00D36A28" w:rsidP="0033360F">
      <w:pPr>
        <w:pStyle w:val="QuestionBox"/>
        <w:rPr>
          <w:rStyle w:val="Strong"/>
          <w:b w:val="0"/>
          <w:bCs w:val="0"/>
          <w:color w:val="262626" w:themeColor="text1" w:themeTint="D9"/>
        </w:rPr>
      </w:pPr>
      <w:r w:rsidRPr="0033360F">
        <w:rPr>
          <w:rStyle w:val="Strong"/>
          <w:b w:val="0"/>
          <w:bCs w:val="0"/>
          <w:color w:val="262626" w:themeColor="text1" w:themeTint="D9"/>
        </w:rPr>
        <w:t>If common fund orders are available, when in the proceeding should they be made?</w:t>
      </w:r>
    </w:p>
    <w:p w14:paraId="6C8744DE" w14:textId="77777777" w:rsidR="00D36A28" w:rsidRPr="00650487" w:rsidRDefault="00D36A28" w:rsidP="00B73434">
      <w:pPr>
        <w:pStyle w:val="Questionabc"/>
        <w:numPr>
          <w:ilvl w:val="0"/>
          <w:numId w:val="51"/>
        </w:numPr>
        <w:ind w:left="1418" w:hanging="425"/>
        <w:rPr>
          <w:rStyle w:val="Strong"/>
          <w:b w:val="0"/>
          <w:bCs w:val="0"/>
          <w:color w:val="262626" w:themeColor="text1" w:themeTint="D9"/>
        </w:rPr>
      </w:pPr>
      <w:r w:rsidRPr="00650487">
        <w:rPr>
          <w:rStyle w:val="Strong"/>
          <w:b w:val="0"/>
          <w:bCs w:val="0"/>
          <w:color w:val="262626" w:themeColor="text1" w:themeTint="D9"/>
        </w:rPr>
        <w:t>At an early stage of the proceeding, with the rate set at this stage.</w:t>
      </w:r>
    </w:p>
    <w:p w14:paraId="1C69DDBB" w14:textId="77777777" w:rsidR="00D36A28" w:rsidRPr="00650487" w:rsidRDefault="00D36A28" w:rsidP="00B73434">
      <w:pPr>
        <w:pStyle w:val="Questionabc"/>
        <w:numPr>
          <w:ilvl w:val="0"/>
          <w:numId w:val="51"/>
        </w:numPr>
        <w:ind w:left="1418" w:hanging="425"/>
        <w:rPr>
          <w:rStyle w:val="Strong"/>
          <w:b w:val="0"/>
          <w:bCs w:val="0"/>
          <w:color w:val="262626" w:themeColor="text1" w:themeTint="D9"/>
        </w:rPr>
      </w:pPr>
      <w:r w:rsidRPr="00650487">
        <w:rPr>
          <w:rStyle w:val="Strong"/>
          <w:b w:val="0"/>
          <w:bCs w:val="0"/>
          <w:color w:val="262626" w:themeColor="text1" w:themeTint="D9"/>
        </w:rPr>
        <w:t>At an early stage of the proceeding, with the court providing a provisional or maximum rate at this stage and setting the final rate at a later stage.</w:t>
      </w:r>
    </w:p>
    <w:p w14:paraId="246C03C3" w14:textId="77777777" w:rsidR="00D36A28" w:rsidRPr="00650487" w:rsidRDefault="00D36A28" w:rsidP="00B73434">
      <w:pPr>
        <w:pStyle w:val="Questionabc"/>
        <w:numPr>
          <w:ilvl w:val="0"/>
          <w:numId w:val="51"/>
        </w:numPr>
        <w:ind w:left="1418" w:hanging="425"/>
        <w:rPr>
          <w:rStyle w:val="Strong"/>
          <w:b w:val="0"/>
          <w:bCs w:val="0"/>
          <w:color w:val="262626" w:themeColor="text1" w:themeTint="D9"/>
        </w:rPr>
      </w:pPr>
      <w:r w:rsidRPr="00650487">
        <w:rPr>
          <w:rStyle w:val="Strong"/>
          <w:b w:val="0"/>
          <w:bCs w:val="0"/>
          <w:color w:val="262626" w:themeColor="text1" w:themeTint="D9"/>
        </w:rPr>
        <w:t>After the common issues are determined.</w:t>
      </w:r>
    </w:p>
    <w:p w14:paraId="5ED9057D" w14:textId="77777777" w:rsidR="00D36A28" w:rsidRPr="00650487" w:rsidRDefault="00D36A28" w:rsidP="00B73434">
      <w:pPr>
        <w:pStyle w:val="Questionabc"/>
        <w:numPr>
          <w:ilvl w:val="0"/>
          <w:numId w:val="51"/>
        </w:numPr>
        <w:ind w:left="1418" w:hanging="425"/>
        <w:rPr>
          <w:rStyle w:val="Strong"/>
          <w:b w:val="0"/>
          <w:bCs w:val="0"/>
          <w:color w:val="262626" w:themeColor="text1" w:themeTint="D9"/>
        </w:rPr>
      </w:pPr>
      <w:r w:rsidRPr="00650487">
        <w:rPr>
          <w:rStyle w:val="Strong"/>
          <w:b w:val="0"/>
          <w:bCs w:val="0"/>
          <w:color w:val="262626" w:themeColor="text1" w:themeTint="D9"/>
        </w:rPr>
        <w:t xml:space="preserve">At a late stage of proceedings, such as at settlement or before damages are distributed. </w:t>
      </w:r>
    </w:p>
    <w:p w14:paraId="46B46859" w14:textId="77777777" w:rsidR="00D36A28" w:rsidRPr="00650487" w:rsidRDefault="00D36A28" w:rsidP="00B73434">
      <w:pPr>
        <w:pStyle w:val="Questionabc"/>
        <w:numPr>
          <w:ilvl w:val="0"/>
          <w:numId w:val="51"/>
        </w:numPr>
        <w:ind w:left="1418" w:hanging="425"/>
        <w:rPr>
          <w:rStyle w:val="Strong"/>
          <w:b w:val="0"/>
          <w:bCs w:val="0"/>
          <w:color w:val="262626" w:themeColor="text1" w:themeTint="D9"/>
        </w:rPr>
      </w:pPr>
      <w:r w:rsidRPr="00650487">
        <w:rPr>
          <w:rStyle w:val="Strong"/>
          <w:b w:val="0"/>
          <w:bCs w:val="0"/>
          <w:color w:val="262626" w:themeColor="text1" w:themeTint="D9"/>
        </w:rPr>
        <w:t>The court should have discretion in an individual case.</w:t>
      </w:r>
    </w:p>
    <w:bookmarkStart w:id="80" w:name="_Hlk55985511"/>
    <w:bookmarkEnd w:id="73"/>
    <w:p w14:paraId="2BF34727" w14:textId="41CC1803" w:rsidR="00575DC6" w:rsidRPr="00D37FCE" w:rsidRDefault="00907B23" w:rsidP="00907B23">
      <w:pPr>
        <w:pStyle w:val="BodyText"/>
        <w:numPr>
          <w:ilvl w:val="0"/>
          <w:numId w:val="0"/>
        </w:numPr>
        <w:ind w:left="709"/>
      </w:pPr>
      <w:r w:rsidRPr="00D37FCE">
        <w:rPr>
          <w:rFonts w:eastAsiaTheme="minorHAnsi"/>
          <w:noProof/>
          <w:lang w:eastAsia="en-NZ"/>
        </w:rPr>
        <mc:AlternateContent>
          <mc:Choice Requires="wpg">
            <w:drawing>
              <wp:anchor distT="0" distB="0" distL="114300" distR="114300" simplePos="0" relativeHeight="251651102" behindDoc="1" locked="0" layoutInCell="1" allowOverlap="1" wp14:anchorId="07ABC78D" wp14:editId="39EDDE96">
                <wp:simplePos x="0" y="0"/>
                <wp:positionH relativeFrom="page">
                  <wp:posOffset>1098550</wp:posOffset>
                </wp:positionH>
                <wp:positionV relativeFrom="paragraph">
                  <wp:posOffset>979721</wp:posOffset>
                </wp:positionV>
                <wp:extent cx="2412000" cy="1270"/>
                <wp:effectExtent l="0" t="19050" r="26670" b="17780"/>
                <wp:wrapNone/>
                <wp:docPr id="76451825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825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C3A0F" id="Group 135" o:spid="_x0000_s1026" style="position:absolute;margin-left:86.5pt;margin-top:77.15pt;width:189.9pt;height:.1pt;z-index:-25166537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bookmarkEnd w:id="80"/>
    <w:p w14:paraId="2EFD6D80" w14:textId="77777777" w:rsidR="006E2256" w:rsidRPr="00D37FCE" w:rsidRDefault="006E2256" w:rsidP="00181C41">
      <w:pPr>
        <w:pStyle w:val="BodyText"/>
        <w:numPr>
          <w:ilvl w:val="0"/>
          <w:numId w:val="0"/>
        </w:numPr>
        <w:ind w:left="596"/>
        <w:sectPr w:rsidR="006E2256" w:rsidRPr="00D37FCE" w:rsidSect="00010EB4">
          <w:headerReference w:type="default" r:id="rId40"/>
          <w:footerReference w:type="even" r:id="rId41"/>
          <w:footnotePr>
            <w:numRestart w:val="eachSect"/>
          </w:footnotePr>
          <w:type w:val="nextColumn"/>
          <w:pgSz w:w="11907" w:h="16840" w:code="9"/>
          <w:pgMar w:top="1134" w:right="1134" w:bottom="1134" w:left="1701" w:header="499" w:footer="499" w:gutter="0"/>
          <w:cols w:space="720"/>
          <w:docGrid w:linePitch="272"/>
        </w:sectPr>
      </w:pPr>
    </w:p>
    <w:p w14:paraId="4B5E822B" w14:textId="617A6B75" w:rsidR="003F7044" w:rsidRPr="00D37FCE" w:rsidRDefault="00BD5C95" w:rsidP="006E2256">
      <w:pPr>
        <w:pStyle w:val="HEADING2topchapter-notinTOC"/>
      </w:pPr>
      <w:bookmarkStart w:id="81" w:name="_Hlk55052252"/>
      <w:r>
        <w:rPr>
          <w:rFonts w:ascii="ZWAdobeF" w:hAnsi="ZWAdobeF" w:cs="ZWAdobeF"/>
          <w:b w:val="0"/>
          <w:color w:val="auto"/>
          <w:sz w:val="2"/>
          <w:szCs w:val="2"/>
        </w:rPr>
        <w:lastRenderedPageBreak/>
        <w:t>940B</w:t>
      </w:r>
      <w:r w:rsidR="0049638A">
        <w:rPr>
          <w:rFonts w:ascii="ZWAdobeF" w:hAnsi="ZWAdobeF" w:cs="ZWAdobeF"/>
          <w:b w:val="0"/>
          <w:color w:val="auto"/>
          <w:sz w:val="2"/>
          <w:szCs w:val="2"/>
        </w:rPr>
        <w:t>940B</w:t>
      </w:r>
      <w:r w:rsidR="00D629FA">
        <w:rPr>
          <w:rFonts w:ascii="ZWAdobeF" w:hAnsi="ZWAdobeF" w:cs="ZWAdobeF"/>
          <w:b w:val="0"/>
          <w:color w:val="auto"/>
          <w:sz w:val="2"/>
          <w:szCs w:val="2"/>
        </w:rPr>
        <w:t>940B</w:t>
      </w:r>
      <w:r w:rsidR="003F7044" w:rsidRPr="00D37FCE">
        <w:t xml:space="preserve">CHAPTER </w:t>
      </w:r>
      <w:r w:rsidR="00634007" w:rsidRPr="00D37FCE">
        <w:t>5</w:t>
      </w:r>
    </w:p>
    <w:p w14:paraId="03B48E15" w14:textId="77777777" w:rsidR="003F7044" w:rsidRPr="00D37FCE" w:rsidRDefault="003F7044" w:rsidP="003F7044">
      <w:pPr>
        <w:spacing w:line="200" w:lineRule="exact"/>
        <w:rPr>
          <w:szCs w:val="20"/>
        </w:rPr>
      </w:pPr>
      <w:r w:rsidRPr="00D37FCE">
        <w:rPr>
          <w:noProof/>
          <w:lang w:eastAsia="en-NZ"/>
        </w:rPr>
        <mc:AlternateContent>
          <mc:Choice Requires="wpg">
            <w:drawing>
              <wp:anchor distT="0" distB="0" distL="114300" distR="114300" simplePos="0" relativeHeight="251651073" behindDoc="1" locked="0" layoutInCell="1" allowOverlap="1" wp14:anchorId="4C7D4A28" wp14:editId="7580E56C">
                <wp:simplePos x="0" y="0"/>
                <wp:positionH relativeFrom="page">
                  <wp:posOffset>1076653</wp:posOffset>
                </wp:positionH>
                <wp:positionV relativeFrom="paragraph">
                  <wp:posOffset>53975</wp:posOffset>
                </wp:positionV>
                <wp:extent cx="1332230" cy="1270"/>
                <wp:effectExtent l="0" t="19050" r="1270" b="1778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4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CDA6F" id="Group 244" o:spid="_x0000_s1026" style="position:absolute;margin-left:84.8pt;margin-top:4.25pt;width:104.9pt;height:.1pt;z-index:-25166540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" path="m,l2098,e" filled="f" strokecolor="#73ab6e" strokeweight="3pt">
                  <v:path arrowok="t" o:connecttype="custom" o:connectlocs="0,0;2098,0" o:connectangles="0,0"/>
                </v:shape>
                <w10:wrap anchorx="page"/>
              </v:group>
            </w:pict>
          </mc:Fallback>
        </mc:AlternateContent>
      </w:r>
    </w:p>
    <w:p w14:paraId="40BB62AB" w14:textId="31612B01" w:rsidR="003F7044" w:rsidRPr="00D37FCE" w:rsidRDefault="005C50F9" w:rsidP="003F7044">
      <w:pPr>
        <w:pStyle w:val="Heading1"/>
        <w:rPr>
          <w:rFonts w:eastAsia="Metropolis Black"/>
        </w:rPr>
      </w:pPr>
      <w:bookmarkStart w:id="82" w:name="_Toc83895455"/>
      <w:r w:rsidRPr="00D37FCE">
        <w:rPr>
          <w:rFonts w:eastAsia="Cordia New"/>
          <w:color w:val="FFFFFF" w:themeColor="background1"/>
          <w:sz w:val="2"/>
          <w:szCs w:val="2"/>
        </w:rPr>
        <w:t xml:space="preserve">5 </w:t>
      </w:r>
      <w:r w:rsidR="003D4CC9">
        <w:rPr>
          <w:rFonts w:eastAsia="Metropolis Black"/>
        </w:rPr>
        <w:t>Judgments, damages and appeals</w:t>
      </w:r>
      <w:bookmarkEnd w:id="82"/>
    </w:p>
    <w:p w14:paraId="6FC505F2" w14:textId="77777777" w:rsidR="003F7044" w:rsidRPr="00D37FCE" w:rsidRDefault="003F7044" w:rsidP="003F7044">
      <w:pPr>
        <w:spacing w:line="200" w:lineRule="exact"/>
        <w:rPr>
          <w:szCs w:val="20"/>
        </w:rPr>
      </w:pPr>
      <w:r w:rsidRPr="00D37FCE">
        <w:rPr>
          <w:noProof/>
          <w:lang w:eastAsia="en-NZ"/>
        </w:rPr>
        <mc:AlternateContent>
          <mc:Choice Requires="wpg">
            <w:drawing>
              <wp:anchor distT="0" distB="0" distL="114300" distR="114300" simplePos="0" relativeHeight="251651074" behindDoc="1" locked="0" layoutInCell="1" allowOverlap="1" wp14:anchorId="012FBE3F" wp14:editId="6CEE64A1">
                <wp:simplePos x="0" y="0"/>
                <wp:positionH relativeFrom="page">
                  <wp:posOffset>1087427</wp:posOffset>
                </wp:positionH>
                <wp:positionV relativeFrom="paragraph">
                  <wp:posOffset>71755</wp:posOffset>
                </wp:positionV>
                <wp:extent cx="1332230" cy="1270"/>
                <wp:effectExtent l="0" t="19050" r="1270" b="1778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4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D1E40" id="Group 246" o:spid="_x0000_s1026" style="position:absolute;margin-left:85.6pt;margin-top:5.65pt;width:104.9pt;height:.1pt;z-index:-25166540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74820E38" w14:textId="77777777" w:rsidR="00634007" w:rsidRPr="00D37FCE" w:rsidRDefault="00A61527" w:rsidP="00932DB9">
      <w:pPr>
        <w:pStyle w:val="ListParagraph"/>
        <w:numPr>
          <w:ilvl w:val="0"/>
          <w:numId w:val="14"/>
        </w:numPr>
        <w:spacing w:before="80"/>
        <w:contextualSpacing w:val="0"/>
        <w:jc w:val="both"/>
        <w:rPr>
          <w:vanish/>
          <w:sz w:val="20"/>
        </w:rPr>
      </w:pPr>
      <w:r w:rsidRPr="00D37FCE">
        <w:rPr>
          <w:rFonts w:eastAsia="Metropolis"/>
          <w:noProof/>
        </w:rPr>
        <mc:AlternateContent>
          <mc:Choice Requires="wpg">
            <w:drawing>
              <wp:anchor distT="0" distB="0" distL="114300" distR="114300" simplePos="0" relativeHeight="251652168" behindDoc="1" locked="0" layoutInCell="1" allowOverlap="1" wp14:anchorId="2D6DAA5F" wp14:editId="10977332">
                <wp:simplePos x="0" y="0"/>
                <wp:positionH relativeFrom="column">
                  <wp:posOffset>5715</wp:posOffset>
                </wp:positionH>
                <wp:positionV relativeFrom="paragraph">
                  <wp:posOffset>270510</wp:posOffset>
                </wp:positionV>
                <wp:extent cx="5760269" cy="1819252"/>
                <wp:effectExtent l="0" t="0" r="0" b="0"/>
                <wp:wrapNone/>
                <wp:docPr id="764518302" name="Group 764518302"/>
                <wp:cNvGraphicFramePr/>
                <a:graphic xmlns:a="http://schemas.openxmlformats.org/drawingml/2006/main">
                  <a:graphicData uri="http://schemas.microsoft.com/office/word/2010/wordprocessingGroup">
                    <wpg:wgp>
                      <wpg:cNvGrpSpPr/>
                      <wpg:grpSpPr>
                        <a:xfrm>
                          <a:off x="0" y="0"/>
                          <a:ext cx="5760269" cy="1819252"/>
                          <a:chOff x="0" y="-4768"/>
                          <a:chExt cx="5760900" cy="1820682"/>
                        </a:xfrm>
                      </wpg:grpSpPr>
                      <wpg:grpSp>
                        <wpg:cNvPr id="764518303" name="Group 53"/>
                        <wpg:cNvGrpSpPr>
                          <a:grpSpLocks/>
                        </wpg:cNvGrpSpPr>
                        <wpg:grpSpPr bwMode="auto">
                          <a:xfrm>
                            <a:off x="0" y="314275"/>
                            <a:ext cx="5760900" cy="1501639"/>
                            <a:chOff x="1837" y="1792"/>
                            <a:chExt cx="9302" cy="16213"/>
                          </a:xfrm>
                        </wpg:grpSpPr>
                        <wps:wsp>
                          <wps:cNvPr id="16" name="Freeform 54"/>
                          <wps:cNvSpPr>
                            <a:spLocks/>
                          </wps:cNvSpPr>
                          <wps:spPr bwMode="auto">
                            <a:xfrm>
                              <a:off x="1837" y="1792"/>
                              <a:ext cx="9302" cy="1621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05"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776EB9" w14:textId="77777777" w:rsidR="00A55F53" w:rsidRDefault="00A55F53" w:rsidP="0013003A">
                              <w:pPr>
                                <w:pStyle w:val="BoxTitle"/>
                              </w:pPr>
                              <w:r w:rsidRPr="009044CC">
                                <w:t>IN THIS CHAPTER</w:t>
                              </w:r>
                              <w:r>
                                <w:t>,</w:t>
                              </w:r>
                              <w:r w:rsidRPr="009044CC">
                                <w:t xml:space="preserve"> WE CONSIDER:</w:t>
                              </w:r>
                            </w:p>
                          </w:txbxContent>
                        </wps:txbx>
                        <wps:bodyPr rot="0" vert="horz" wrap="square" lIns="91440" tIns="0" rIns="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6DAA5F" id="Group 764518302" o:spid="_x0000_s1398" style="position:absolute;left:0;text-align:left;margin-left:.45pt;margin-top:21.3pt;width:453.55pt;height:143.25pt;z-index:-251664312;mso-width-relative:margin;mso-height-relative:margin" coordorigin=",-47" coordsize="57609,1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">
                <v:group id="Group 53" o:spid="_x0000_s1399" style="position:absolute;top:3142;width:57609;height:15017" coordorigin="1837,1792" coordsize="9302,16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">
                  <v:shape id="Freeform 54" o:spid="_x0000_s1400" style="position:absolute;left:1837;top:1792;width:9302;height:1621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" path="m,l9354,r,7809l,7809,,e" fillcolor="#edf2ea" stroked="f">
                    <v:path arrowok="t" o:connecttype="custom" o:connectlocs="0,2076;9302,2076;9302,18289;0,18289;0,2076" o:connectangles="0,0,0,0,0"/>
                  </v:shape>
                </v:group>
                <v:shape id="_x0000_s1401"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1E776EB9" w14:textId="77777777" w:rsidR="00A55F53" w:rsidRDefault="00A55F53" w:rsidP="0013003A">
                        <w:pPr>
                          <w:pStyle w:val="BoxTitle"/>
                        </w:pPr>
                        <w:r w:rsidRPr="009044CC">
                          <w:t>IN THIS CHAPTER</w:t>
                        </w:r>
                        <w:r>
                          <w:t>,</w:t>
                        </w:r>
                        <w:r w:rsidRPr="009044CC">
                          <w:t xml:space="preserve"> WE CONSIDER:</w:t>
                        </w:r>
                      </w:p>
                    </w:txbxContent>
                  </v:textbox>
                </v:shape>
              </v:group>
            </w:pict>
          </mc:Fallback>
        </mc:AlternateContent>
      </w:r>
    </w:p>
    <w:bookmarkEnd w:id="81"/>
    <w:p w14:paraId="3C687D8B" w14:textId="77777777" w:rsidR="003708BC" w:rsidRPr="00D37FCE" w:rsidRDefault="003708BC" w:rsidP="003708BC">
      <w:pPr>
        <w:rPr>
          <w:lang w:eastAsia="zh-TW"/>
        </w:rPr>
      </w:pPr>
    </w:p>
    <w:p w14:paraId="0FA51970" w14:textId="77777777" w:rsidR="003708BC" w:rsidRPr="00D37FCE" w:rsidRDefault="003708BC" w:rsidP="00E76292">
      <w:pPr>
        <w:pStyle w:val="BodyTextalphalist"/>
        <w:rPr>
          <w:lang w:eastAsia="zh-TW"/>
        </w:rPr>
      </w:pPr>
      <w:bookmarkStart w:id="83" w:name="_Hlk66103199"/>
    </w:p>
    <w:p w14:paraId="4BCD8C4B" w14:textId="77777777" w:rsidR="00A61527" w:rsidRPr="00D37FCE" w:rsidRDefault="00A61527" w:rsidP="00A61527">
      <w:pPr>
        <w:pStyle w:val="QuestionBox"/>
        <w:tabs>
          <w:tab w:val="clear" w:pos="709"/>
        </w:tabs>
        <w:ind w:left="709"/>
      </w:pPr>
    </w:p>
    <w:p w14:paraId="6A748413" w14:textId="01B6EBA3" w:rsidR="00D62192" w:rsidRDefault="00BD5C95" w:rsidP="00D62192">
      <w:pPr>
        <w:pStyle w:val="QuestionBox"/>
        <w:tabs>
          <w:tab w:val="clear" w:pos="709"/>
        </w:tabs>
        <w:ind w:left="709" w:hanging="283"/>
        <w:rPr>
          <w:lang w:eastAsia="zh-TW"/>
        </w:rPr>
      </w:pPr>
      <w:r>
        <w:rPr>
          <w:rFonts w:ascii="ZWAdobeF" w:hAnsi="ZWAdobeF" w:cs="ZWAdobeF"/>
          <w:color w:val="auto"/>
          <w:sz w:val="2"/>
          <w:szCs w:val="2"/>
        </w:rPr>
        <w:t>1426B</w:t>
      </w:r>
      <w:r w:rsidR="0049638A">
        <w:rPr>
          <w:rFonts w:ascii="ZWAdobeF" w:hAnsi="ZWAdobeF" w:cs="ZWAdobeF"/>
          <w:color w:val="auto"/>
          <w:sz w:val="2"/>
          <w:szCs w:val="2"/>
        </w:rPr>
        <w:t>1426B</w:t>
      </w:r>
      <w:r w:rsidR="00D629FA">
        <w:rPr>
          <w:rFonts w:ascii="ZWAdobeF" w:hAnsi="ZWAdobeF" w:cs="ZWAdobeF"/>
          <w:color w:val="auto"/>
          <w:sz w:val="2"/>
          <w:szCs w:val="2"/>
        </w:rPr>
        <w:t>1426B</w:t>
      </w:r>
      <w:r w:rsidR="00D62192">
        <w:t xml:space="preserve">In </w:t>
      </w:r>
      <w:r w:rsidR="00D62192">
        <w:rPr>
          <w:lang w:eastAsia="zh-TW"/>
        </w:rPr>
        <w:t>this chapter, we discuss several issues associated with court judgments in class actions:</w:t>
      </w:r>
    </w:p>
    <w:p w14:paraId="12FBC9BC" w14:textId="6929BFFB" w:rsidR="00D62192" w:rsidRDefault="00BD5C95" w:rsidP="003E2524">
      <w:pPr>
        <w:pStyle w:val="QuestionBox"/>
        <w:numPr>
          <w:ilvl w:val="0"/>
          <w:numId w:val="22"/>
        </w:numPr>
        <w:tabs>
          <w:tab w:val="clear" w:pos="709"/>
        </w:tabs>
        <w:ind w:left="709" w:hanging="283"/>
        <w:rPr>
          <w:lang w:eastAsia="zh-TW"/>
        </w:rPr>
      </w:pPr>
      <w:r>
        <w:rPr>
          <w:rFonts w:ascii="ZWAdobeF" w:hAnsi="ZWAdobeF" w:cs="ZWAdobeF"/>
          <w:color w:val="auto"/>
          <w:sz w:val="2"/>
          <w:szCs w:val="2"/>
          <w:lang w:eastAsia="zh-TW"/>
        </w:rPr>
        <w:t>1427B</w:t>
      </w:r>
      <w:r w:rsidR="0049638A">
        <w:rPr>
          <w:rFonts w:ascii="ZWAdobeF" w:hAnsi="ZWAdobeF" w:cs="ZWAdobeF"/>
          <w:color w:val="auto"/>
          <w:sz w:val="2"/>
          <w:szCs w:val="2"/>
          <w:lang w:eastAsia="zh-TW"/>
        </w:rPr>
        <w:t>1427B</w:t>
      </w:r>
      <w:r w:rsidR="00D629FA">
        <w:rPr>
          <w:rFonts w:ascii="ZWAdobeF" w:hAnsi="ZWAdobeF" w:cs="ZWAdobeF"/>
          <w:color w:val="auto"/>
          <w:sz w:val="2"/>
          <w:szCs w:val="2"/>
          <w:lang w:eastAsia="zh-TW"/>
        </w:rPr>
        <w:t>1427B</w:t>
      </w:r>
      <w:r w:rsidR="00D62192">
        <w:rPr>
          <w:lang w:eastAsia="zh-TW"/>
        </w:rPr>
        <w:t xml:space="preserve">The binding effect of class action judgments on class members. </w:t>
      </w:r>
    </w:p>
    <w:p w14:paraId="6076FC4C" w14:textId="66551594" w:rsidR="00D62192" w:rsidRDefault="00BD5C95" w:rsidP="003E2524">
      <w:pPr>
        <w:pStyle w:val="QuestionBox"/>
        <w:numPr>
          <w:ilvl w:val="0"/>
          <w:numId w:val="22"/>
        </w:numPr>
        <w:tabs>
          <w:tab w:val="clear" w:pos="709"/>
        </w:tabs>
        <w:ind w:left="709" w:hanging="283"/>
        <w:rPr>
          <w:lang w:eastAsia="zh-TW"/>
        </w:rPr>
      </w:pPr>
      <w:r>
        <w:rPr>
          <w:rFonts w:ascii="ZWAdobeF" w:hAnsi="ZWAdobeF" w:cs="ZWAdobeF"/>
          <w:color w:val="auto"/>
          <w:sz w:val="2"/>
          <w:szCs w:val="2"/>
          <w:lang w:eastAsia="zh-TW"/>
        </w:rPr>
        <w:t>1428B</w:t>
      </w:r>
      <w:r w:rsidR="0049638A">
        <w:rPr>
          <w:rFonts w:ascii="ZWAdobeF" w:hAnsi="ZWAdobeF" w:cs="ZWAdobeF"/>
          <w:color w:val="auto"/>
          <w:sz w:val="2"/>
          <w:szCs w:val="2"/>
          <w:lang w:eastAsia="zh-TW"/>
        </w:rPr>
        <w:t>1428B</w:t>
      </w:r>
      <w:r w:rsidR="00D629FA">
        <w:rPr>
          <w:rFonts w:ascii="ZWAdobeF" w:hAnsi="ZWAdobeF" w:cs="ZWAdobeF"/>
          <w:color w:val="auto"/>
          <w:sz w:val="2"/>
          <w:szCs w:val="2"/>
          <w:lang w:eastAsia="zh-TW"/>
        </w:rPr>
        <w:t>1428B</w:t>
      </w:r>
      <w:r w:rsidR="00D62192">
        <w:rPr>
          <w:lang w:eastAsia="zh-TW"/>
        </w:rPr>
        <w:t>What powers the court should have to order damages in a class action.</w:t>
      </w:r>
    </w:p>
    <w:p w14:paraId="4FB9E8FE" w14:textId="03C98DE4" w:rsidR="00D62192" w:rsidRDefault="00BD5C95" w:rsidP="003E2524">
      <w:pPr>
        <w:pStyle w:val="QuestionBox"/>
        <w:numPr>
          <w:ilvl w:val="0"/>
          <w:numId w:val="22"/>
        </w:numPr>
        <w:tabs>
          <w:tab w:val="clear" w:pos="709"/>
        </w:tabs>
        <w:ind w:left="709" w:hanging="283"/>
      </w:pPr>
      <w:r>
        <w:rPr>
          <w:rFonts w:ascii="ZWAdobeF" w:hAnsi="ZWAdobeF" w:cs="ZWAdobeF"/>
          <w:color w:val="auto"/>
          <w:sz w:val="2"/>
          <w:szCs w:val="2"/>
          <w:lang w:eastAsia="zh-TW"/>
        </w:rPr>
        <w:t>1429B</w:t>
      </w:r>
      <w:r w:rsidR="0049638A">
        <w:rPr>
          <w:rFonts w:ascii="ZWAdobeF" w:hAnsi="ZWAdobeF" w:cs="ZWAdobeF"/>
          <w:color w:val="auto"/>
          <w:sz w:val="2"/>
          <w:szCs w:val="2"/>
          <w:lang w:eastAsia="zh-TW"/>
        </w:rPr>
        <w:t>1429B</w:t>
      </w:r>
      <w:r w:rsidR="00D629FA">
        <w:rPr>
          <w:rFonts w:ascii="ZWAdobeF" w:hAnsi="ZWAdobeF" w:cs="ZWAdobeF"/>
          <w:color w:val="auto"/>
          <w:sz w:val="2"/>
          <w:szCs w:val="2"/>
          <w:lang w:eastAsia="zh-TW"/>
        </w:rPr>
        <w:t>1429B</w:t>
      </w:r>
      <w:r w:rsidR="00D62192">
        <w:rPr>
          <w:lang w:eastAsia="zh-TW"/>
        </w:rPr>
        <w:t>The appe</w:t>
      </w:r>
      <w:r w:rsidR="00D62192">
        <w:t>al rights that should exist in a class action context.</w:t>
      </w:r>
    </w:p>
    <w:p w14:paraId="22BD00C6" w14:textId="77777777" w:rsidR="00D62192" w:rsidRPr="00D37FCE" w:rsidRDefault="00D62192" w:rsidP="00D62192">
      <w:pPr>
        <w:pStyle w:val="QuestionBox"/>
        <w:tabs>
          <w:tab w:val="clear" w:pos="709"/>
        </w:tabs>
        <w:ind w:left="709"/>
        <w:rPr>
          <w:lang w:eastAsia="zh-TW"/>
        </w:rPr>
      </w:pPr>
    </w:p>
    <w:p w14:paraId="031EA4CA" w14:textId="77777777" w:rsidR="00653EA8" w:rsidRDefault="00653EA8" w:rsidP="00907B23">
      <w:pPr>
        <w:pStyle w:val="Heading2"/>
      </w:pPr>
      <w:bookmarkStart w:id="84" w:name="_Toc83895456"/>
      <w:bookmarkEnd w:id="83"/>
      <w:r>
        <w:t>Class action judgments</w:t>
      </w:r>
      <w:bookmarkEnd w:id="84"/>
    </w:p>
    <w:p w14:paraId="49A47B53" w14:textId="28963629" w:rsidR="00653EA8" w:rsidRDefault="00BD5C95" w:rsidP="005B10E9">
      <w:pPr>
        <w:pStyle w:val="BodyText"/>
      </w:pPr>
      <w:r>
        <w:rPr>
          <w:rFonts w:ascii="ZWAdobeF" w:hAnsi="ZWAdobeF" w:cs="ZWAdobeF"/>
          <w:color w:val="auto"/>
          <w:sz w:val="2"/>
          <w:szCs w:val="2"/>
        </w:rPr>
        <w:t>358B</w:t>
      </w:r>
      <w:r w:rsidR="0049638A">
        <w:rPr>
          <w:rFonts w:ascii="ZWAdobeF" w:hAnsi="ZWAdobeF" w:cs="ZWAdobeF"/>
          <w:color w:val="auto"/>
          <w:sz w:val="2"/>
          <w:szCs w:val="2"/>
        </w:rPr>
        <w:t>358B</w:t>
      </w:r>
      <w:r w:rsidR="00D629FA">
        <w:rPr>
          <w:rFonts w:ascii="ZWAdobeF" w:hAnsi="ZWAdobeF" w:cs="ZWAdobeF"/>
          <w:color w:val="auto"/>
          <w:sz w:val="2"/>
          <w:szCs w:val="2"/>
        </w:rPr>
        <w:t>358B</w:t>
      </w:r>
      <w:r w:rsidR="00653EA8">
        <w:t>Generally, j</w:t>
      </w:r>
      <w:r w:rsidR="00653EA8" w:rsidRPr="001A6D6B">
        <w:rPr>
          <w:lang w:val="mi-NZ"/>
        </w:rPr>
        <w:t xml:space="preserve">udgments are </w:t>
      </w:r>
      <w:r w:rsidR="00653EA8">
        <w:rPr>
          <w:lang w:val="mi-NZ"/>
        </w:rPr>
        <w:t xml:space="preserve">only </w:t>
      </w:r>
      <w:r w:rsidR="00653EA8" w:rsidRPr="001A6D6B">
        <w:rPr>
          <w:lang w:val="mi-NZ"/>
        </w:rPr>
        <w:t>binding between the parties</w:t>
      </w:r>
      <w:r w:rsidR="00653EA8">
        <w:rPr>
          <w:lang w:val="mi-NZ"/>
        </w:rPr>
        <w:t>.</w:t>
      </w:r>
      <w:r w:rsidR="00D629FA">
        <w:rPr>
          <w:rFonts w:ascii="ZWAdobeF" w:hAnsi="ZWAdobeF" w:cs="ZWAdobeF"/>
          <w:color w:val="auto"/>
          <w:sz w:val="2"/>
          <w:szCs w:val="2"/>
          <w:lang w:val="mi-NZ"/>
        </w:rPr>
        <w:t>569F</w:t>
      </w:r>
      <w:r w:rsidR="007A330E">
        <w:rPr>
          <w:rFonts w:ascii="ZWAdobeF" w:hAnsi="ZWAdobeF" w:cs="ZWAdobeF"/>
          <w:color w:val="auto"/>
          <w:sz w:val="2"/>
          <w:szCs w:val="2"/>
          <w:lang w:val="mi-NZ"/>
        </w:rPr>
        <w:t>569F</w:t>
      </w:r>
      <w:r w:rsidR="00317AE4">
        <w:rPr>
          <w:rFonts w:ascii="ZWAdobeF" w:hAnsi="ZWAdobeF" w:cs="ZWAdobeF"/>
          <w:color w:val="auto"/>
          <w:sz w:val="2"/>
          <w:szCs w:val="2"/>
          <w:lang w:val="mi-NZ"/>
        </w:rPr>
        <w:t>569F</w:t>
      </w:r>
      <w:r w:rsidR="00653EA8">
        <w:rPr>
          <w:rStyle w:val="FootnoteReference"/>
          <w:lang w:val="mi-NZ"/>
        </w:rPr>
        <w:footnoteReference w:id="571"/>
      </w:r>
      <w:r w:rsidR="00653EA8">
        <w:rPr>
          <w:lang w:val="mi-NZ"/>
        </w:rPr>
        <w:t xml:space="preserve"> However, </w:t>
      </w:r>
      <w:r w:rsidR="00653EA8">
        <w:t>a key feature of a class action is that the court’s decision on the common issues is also binding on class members.</w:t>
      </w:r>
      <w:r w:rsidR="00D629FA">
        <w:rPr>
          <w:rFonts w:ascii="ZWAdobeF" w:hAnsi="ZWAdobeF" w:cs="ZWAdobeF"/>
          <w:color w:val="auto"/>
          <w:sz w:val="2"/>
          <w:szCs w:val="2"/>
        </w:rPr>
        <w:t>570F</w:t>
      </w:r>
      <w:r w:rsidR="007A330E">
        <w:rPr>
          <w:rFonts w:ascii="ZWAdobeF" w:hAnsi="ZWAdobeF" w:cs="ZWAdobeF"/>
          <w:color w:val="auto"/>
          <w:sz w:val="2"/>
          <w:szCs w:val="2"/>
        </w:rPr>
        <w:t>570F</w:t>
      </w:r>
      <w:r w:rsidR="00317AE4">
        <w:rPr>
          <w:rFonts w:ascii="ZWAdobeF" w:hAnsi="ZWAdobeF" w:cs="ZWAdobeF"/>
          <w:color w:val="auto"/>
          <w:sz w:val="2"/>
          <w:szCs w:val="2"/>
        </w:rPr>
        <w:t>570F</w:t>
      </w:r>
      <w:r w:rsidR="00653EA8">
        <w:rPr>
          <w:rStyle w:val="FootnoteReference"/>
        </w:rPr>
        <w:footnoteReference w:id="572"/>
      </w:r>
    </w:p>
    <w:p w14:paraId="461C03DC" w14:textId="75353E72" w:rsidR="00653EA8" w:rsidRDefault="00BD5C95" w:rsidP="005B10E9">
      <w:pPr>
        <w:pStyle w:val="BodyText"/>
      </w:pPr>
      <w:r>
        <w:rPr>
          <w:rFonts w:ascii="ZWAdobeF" w:hAnsi="ZWAdobeF" w:cs="ZWAdobeF"/>
          <w:color w:val="auto"/>
          <w:sz w:val="2"/>
          <w:szCs w:val="2"/>
        </w:rPr>
        <w:t>359B</w:t>
      </w:r>
      <w:r w:rsidR="0049638A">
        <w:rPr>
          <w:rFonts w:ascii="ZWAdobeF" w:hAnsi="ZWAdobeF" w:cs="ZWAdobeF"/>
          <w:color w:val="auto"/>
          <w:sz w:val="2"/>
          <w:szCs w:val="2"/>
        </w:rPr>
        <w:t>359B</w:t>
      </w:r>
      <w:r w:rsidR="00D629FA">
        <w:rPr>
          <w:rFonts w:ascii="ZWAdobeF" w:hAnsi="ZWAdobeF" w:cs="ZWAdobeF"/>
          <w:color w:val="auto"/>
          <w:sz w:val="2"/>
          <w:szCs w:val="2"/>
        </w:rPr>
        <w:t>359B</w:t>
      </w:r>
      <w:r w:rsidR="00653EA8">
        <w:t xml:space="preserve">We think it is important for a class actions regime to provide clarity on the extent to which a court’s judgment in a class action will bind class members and preclude them from bringing subsequent proceedings. A key issue is whether the binding effect should be limited to the common issues and relief determined or whether it should also preclude a class member from bringing later proceedings on an issue that could have been raised in the common issues hearing but was not.  </w:t>
      </w:r>
    </w:p>
    <w:p w14:paraId="3BCCDE32" w14:textId="67CE6CEA" w:rsidR="00653EA8" w:rsidRDefault="00BD5C95" w:rsidP="005B10E9">
      <w:pPr>
        <w:pStyle w:val="BodyText"/>
      </w:pPr>
      <w:r>
        <w:rPr>
          <w:rFonts w:ascii="ZWAdobeF" w:hAnsi="ZWAdobeF" w:cs="ZWAdobeF"/>
          <w:color w:val="auto"/>
          <w:sz w:val="2"/>
          <w:szCs w:val="2"/>
        </w:rPr>
        <w:t>360B</w:t>
      </w:r>
      <w:r w:rsidR="0049638A">
        <w:rPr>
          <w:rFonts w:ascii="ZWAdobeF" w:hAnsi="ZWAdobeF" w:cs="ZWAdobeF"/>
          <w:color w:val="auto"/>
          <w:sz w:val="2"/>
          <w:szCs w:val="2"/>
        </w:rPr>
        <w:t>360B</w:t>
      </w:r>
      <w:r w:rsidR="00D629FA">
        <w:rPr>
          <w:rFonts w:ascii="ZWAdobeF" w:hAnsi="ZWAdobeF" w:cs="ZWAdobeF"/>
          <w:color w:val="auto"/>
          <w:sz w:val="2"/>
          <w:szCs w:val="2"/>
        </w:rPr>
        <w:t>360B</w:t>
      </w:r>
      <w:r w:rsidR="00653EA8">
        <w:t>In considering these issues, we set out:</w:t>
      </w:r>
    </w:p>
    <w:p w14:paraId="3D7504BF" w14:textId="3B6333FE" w:rsidR="00653EA8" w:rsidRDefault="00BD5C95" w:rsidP="00932DB9">
      <w:pPr>
        <w:pStyle w:val="BodyTextnonum"/>
        <w:numPr>
          <w:ilvl w:val="3"/>
          <w:numId w:val="14"/>
        </w:numPr>
      </w:pPr>
      <w:r>
        <w:rPr>
          <w:rFonts w:ascii="ZWAdobeF" w:hAnsi="ZWAdobeF" w:cs="ZWAdobeF"/>
          <w:color w:val="auto"/>
          <w:sz w:val="2"/>
          <w:szCs w:val="2"/>
        </w:rPr>
        <w:t>757B</w:t>
      </w:r>
      <w:r w:rsidR="0049638A">
        <w:rPr>
          <w:rFonts w:ascii="ZWAdobeF" w:hAnsi="ZWAdobeF" w:cs="ZWAdobeF"/>
          <w:color w:val="auto"/>
          <w:sz w:val="2"/>
          <w:szCs w:val="2"/>
        </w:rPr>
        <w:t>757B</w:t>
      </w:r>
      <w:r w:rsidR="00D629FA">
        <w:rPr>
          <w:rFonts w:ascii="ZWAdobeF" w:hAnsi="ZWAdobeF" w:cs="ZWAdobeF"/>
          <w:color w:val="auto"/>
          <w:sz w:val="2"/>
          <w:szCs w:val="2"/>
        </w:rPr>
        <w:t>757B</w:t>
      </w:r>
      <w:r w:rsidR="00653EA8">
        <w:t>The general principles governing the binding effect of judgments.</w:t>
      </w:r>
    </w:p>
    <w:p w14:paraId="4D43F265" w14:textId="276DD3CD" w:rsidR="00653EA8" w:rsidRDefault="00BD5C95" w:rsidP="00932DB9">
      <w:pPr>
        <w:pStyle w:val="BodyTextnonum"/>
        <w:numPr>
          <w:ilvl w:val="3"/>
          <w:numId w:val="14"/>
        </w:numPr>
      </w:pPr>
      <w:r>
        <w:rPr>
          <w:rFonts w:ascii="ZWAdobeF" w:hAnsi="ZWAdobeF" w:cs="ZWAdobeF"/>
          <w:color w:val="auto"/>
          <w:sz w:val="2"/>
          <w:szCs w:val="2"/>
        </w:rPr>
        <w:t>758B</w:t>
      </w:r>
      <w:r w:rsidR="0049638A">
        <w:rPr>
          <w:rFonts w:ascii="ZWAdobeF" w:hAnsi="ZWAdobeF" w:cs="ZWAdobeF"/>
          <w:color w:val="auto"/>
          <w:sz w:val="2"/>
          <w:szCs w:val="2"/>
        </w:rPr>
        <w:t>758B</w:t>
      </w:r>
      <w:r w:rsidR="00D629FA">
        <w:rPr>
          <w:rFonts w:ascii="ZWAdobeF" w:hAnsi="ZWAdobeF" w:cs="ZWAdobeF"/>
          <w:color w:val="auto"/>
          <w:sz w:val="2"/>
          <w:szCs w:val="2"/>
        </w:rPr>
        <w:t>758B</w:t>
      </w:r>
      <w:r w:rsidR="00653EA8">
        <w:t>How these principles have been applied to group litigation in Aotearoa New Zealand and overseas.</w:t>
      </w:r>
    </w:p>
    <w:p w14:paraId="42B6F2D2" w14:textId="3C0859E7" w:rsidR="00653EA8" w:rsidRDefault="00BD5C95" w:rsidP="00932DB9">
      <w:pPr>
        <w:pStyle w:val="BodyTextnonum"/>
        <w:numPr>
          <w:ilvl w:val="3"/>
          <w:numId w:val="14"/>
        </w:numPr>
      </w:pPr>
      <w:r>
        <w:rPr>
          <w:rFonts w:ascii="ZWAdobeF" w:hAnsi="ZWAdobeF" w:cs="ZWAdobeF"/>
          <w:color w:val="auto"/>
          <w:sz w:val="2"/>
          <w:szCs w:val="2"/>
        </w:rPr>
        <w:lastRenderedPageBreak/>
        <w:t>759B</w:t>
      </w:r>
      <w:r w:rsidR="0049638A">
        <w:rPr>
          <w:rFonts w:ascii="ZWAdobeF" w:hAnsi="ZWAdobeF" w:cs="ZWAdobeF"/>
          <w:color w:val="auto"/>
          <w:sz w:val="2"/>
          <w:szCs w:val="2"/>
        </w:rPr>
        <w:t>759B</w:t>
      </w:r>
      <w:r w:rsidR="00D629FA">
        <w:rPr>
          <w:rFonts w:ascii="ZWAdobeF" w:hAnsi="ZWAdobeF" w:cs="ZWAdobeF"/>
          <w:color w:val="auto"/>
          <w:sz w:val="2"/>
          <w:szCs w:val="2"/>
        </w:rPr>
        <w:t>759B</w:t>
      </w:r>
      <w:r w:rsidR="00653EA8">
        <w:t xml:space="preserve">Our view on the extent to which a class action judgment should bind class members, including a draft provision.  </w:t>
      </w:r>
    </w:p>
    <w:p w14:paraId="7F8E2BDD" w14:textId="77777777" w:rsidR="00653EA8" w:rsidRDefault="00653EA8" w:rsidP="00907B23">
      <w:pPr>
        <w:pStyle w:val="Heading3"/>
      </w:pPr>
      <w:r>
        <w:t>The binding effect of a judgment – general principles</w:t>
      </w:r>
    </w:p>
    <w:p w14:paraId="0C35CBBA" w14:textId="4E916CD0" w:rsidR="00653EA8" w:rsidRDefault="00BD5C95" w:rsidP="005B10E9">
      <w:pPr>
        <w:pStyle w:val="BodyText"/>
        <w:tabs>
          <w:tab w:val="num" w:pos="709"/>
        </w:tabs>
      </w:pPr>
      <w:r>
        <w:rPr>
          <w:rFonts w:ascii="ZWAdobeF" w:hAnsi="ZWAdobeF" w:cs="ZWAdobeF"/>
          <w:color w:val="auto"/>
          <w:sz w:val="2"/>
          <w:szCs w:val="2"/>
        </w:rPr>
        <w:t>361B</w:t>
      </w:r>
      <w:r w:rsidR="0049638A">
        <w:rPr>
          <w:rFonts w:ascii="ZWAdobeF" w:hAnsi="ZWAdobeF" w:cs="ZWAdobeF"/>
          <w:color w:val="auto"/>
          <w:sz w:val="2"/>
          <w:szCs w:val="2"/>
        </w:rPr>
        <w:t>361B</w:t>
      </w:r>
      <w:r w:rsidR="00D629FA">
        <w:rPr>
          <w:rFonts w:ascii="ZWAdobeF" w:hAnsi="ZWAdobeF" w:cs="ZWAdobeF"/>
          <w:color w:val="auto"/>
          <w:sz w:val="2"/>
          <w:szCs w:val="2"/>
        </w:rPr>
        <w:t>361B</w:t>
      </w:r>
      <w:r w:rsidR="00653EA8">
        <w:t xml:space="preserve">Several doctrines are relevant to the binding effect of judgments. </w:t>
      </w:r>
    </w:p>
    <w:p w14:paraId="06D55D97" w14:textId="77D51270" w:rsidR="00653EA8" w:rsidRDefault="00BD5C95" w:rsidP="00997840">
      <w:pPr>
        <w:pStyle w:val="BodyText"/>
      </w:pPr>
      <w:r>
        <w:rPr>
          <w:rFonts w:ascii="ZWAdobeF" w:hAnsi="ZWAdobeF" w:cs="ZWAdobeF"/>
          <w:color w:val="auto"/>
          <w:sz w:val="2"/>
          <w:szCs w:val="2"/>
        </w:rPr>
        <w:t>362B</w:t>
      </w:r>
      <w:r w:rsidR="0049638A">
        <w:rPr>
          <w:rFonts w:ascii="ZWAdobeF" w:hAnsi="ZWAdobeF" w:cs="ZWAdobeF"/>
          <w:color w:val="auto"/>
          <w:sz w:val="2"/>
          <w:szCs w:val="2"/>
        </w:rPr>
        <w:t>362B</w:t>
      </w:r>
      <w:r w:rsidR="00D629FA">
        <w:rPr>
          <w:rFonts w:ascii="ZWAdobeF" w:hAnsi="ZWAdobeF" w:cs="ZWAdobeF"/>
          <w:color w:val="auto"/>
          <w:sz w:val="2"/>
          <w:szCs w:val="2"/>
        </w:rPr>
        <w:t>362B</w:t>
      </w:r>
      <w:r w:rsidR="00653EA8">
        <w:t xml:space="preserve">First, there is the doctrine of </w:t>
      </w:r>
      <w:r w:rsidR="00653EA8">
        <w:rPr>
          <w:i/>
          <w:iCs/>
        </w:rPr>
        <w:t xml:space="preserve">res judicata </w:t>
      </w:r>
      <w:r w:rsidR="00653EA8">
        <w:t>(which means a matter judged). This doctrine</w:t>
      </w:r>
      <w:r w:rsidR="00653EA8" w:rsidRPr="007E1F6A">
        <w:t xml:space="preserve"> </w:t>
      </w:r>
      <w:r w:rsidR="00653EA8">
        <w:t>precludes access to the courts where a litigant seeks to reopen a dispute that has already been determined.</w:t>
      </w:r>
      <w:r w:rsidR="00D629FA">
        <w:rPr>
          <w:rFonts w:ascii="ZWAdobeF" w:hAnsi="ZWAdobeF" w:cs="ZWAdobeF"/>
          <w:color w:val="auto"/>
          <w:sz w:val="2"/>
          <w:szCs w:val="2"/>
        </w:rPr>
        <w:t>571F</w:t>
      </w:r>
      <w:r w:rsidR="007A330E">
        <w:rPr>
          <w:rFonts w:ascii="ZWAdobeF" w:hAnsi="ZWAdobeF" w:cs="ZWAdobeF"/>
          <w:color w:val="auto"/>
          <w:sz w:val="2"/>
          <w:szCs w:val="2"/>
        </w:rPr>
        <w:t>571F</w:t>
      </w:r>
      <w:r w:rsidR="00317AE4">
        <w:rPr>
          <w:rFonts w:ascii="ZWAdobeF" w:hAnsi="ZWAdobeF" w:cs="ZWAdobeF"/>
          <w:color w:val="auto"/>
          <w:sz w:val="2"/>
          <w:szCs w:val="2"/>
        </w:rPr>
        <w:t>571F</w:t>
      </w:r>
      <w:r w:rsidR="00653EA8">
        <w:rPr>
          <w:rStyle w:val="FootnoteReference"/>
        </w:rPr>
        <w:footnoteReference w:id="573"/>
      </w:r>
      <w:r w:rsidR="00653EA8">
        <w:t xml:space="preserve">  It “serves the public interest in finality in litigation and upholds the principle that a party should not be vexed twice in the same matter”.</w:t>
      </w:r>
      <w:r w:rsidR="00D629FA">
        <w:rPr>
          <w:rFonts w:ascii="ZWAdobeF" w:hAnsi="ZWAdobeF" w:cs="ZWAdobeF"/>
          <w:color w:val="auto"/>
          <w:sz w:val="2"/>
          <w:szCs w:val="2"/>
        </w:rPr>
        <w:t>572F</w:t>
      </w:r>
      <w:r w:rsidR="007A330E">
        <w:rPr>
          <w:rFonts w:ascii="ZWAdobeF" w:hAnsi="ZWAdobeF" w:cs="ZWAdobeF"/>
          <w:color w:val="auto"/>
          <w:sz w:val="2"/>
          <w:szCs w:val="2"/>
        </w:rPr>
        <w:t>572F</w:t>
      </w:r>
      <w:r w:rsidR="00317AE4">
        <w:rPr>
          <w:rFonts w:ascii="ZWAdobeF" w:hAnsi="ZWAdobeF" w:cs="ZWAdobeF"/>
          <w:color w:val="auto"/>
          <w:sz w:val="2"/>
          <w:szCs w:val="2"/>
        </w:rPr>
        <w:t>572F</w:t>
      </w:r>
      <w:r w:rsidR="00653EA8">
        <w:rPr>
          <w:rStyle w:val="FootnoteReference"/>
        </w:rPr>
        <w:footnoteReference w:id="574"/>
      </w:r>
      <w:r w:rsidR="00653EA8">
        <w:t xml:space="preserve"> It only applies between the parties.</w:t>
      </w:r>
      <w:r w:rsidR="00D629FA">
        <w:rPr>
          <w:rFonts w:ascii="ZWAdobeF" w:hAnsi="ZWAdobeF" w:cs="ZWAdobeF"/>
          <w:color w:val="auto"/>
          <w:sz w:val="2"/>
          <w:szCs w:val="2"/>
        </w:rPr>
        <w:t>573F</w:t>
      </w:r>
      <w:r w:rsidR="007A330E">
        <w:rPr>
          <w:rFonts w:ascii="ZWAdobeF" w:hAnsi="ZWAdobeF" w:cs="ZWAdobeF"/>
          <w:color w:val="auto"/>
          <w:sz w:val="2"/>
          <w:szCs w:val="2"/>
        </w:rPr>
        <w:t>573F</w:t>
      </w:r>
      <w:r w:rsidR="00317AE4">
        <w:rPr>
          <w:rFonts w:ascii="ZWAdobeF" w:hAnsi="ZWAdobeF" w:cs="ZWAdobeF"/>
          <w:color w:val="auto"/>
          <w:sz w:val="2"/>
          <w:szCs w:val="2"/>
        </w:rPr>
        <w:t>573F</w:t>
      </w:r>
      <w:r w:rsidR="00653EA8">
        <w:rPr>
          <w:rStyle w:val="FootnoteReference"/>
        </w:rPr>
        <w:footnoteReference w:id="575"/>
      </w:r>
    </w:p>
    <w:p w14:paraId="4274141D" w14:textId="36A64011" w:rsidR="00653EA8" w:rsidRDefault="00BD5C95" w:rsidP="005B10E9">
      <w:pPr>
        <w:pStyle w:val="BodyText"/>
        <w:tabs>
          <w:tab w:val="clear" w:pos="709"/>
        </w:tabs>
      </w:pPr>
      <w:r>
        <w:rPr>
          <w:rFonts w:ascii="ZWAdobeF" w:hAnsi="ZWAdobeF" w:cs="ZWAdobeF"/>
          <w:color w:val="auto"/>
          <w:sz w:val="2"/>
          <w:szCs w:val="2"/>
        </w:rPr>
        <w:t>363B</w:t>
      </w:r>
      <w:r w:rsidR="0049638A">
        <w:rPr>
          <w:rFonts w:ascii="ZWAdobeF" w:hAnsi="ZWAdobeF" w:cs="ZWAdobeF"/>
          <w:color w:val="auto"/>
          <w:sz w:val="2"/>
          <w:szCs w:val="2"/>
        </w:rPr>
        <w:t>363B</w:t>
      </w:r>
      <w:r w:rsidR="00D629FA">
        <w:rPr>
          <w:rFonts w:ascii="ZWAdobeF" w:hAnsi="ZWAdobeF" w:cs="ZWAdobeF"/>
          <w:color w:val="auto"/>
          <w:sz w:val="2"/>
          <w:szCs w:val="2"/>
        </w:rPr>
        <w:t>363B</w:t>
      </w:r>
      <w:r w:rsidR="00653EA8">
        <w:t>The courts also have a general and inherent power to stay a proceeding if it is an abuse of process.</w:t>
      </w:r>
      <w:r w:rsidR="00D629FA">
        <w:rPr>
          <w:rFonts w:ascii="ZWAdobeF" w:hAnsi="ZWAdobeF" w:cs="ZWAdobeF"/>
          <w:color w:val="auto"/>
          <w:sz w:val="2"/>
          <w:szCs w:val="2"/>
        </w:rPr>
        <w:t>574F</w:t>
      </w:r>
      <w:r w:rsidR="007A330E">
        <w:rPr>
          <w:rFonts w:ascii="ZWAdobeF" w:hAnsi="ZWAdobeF" w:cs="ZWAdobeF"/>
          <w:color w:val="auto"/>
          <w:sz w:val="2"/>
          <w:szCs w:val="2"/>
        </w:rPr>
        <w:t>574F</w:t>
      </w:r>
      <w:r w:rsidR="00317AE4">
        <w:rPr>
          <w:rFonts w:ascii="ZWAdobeF" w:hAnsi="ZWAdobeF" w:cs="ZWAdobeF"/>
          <w:color w:val="auto"/>
          <w:sz w:val="2"/>
          <w:szCs w:val="2"/>
        </w:rPr>
        <w:t>574F</w:t>
      </w:r>
      <w:r w:rsidR="00653EA8">
        <w:rPr>
          <w:rStyle w:val="FootnoteReference"/>
        </w:rPr>
        <w:footnoteReference w:id="576"/>
      </w:r>
      <w:r w:rsidR="00653EA8">
        <w:t xml:space="preserve"> The power is to protect against conduct that, left unchecked, “would strike at the public confidence in the Court’s processes”.</w:t>
      </w:r>
      <w:r w:rsidR="00D629FA">
        <w:rPr>
          <w:rFonts w:ascii="ZWAdobeF" w:hAnsi="ZWAdobeF" w:cs="ZWAdobeF"/>
          <w:color w:val="auto"/>
          <w:sz w:val="2"/>
          <w:szCs w:val="2"/>
        </w:rPr>
        <w:t>575F</w:t>
      </w:r>
      <w:r w:rsidR="007A330E">
        <w:rPr>
          <w:rFonts w:ascii="ZWAdobeF" w:hAnsi="ZWAdobeF" w:cs="ZWAdobeF"/>
          <w:color w:val="auto"/>
          <w:sz w:val="2"/>
          <w:szCs w:val="2"/>
        </w:rPr>
        <w:t>575F</w:t>
      </w:r>
      <w:r w:rsidR="00317AE4">
        <w:rPr>
          <w:rFonts w:ascii="ZWAdobeF" w:hAnsi="ZWAdobeF" w:cs="ZWAdobeF"/>
          <w:color w:val="auto"/>
          <w:sz w:val="2"/>
          <w:szCs w:val="2"/>
        </w:rPr>
        <w:t>575F</w:t>
      </w:r>
      <w:r w:rsidR="00653EA8">
        <w:rPr>
          <w:rStyle w:val="FootnoteReference"/>
        </w:rPr>
        <w:footnoteReference w:id="577"/>
      </w:r>
      <w:r w:rsidR="00653EA8">
        <w:t xml:space="preserve"> Abuse of process can take a number of forms, but it is generally concerned with frivolous claims brought for an improper purpose or claims which improperly relitigate matters already determined.</w:t>
      </w:r>
      <w:r w:rsidR="00D629FA">
        <w:rPr>
          <w:rFonts w:ascii="ZWAdobeF" w:hAnsi="ZWAdobeF" w:cs="ZWAdobeF"/>
          <w:color w:val="auto"/>
          <w:sz w:val="2"/>
          <w:szCs w:val="2"/>
        </w:rPr>
        <w:t>576F</w:t>
      </w:r>
      <w:r w:rsidR="007A330E">
        <w:rPr>
          <w:rFonts w:ascii="ZWAdobeF" w:hAnsi="ZWAdobeF" w:cs="ZWAdobeF"/>
          <w:color w:val="auto"/>
          <w:sz w:val="2"/>
          <w:szCs w:val="2"/>
        </w:rPr>
        <w:t>576F</w:t>
      </w:r>
      <w:r w:rsidR="00317AE4">
        <w:rPr>
          <w:rFonts w:ascii="ZWAdobeF" w:hAnsi="ZWAdobeF" w:cs="ZWAdobeF"/>
          <w:color w:val="auto"/>
          <w:sz w:val="2"/>
          <w:szCs w:val="2"/>
        </w:rPr>
        <w:t>576F</w:t>
      </w:r>
      <w:r w:rsidR="00653EA8">
        <w:rPr>
          <w:rStyle w:val="FootnoteReference"/>
        </w:rPr>
        <w:footnoteReference w:id="578"/>
      </w:r>
      <w:r w:rsidR="00653EA8" w:rsidRPr="000E4563">
        <w:t xml:space="preserve"> </w:t>
      </w:r>
      <w:r w:rsidR="00653EA8">
        <w:t xml:space="preserve">Accordingly, as with </w:t>
      </w:r>
      <w:r w:rsidR="00653EA8">
        <w:rPr>
          <w:i/>
          <w:iCs/>
        </w:rPr>
        <w:t xml:space="preserve">res </w:t>
      </w:r>
      <w:r w:rsidR="00653EA8" w:rsidRPr="005C1024">
        <w:rPr>
          <w:i/>
          <w:iCs/>
        </w:rPr>
        <w:t>judicata</w:t>
      </w:r>
      <w:r w:rsidR="00653EA8">
        <w:t>, the principles of finality of litigation can underlie abuse of process.</w:t>
      </w:r>
      <w:r w:rsidR="00D629FA">
        <w:rPr>
          <w:rFonts w:ascii="ZWAdobeF" w:hAnsi="ZWAdobeF" w:cs="ZWAdobeF"/>
          <w:color w:val="auto"/>
          <w:sz w:val="2"/>
          <w:szCs w:val="2"/>
        </w:rPr>
        <w:t>577F</w:t>
      </w:r>
      <w:r w:rsidR="007A330E">
        <w:rPr>
          <w:rFonts w:ascii="ZWAdobeF" w:hAnsi="ZWAdobeF" w:cs="ZWAdobeF"/>
          <w:color w:val="auto"/>
          <w:sz w:val="2"/>
          <w:szCs w:val="2"/>
        </w:rPr>
        <w:t>577F</w:t>
      </w:r>
      <w:r w:rsidR="00317AE4">
        <w:rPr>
          <w:rFonts w:ascii="ZWAdobeF" w:hAnsi="ZWAdobeF" w:cs="ZWAdobeF"/>
          <w:color w:val="auto"/>
          <w:sz w:val="2"/>
          <w:szCs w:val="2"/>
        </w:rPr>
        <w:t>577F</w:t>
      </w:r>
      <w:r w:rsidR="00653EA8">
        <w:rPr>
          <w:rStyle w:val="FootnoteReference"/>
        </w:rPr>
        <w:footnoteReference w:id="579"/>
      </w:r>
    </w:p>
    <w:p w14:paraId="7A348774" w14:textId="50664492" w:rsidR="00653EA8" w:rsidRDefault="00BD5C95" w:rsidP="00997840">
      <w:pPr>
        <w:pStyle w:val="BodyText"/>
      </w:pPr>
      <w:r>
        <w:rPr>
          <w:rFonts w:ascii="ZWAdobeF" w:hAnsi="ZWAdobeF" w:cs="ZWAdobeF"/>
          <w:color w:val="auto"/>
          <w:sz w:val="2"/>
          <w:szCs w:val="2"/>
        </w:rPr>
        <w:t>364B</w:t>
      </w:r>
      <w:r w:rsidR="0049638A">
        <w:rPr>
          <w:rFonts w:ascii="ZWAdobeF" w:hAnsi="ZWAdobeF" w:cs="ZWAdobeF"/>
          <w:color w:val="auto"/>
          <w:sz w:val="2"/>
          <w:szCs w:val="2"/>
        </w:rPr>
        <w:t>364B</w:t>
      </w:r>
      <w:r w:rsidR="00D629FA">
        <w:rPr>
          <w:rFonts w:ascii="ZWAdobeF" w:hAnsi="ZWAdobeF" w:cs="ZWAdobeF"/>
          <w:color w:val="auto"/>
          <w:sz w:val="2"/>
          <w:szCs w:val="2"/>
        </w:rPr>
        <w:t>364B</w:t>
      </w:r>
      <w:r w:rsidR="00653EA8" w:rsidRPr="00997840">
        <w:t>Finally</w:t>
      </w:r>
      <w:r w:rsidR="00653EA8">
        <w:t xml:space="preserve">, there is the rule in </w:t>
      </w:r>
      <w:r w:rsidR="00653EA8">
        <w:rPr>
          <w:i/>
          <w:iCs/>
        </w:rPr>
        <w:t>Henderson v Henderson</w:t>
      </w:r>
      <w:r w:rsidR="00653EA8" w:rsidRPr="009736E4">
        <w:t>.</w:t>
      </w:r>
      <w:r w:rsidR="00D629FA">
        <w:rPr>
          <w:rFonts w:ascii="ZWAdobeF" w:hAnsi="ZWAdobeF" w:cs="ZWAdobeF"/>
          <w:color w:val="auto"/>
          <w:sz w:val="2"/>
          <w:szCs w:val="2"/>
        </w:rPr>
        <w:t>578F</w:t>
      </w:r>
      <w:r w:rsidR="007A330E">
        <w:rPr>
          <w:rFonts w:ascii="ZWAdobeF" w:hAnsi="ZWAdobeF" w:cs="ZWAdobeF"/>
          <w:color w:val="auto"/>
          <w:sz w:val="2"/>
          <w:szCs w:val="2"/>
        </w:rPr>
        <w:t>578F</w:t>
      </w:r>
      <w:r w:rsidR="00317AE4">
        <w:rPr>
          <w:rFonts w:ascii="ZWAdobeF" w:hAnsi="ZWAdobeF" w:cs="ZWAdobeF"/>
          <w:color w:val="auto"/>
          <w:sz w:val="2"/>
          <w:szCs w:val="2"/>
        </w:rPr>
        <w:t>578F</w:t>
      </w:r>
      <w:r w:rsidR="00653EA8" w:rsidRPr="009736E4">
        <w:rPr>
          <w:rStyle w:val="FootnoteReference"/>
        </w:rPr>
        <w:footnoteReference w:id="580"/>
      </w:r>
      <w:r w:rsidR="00653EA8">
        <w:rPr>
          <w:i/>
          <w:iCs/>
        </w:rPr>
        <w:t xml:space="preserve"> </w:t>
      </w:r>
      <w:r w:rsidR="00653EA8">
        <w:t>Under this rule, unless there are special circumstances, parties are required to bring forward their whole case and will be prevented from litigating issues that should have been raised in previous litigation.</w:t>
      </w:r>
      <w:r w:rsidR="00D629FA">
        <w:rPr>
          <w:rFonts w:ascii="ZWAdobeF" w:hAnsi="ZWAdobeF" w:cs="ZWAdobeF"/>
          <w:color w:val="auto"/>
          <w:sz w:val="2"/>
          <w:szCs w:val="2"/>
        </w:rPr>
        <w:t>579F</w:t>
      </w:r>
      <w:r w:rsidR="007A330E">
        <w:rPr>
          <w:rFonts w:ascii="ZWAdobeF" w:hAnsi="ZWAdobeF" w:cs="ZWAdobeF"/>
          <w:color w:val="auto"/>
          <w:sz w:val="2"/>
          <w:szCs w:val="2"/>
        </w:rPr>
        <w:t>579F</w:t>
      </w:r>
      <w:r w:rsidR="00317AE4">
        <w:rPr>
          <w:rFonts w:ascii="ZWAdobeF" w:hAnsi="ZWAdobeF" w:cs="ZWAdobeF"/>
          <w:color w:val="auto"/>
          <w:sz w:val="2"/>
          <w:szCs w:val="2"/>
        </w:rPr>
        <w:t>579F</w:t>
      </w:r>
      <w:r w:rsidR="00653EA8">
        <w:rPr>
          <w:rStyle w:val="FootnoteReference"/>
        </w:rPr>
        <w:footnoteReference w:id="581"/>
      </w:r>
      <w:r w:rsidR="00653EA8">
        <w:t xml:space="preserve"> There is some English authority for the proposition that the </w:t>
      </w:r>
      <w:r w:rsidR="00653EA8" w:rsidRPr="00D36DFD">
        <w:rPr>
          <w:i/>
          <w:iCs/>
        </w:rPr>
        <w:t>Henderson</w:t>
      </w:r>
      <w:r w:rsidR="00653EA8">
        <w:t xml:space="preserve"> </w:t>
      </w:r>
      <w:r w:rsidR="00653EA8">
        <w:rPr>
          <w:i/>
          <w:iCs/>
        </w:rPr>
        <w:t xml:space="preserve">v Henderson </w:t>
      </w:r>
      <w:r w:rsidR="00653EA8">
        <w:t xml:space="preserve">rule is not concerned with what should have been </w:t>
      </w:r>
      <w:r w:rsidR="00653EA8" w:rsidRPr="00D36DFD">
        <w:rPr>
          <w:i/>
          <w:iCs/>
        </w:rPr>
        <w:t>raised</w:t>
      </w:r>
      <w:r w:rsidR="00653EA8">
        <w:t xml:space="preserve"> in earlier proceedings, but what should have been </w:t>
      </w:r>
      <w:r w:rsidR="00653EA8" w:rsidRPr="00D36DFD">
        <w:rPr>
          <w:i/>
          <w:iCs/>
        </w:rPr>
        <w:t>dealt with</w:t>
      </w:r>
      <w:r w:rsidR="00653EA8">
        <w:t xml:space="preserve"> in earlier proceedings.</w:t>
      </w:r>
      <w:r w:rsidR="00D629FA">
        <w:rPr>
          <w:rFonts w:ascii="ZWAdobeF" w:hAnsi="ZWAdobeF" w:cs="ZWAdobeF"/>
          <w:color w:val="auto"/>
          <w:sz w:val="2"/>
          <w:szCs w:val="2"/>
        </w:rPr>
        <w:t>580F</w:t>
      </w:r>
      <w:r w:rsidR="007A330E">
        <w:rPr>
          <w:rFonts w:ascii="ZWAdobeF" w:hAnsi="ZWAdobeF" w:cs="ZWAdobeF"/>
          <w:color w:val="auto"/>
          <w:sz w:val="2"/>
          <w:szCs w:val="2"/>
        </w:rPr>
        <w:t>580F</w:t>
      </w:r>
      <w:r w:rsidR="00317AE4">
        <w:rPr>
          <w:rFonts w:ascii="ZWAdobeF" w:hAnsi="ZWAdobeF" w:cs="ZWAdobeF"/>
          <w:color w:val="auto"/>
          <w:sz w:val="2"/>
          <w:szCs w:val="2"/>
        </w:rPr>
        <w:t>580F</w:t>
      </w:r>
      <w:r w:rsidR="00653EA8">
        <w:rPr>
          <w:rStyle w:val="FootnoteReference"/>
        </w:rPr>
        <w:footnoteReference w:id="582"/>
      </w:r>
      <w:r w:rsidR="00653EA8">
        <w:t xml:space="preserve"> However this interpretation has attracted criticism and its application has been narrowed in other cases.</w:t>
      </w:r>
      <w:r w:rsidR="00D629FA">
        <w:rPr>
          <w:rFonts w:ascii="ZWAdobeF" w:hAnsi="ZWAdobeF" w:cs="ZWAdobeF"/>
          <w:color w:val="auto"/>
          <w:sz w:val="2"/>
          <w:szCs w:val="2"/>
        </w:rPr>
        <w:t>581F</w:t>
      </w:r>
      <w:r w:rsidR="007A330E">
        <w:rPr>
          <w:rFonts w:ascii="ZWAdobeF" w:hAnsi="ZWAdobeF" w:cs="ZWAdobeF"/>
          <w:color w:val="auto"/>
          <w:sz w:val="2"/>
          <w:szCs w:val="2"/>
        </w:rPr>
        <w:t>581F</w:t>
      </w:r>
      <w:r w:rsidR="00317AE4">
        <w:rPr>
          <w:rFonts w:ascii="ZWAdobeF" w:hAnsi="ZWAdobeF" w:cs="ZWAdobeF"/>
          <w:color w:val="auto"/>
          <w:sz w:val="2"/>
          <w:szCs w:val="2"/>
        </w:rPr>
        <w:t>581F</w:t>
      </w:r>
      <w:r w:rsidR="00653EA8">
        <w:rPr>
          <w:rStyle w:val="FootnoteReference"/>
        </w:rPr>
        <w:footnoteReference w:id="583"/>
      </w:r>
    </w:p>
    <w:p w14:paraId="4C3D750F" w14:textId="7E617F70" w:rsidR="00653EA8" w:rsidRPr="007F5FEF" w:rsidRDefault="00BD5C95" w:rsidP="005B10E9">
      <w:pPr>
        <w:pStyle w:val="BodyText"/>
        <w:tabs>
          <w:tab w:val="num" w:pos="709"/>
        </w:tabs>
      </w:pPr>
      <w:r>
        <w:rPr>
          <w:rFonts w:ascii="ZWAdobeF" w:hAnsi="ZWAdobeF" w:cs="ZWAdobeF"/>
          <w:color w:val="auto"/>
          <w:sz w:val="2"/>
          <w:szCs w:val="2"/>
        </w:rPr>
        <w:t>365B</w:t>
      </w:r>
      <w:r w:rsidR="0049638A">
        <w:rPr>
          <w:rFonts w:ascii="ZWAdobeF" w:hAnsi="ZWAdobeF" w:cs="ZWAdobeF"/>
          <w:color w:val="auto"/>
          <w:sz w:val="2"/>
          <w:szCs w:val="2"/>
        </w:rPr>
        <w:t>365B</w:t>
      </w:r>
      <w:r w:rsidR="00D629FA">
        <w:rPr>
          <w:rFonts w:ascii="ZWAdobeF" w:hAnsi="ZWAdobeF" w:cs="ZWAdobeF"/>
          <w:color w:val="auto"/>
          <w:sz w:val="2"/>
          <w:szCs w:val="2"/>
        </w:rPr>
        <w:t>365B</w:t>
      </w:r>
      <w:r w:rsidR="00653EA8">
        <w:t>The application of both r</w:t>
      </w:r>
      <w:r w:rsidR="00653EA8">
        <w:rPr>
          <w:i/>
          <w:iCs/>
        </w:rPr>
        <w:t xml:space="preserve">es judicata </w:t>
      </w:r>
      <w:r w:rsidR="00653EA8">
        <w:t xml:space="preserve">and the rule in </w:t>
      </w:r>
      <w:r w:rsidR="00653EA8" w:rsidRPr="00D36DFD">
        <w:rPr>
          <w:i/>
          <w:iCs/>
        </w:rPr>
        <w:t>Henderson</w:t>
      </w:r>
      <w:r w:rsidR="00653EA8">
        <w:t xml:space="preserve"> </w:t>
      </w:r>
      <w:r w:rsidR="00653EA8">
        <w:rPr>
          <w:i/>
          <w:iCs/>
        </w:rPr>
        <w:t xml:space="preserve">v Henderson </w:t>
      </w:r>
      <w:r w:rsidR="00653EA8">
        <w:t xml:space="preserve">to class members, who are not parties to the litigation, requires consideration. We discuss below </w:t>
      </w:r>
      <w:r w:rsidR="00653EA8">
        <w:lastRenderedPageBreak/>
        <w:t xml:space="preserve">the rationale for applying the doctrine of </w:t>
      </w:r>
      <w:r w:rsidR="00653EA8" w:rsidRPr="00BC5749">
        <w:rPr>
          <w:i/>
          <w:iCs/>
        </w:rPr>
        <w:t>res judicata</w:t>
      </w:r>
      <w:r w:rsidR="00653EA8">
        <w:t xml:space="preserve"> to class members and whether the rule in </w:t>
      </w:r>
      <w:r w:rsidR="00653EA8" w:rsidRPr="00D36DFD">
        <w:rPr>
          <w:i/>
          <w:iCs/>
        </w:rPr>
        <w:t>Henderson</w:t>
      </w:r>
      <w:r w:rsidR="00653EA8">
        <w:t xml:space="preserve"> </w:t>
      </w:r>
      <w:r w:rsidR="00653EA8">
        <w:rPr>
          <w:i/>
          <w:iCs/>
        </w:rPr>
        <w:t xml:space="preserve">v Henderson </w:t>
      </w:r>
      <w:r w:rsidR="00653EA8">
        <w:t>should apply to class members.</w:t>
      </w:r>
      <w:r w:rsidR="00D629FA">
        <w:rPr>
          <w:rFonts w:ascii="ZWAdobeF" w:hAnsi="ZWAdobeF" w:cs="ZWAdobeF"/>
          <w:color w:val="auto"/>
          <w:sz w:val="2"/>
          <w:szCs w:val="2"/>
        </w:rPr>
        <w:t>582F</w:t>
      </w:r>
      <w:r w:rsidR="007A330E">
        <w:rPr>
          <w:rFonts w:ascii="ZWAdobeF" w:hAnsi="ZWAdobeF" w:cs="ZWAdobeF"/>
          <w:color w:val="auto"/>
          <w:sz w:val="2"/>
          <w:szCs w:val="2"/>
        </w:rPr>
        <w:t>582F</w:t>
      </w:r>
      <w:r w:rsidR="00317AE4">
        <w:rPr>
          <w:rFonts w:ascii="ZWAdobeF" w:hAnsi="ZWAdobeF" w:cs="ZWAdobeF"/>
          <w:color w:val="auto"/>
          <w:sz w:val="2"/>
          <w:szCs w:val="2"/>
        </w:rPr>
        <w:t>582F</w:t>
      </w:r>
      <w:r w:rsidR="00653EA8">
        <w:rPr>
          <w:rStyle w:val="FootnoteReference"/>
        </w:rPr>
        <w:footnoteReference w:id="584"/>
      </w:r>
      <w:r w:rsidR="00653EA8">
        <w:t xml:space="preserve"> We do not further consider abuse of process, as its application is not limited to the parties, and we think the court should retain its inherent power to stay a subsequent claim of a class member if </w:t>
      </w:r>
      <w:r w:rsidR="007074B8">
        <w:t>it</w:t>
      </w:r>
      <w:r w:rsidR="00653EA8">
        <w:t xml:space="preserve"> considers the claim to be an abuse of process. </w:t>
      </w:r>
    </w:p>
    <w:p w14:paraId="6CC0AD78" w14:textId="77777777" w:rsidR="00653EA8" w:rsidRPr="00FD0391" w:rsidRDefault="00653EA8" w:rsidP="00824228">
      <w:pPr>
        <w:pStyle w:val="Heading3"/>
      </w:pPr>
      <w:r>
        <w:rPr>
          <w:i/>
          <w:iCs/>
        </w:rPr>
        <w:t xml:space="preserve">Res judicata </w:t>
      </w:r>
      <w:r>
        <w:t>and class members</w:t>
      </w:r>
    </w:p>
    <w:p w14:paraId="36CBB973" w14:textId="544B9AD1" w:rsidR="00653EA8" w:rsidRDefault="00BD5C95" w:rsidP="005B10E9">
      <w:pPr>
        <w:pStyle w:val="BodyText"/>
        <w:tabs>
          <w:tab w:val="num" w:pos="709"/>
        </w:tabs>
      </w:pPr>
      <w:r>
        <w:rPr>
          <w:rFonts w:ascii="ZWAdobeF" w:hAnsi="ZWAdobeF" w:cs="ZWAdobeF"/>
          <w:color w:val="auto"/>
          <w:sz w:val="2"/>
          <w:szCs w:val="2"/>
        </w:rPr>
        <w:t>366B</w:t>
      </w:r>
      <w:r w:rsidR="0049638A">
        <w:rPr>
          <w:rFonts w:ascii="ZWAdobeF" w:hAnsi="ZWAdobeF" w:cs="ZWAdobeF"/>
          <w:color w:val="auto"/>
          <w:sz w:val="2"/>
          <w:szCs w:val="2"/>
        </w:rPr>
        <w:t>366B</w:t>
      </w:r>
      <w:r w:rsidR="00D629FA">
        <w:rPr>
          <w:rFonts w:ascii="ZWAdobeF" w:hAnsi="ZWAdobeF" w:cs="ZWAdobeF"/>
          <w:color w:val="auto"/>
          <w:sz w:val="2"/>
          <w:szCs w:val="2"/>
        </w:rPr>
        <w:t>366B</w:t>
      </w:r>
      <w:r w:rsidR="00653EA8">
        <w:t>In a representative action, class members are bound by the judgment on the common issues. The High Court has observed that one benefit of a representative action is the creation of formal estoppels on class members.</w:t>
      </w:r>
      <w:r w:rsidR="00D629FA">
        <w:rPr>
          <w:rFonts w:ascii="ZWAdobeF" w:hAnsi="ZWAdobeF" w:cs="ZWAdobeF"/>
          <w:color w:val="auto"/>
          <w:sz w:val="2"/>
          <w:szCs w:val="2"/>
        </w:rPr>
        <w:t>583F</w:t>
      </w:r>
      <w:r w:rsidR="007A330E">
        <w:rPr>
          <w:rFonts w:ascii="ZWAdobeF" w:hAnsi="ZWAdobeF" w:cs="ZWAdobeF"/>
          <w:color w:val="auto"/>
          <w:sz w:val="2"/>
          <w:szCs w:val="2"/>
        </w:rPr>
        <w:t>583F</w:t>
      </w:r>
      <w:r w:rsidR="00317AE4">
        <w:rPr>
          <w:rFonts w:ascii="ZWAdobeF" w:hAnsi="ZWAdobeF" w:cs="ZWAdobeF"/>
          <w:color w:val="auto"/>
          <w:sz w:val="2"/>
          <w:szCs w:val="2"/>
        </w:rPr>
        <w:t>583F</w:t>
      </w:r>
      <w:r w:rsidR="00653EA8">
        <w:rPr>
          <w:rStyle w:val="FootnoteReference"/>
        </w:rPr>
        <w:footnoteReference w:id="585"/>
      </w:r>
      <w:r w:rsidR="00653EA8">
        <w:t xml:space="preserve"> In </w:t>
      </w:r>
      <w:r w:rsidR="00653EA8" w:rsidRPr="00176D24">
        <w:rPr>
          <w:i/>
          <w:iCs/>
        </w:rPr>
        <w:t>Saunders v Houghton</w:t>
      </w:r>
      <w:r w:rsidR="00653EA8">
        <w:t xml:space="preserve">, the Court of Appeal considered that when a representative action involving a damages claim was brought, it was proper to obtain a declaration of liability, “thus establishing </w:t>
      </w:r>
      <w:r w:rsidR="00653EA8" w:rsidRPr="00176D24">
        <w:rPr>
          <w:i/>
          <w:iCs/>
        </w:rPr>
        <w:t>res judicata</w:t>
      </w:r>
      <w:r w:rsidR="00653EA8">
        <w:t xml:space="preserve"> on the common issue”, followed by individual claims to establish individual damage.</w:t>
      </w:r>
      <w:r w:rsidR="00D629FA">
        <w:rPr>
          <w:rFonts w:ascii="ZWAdobeF" w:hAnsi="ZWAdobeF" w:cs="ZWAdobeF"/>
          <w:color w:val="auto"/>
          <w:sz w:val="2"/>
          <w:szCs w:val="2"/>
        </w:rPr>
        <w:t>584F</w:t>
      </w:r>
      <w:r w:rsidR="007A330E">
        <w:rPr>
          <w:rFonts w:ascii="ZWAdobeF" w:hAnsi="ZWAdobeF" w:cs="ZWAdobeF"/>
          <w:color w:val="auto"/>
          <w:sz w:val="2"/>
          <w:szCs w:val="2"/>
        </w:rPr>
        <w:t>584F</w:t>
      </w:r>
      <w:r w:rsidR="00317AE4">
        <w:rPr>
          <w:rFonts w:ascii="ZWAdobeF" w:hAnsi="ZWAdobeF" w:cs="ZWAdobeF"/>
          <w:color w:val="auto"/>
          <w:sz w:val="2"/>
          <w:szCs w:val="2"/>
        </w:rPr>
        <w:t>584F</w:t>
      </w:r>
      <w:r w:rsidR="00653EA8">
        <w:rPr>
          <w:rStyle w:val="FootnoteReference"/>
        </w:rPr>
        <w:footnoteReference w:id="586"/>
      </w:r>
    </w:p>
    <w:p w14:paraId="40963723" w14:textId="50F3EA5B" w:rsidR="00653EA8" w:rsidRDefault="00BD5C95" w:rsidP="00C42DA2">
      <w:pPr>
        <w:pStyle w:val="BodyText"/>
      </w:pPr>
      <w:r>
        <w:rPr>
          <w:rFonts w:ascii="ZWAdobeF" w:hAnsi="ZWAdobeF" w:cs="ZWAdobeF"/>
          <w:color w:val="auto"/>
          <w:sz w:val="2"/>
          <w:szCs w:val="2"/>
        </w:rPr>
        <w:t>367B</w:t>
      </w:r>
      <w:r w:rsidR="0049638A">
        <w:rPr>
          <w:rFonts w:ascii="ZWAdobeF" w:hAnsi="ZWAdobeF" w:cs="ZWAdobeF"/>
          <w:color w:val="auto"/>
          <w:sz w:val="2"/>
          <w:szCs w:val="2"/>
        </w:rPr>
        <w:t>367B</w:t>
      </w:r>
      <w:r w:rsidR="00D629FA">
        <w:rPr>
          <w:rFonts w:ascii="ZWAdobeF" w:hAnsi="ZWAdobeF" w:cs="ZWAdobeF"/>
          <w:color w:val="auto"/>
          <w:sz w:val="2"/>
          <w:szCs w:val="2"/>
        </w:rPr>
        <w:t>367B</w:t>
      </w:r>
      <w:r w:rsidR="00653EA8">
        <w:t xml:space="preserve">In </w:t>
      </w:r>
      <w:r w:rsidR="00653EA8" w:rsidRPr="00C42DA2">
        <w:t>other</w:t>
      </w:r>
      <w:r w:rsidR="00653EA8">
        <w:t xml:space="preserve"> jurisdictions, legislation provides that class action judgments are binding on class members.</w:t>
      </w:r>
      <w:r w:rsidR="00D629FA">
        <w:rPr>
          <w:rFonts w:ascii="ZWAdobeF" w:hAnsi="ZWAdobeF" w:cs="ZWAdobeF"/>
          <w:color w:val="auto"/>
          <w:sz w:val="2"/>
          <w:szCs w:val="2"/>
        </w:rPr>
        <w:t>585F</w:t>
      </w:r>
      <w:r w:rsidR="007A330E">
        <w:rPr>
          <w:rFonts w:ascii="ZWAdobeF" w:hAnsi="ZWAdobeF" w:cs="ZWAdobeF"/>
          <w:color w:val="auto"/>
          <w:sz w:val="2"/>
          <w:szCs w:val="2"/>
        </w:rPr>
        <w:t>585F</w:t>
      </w:r>
      <w:r w:rsidR="00317AE4">
        <w:rPr>
          <w:rFonts w:ascii="ZWAdobeF" w:hAnsi="ZWAdobeF" w:cs="ZWAdobeF"/>
          <w:color w:val="auto"/>
          <w:sz w:val="2"/>
          <w:szCs w:val="2"/>
        </w:rPr>
        <w:t>585F</w:t>
      </w:r>
      <w:r w:rsidR="00653EA8">
        <w:rPr>
          <w:rStyle w:val="FootnoteReference"/>
        </w:rPr>
        <w:footnoteReference w:id="587"/>
      </w:r>
      <w:r w:rsidR="00653EA8">
        <w:t xml:space="preserve"> The Ontario Law Reform Commission (OLRC) also gave in depth consideration to </w:t>
      </w:r>
      <w:r w:rsidR="00653EA8" w:rsidRPr="007E1074">
        <w:rPr>
          <w:i/>
          <w:iCs/>
        </w:rPr>
        <w:t xml:space="preserve">res judicata </w:t>
      </w:r>
      <w:r w:rsidR="00653EA8">
        <w:t xml:space="preserve">in its 1982 report on class actions. It considered the arguments in favour of applying </w:t>
      </w:r>
      <w:r w:rsidR="00653EA8" w:rsidRPr="007E1074">
        <w:rPr>
          <w:i/>
          <w:iCs/>
        </w:rPr>
        <w:t>res judicata</w:t>
      </w:r>
      <w:r w:rsidR="00653EA8">
        <w:t xml:space="preserve"> to class members were persuasive, observing that the “very merit or utility of a class action lies in the </w:t>
      </w:r>
      <w:r w:rsidR="00653EA8" w:rsidRPr="007E1074">
        <w:rPr>
          <w:i/>
          <w:iCs/>
        </w:rPr>
        <w:t xml:space="preserve">res judicata </w:t>
      </w:r>
      <w:r w:rsidR="00653EA8">
        <w:t>effect of its judgment on the common questions”.</w:t>
      </w:r>
      <w:r w:rsidR="00D629FA">
        <w:rPr>
          <w:rFonts w:ascii="ZWAdobeF" w:hAnsi="ZWAdobeF" w:cs="ZWAdobeF"/>
          <w:color w:val="auto"/>
          <w:sz w:val="2"/>
          <w:szCs w:val="2"/>
        </w:rPr>
        <w:t>586F</w:t>
      </w:r>
      <w:r w:rsidR="007A330E">
        <w:rPr>
          <w:rFonts w:ascii="ZWAdobeF" w:hAnsi="ZWAdobeF" w:cs="ZWAdobeF"/>
          <w:color w:val="auto"/>
          <w:sz w:val="2"/>
          <w:szCs w:val="2"/>
        </w:rPr>
        <w:t>586F</w:t>
      </w:r>
      <w:r w:rsidR="00317AE4">
        <w:rPr>
          <w:rFonts w:ascii="ZWAdobeF" w:hAnsi="ZWAdobeF" w:cs="ZWAdobeF"/>
          <w:color w:val="auto"/>
          <w:sz w:val="2"/>
          <w:szCs w:val="2"/>
        </w:rPr>
        <w:t>586F</w:t>
      </w:r>
      <w:r w:rsidR="00653EA8">
        <w:rPr>
          <w:rStyle w:val="FootnoteReference"/>
        </w:rPr>
        <w:footnoteReference w:id="588"/>
      </w:r>
      <w:r w:rsidR="00653EA8">
        <w:t xml:space="preserve"> If a class judgment did not bind class members, the objective of efficiency would not be achieved.</w:t>
      </w:r>
      <w:r w:rsidR="00D629FA">
        <w:rPr>
          <w:rFonts w:ascii="ZWAdobeF" w:hAnsi="ZWAdobeF" w:cs="ZWAdobeF"/>
          <w:color w:val="auto"/>
          <w:sz w:val="2"/>
          <w:szCs w:val="2"/>
        </w:rPr>
        <w:t>587F</w:t>
      </w:r>
      <w:r w:rsidR="007A330E">
        <w:rPr>
          <w:rFonts w:ascii="ZWAdobeF" w:hAnsi="ZWAdobeF" w:cs="ZWAdobeF"/>
          <w:color w:val="auto"/>
          <w:sz w:val="2"/>
          <w:szCs w:val="2"/>
        </w:rPr>
        <w:t>587F</w:t>
      </w:r>
      <w:r w:rsidR="00317AE4">
        <w:rPr>
          <w:rFonts w:ascii="ZWAdobeF" w:hAnsi="ZWAdobeF" w:cs="ZWAdobeF"/>
          <w:color w:val="auto"/>
          <w:sz w:val="2"/>
          <w:szCs w:val="2"/>
        </w:rPr>
        <w:t>587F</w:t>
      </w:r>
      <w:r w:rsidR="00653EA8">
        <w:rPr>
          <w:rStyle w:val="FootnoteReference"/>
        </w:rPr>
        <w:footnoteReference w:id="589"/>
      </w:r>
      <w:r w:rsidR="00653EA8">
        <w:t xml:space="preserve"> </w:t>
      </w:r>
    </w:p>
    <w:p w14:paraId="5DCE02B2" w14:textId="77777777" w:rsidR="00653EA8" w:rsidRPr="00357182" w:rsidRDefault="00653EA8" w:rsidP="00824228">
      <w:pPr>
        <w:pStyle w:val="Heading3"/>
      </w:pPr>
      <w:r>
        <w:t xml:space="preserve">The rule in </w:t>
      </w:r>
      <w:r w:rsidRPr="00D36DFD">
        <w:rPr>
          <w:i/>
          <w:iCs/>
        </w:rPr>
        <w:t>Henderson</w:t>
      </w:r>
      <w:r w:rsidRPr="00824228">
        <w:rPr>
          <w:i/>
          <w:iCs/>
        </w:rPr>
        <w:t xml:space="preserve"> </w:t>
      </w:r>
      <w:r>
        <w:rPr>
          <w:i/>
          <w:iCs/>
        </w:rPr>
        <w:t xml:space="preserve">v Henderson </w:t>
      </w:r>
      <w:r>
        <w:t>and class members</w:t>
      </w:r>
    </w:p>
    <w:p w14:paraId="434A3D5B" w14:textId="38D3A0B2" w:rsidR="00653EA8" w:rsidRDefault="00BD5C95" w:rsidP="005B10E9">
      <w:pPr>
        <w:pStyle w:val="BodyText"/>
        <w:tabs>
          <w:tab w:val="clear" w:pos="709"/>
        </w:tabs>
      </w:pPr>
      <w:r>
        <w:rPr>
          <w:rFonts w:ascii="ZWAdobeF" w:hAnsi="ZWAdobeF" w:cs="ZWAdobeF"/>
          <w:color w:val="auto"/>
          <w:sz w:val="2"/>
          <w:szCs w:val="2"/>
        </w:rPr>
        <w:t>368B</w:t>
      </w:r>
      <w:r w:rsidR="0049638A">
        <w:rPr>
          <w:rFonts w:ascii="ZWAdobeF" w:hAnsi="ZWAdobeF" w:cs="ZWAdobeF"/>
          <w:color w:val="auto"/>
          <w:sz w:val="2"/>
          <w:szCs w:val="2"/>
        </w:rPr>
        <w:t>368B</w:t>
      </w:r>
      <w:r w:rsidR="00D629FA">
        <w:rPr>
          <w:rFonts w:ascii="ZWAdobeF" w:hAnsi="ZWAdobeF" w:cs="ZWAdobeF"/>
          <w:color w:val="auto"/>
          <w:sz w:val="2"/>
          <w:szCs w:val="2"/>
        </w:rPr>
        <w:t>368B</w:t>
      </w:r>
      <w:r w:rsidR="00653EA8">
        <w:t xml:space="preserve">A key issue to consider is whether the rule in </w:t>
      </w:r>
      <w:r w:rsidR="00653EA8">
        <w:rPr>
          <w:i/>
          <w:iCs/>
        </w:rPr>
        <w:t xml:space="preserve">Henderson v Henderson </w:t>
      </w:r>
      <w:r w:rsidR="00653EA8">
        <w:t xml:space="preserve">should apply to class members. In other words, should a class member be precluded from bringing a subsequent proceeding on a point which could have been raised in the class action? It does not appear that this issue has been considered in Aotearoa New Zealand with </w:t>
      </w:r>
      <w:r w:rsidR="00653EA8">
        <w:lastRenderedPageBreak/>
        <w:t xml:space="preserve">respect to group members in representative actions under HCR 4.24. However, the issue has arisen in Ontario and Australia. </w:t>
      </w:r>
    </w:p>
    <w:p w14:paraId="1220ABF8" w14:textId="77777777" w:rsidR="00653EA8" w:rsidRDefault="00653EA8" w:rsidP="00824228">
      <w:pPr>
        <w:pStyle w:val="Heading4"/>
      </w:pPr>
      <w:r>
        <w:t>Ontario</w:t>
      </w:r>
    </w:p>
    <w:p w14:paraId="0A720FC1" w14:textId="2985E628" w:rsidR="00653EA8" w:rsidRDefault="00BD5C95" w:rsidP="005B10E9">
      <w:pPr>
        <w:pStyle w:val="BodyText"/>
        <w:tabs>
          <w:tab w:val="clear" w:pos="709"/>
        </w:tabs>
      </w:pPr>
      <w:r>
        <w:rPr>
          <w:rFonts w:ascii="ZWAdobeF" w:hAnsi="ZWAdobeF" w:cs="ZWAdobeF"/>
          <w:color w:val="auto"/>
          <w:sz w:val="2"/>
          <w:szCs w:val="2"/>
        </w:rPr>
        <w:t>369B</w:t>
      </w:r>
      <w:r w:rsidR="0049638A">
        <w:rPr>
          <w:rFonts w:ascii="ZWAdobeF" w:hAnsi="ZWAdobeF" w:cs="ZWAdobeF"/>
          <w:color w:val="auto"/>
          <w:sz w:val="2"/>
          <w:szCs w:val="2"/>
        </w:rPr>
        <w:t>369B</w:t>
      </w:r>
      <w:r w:rsidR="00D629FA">
        <w:rPr>
          <w:rFonts w:ascii="ZWAdobeF" w:hAnsi="ZWAdobeF" w:cs="ZWAdobeF"/>
          <w:color w:val="auto"/>
          <w:sz w:val="2"/>
          <w:szCs w:val="2"/>
        </w:rPr>
        <w:t>369B</w:t>
      </w:r>
      <w:r w:rsidR="00653EA8">
        <w:t>The OLRC concluded that the binding effect of a class action judgment on the common issues should be restricted to the relief that was actually sought and determined.</w:t>
      </w:r>
      <w:r w:rsidR="00D629FA">
        <w:rPr>
          <w:rFonts w:ascii="ZWAdobeF" w:hAnsi="ZWAdobeF" w:cs="ZWAdobeF"/>
          <w:color w:val="auto"/>
          <w:sz w:val="2"/>
          <w:szCs w:val="2"/>
        </w:rPr>
        <w:t>588F</w:t>
      </w:r>
      <w:r w:rsidR="007A330E">
        <w:rPr>
          <w:rFonts w:ascii="ZWAdobeF" w:hAnsi="ZWAdobeF" w:cs="ZWAdobeF"/>
          <w:color w:val="auto"/>
          <w:sz w:val="2"/>
          <w:szCs w:val="2"/>
        </w:rPr>
        <w:t>588F</w:t>
      </w:r>
      <w:r w:rsidR="00317AE4">
        <w:rPr>
          <w:rFonts w:ascii="ZWAdobeF" w:hAnsi="ZWAdobeF" w:cs="ZWAdobeF"/>
          <w:color w:val="auto"/>
          <w:sz w:val="2"/>
          <w:szCs w:val="2"/>
        </w:rPr>
        <w:t>588F</w:t>
      </w:r>
      <w:r w:rsidR="00653EA8">
        <w:rPr>
          <w:rStyle w:val="FootnoteReference"/>
        </w:rPr>
        <w:footnoteReference w:id="590"/>
      </w:r>
      <w:r w:rsidR="00653EA8">
        <w:t xml:space="preserve"> It did not consider that class members should be precluded from bringing subsequent individual litigation which claimed relief that might have been granted in the class action, but was not sought by the representative plaintiff.</w:t>
      </w:r>
      <w:r w:rsidR="00D629FA">
        <w:rPr>
          <w:rFonts w:ascii="ZWAdobeF" w:hAnsi="ZWAdobeF" w:cs="ZWAdobeF"/>
          <w:color w:val="auto"/>
          <w:sz w:val="2"/>
          <w:szCs w:val="2"/>
        </w:rPr>
        <w:t>589F</w:t>
      </w:r>
      <w:r w:rsidR="007A330E">
        <w:rPr>
          <w:rFonts w:ascii="ZWAdobeF" w:hAnsi="ZWAdobeF" w:cs="ZWAdobeF"/>
          <w:color w:val="auto"/>
          <w:sz w:val="2"/>
          <w:szCs w:val="2"/>
        </w:rPr>
        <w:t>589F</w:t>
      </w:r>
      <w:r w:rsidR="00317AE4">
        <w:rPr>
          <w:rFonts w:ascii="ZWAdobeF" w:hAnsi="ZWAdobeF" w:cs="ZWAdobeF"/>
          <w:color w:val="auto"/>
          <w:sz w:val="2"/>
          <w:szCs w:val="2"/>
        </w:rPr>
        <w:t>589F</w:t>
      </w:r>
      <w:r w:rsidR="00653EA8">
        <w:rPr>
          <w:rStyle w:val="FootnoteReference"/>
        </w:rPr>
        <w:footnoteReference w:id="591"/>
      </w:r>
      <w:r w:rsidR="00653EA8">
        <w:t xml:space="preserve"> Accordingly, the OLRC recommended a statutory provision to the effect that a class action judgment should bind class members “to the extent only that the judgment determines the questions common to the class that are defined in the order certifying the actions as a class action and that relate to the claim described and the relief specified in the order”.</w:t>
      </w:r>
      <w:r w:rsidR="00D629FA">
        <w:rPr>
          <w:rFonts w:ascii="ZWAdobeF" w:hAnsi="ZWAdobeF" w:cs="ZWAdobeF"/>
          <w:color w:val="auto"/>
          <w:sz w:val="2"/>
          <w:szCs w:val="2"/>
        </w:rPr>
        <w:t>590F</w:t>
      </w:r>
      <w:r w:rsidR="007A330E">
        <w:rPr>
          <w:rFonts w:ascii="ZWAdobeF" w:hAnsi="ZWAdobeF" w:cs="ZWAdobeF"/>
          <w:color w:val="auto"/>
          <w:sz w:val="2"/>
          <w:szCs w:val="2"/>
        </w:rPr>
        <w:t>590F</w:t>
      </w:r>
      <w:r w:rsidR="00317AE4">
        <w:rPr>
          <w:rFonts w:ascii="ZWAdobeF" w:hAnsi="ZWAdobeF" w:cs="ZWAdobeF"/>
          <w:color w:val="auto"/>
          <w:sz w:val="2"/>
          <w:szCs w:val="2"/>
        </w:rPr>
        <w:t>590F</w:t>
      </w:r>
      <w:r w:rsidR="00653EA8">
        <w:rPr>
          <w:rStyle w:val="FootnoteReference"/>
        </w:rPr>
        <w:footnoteReference w:id="592"/>
      </w:r>
    </w:p>
    <w:p w14:paraId="42238984" w14:textId="46923A21" w:rsidR="00653EA8" w:rsidRDefault="00BD5C95" w:rsidP="008B5552">
      <w:pPr>
        <w:pStyle w:val="BodyText"/>
        <w:tabs>
          <w:tab w:val="num" w:pos="709"/>
        </w:tabs>
      </w:pPr>
      <w:r>
        <w:rPr>
          <w:rFonts w:ascii="ZWAdobeF" w:hAnsi="ZWAdobeF" w:cs="ZWAdobeF"/>
          <w:color w:val="auto"/>
          <w:sz w:val="2"/>
          <w:szCs w:val="2"/>
        </w:rPr>
        <w:t>370B</w:t>
      </w:r>
      <w:r w:rsidR="0049638A">
        <w:rPr>
          <w:rFonts w:ascii="ZWAdobeF" w:hAnsi="ZWAdobeF" w:cs="ZWAdobeF"/>
          <w:color w:val="auto"/>
          <w:sz w:val="2"/>
          <w:szCs w:val="2"/>
        </w:rPr>
        <w:t>370B</w:t>
      </w:r>
      <w:r w:rsidR="00D629FA">
        <w:rPr>
          <w:rFonts w:ascii="ZWAdobeF" w:hAnsi="ZWAdobeF" w:cs="ZWAdobeF"/>
          <w:color w:val="auto"/>
          <w:sz w:val="2"/>
          <w:szCs w:val="2"/>
        </w:rPr>
        <w:t>370B</w:t>
      </w:r>
      <w:r w:rsidR="00653EA8">
        <w:t>Section 27(3) of Ontario’s Class Proceedings Act 1992 reflects this recommendation</w:t>
      </w:r>
      <w:r w:rsidR="00C81B11">
        <w:t xml:space="preserve"> and</w:t>
      </w:r>
      <w:r w:rsidR="00653EA8" w:rsidDel="00C81B11">
        <w:t xml:space="preserve"> </w:t>
      </w:r>
      <w:r w:rsidR="00653EA8">
        <w:t xml:space="preserve">has the effect that the rule in </w:t>
      </w:r>
      <w:r w:rsidR="00653EA8">
        <w:rPr>
          <w:i/>
          <w:iCs/>
        </w:rPr>
        <w:t xml:space="preserve">Henderson v Henderson </w:t>
      </w:r>
      <w:r w:rsidR="00653EA8">
        <w:t>does not apply to class members.</w:t>
      </w:r>
      <w:r w:rsidR="00FF5CE0">
        <w:t xml:space="preserve"> </w:t>
      </w:r>
      <w:r w:rsidR="00C81B11">
        <w:t xml:space="preserve">The section </w:t>
      </w:r>
      <w:r w:rsidR="00653EA8">
        <w:t xml:space="preserve">was applied by the Ontario Court of Justice in </w:t>
      </w:r>
      <w:r w:rsidR="00653EA8" w:rsidRPr="00265795">
        <w:rPr>
          <w:i/>
          <w:iCs/>
        </w:rPr>
        <w:t>Allan v CIBC Trust Corporation</w:t>
      </w:r>
      <w:r w:rsidR="00653EA8">
        <w:t>.</w:t>
      </w:r>
      <w:r w:rsidR="00D629FA">
        <w:rPr>
          <w:rFonts w:ascii="ZWAdobeF" w:hAnsi="ZWAdobeF" w:cs="ZWAdobeF"/>
          <w:color w:val="auto"/>
          <w:sz w:val="2"/>
          <w:szCs w:val="2"/>
        </w:rPr>
        <w:t>591F</w:t>
      </w:r>
      <w:r w:rsidR="007A330E">
        <w:rPr>
          <w:rFonts w:ascii="ZWAdobeF" w:hAnsi="ZWAdobeF" w:cs="ZWAdobeF"/>
          <w:color w:val="auto"/>
          <w:sz w:val="2"/>
          <w:szCs w:val="2"/>
        </w:rPr>
        <w:t>591F</w:t>
      </w:r>
      <w:r w:rsidR="00317AE4">
        <w:rPr>
          <w:rFonts w:ascii="ZWAdobeF" w:hAnsi="ZWAdobeF" w:cs="ZWAdobeF"/>
          <w:color w:val="auto"/>
          <w:sz w:val="2"/>
          <w:szCs w:val="2"/>
        </w:rPr>
        <w:t>591F</w:t>
      </w:r>
      <w:r w:rsidR="00653EA8">
        <w:rPr>
          <w:rStyle w:val="FootnoteReference"/>
        </w:rPr>
        <w:footnoteReference w:id="593"/>
      </w:r>
      <w:r w:rsidR="00653EA8">
        <w:t xml:space="preserve"> In that case, there were two consecutive class actions relating to the same set of facts and with overlapping class members. In the second class action, the defendant argued unsuccessfully that the claim should have been brought in the first class action. The Court explained that s</w:t>
      </w:r>
      <w:r w:rsidR="00C81B11">
        <w:t>ection</w:t>
      </w:r>
      <w:r w:rsidR="00653EA8">
        <w:t xml:space="preserve"> 27(3)</w:t>
      </w:r>
      <w:r w:rsidR="00653EA8" w:rsidRPr="00F45DDC">
        <w:t xml:space="preserve"> “clearly limits the binding effect of the judgment on the common issues to the common issues described in the certification order”.</w:t>
      </w:r>
      <w:r w:rsidR="00D629FA">
        <w:rPr>
          <w:rFonts w:ascii="ZWAdobeF" w:hAnsi="ZWAdobeF" w:cs="ZWAdobeF"/>
          <w:color w:val="auto"/>
          <w:sz w:val="2"/>
          <w:szCs w:val="2"/>
        </w:rPr>
        <w:t>592F</w:t>
      </w:r>
      <w:r w:rsidR="007A330E">
        <w:rPr>
          <w:rFonts w:ascii="ZWAdobeF" w:hAnsi="ZWAdobeF" w:cs="ZWAdobeF"/>
          <w:color w:val="auto"/>
          <w:sz w:val="2"/>
          <w:szCs w:val="2"/>
        </w:rPr>
        <w:t>592F</w:t>
      </w:r>
      <w:r w:rsidR="00317AE4">
        <w:rPr>
          <w:rFonts w:ascii="ZWAdobeF" w:hAnsi="ZWAdobeF" w:cs="ZWAdobeF"/>
          <w:color w:val="auto"/>
          <w:sz w:val="2"/>
          <w:szCs w:val="2"/>
        </w:rPr>
        <w:t>592F</w:t>
      </w:r>
      <w:r w:rsidR="00653EA8" w:rsidRPr="00F45DDC">
        <w:rPr>
          <w:rStyle w:val="FootnoteReference"/>
        </w:rPr>
        <w:footnoteReference w:id="594"/>
      </w:r>
    </w:p>
    <w:p w14:paraId="685F6E5C" w14:textId="77777777" w:rsidR="00653EA8" w:rsidRDefault="00653EA8" w:rsidP="00E065E6">
      <w:pPr>
        <w:pStyle w:val="Heading4"/>
      </w:pPr>
      <w:r>
        <w:t>Australia</w:t>
      </w:r>
    </w:p>
    <w:p w14:paraId="30199E5B" w14:textId="72CCEED5" w:rsidR="00653EA8" w:rsidRDefault="00BD5C95" w:rsidP="005B10E9">
      <w:pPr>
        <w:pStyle w:val="BodyText"/>
        <w:tabs>
          <w:tab w:val="num" w:pos="709"/>
        </w:tabs>
      </w:pPr>
      <w:r>
        <w:rPr>
          <w:rFonts w:ascii="ZWAdobeF" w:hAnsi="ZWAdobeF" w:cs="ZWAdobeF"/>
          <w:color w:val="auto"/>
          <w:sz w:val="2"/>
          <w:szCs w:val="2"/>
        </w:rPr>
        <w:t>371B</w:t>
      </w:r>
      <w:r w:rsidR="0049638A">
        <w:rPr>
          <w:rFonts w:ascii="ZWAdobeF" w:hAnsi="ZWAdobeF" w:cs="ZWAdobeF"/>
          <w:color w:val="auto"/>
          <w:sz w:val="2"/>
          <w:szCs w:val="2"/>
        </w:rPr>
        <w:t>371B</w:t>
      </w:r>
      <w:r w:rsidR="00D629FA">
        <w:rPr>
          <w:rFonts w:ascii="ZWAdobeF" w:hAnsi="ZWAdobeF" w:cs="ZWAdobeF"/>
          <w:color w:val="auto"/>
          <w:sz w:val="2"/>
          <w:szCs w:val="2"/>
        </w:rPr>
        <w:t>371B</w:t>
      </w:r>
      <w:r w:rsidR="00FF5CE0">
        <w:t>In Australia</w:t>
      </w:r>
      <w:r w:rsidR="00653EA8">
        <w:t xml:space="preserve">, it has also been held that a class actions judgment is only binding with respect to the common issues raised. In </w:t>
      </w:r>
      <w:r w:rsidR="00653EA8" w:rsidRPr="00EA3B2D">
        <w:rPr>
          <w:i/>
          <w:iCs/>
        </w:rPr>
        <w:t>Timbercorp Finance Pty Ltd (in liq) v Collins</w:t>
      </w:r>
      <w:r w:rsidR="00653EA8">
        <w:t>, the High Court of Australia</w:t>
      </w:r>
      <w:r w:rsidR="00653EA8" w:rsidDel="00D526D6">
        <w:t xml:space="preserve"> </w:t>
      </w:r>
      <w:r w:rsidR="00653EA8">
        <w:t>considered the application of section 33ZB of the Supreme Court Act 1986 (Vic) to class members.</w:t>
      </w:r>
      <w:r w:rsidR="00D629FA">
        <w:rPr>
          <w:rFonts w:ascii="ZWAdobeF" w:hAnsi="ZWAdobeF" w:cs="ZWAdobeF"/>
          <w:color w:val="auto"/>
          <w:sz w:val="2"/>
          <w:szCs w:val="2"/>
        </w:rPr>
        <w:t>593F</w:t>
      </w:r>
      <w:r w:rsidR="007A330E">
        <w:rPr>
          <w:rFonts w:ascii="ZWAdobeF" w:hAnsi="ZWAdobeF" w:cs="ZWAdobeF"/>
          <w:color w:val="auto"/>
          <w:sz w:val="2"/>
          <w:szCs w:val="2"/>
        </w:rPr>
        <w:t>593F</w:t>
      </w:r>
      <w:r w:rsidR="00317AE4">
        <w:rPr>
          <w:rFonts w:ascii="ZWAdobeF" w:hAnsi="ZWAdobeF" w:cs="ZWAdobeF"/>
          <w:color w:val="auto"/>
          <w:sz w:val="2"/>
          <w:szCs w:val="2"/>
        </w:rPr>
        <w:t>593F</w:t>
      </w:r>
      <w:r w:rsidR="00FF5CE0">
        <w:rPr>
          <w:rStyle w:val="FootnoteReference"/>
        </w:rPr>
        <w:footnoteReference w:id="595"/>
      </w:r>
      <w:r w:rsidR="00653EA8">
        <w:t xml:space="preserve"> This section provides that a class action judgment “binds all persons who are </w:t>
      </w:r>
      <w:r w:rsidR="00653EA8" w:rsidRPr="009615E4">
        <w:t>such</w:t>
      </w:r>
      <w:r w:rsidR="00653EA8">
        <w:t xml:space="preserve"> group members at the time the judgment is given”. Unlike Ontario, section 33ZB does not specify that the class action judgment only binds class members on the common issues and relief. </w:t>
      </w:r>
    </w:p>
    <w:p w14:paraId="61DCE837" w14:textId="67FEA63C" w:rsidR="00653EA8" w:rsidRDefault="00BD5C95" w:rsidP="00932DB9">
      <w:pPr>
        <w:pStyle w:val="BodyText"/>
        <w:tabs>
          <w:tab w:val="num" w:pos="709"/>
        </w:tabs>
        <w:ind w:hanging="596"/>
      </w:pPr>
      <w:bookmarkStart w:id="86" w:name="_Ref78462554"/>
      <w:r>
        <w:rPr>
          <w:rFonts w:ascii="ZWAdobeF" w:hAnsi="ZWAdobeF" w:cs="ZWAdobeF"/>
          <w:color w:val="auto"/>
          <w:sz w:val="2"/>
          <w:szCs w:val="2"/>
        </w:rPr>
        <w:t>372B</w:t>
      </w:r>
      <w:r w:rsidR="0049638A">
        <w:rPr>
          <w:rFonts w:ascii="ZWAdobeF" w:hAnsi="ZWAdobeF" w:cs="ZWAdobeF"/>
          <w:color w:val="auto"/>
          <w:sz w:val="2"/>
          <w:szCs w:val="2"/>
        </w:rPr>
        <w:t>372B</w:t>
      </w:r>
      <w:r w:rsidR="00D629FA">
        <w:rPr>
          <w:rFonts w:ascii="ZWAdobeF" w:hAnsi="ZWAdobeF" w:cs="ZWAdobeF"/>
          <w:color w:val="auto"/>
          <w:sz w:val="2"/>
          <w:szCs w:val="2"/>
        </w:rPr>
        <w:t>372B</w:t>
      </w:r>
      <w:r w:rsidR="00653EA8">
        <w:t>Timbercorp Finance</w:t>
      </w:r>
      <w:r w:rsidR="00653EA8" w:rsidDel="0072153A">
        <w:t xml:space="preserve"> </w:t>
      </w:r>
      <w:r w:rsidR="00653EA8">
        <w:t xml:space="preserve">had argued the defendants (who were class members in an earlier proceeding) were precluded from bringing certain defences because they should have </w:t>
      </w:r>
      <w:r w:rsidR="00653EA8">
        <w:lastRenderedPageBreak/>
        <w:t>been raised in the earlier class action.</w:t>
      </w:r>
      <w:r w:rsidR="00D629FA">
        <w:rPr>
          <w:rFonts w:ascii="ZWAdobeF" w:hAnsi="ZWAdobeF" w:cs="ZWAdobeF"/>
          <w:color w:val="auto"/>
          <w:sz w:val="2"/>
          <w:szCs w:val="2"/>
        </w:rPr>
        <w:t>594F</w:t>
      </w:r>
      <w:r w:rsidR="007A330E">
        <w:rPr>
          <w:rFonts w:ascii="ZWAdobeF" w:hAnsi="ZWAdobeF" w:cs="ZWAdobeF"/>
          <w:color w:val="auto"/>
          <w:sz w:val="2"/>
          <w:szCs w:val="2"/>
        </w:rPr>
        <w:t>594F</w:t>
      </w:r>
      <w:r w:rsidR="00317AE4">
        <w:rPr>
          <w:rFonts w:ascii="ZWAdobeF" w:hAnsi="ZWAdobeF" w:cs="ZWAdobeF"/>
          <w:color w:val="auto"/>
          <w:sz w:val="2"/>
          <w:szCs w:val="2"/>
        </w:rPr>
        <w:t>594F</w:t>
      </w:r>
      <w:r w:rsidR="00653EA8">
        <w:rPr>
          <w:rStyle w:val="FootnoteReference"/>
        </w:rPr>
        <w:footnoteReference w:id="596"/>
      </w:r>
      <w:r w:rsidR="00653EA8">
        <w:t xml:space="preserve"> </w:t>
      </w:r>
      <w:bookmarkEnd w:id="86"/>
      <w:r w:rsidR="00653EA8">
        <w:t>This was rejected by the Court, which concluded that the statute created its own kind of statutory estoppel and that the representative plaintiff only represents the group members with respect to the common interests.</w:t>
      </w:r>
      <w:r w:rsidR="00D629FA">
        <w:rPr>
          <w:rFonts w:ascii="ZWAdobeF" w:hAnsi="ZWAdobeF" w:cs="ZWAdobeF"/>
          <w:color w:val="auto"/>
          <w:sz w:val="2"/>
          <w:szCs w:val="2"/>
        </w:rPr>
        <w:t>595F</w:t>
      </w:r>
      <w:r w:rsidR="007A330E">
        <w:rPr>
          <w:rFonts w:ascii="ZWAdobeF" w:hAnsi="ZWAdobeF" w:cs="ZWAdobeF"/>
          <w:color w:val="auto"/>
          <w:sz w:val="2"/>
          <w:szCs w:val="2"/>
        </w:rPr>
        <w:t>595F</w:t>
      </w:r>
      <w:r w:rsidR="00317AE4">
        <w:rPr>
          <w:rFonts w:ascii="ZWAdobeF" w:hAnsi="ZWAdobeF" w:cs="ZWAdobeF"/>
          <w:color w:val="auto"/>
          <w:sz w:val="2"/>
          <w:szCs w:val="2"/>
        </w:rPr>
        <w:t>595F</w:t>
      </w:r>
      <w:r w:rsidR="00653EA8">
        <w:rPr>
          <w:rStyle w:val="FootnoteReference"/>
        </w:rPr>
        <w:footnoteReference w:id="597"/>
      </w:r>
      <w:r w:rsidR="00653EA8">
        <w:t xml:space="preserve"> Therefore, class</w:t>
      </w:r>
      <w:r w:rsidR="00653EA8" w:rsidRPr="00541A3F">
        <w:t xml:space="preserve"> members are bound only with respect to the common claims that are the subject of the representative proceeding, but not with respect to their individual claims.</w:t>
      </w:r>
      <w:r w:rsidR="00D629FA">
        <w:rPr>
          <w:rFonts w:ascii="ZWAdobeF" w:hAnsi="ZWAdobeF" w:cs="ZWAdobeF"/>
          <w:color w:val="auto"/>
          <w:sz w:val="2"/>
          <w:szCs w:val="2"/>
        </w:rPr>
        <w:t>596F</w:t>
      </w:r>
      <w:r w:rsidR="007A330E">
        <w:rPr>
          <w:rFonts w:ascii="ZWAdobeF" w:hAnsi="ZWAdobeF" w:cs="ZWAdobeF"/>
          <w:color w:val="auto"/>
          <w:sz w:val="2"/>
          <w:szCs w:val="2"/>
        </w:rPr>
        <w:t>596F</w:t>
      </w:r>
      <w:r w:rsidR="00317AE4">
        <w:rPr>
          <w:rFonts w:ascii="ZWAdobeF" w:hAnsi="ZWAdobeF" w:cs="ZWAdobeF"/>
          <w:color w:val="auto"/>
          <w:sz w:val="2"/>
          <w:szCs w:val="2"/>
        </w:rPr>
        <w:t>596F</w:t>
      </w:r>
      <w:r w:rsidR="00653EA8" w:rsidRPr="00541A3F">
        <w:rPr>
          <w:rStyle w:val="FootnoteReference"/>
        </w:rPr>
        <w:footnoteReference w:id="598"/>
      </w:r>
      <w:r w:rsidR="00653EA8" w:rsidRPr="00541A3F">
        <w:t xml:space="preserve"> This is so “regardless of whether they should have been raised in the group proceeding”.</w:t>
      </w:r>
      <w:r w:rsidR="00D629FA">
        <w:rPr>
          <w:rFonts w:ascii="ZWAdobeF" w:hAnsi="ZWAdobeF" w:cs="ZWAdobeF"/>
          <w:color w:val="auto"/>
          <w:sz w:val="2"/>
          <w:szCs w:val="2"/>
        </w:rPr>
        <w:t>597F</w:t>
      </w:r>
      <w:r w:rsidR="007A330E">
        <w:rPr>
          <w:rFonts w:ascii="ZWAdobeF" w:hAnsi="ZWAdobeF" w:cs="ZWAdobeF"/>
          <w:color w:val="auto"/>
          <w:sz w:val="2"/>
          <w:szCs w:val="2"/>
        </w:rPr>
        <w:t>597F</w:t>
      </w:r>
      <w:r w:rsidR="00317AE4">
        <w:rPr>
          <w:rFonts w:ascii="ZWAdobeF" w:hAnsi="ZWAdobeF" w:cs="ZWAdobeF"/>
          <w:color w:val="auto"/>
          <w:sz w:val="2"/>
          <w:szCs w:val="2"/>
        </w:rPr>
        <w:t>597F</w:t>
      </w:r>
      <w:r w:rsidR="00653EA8" w:rsidRPr="00541A3F">
        <w:rPr>
          <w:rStyle w:val="FootnoteReference"/>
        </w:rPr>
        <w:footnoteReference w:id="599"/>
      </w:r>
      <w:r w:rsidR="00653EA8">
        <w:t xml:space="preserve"> The Court further observed that “[i]t would be quite unjust for a person whose legal interests stood to benefit by making a legal claim to be precluded if they did not have some measure of control of the proceedings in question”.</w:t>
      </w:r>
      <w:r w:rsidR="00D629FA">
        <w:rPr>
          <w:rFonts w:ascii="ZWAdobeF" w:hAnsi="ZWAdobeF" w:cs="ZWAdobeF"/>
          <w:color w:val="auto"/>
          <w:sz w:val="2"/>
          <w:szCs w:val="2"/>
        </w:rPr>
        <w:t>598F</w:t>
      </w:r>
      <w:r w:rsidR="007A330E">
        <w:rPr>
          <w:rFonts w:ascii="ZWAdobeF" w:hAnsi="ZWAdobeF" w:cs="ZWAdobeF"/>
          <w:color w:val="auto"/>
          <w:sz w:val="2"/>
          <w:szCs w:val="2"/>
        </w:rPr>
        <w:t>598F</w:t>
      </w:r>
      <w:r w:rsidR="00317AE4">
        <w:rPr>
          <w:rFonts w:ascii="ZWAdobeF" w:hAnsi="ZWAdobeF" w:cs="ZWAdobeF"/>
          <w:color w:val="auto"/>
          <w:sz w:val="2"/>
          <w:szCs w:val="2"/>
        </w:rPr>
        <w:t>598F</w:t>
      </w:r>
      <w:r w:rsidR="00653EA8" w:rsidRPr="00541A3F">
        <w:rPr>
          <w:rStyle w:val="FootnoteReference"/>
        </w:rPr>
        <w:footnoteReference w:id="600"/>
      </w:r>
    </w:p>
    <w:p w14:paraId="72C57A0B" w14:textId="77777777" w:rsidR="00653EA8" w:rsidRDefault="00653EA8" w:rsidP="00E065E6">
      <w:pPr>
        <w:pStyle w:val="Heading3"/>
      </w:pPr>
      <w:r>
        <w:t xml:space="preserve">What should the binding effect of a class actions judgment be on class members?  </w:t>
      </w:r>
    </w:p>
    <w:p w14:paraId="1CE7DFB3" w14:textId="327F6440" w:rsidR="00653EA8" w:rsidRDefault="00BD5C95" w:rsidP="005B10E9">
      <w:pPr>
        <w:pStyle w:val="BodyText"/>
        <w:tabs>
          <w:tab w:val="num" w:pos="709"/>
        </w:tabs>
      </w:pPr>
      <w:r>
        <w:rPr>
          <w:rFonts w:ascii="ZWAdobeF" w:hAnsi="ZWAdobeF" w:cs="ZWAdobeF"/>
          <w:color w:val="auto"/>
          <w:sz w:val="2"/>
          <w:szCs w:val="2"/>
        </w:rPr>
        <w:t>373B</w:t>
      </w:r>
      <w:r w:rsidR="0049638A">
        <w:rPr>
          <w:rFonts w:ascii="ZWAdobeF" w:hAnsi="ZWAdobeF" w:cs="ZWAdobeF"/>
          <w:color w:val="auto"/>
          <w:sz w:val="2"/>
          <w:szCs w:val="2"/>
        </w:rPr>
        <w:t>373B</w:t>
      </w:r>
      <w:r w:rsidR="00D629FA">
        <w:rPr>
          <w:rFonts w:ascii="ZWAdobeF" w:hAnsi="ZWAdobeF" w:cs="ZWAdobeF"/>
          <w:color w:val="auto"/>
          <w:sz w:val="2"/>
          <w:szCs w:val="2"/>
        </w:rPr>
        <w:t>373B</w:t>
      </w:r>
      <w:r w:rsidR="00653EA8">
        <w:t xml:space="preserve">We think some form of </w:t>
      </w:r>
      <w:r w:rsidR="00653EA8">
        <w:rPr>
          <w:i/>
          <w:iCs/>
        </w:rPr>
        <w:t>res judicata</w:t>
      </w:r>
      <w:r w:rsidR="00653EA8">
        <w:t xml:space="preserve"> </w:t>
      </w:r>
      <w:r w:rsidR="0072153A">
        <w:t>should</w:t>
      </w:r>
      <w:r w:rsidR="00653EA8">
        <w:t xml:space="preserve"> apply to class members. If a class</w:t>
      </w:r>
      <w:r w:rsidR="00E5446B">
        <w:t xml:space="preserve"> actions</w:t>
      </w:r>
      <w:r w:rsidR="00653EA8">
        <w:t xml:space="preserve"> judgment did not bind class members, the common issues would not be resolved, and the efficiencies of a class action would not be achieved.</w:t>
      </w:r>
      <w:r w:rsidR="00D629FA">
        <w:rPr>
          <w:rFonts w:ascii="ZWAdobeF" w:hAnsi="ZWAdobeF" w:cs="ZWAdobeF"/>
          <w:color w:val="auto"/>
          <w:sz w:val="2"/>
          <w:szCs w:val="2"/>
        </w:rPr>
        <w:t>599F</w:t>
      </w:r>
      <w:r w:rsidR="007A330E">
        <w:rPr>
          <w:rFonts w:ascii="ZWAdobeF" w:hAnsi="ZWAdobeF" w:cs="ZWAdobeF"/>
          <w:color w:val="auto"/>
          <w:sz w:val="2"/>
          <w:szCs w:val="2"/>
        </w:rPr>
        <w:t>599F</w:t>
      </w:r>
      <w:r w:rsidR="00317AE4">
        <w:rPr>
          <w:rFonts w:ascii="ZWAdobeF" w:hAnsi="ZWAdobeF" w:cs="ZWAdobeF"/>
          <w:color w:val="auto"/>
          <w:sz w:val="2"/>
          <w:szCs w:val="2"/>
        </w:rPr>
        <w:t>599F</w:t>
      </w:r>
      <w:r w:rsidR="00653EA8">
        <w:rPr>
          <w:rStyle w:val="FootnoteReference"/>
        </w:rPr>
        <w:footnoteReference w:id="601"/>
      </w:r>
      <w:r w:rsidR="00653EA8">
        <w:t xml:space="preserve"> We also think any class actions regime should seek to uphold, to the extent possible, the policy objective that “there should be finality in litigation”.</w:t>
      </w:r>
      <w:r w:rsidR="00D629FA">
        <w:rPr>
          <w:rFonts w:ascii="ZWAdobeF" w:hAnsi="ZWAdobeF" w:cs="ZWAdobeF"/>
          <w:color w:val="auto"/>
          <w:sz w:val="2"/>
          <w:szCs w:val="2"/>
        </w:rPr>
        <w:t>600F</w:t>
      </w:r>
      <w:r w:rsidR="007A330E">
        <w:rPr>
          <w:rFonts w:ascii="ZWAdobeF" w:hAnsi="ZWAdobeF" w:cs="ZWAdobeF"/>
          <w:color w:val="auto"/>
          <w:sz w:val="2"/>
          <w:szCs w:val="2"/>
        </w:rPr>
        <w:t>600F</w:t>
      </w:r>
      <w:r w:rsidR="00317AE4">
        <w:rPr>
          <w:rFonts w:ascii="ZWAdobeF" w:hAnsi="ZWAdobeF" w:cs="ZWAdobeF"/>
          <w:color w:val="auto"/>
          <w:sz w:val="2"/>
          <w:szCs w:val="2"/>
        </w:rPr>
        <w:t>600F</w:t>
      </w:r>
      <w:r w:rsidR="00653EA8">
        <w:rPr>
          <w:rStyle w:val="FootnoteReference"/>
        </w:rPr>
        <w:footnoteReference w:id="602"/>
      </w:r>
    </w:p>
    <w:p w14:paraId="067D987E" w14:textId="2274ACD1" w:rsidR="00653EA8" w:rsidRDefault="00BD5C95" w:rsidP="005B10E9">
      <w:pPr>
        <w:pStyle w:val="BodyText"/>
        <w:tabs>
          <w:tab w:val="num" w:pos="709"/>
        </w:tabs>
      </w:pPr>
      <w:r>
        <w:rPr>
          <w:rFonts w:ascii="ZWAdobeF" w:hAnsi="ZWAdobeF" w:cs="ZWAdobeF"/>
          <w:color w:val="auto"/>
          <w:sz w:val="2"/>
          <w:szCs w:val="2"/>
        </w:rPr>
        <w:t>374B</w:t>
      </w:r>
      <w:r w:rsidR="0049638A">
        <w:rPr>
          <w:rFonts w:ascii="ZWAdobeF" w:hAnsi="ZWAdobeF" w:cs="ZWAdobeF"/>
          <w:color w:val="auto"/>
          <w:sz w:val="2"/>
          <w:szCs w:val="2"/>
        </w:rPr>
        <w:t>374B</w:t>
      </w:r>
      <w:r w:rsidR="00D629FA">
        <w:rPr>
          <w:rFonts w:ascii="ZWAdobeF" w:hAnsi="ZWAdobeF" w:cs="ZWAdobeF"/>
          <w:color w:val="auto"/>
          <w:sz w:val="2"/>
          <w:szCs w:val="2"/>
        </w:rPr>
        <w:t>374B</w:t>
      </w:r>
      <w:r w:rsidR="00653EA8">
        <w:t>At the same time, we think that any provision needs to safeguard the interests of class members, who have little control over the class action and may not even be aware of it (in an opt-out class action).</w:t>
      </w:r>
    </w:p>
    <w:p w14:paraId="1B4FD1AC" w14:textId="5C35AB03" w:rsidR="00653EA8" w:rsidRDefault="00BD5C95" w:rsidP="005B10E9">
      <w:pPr>
        <w:pStyle w:val="BodyText"/>
        <w:tabs>
          <w:tab w:val="num" w:pos="709"/>
        </w:tabs>
      </w:pPr>
      <w:r>
        <w:rPr>
          <w:rFonts w:ascii="ZWAdobeF" w:hAnsi="ZWAdobeF" w:cs="ZWAdobeF"/>
          <w:color w:val="auto"/>
          <w:sz w:val="2"/>
          <w:szCs w:val="2"/>
        </w:rPr>
        <w:t>375B</w:t>
      </w:r>
      <w:r w:rsidR="0049638A">
        <w:rPr>
          <w:rFonts w:ascii="ZWAdobeF" w:hAnsi="ZWAdobeF" w:cs="ZWAdobeF"/>
          <w:color w:val="auto"/>
          <w:sz w:val="2"/>
          <w:szCs w:val="2"/>
        </w:rPr>
        <w:t>375B</w:t>
      </w:r>
      <w:r w:rsidR="00D629FA">
        <w:rPr>
          <w:rFonts w:ascii="ZWAdobeF" w:hAnsi="ZWAdobeF" w:cs="ZWAdobeF"/>
          <w:color w:val="auto"/>
          <w:sz w:val="2"/>
          <w:szCs w:val="2"/>
        </w:rPr>
        <w:t>375B</w:t>
      </w:r>
      <w:r w:rsidR="00653EA8">
        <w:t>Accordingly, we consider a class action</w:t>
      </w:r>
      <w:r w:rsidR="00E5446B">
        <w:t>s</w:t>
      </w:r>
      <w:r w:rsidR="00653EA8">
        <w:t xml:space="preserve"> judgment on the common issues should only bind class members with respect to those common issues (including relief). A class member should not be precluded from bringing subsequent proceedings about issues which were not raised in the class action, even if they could have been. We acknowledge this means the defendant, despite likely facing a large and complex claim, may not always know the full extent of their liability in one proceeding.</w:t>
      </w:r>
      <w:r w:rsidR="00D629FA">
        <w:rPr>
          <w:rFonts w:ascii="ZWAdobeF" w:hAnsi="ZWAdobeF" w:cs="ZWAdobeF"/>
          <w:color w:val="auto"/>
          <w:sz w:val="2"/>
          <w:szCs w:val="2"/>
        </w:rPr>
        <w:t>601F</w:t>
      </w:r>
      <w:r w:rsidR="007A330E">
        <w:rPr>
          <w:rFonts w:ascii="ZWAdobeF" w:hAnsi="ZWAdobeF" w:cs="ZWAdobeF"/>
          <w:color w:val="auto"/>
          <w:sz w:val="2"/>
          <w:szCs w:val="2"/>
        </w:rPr>
        <w:t>601F</w:t>
      </w:r>
      <w:r w:rsidR="00317AE4">
        <w:rPr>
          <w:rFonts w:ascii="ZWAdobeF" w:hAnsi="ZWAdobeF" w:cs="ZWAdobeF"/>
          <w:color w:val="auto"/>
          <w:sz w:val="2"/>
          <w:szCs w:val="2"/>
        </w:rPr>
        <w:t>601F</w:t>
      </w:r>
      <w:r w:rsidR="00653EA8">
        <w:rPr>
          <w:rStyle w:val="FootnoteReference"/>
        </w:rPr>
        <w:footnoteReference w:id="603"/>
      </w:r>
      <w:r w:rsidR="00653EA8">
        <w:t xml:space="preserve"> However, given class members’ lack of control over the way a class action is run, we think it would be unfair for a class member to be bound by the rule in </w:t>
      </w:r>
      <w:r w:rsidR="00653EA8" w:rsidRPr="00DD6C41">
        <w:rPr>
          <w:i/>
          <w:iCs/>
        </w:rPr>
        <w:t>Henderson v Henderson</w:t>
      </w:r>
      <w:r w:rsidR="00653EA8">
        <w:t>. This largely aligns with the approach take</w:t>
      </w:r>
      <w:r w:rsidR="0072153A">
        <w:t>n</w:t>
      </w:r>
      <w:r w:rsidR="00653EA8">
        <w:t xml:space="preserve"> in Ontario and Australia, which we discussed above.</w:t>
      </w:r>
    </w:p>
    <w:p w14:paraId="602B7A4A" w14:textId="11EE8209" w:rsidR="00653EA8" w:rsidRDefault="00BD5C95" w:rsidP="005B10E9">
      <w:pPr>
        <w:pStyle w:val="BodyText"/>
        <w:tabs>
          <w:tab w:val="num" w:pos="709"/>
        </w:tabs>
      </w:pPr>
      <w:r>
        <w:rPr>
          <w:rFonts w:ascii="ZWAdobeF" w:hAnsi="ZWAdobeF" w:cs="ZWAdobeF"/>
          <w:color w:val="auto"/>
          <w:sz w:val="2"/>
          <w:szCs w:val="2"/>
        </w:rPr>
        <w:t>376B</w:t>
      </w:r>
      <w:r w:rsidR="0049638A">
        <w:rPr>
          <w:rFonts w:ascii="ZWAdobeF" w:hAnsi="ZWAdobeF" w:cs="ZWAdobeF"/>
          <w:color w:val="auto"/>
          <w:sz w:val="2"/>
          <w:szCs w:val="2"/>
        </w:rPr>
        <w:t>376B</w:t>
      </w:r>
      <w:r w:rsidR="00D629FA">
        <w:rPr>
          <w:rFonts w:ascii="ZWAdobeF" w:hAnsi="ZWAdobeF" w:cs="ZWAdobeF"/>
          <w:color w:val="auto"/>
          <w:sz w:val="2"/>
          <w:szCs w:val="2"/>
        </w:rPr>
        <w:t>376B</w:t>
      </w:r>
      <w:r w:rsidR="00653EA8">
        <w:t xml:space="preserve">Our view is reflected in </w:t>
      </w:r>
      <w:r w:rsidR="00D939C5">
        <w:t xml:space="preserve">the draft </w:t>
      </w:r>
      <w:r w:rsidR="00653EA8">
        <w:t xml:space="preserve">provision below. In </w:t>
      </w:r>
      <w:r w:rsidR="00D939C5">
        <w:t>developing</w:t>
      </w:r>
      <w:r w:rsidR="00653EA8" w:rsidDel="00D939C5">
        <w:t xml:space="preserve"> </w:t>
      </w:r>
      <w:r w:rsidR="00653EA8">
        <w:t>the provision, we have considered the provisions in Ontario, British Columbia and Victoria.</w:t>
      </w:r>
      <w:r w:rsidR="00D629FA">
        <w:rPr>
          <w:rFonts w:ascii="ZWAdobeF" w:hAnsi="ZWAdobeF" w:cs="ZWAdobeF"/>
          <w:color w:val="auto"/>
          <w:sz w:val="2"/>
          <w:szCs w:val="2"/>
        </w:rPr>
        <w:t>602F</w:t>
      </w:r>
      <w:r w:rsidR="007A330E">
        <w:rPr>
          <w:rFonts w:ascii="ZWAdobeF" w:hAnsi="ZWAdobeF" w:cs="ZWAdobeF"/>
          <w:color w:val="auto"/>
          <w:sz w:val="2"/>
          <w:szCs w:val="2"/>
        </w:rPr>
        <w:t>602F</w:t>
      </w:r>
      <w:r w:rsidR="00317AE4">
        <w:rPr>
          <w:rFonts w:ascii="ZWAdobeF" w:hAnsi="ZWAdobeF" w:cs="ZWAdobeF"/>
          <w:color w:val="auto"/>
          <w:sz w:val="2"/>
          <w:szCs w:val="2"/>
        </w:rPr>
        <w:t>602F</w:t>
      </w:r>
      <w:r w:rsidR="00653EA8">
        <w:rPr>
          <w:rStyle w:val="FootnoteReference"/>
        </w:rPr>
        <w:footnoteReference w:id="604"/>
      </w:r>
      <w:r w:rsidR="00653EA8">
        <w:t xml:space="preserve"> We think the </w:t>
      </w:r>
      <w:r w:rsidR="00653EA8">
        <w:lastRenderedPageBreak/>
        <w:t xml:space="preserve">provisions in Ontario and British Columbia provide a clearer model than Victoria, as these sections expressly state the binding effect of the judgment is limited to the common issues and relief. </w:t>
      </w:r>
    </w:p>
    <w:p w14:paraId="7EFF5BAB" w14:textId="5DBB3871" w:rsidR="00653EA8" w:rsidRDefault="00E065E6" w:rsidP="00E065E6">
      <w:pPr>
        <w:pStyle w:val="Heading3"/>
      </w:pPr>
      <w:r w:rsidRPr="00E065E6">
        <w:rPr>
          <w:noProof/>
          <w:sz w:val="6"/>
          <w:szCs w:val="10"/>
        </w:rPr>
        <mc:AlternateContent>
          <mc:Choice Requires="wps">
            <w:drawing>
              <wp:anchor distT="0" distB="0" distL="114300" distR="114300" simplePos="0" relativeHeight="251651107" behindDoc="1" locked="0" layoutInCell="1" allowOverlap="1" wp14:anchorId="65B31E0C" wp14:editId="1D2AFEA3">
                <wp:simplePos x="0" y="0"/>
                <wp:positionH relativeFrom="column">
                  <wp:posOffset>5715</wp:posOffset>
                </wp:positionH>
                <wp:positionV relativeFrom="paragraph">
                  <wp:posOffset>359410</wp:posOffset>
                </wp:positionV>
                <wp:extent cx="5760085" cy="3076575"/>
                <wp:effectExtent l="0" t="0" r="0" b="9525"/>
                <wp:wrapNone/>
                <wp:docPr id="2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307657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D2B3BAB" id="Freeform 54" o:spid="_x0000_s1026" style="position:absolute;margin-left:.45pt;margin-top:28.3pt;width:453.55pt;height:242.25pt;z-index:-2516653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" path="m,l9354,r,7809l,7809,,e" fillcolor="#edf2ea" stroked="f">
                <v:path arrowok="t" o:connecttype="custom" o:connectlocs="0,393978;5760085,393978;5760085,3470553;0,3470553;0,393978" o:connectangles="0,0,0,0,0"/>
              </v:shape>
            </w:pict>
          </mc:Fallback>
        </mc:AlternateContent>
      </w:r>
      <w:r w:rsidR="00653EA8">
        <w:t>Draft</w:t>
      </w:r>
      <w:r w:rsidR="00653EA8" w:rsidDel="00D939C5">
        <w:t xml:space="preserve"> </w:t>
      </w:r>
      <w:r w:rsidR="00653EA8">
        <w:t>provision on the binding effect of judgments in class actions</w:t>
      </w:r>
    </w:p>
    <w:p w14:paraId="256CB9D1" w14:textId="770492A4" w:rsidR="00653EA8" w:rsidRPr="00E065E6" w:rsidRDefault="00653EA8" w:rsidP="00181C41">
      <w:pPr>
        <w:pStyle w:val="BodyText"/>
        <w:numPr>
          <w:ilvl w:val="0"/>
          <w:numId w:val="0"/>
        </w:numPr>
        <w:ind w:left="709" w:hanging="709"/>
        <w:rPr>
          <w:sz w:val="6"/>
          <w:szCs w:val="10"/>
        </w:rPr>
      </w:pPr>
    </w:p>
    <w:p w14:paraId="1AC19293" w14:textId="5E23AF6B" w:rsidR="0031462F" w:rsidRPr="0031462F" w:rsidRDefault="00BD5C95" w:rsidP="00B73434">
      <w:pPr>
        <w:widowControl w:val="0"/>
        <w:numPr>
          <w:ilvl w:val="0"/>
          <w:numId w:val="55"/>
        </w:numPr>
        <w:tabs>
          <w:tab w:val="left" w:pos="904"/>
          <w:tab w:val="left" w:pos="905"/>
        </w:tabs>
        <w:autoSpaceDE w:val="0"/>
        <w:autoSpaceDN w:val="0"/>
        <w:spacing w:before="213"/>
        <w:ind w:hanging="601"/>
        <w:outlineLvl w:val="2"/>
        <w:rPr>
          <w:rFonts w:ascii="Times New Roman" w:hAnsi="Times New Roman"/>
          <w:b/>
          <w:sz w:val="23"/>
          <w:szCs w:val="23"/>
          <w:lang w:val="en-US" w:bidi="en-US"/>
        </w:rPr>
      </w:pPr>
      <w:r>
        <w:rPr>
          <w:rFonts w:ascii="ZWAdobeF" w:hAnsi="ZWAdobeF" w:cs="ZWAdobeF"/>
          <w:color w:val="auto"/>
          <w:sz w:val="2"/>
          <w:szCs w:val="2"/>
          <w:lang w:val="en-US" w:bidi="en-US"/>
        </w:rPr>
        <w:t>1058B</w:t>
      </w:r>
      <w:r w:rsidR="0049638A">
        <w:rPr>
          <w:rFonts w:ascii="ZWAdobeF" w:hAnsi="ZWAdobeF" w:cs="ZWAdobeF"/>
          <w:color w:val="auto"/>
          <w:sz w:val="2"/>
          <w:szCs w:val="2"/>
          <w:lang w:val="en-US" w:bidi="en-US"/>
        </w:rPr>
        <w:t>1058B</w:t>
      </w:r>
      <w:r w:rsidR="00D629FA">
        <w:rPr>
          <w:rFonts w:ascii="ZWAdobeF" w:hAnsi="ZWAdobeF" w:cs="ZWAdobeF"/>
          <w:color w:val="auto"/>
          <w:sz w:val="2"/>
          <w:szCs w:val="2"/>
          <w:lang w:val="en-US" w:bidi="en-US"/>
        </w:rPr>
        <w:t>1058B</w:t>
      </w:r>
      <w:r w:rsidR="0031462F" w:rsidRPr="0031462F">
        <w:rPr>
          <w:rFonts w:ascii="Times New Roman" w:hAnsi="Times New Roman"/>
          <w:b/>
          <w:sz w:val="23"/>
          <w:szCs w:val="23"/>
          <w:lang w:val="en-US" w:bidi="en-US"/>
        </w:rPr>
        <w:t>Effect of judgment on common issue</w:t>
      </w:r>
    </w:p>
    <w:p w14:paraId="0F20DECC" w14:textId="3A0EA02D" w:rsidR="0031462F" w:rsidRPr="0031462F" w:rsidRDefault="00BD5C95" w:rsidP="00B73434">
      <w:pPr>
        <w:widowControl w:val="0"/>
        <w:numPr>
          <w:ilvl w:val="0"/>
          <w:numId w:val="57"/>
        </w:numPr>
        <w:tabs>
          <w:tab w:val="left" w:pos="904"/>
          <w:tab w:val="left" w:pos="905"/>
        </w:tabs>
        <w:autoSpaceDE w:val="0"/>
        <w:autoSpaceDN w:val="0"/>
        <w:spacing w:before="92" w:line="249" w:lineRule="auto"/>
        <w:ind w:right="298" w:hanging="601"/>
        <w:rPr>
          <w:rFonts w:ascii="Times New Roman" w:hAnsi="Times New Roman"/>
          <w:sz w:val="23"/>
          <w:lang w:val="en-US" w:bidi="en-US"/>
        </w:rPr>
      </w:pPr>
      <w:r>
        <w:rPr>
          <w:rFonts w:ascii="ZWAdobeF" w:hAnsi="ZWAdobeF" w:cs="ZWAdobeF"/>
          <w:color w:val="auto"/>
          <w:sz w:val="2"/>
          <w:szCs w:val="2"/>
          <w:lang w:val="en-US" w:bidi="en-US"/>
        </w:rPr>
        <w:t>1059B</w:t>
      </w:r>
      <w:r w:rsidR="0049638A">
        <w:rPr>
          <w:rFonts w:ascii="ZWAdobeF" w:hAnsi="ZWAdobeF" w:cs="ZWAdobeF"/>
          <w:color w:val="auto"/>
          <w:sz w:val="2"/>
          <w:szCs w:val="2"/>
          <w:lang w:val="en-US" w:bidi="en-US"/>
        </w:rPr>
        <w:t>1059B</w:t>
      </w:r>
      <w:r w:rsidR="00D629FA">
        <w:rPr>
          <w:rFonts w:ascii="ZWAdobeF" w:hAnsi="ZWAdobeF" w:cs="ZWAdobeF"/>
          <w:color w:val="auto"/>
          <w:sz w:val="2"/>
          <w:szCs w:val="2"/>
          <w:lang w:val="en-US" w:bidi="en-US"/>
        </w:rPr>
        <w:t>1059B</w:t>
      </w:r>
      <w:r w:rsidR="0031462F" w:rsidRPr="0031462F">
        <w:rPr>
          <w:rFonts w:ascii="Times New Roman" w:hAnsi="Times New Roman"/>
          <w:sz w:val="23"/>
          <w:lang w:val="en-US" w:bidi="en-US"/>
        </w:rPr>
        <w:t>A judgment on a common issue binds every class member, but only to the extent that the judgment determines a common issue</w:t>
      </w:r>
      <w:r w:rsidR="0031462F" w:rsidRPr="0031462F">
        <w:rPr>
          <w:rFonts w:ascii="Times New Roman" w:hAnsi="Times New Roman"/>
          <w:spacing w:val="-1"/>
          <w:sz w:val="23"/>
          <w:lang w:val="en-US" w:bidi="en-US"/>
        </w:rPr>
        <w:t xml:space="preserve"> </w:t>
      </w:r>
      <w:r w:rsidR="0031462F" w:rsidRPr="0031462F">
        <w:rPr>
          <w:rFonts w:ascii="Times New Roman" w:hAnsi="Times New Roman"/>
          <w:sz w:val="23"/>
          <w:lang w:val="en-US" w:bidi="en-US"/>
        </w:rPr>
        <w:t>that—</w:t>
      </w:r>
    </w:p>
    <w:p w14:paraId="7B0FF4B0" w14:textId="4F3186D6" w:rsidR="0031462F" w:rsidRPr="0031462F" w:rsidRDefault="00BD5C95" w:rsidP="00B73434">
      <w:pPr>
        <w:widowControl w:val="0"/>
        <w:numPr>
          <w:ilvl w:val="1"/>
          <w:numId w:val="57"/>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1060B</w:t>
      </w:r>
      <w:r w:rsidR="0049638A">
        <w:rPr>
          <w:rFonts w:ascii="ZWAdobeF" w:hAnsi="ZWAdobeF" w:cs="ZWAdobeF"/>
          <w:color w:val="auto"/>
          <w:sz w:val="2"/>
          <w:szCs w:val="2"/>
          <w:lang w:val="en-US" w:bidi="en-US"/>
        </w:rPr>
        <w:t>1060B</w:t>
      </w:r>
      <w:r w:rsidR="00D629FA">
        <w:rPr>
          <w:rFonts w:ascii="ZWAdobeF" w:hAnsi="ZWAdobeF" w:cs="ZWAdobeF"/>
          <w:color w:val="auto"/>
          <w:sz w:val="2"/>
          <w:szCs w:val="2"/>
          <w:lang w:val="en-US" w:bidi="en-US"/>
        </w:rPr>
        <w:t>1060B</w:t>
      </w:r>
      <w:r w:rsidR="0031462F" w:rsidRPr="0031462F">
        <w:rPr>
          <w:rFonts w:ascii="Times New Roman" w:hAnsi="Times New Roman"/>
          <w:sz w:val="23"/>
          <w:lang w:val="en-US" w:bidi="en-US"/>
        </w:rPr>
        <w:t>is set out in the certification order;</w:t>
      </w:r>
      <w:r w:rsidR="0031462F" w:rsidRPr="0031462F">
        <w:rPr>
          <w:rFonts w:ascii="Times New Roman" w:hAnsi="Times New Roman"/>
          <w:spacing w:val="-2"/>
          <w:sz w:val="23"/>
          <w:lang w:val="en-US" w:bidi="en-US"/>
        </w:rPr>
        <w:t xml:space="preserve"> </w:t>
      </w:r>
      <w:r w:rsidR="0031462F" w:rsidRPr="0031462F">
        <w:rPr>
          <w:rFonts w:ascii="Times New Roman" w:hAnsi="Times New Roman"/>
          <w:sz w:val="23"/>
          <w:lang w:val="en-US" w:bidi="en-US"/>
        </w:rPr>
        <w:t>and</w:t>
      </w:r>
    </w:p>
    <w:p w14:paraId="2E2AEB74" w14:textId="5905D10B" w:rsidR="0031462F" w:rsidRPr="0031462F" w:rsidRDefault="00BD5C95" w:rsidP="00B73434">
      <w:pPr>
        <w:widowControl w:val="0"/>
        <w:numPr>
          <w:ilvl w:val="1"/>
          <w:numId w:val="57"/>
        </w:numPr>
        <w:tabs>
          <w:tab w:val="left" w:pos="1504"/>
          <w:tab w:val="left" w:pos="1505"/>
        </w:tabs>
        <w:autoSpaceDE w:val="0"/>
        <w:autoSpaceDN w:val="0"/>
        <w:spacing w:before="91"/>
        <w:ind w:hanging="601"/>
        <w:rPr>
          <w:rFonts w:ascii="Times New Roman" w:hAnsi="Times New Roman"/>
          <w:sz w:val="23"/>
          <w:lang w:val="en-US" w:bidi="en-US"/>
        </w:rPr>
      </w:pPr>
      <w:r>
        <w:rPr>
          <w:rFonts w:ascii="ZWAdobeF" w:hAnsi="ZWAdobeF" w:cs="ZWAdobeF"/>
          <w:color w:val="auto"/>
          <w:sz w:val="2"/>
          <w:szCs w:val="2"/>
          <w:lang w:val="en-US" w:bidi="en-US"/>
        </w:rPr>
        <w:t>1061B</w:t>
      </w:r>
      <w:r w:rsidR="0049638A">
        <w:rPr>
          <w:rFonts w:ascii="ZWAdobeF" w:hAnsi="ZWAdobeF" w:cs="ZWAdobeF"/>
          <w:color w:val="auto"/>
          <w:sz w:val="2"/>
          <w:szCs w:val="2"/>
          <w:lang w:val="en-US" w:bidi="en-US"/>
        </w:rPr>
        <w:t>1061B</w:t>
      </w:r>
      <w:r w:rsidR="00D629FA">
        <w:rPr>
          <w:rFonts w:ascii="ZWAdobeF" w:hAnsi="ZWAdobeF" w:cs="ZWAdobeF"/>
          <w:color w:val="auto"/>
          <w:sz w:val="2"/>
          <w:szCs w:val="2"/>
          <w:lang w:val="en-US" w:bidi="en-US"/>
        </w:rPr>
        <w:t>1061B</w:t>
      </w:r>
      <w:r w:rsidR="0031462F" w:rsidRPr="0031462F">
        <w:rPr>
          <w:rFonts w:ascii="Times New Roman" w:hAnsi="Times New Roman"/>
          <w:sz w:val="23"/>
          <w:lang w:val="en-US" w:bidi="en-US"/>
        </w:rPr>
        <w:t>relates to a claim described in the certification order; and</w:t>
      </w:r>
    </w:p>
    <w:p w14:paraId="3F978567" w14:textId="0015A273" w:rsidR="0031462F" w:rsidRPr="0031462F" w:rsidRDefault="00BD5C95" w:rsidP="00B73434">
      <w:pPr>
        <w:widowControl w:val="0"/>
        <w:numPr>
          <w:ilvl w:val="1"/>
          <w:numId w:val="57"/>
        </w:numPr>
        <w:tabs>
          <w:tab w:val="left" w:pos="1504"/>
          <w:tab w:val="left" w:pos="1505"/>
        </w:tabs>
        <w:autoSpaceDE w:val="0"/>
        <w:autoSpaceDN w:val="0"/>
        <w:spacing w:before="92" w:line="249" w:lineRule="auto"/>
        <w:ind w:right="301"/>
        <w:rPr>
          <w:rFonts w:ascii="Times New Roman" w:hAnsi="Times New Roman"/>
          <w:sz w:val="23"/>
          <w:lang w:val="en-US" w:bidi="en-US"/>
        </w:rPr>
      </w:pPr>
      <w:r>
        <w:rPr>
          <w:rFonts w:ascii="ZWAdobeF" w:hAnsi="ZWAdobeF" w:cs="ZWAdobeF"/>
          <w:color w:val="auto"/>
          <w:sz w:val="2"/>
          <w:szCs w:val="2"/>
          <w:lang w:val="en-US" w:bidi="en-US"/>
        </w:rPr>
        <w:t>1062B</w:t>
      </w:r>
      <w:r w:rsidR="0049638A">
        <w:rPr>
          <w:rFonts w:ascii="ZWAdobeF" w:hAnsi="ZWAdobeF" w:cs="ZWAdobeF"/>
          <w:color w:val="auto"/>
          <w:sz w:val="2"/>
          <w:szCs w:val="2"/>
          <w:lang w:val="en-US" w:bidi="en-US"/>
        </w:rPr>
        <w:t>1062B</w:t>
      </w:r>
      <w:r w:rsidR="00D629FA">
        <w:rPr>
          <w:rFonts w:ascii="ZWAdobeF" w:hAnsi="ZWAdobeF" w:cs="ZWAdobeF"/>
          <w:color w:val="auto"/>
          <w:sz w:val="2"/>
          <w:szCs w:val="2"/>
          <w:lang w:val="en-US" w:bidi="en-US"/>
        </w:rPr>
        <w:t>1062B</w:t>
      </w:r>
      <w:r w:rsidR="0031462F" w:rsidRPr="0031462F">
        <w:rPr>
          <w:rFonts w:ascii="Times New Roman" w:hAnsi="Times New Roman"/>
          <w:sz w:val="23"/>
          <w:lang w:val="en-US" w:bidi="en-US"/>
        </w:rPr>
        <w:t xml:space="preserve">relates to relief sought by class members as stated in the certification </w:t>
      </w:r>
      <w:r w:rsidR="0031462F" w:rsidRPr="0031462F">
        <w:rPr>
          <w:rFonts w:ascii="Times New Roman" w:hAnsi="Times New Roman"/>
          <w:spacing w:val="-3"/>
          <w:sz w:val="23"/>
          <w:lang w:val="en-US" w:bidi="en-US"/>
        </w:rPr>
        <w:t>order.</w:t>
      </w:r>
    </w:p>
    <w:p w14:paraId="32E5861A" w14:textId="768C513E" w:rsidR="0031462F" w:rsidRPr="0031462F" w:rsidRDefault="00BD5C95" w:rsidP="00B73434">
      <w:pPr>
        <w:widowControl w:val="0"/>
        <w:numPr>
          <w:ilvl w:val="0"/>
          <w:numId w:val="57"/>
        </w:numPr>
        <w:tabs>
          <w:tab w:val="left" w:pos="904"/>
          <w:tab w:val="left" w:pos="905"/>
        </w:tabs>
        <w:autoSpaceDE w:val="0"/>
        <w:autoSpaceDN w:val="0"/>
        <w:spacing w:before="82" w:line="249" w:lineRule="auto"/>
        <w:ind w:right="299" w:hanging="601"/>
        <w:rPr>
          <w:rFonts w:ascii="Times New Roman" w:hAnsi="Times New Roman"/>
          <w:sz w:val="23"/>
          <w:lang w:val="en-US" w:bidi="en-US"/>
        </w:rPr>
      </w:pPr>
      <w:r>
        <w:rPr>
          <w:rFonts w:ascii="ZWAdobeF" w:hAnsi="ZWAdobeF" w:cs="ZWAdobeF"/>
          <w:color w:val="auto"/>
          <w:sz w:val="2"/>
          <w:szCs w:val="2"/>
          <w:lang w:val="en-US" w:bidi="en-US"/>
        </w:rPr>
        <w:t>1063B</w:t>
      </w:r>
      <w:r w:rsidR="0049638A">
        <w:rPr>
          <w:rFonts w:ascii="ZWAdobeF" w:hAnsi="ZWAdobeF" w:cs="ZWAdobeF"/>
          <w:color w:val="auto"/>
          <w:sz w:val="2"/>
          <w:szCs w:val="2"/>
          <w:lang w:val="en-US" w:bidi="en-US"/>
        </w:rPr>
        <w:t>1063B</w:t>
      </w:r>
      <w:r w:rsidR="00D629FA">
        <w:rPr>
          <w:rFonts w:ascii="ZWAdobeF" w:hAnsi="ZWAdobeF" w:cs="ZWAdobeF"/>
          <w:color w:val="auto"/>
          <w:sz w:val="2"/>
          <w:szCs w:val="2"/>
          <w:lang w:val="en-US" w:bidi="en-US"/>
        </w:rPr>
        <w:t>1063B</w:t>
      </w:r>
      <w:r w:rsidR="0031462F" w:rsidRPr="0031462F">
        <w:rPr>
          <w:rFonts w:ascii="Times New Roman" w:hAnsi="Times New Roman"/>
          <w:sz w:val="23"/>
          <w:lang w:val="en-US" w:bidi="en-US"/>
        </w:rPr>
        <w:t>A judgment on a common issue is not binding between a party to the class action proceeding</w:t>
      </w:r>
      <w:r w:rsidR="0031462F" w:rsidRPr="0031462F">
        <w:rPr>
          <w:rFonts w:ascii="Times New Roman" w:hAnsi="Times New Roman"/>
          <w:spacing w:val="-1"/>
          <w:sz w:val="23"/>
          <w:lang w:val="en-US" w:bidi="en-US"/>
        </w:rPr>
        <w:t xml:space="preserve"> </w:t>
      </w:r>
      <w:r w:rsidR="0031462F" w:rsidRPr="0031462F">
        <w:rPr>
          <w:rFonts w:ascii="Times New Roman" w:hAnsi="Times New Roman"/>
          <w:sz w:val="23"/>
          <w:lang w:val="en-US" w:bidi="en-US"/>
        </w:rPr>
        <w:t>and—</w:t>
      </w:r>
    </w:p>
    <w:p w14:paraId="2A566A70" w14:textId="3BCE5B2B" w:rsidR="0031462F" w:rsidRPr="0031462F" w:rsidRDefault="00BD5C95" w:rsidP="00B73434">
      <w:pPr>
        <w:widowControl w:val="0"/>
        <w:numPr>
          <w:ilvl w:val="1"/>
          <w:numId w:val="57"/>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1064B</w:t>
      </w:r>
      <w:r w:rsidR="0049638A">
        <w:rPr>
          <w:rFonts w:ascii="ZWAdobeF" w:hAnsi="ZWAdobeF" w:cs="ZWAdobeF"/>
          <w:color w:val="auto"/>
          <w:sz w:val="2"/>
          <w:szCs w:val="2"/>
          <w:lang w:val="en-US" w:bidi="en-US"/>
        </w:rPr>
        <w:t>1064B</w:t>
      </w:r>
      <w:r w:rsidR="00D629FA">
        <w:rPr>
          <w:rFonts w:ascii="ZWAdobeF" w:hAnsi="ZWAdobeF" w:cs="ZWAdobeF"/>
          <w:color w:val="auto"/>
          <w:sz w:val="2"/>
          <w:szCs w:val="2"/>
          <w:lang w:val="en-US" w:bidi="en-US"/>
        </w:rPr>
        <w:t>1064B</w:t>
      </w:r>
      <w:r w:rsidR="0031462F" w:rsidRPr="0031462F">
        <w:rPr>
          <w:rFonts w:ascii="Times New Roman" w:hAnsi="Times New Roman"/>
          <w:sz w:val="23"/>
          <w:lang w:val="en-US" w:bidi="en-US"/>
        </w:rPr>
        <w:t>a person who was eligible to opt in to the proceeding but did not do</w:t>
      </w:r>
      <w:r w:rsidR="0031462F" w:rsidRPr="0031462F">
        <w:rPr>
          <w:rFonts w:ascii="Times New Roman" w:hAnsi="Times New Roman"/>
          <w:spacing w:val="-7"/>
          <w:sz w:val="23"/>
          <w:lang w:val="en-US" w:bidi="en-US"/>
        </w:rPr>
        <w:t xml:space="preserve"> </w:t>
      </w:r>
      <w:r w:rsidR="0031462F" w:rsidRPr="0031462F">
        <w:rPr>
          <w:rFonts w:ascii="Times New Roman" w:hAnsi="Times New Roman"/>
          <w:sz w:val="23"/>
          <w:lang w:val="en-US" w:bidi="en-US"/>
        </w:rPr>
        <w:t>so:</w:t>
      </w:r>
    </w:p>
    <w:p w14:paraId="503E201B" w14:textId="605F1C52" w:rsidR="0031462F" w:rsidRPr="0031462F" w:rsidRDefault="00BD5C95" w:rsidP="00B73434">
      <w:pPr>
        <w:widowControl w:val="0"/>
        <w:numPr>
          <w:ilvl w:val="1"/>
          <w:numId w:val="57"/>
        </w:numPr>
        <w:tabs>
          <w:tab w:val="left" w:pos="1504"/>
          <w:tab w:val="left" w:pos="1505"/>
        </w:tabs>
        <w:autoSpaceDE w:val="0"/>
        <w:autoSpaceDN w:val="0"/>
        <w:spacing w:before="91"/>
        <w:ind w:hanging="601"/>
        <w:rPr>
          <w:rFonts w:ascii="Times New Roman" w:hAnsi="Times New Roman"/>
          <w:sz w:val="23"/>
          <w:lang w:val="en-US" w:bidi="en-US"/>
        </w:rPr>
      </w:pPr>
      <w:r>
        <w:rPr>
          <w:rFonts w:ascii="ZWAdobeF" w:hAnsi="ZWAdobeF" w:cs="ZWAdobeF"/>
          <w:color w:val="auto"/>
          <w:sz w:val="2"/>
          <w:szCs w:val="2"/>
          <w:lang w:val="en-US" w:bidi="en-US"/>
        </w:rPr>
        <w:t>1065B</w:t>
      </w:r>
      <w:r w:rsidR="0049638A">
        <w:rPr>
          <w:rFonts w:ascii="ZWAdobeF" w:hAnsi="ZWAdobeF" w:cs="ZWAdobeF"/>
          <w:color w:val="auto"/>
          <w:sz w:val="2"/>
          <w:szCs w:val="2"/>
          <w:lang w:val="en-US" w:bidi="en-US"/>
        </w:rPr>
        <w:t>1065B</w:t>
      </w:r>
      <w:r w:rsidR="00D629FA">
        <w:rPr>
          <w:rFonts w:ascii="ZWAdobeF" w:hAnsi="ZWAdobeF" w:cs="ZWAdobeF"/>
          <w:color w:val="auto"/>
          <w:sz w:val="2"/>
          <w:szCs w:val="2"/>
          <w:lang w:val="en-US" w:bidi="en-US"/>
        </w:rPr>
        <w:t>1065B</w:t>
      </w:r>
      <w:r w:rsidR="0031462F" w:rsidRPr="0031462F">
        <w:rPr>
          <w:rFonts w:ascii="Times New Roman" w:hAnsi="Times New Roman"/>
          <w:sz w:val="23"/>
          <w:lang w:val="en-US" w:bidi="en-US"/>
        </w:rPr>
        <w:t>a person who has opted out of the</w:t>
      </w:r>
      <w:r w:rsidR="0031462F" w:rsidRPr="0031462F">
        <w:rPr>
          <w:rFonts w:ascii="Times New Roman" w:hAnsi="Times New Roman"/>
          <w:spacing w:val="-2"/>
          <w:sz w:val="23"/>
          <w:lang w:val="en-US" w:bidi="en-US"/>
        </w:rPr>
        <w:t xml:space="preserve"> </w:t>
      </w:r>
      <w:r w:rsidR="0031462F" w:rsidRPr="0031462F">
        <w:rPr>
          <w:rFonts w:ascii="Times New Roman" w:hAnsi="Times New Roman"/>
          <w:sz w:val="23"/>
          <w:lang w:val="en-US" w:bidi="en-US"/>
        </w:rPr>
        <w:t>proceeding.</w:t>
      </w:r>
    </w:p>
    <w:p w14:paraId="0F91B543" w14:textId="297472E2" w:rsidR="0031462F" w:rsidRDefault="0031462F" w:rsidP="00181C41">
      <w:pPr>
        <w:pStyle w:val="BodyText"/>
        <w:numPr>
          <w:ilvl w:val="0"/>
          <w:numId w:val="0"/>
        </w:numPr>
        <w:ind w:left="709" w:hanging="709"/>
      </w:pPr>
    </w:p>
    <w:p w14:paraId="522E4E03" w14:textId="1B5F51AD" w:rsidR="00E10C6F" w:rsidRDefault="004E60D6" w:rsidP="00997427">
      <w:pPr>
        <w:pStyle w:val="QuestionBox"/>
      </w:pPr>
      <w:r>
        <w:rPr>
          <w:noProof/>
        </w:rPr>
        <mc:AlternateContent>
          <mc:Choice Requires="wpg">
            <w:drawing>
              <wp:anchor distT="0" distB="0" distL="114300" distR="114300" simplePos="0" relativeHeight="251652169" behindDoc="1" locked="0" layoutInCell="1" allowOverlap="1" wp14:anchorId="2BA30B8B" wp14:editId="157772E8">
                <wp:simplePos x="0" y="0"/>
                <wp:positionH relativeFrom="column">
                  <wp:posOffset>-1833</wp:posOffset>
                </wp:positionH>
                <wp:positionV relativeFrom="paragraph">
                  <wp:posOffset>270306</wp:posOffset>
                </wp:positionV>
                <wp:extent cx="5760085" cy="1112838"/>
                <wp:effectExtent l="0" t="0" r="0" b="0"/>
                <wp:wrapNone/>
                <wp:docPr id="764518323" name="Group 764518323"/>
                <wp:cNvGraphicFramePr/>
                <a:graphic xmlns:a="http://schemas.openxmlformats.org/drawingml/2006/main">
                  <a:graphicData uri="http://schemas.microsoft.com/office/word/2010/wordprocessingGroup">
                    <wpg:wgp>
                      <wpg:cNvGrpSpPr/>
                      <wpg:grpSpPr>
                        <a:xfrm>
                          <a:off x="0" y="0"/>
                          <a:ext cx="5760085" cy="1112838"/>
                          <a:chOff x="0" y="62865"/>
                          <a:chExt cx="5760085" cy="1113540"/>
                        </a:xfrm>
                      </wpg:grpSpPr>
                      <wps:wsp>
                        <wps:cNvPr id="76451832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D31E8B" w14:textId="77777777" w:rsidR="00A55F53" w:rsidRDefault="00A55F53" w:rsidP="004E60D6">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325" name="Group 53"/>
                        <wpg:cNvGrpSpPr>
                          <a:grpSpLocks/>
                        </wpg:cNvGrpSpPr>
                        <wpg:grpSpPr bwMode="auto">
                          <a:xfrm>
                            <a:off x="0" y="316263"/>
                            <a:ext cx="5760085" cy="860142"/>
                            <a:chOff x="1837" y="1792"/>
                            <a:chExt cx="9302" cy="9291"/>
                          </a:xfrm>
                        </wpg:grpSpPr>
                        <wps:wsp>
                          <wps:cNvPr id="764518326" name="Freeform 54"/>
                          <wps:cNvSpPr>
                            <a:spLocks/>
                          </wps:cNvSpPr>
                          <wps:spPr bwMode="auto">
                            <a:xfrm>
                              <a:off x="1837" y="1792"/>
                              <a:ext cx="9302" cy="929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327" name="Group 764518327"/>
                        <wpg:cNvGrpSpPr/>
                        <wpg:grpSpPr>
                          <a:xfrm>
                            <a:off x="0" y="494036"/>
                            <a:ext cx="1443794" cy="252000"/>
                            <a:chOff x="-15880" y="0"/>
                            <a:chExt cx="1444379" cy="252068"/>
                          </a:xfrm>
                        </wpg:grpSpPr>
                        <wps:wsp>
                          <wps:cNvPr id="76451832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32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4774B8" w14:textId="6A184A22" w:rsidR="00A55F53" w:rsidRPr="00E700FF" w:rsidRDefault="00A55F53" w:rsidP="004E60D6">
                                <w:pPr>
                                  <w:pStyle w:val="BoxTitle"/>
                                  <w:spacing w:before="0" w:beforeAutospacing="0"/>
                                </w:pPr>
                                <w:r w:rsidRPr="001C1B37">
                                  <w:t>Q</w:t>
                                </w:r>
                                <w:r>
                                  <w:t>29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BA30B8B" id="Group 764518323" o:spid="_x0000_s1402" style="position:absolute;left:0;text-align:left;margin-left:-.15pt;margin-top:21.3pt;width:453.55pt;height:87.65pt;z-index:-251664311;mso-height-relative:margin" coordorigin=",628" coordsize="57600,1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">
                <v:shape id="_x0000_s140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1D31E8B" w14:textId="77777777" w:rsidR="00A55F53" w:rsidRDefault="00A55F53" w:rsidP="004E60D6">
                        <w:pPr>
                          <w:pStyle w:val="BoxTitle"/>
                          <w:spacing w:before="0" w:beforeAutospacing="0"/>
                        </w:pPr>
                        <w:r w:rsidRPr="007F6876">
                          <w:t>QUESTION</w:t>
                        </w:r>
                      </w:p>
                    </w:txbxContent>
                  </v:textbox>
                </v:shape>
                <v:group id="Group 53" o:spid="_x0000_s1404" style="position:absolute;top:3162;width:57600;height:8602" coordorigin="1837,1792" coordsize="9302,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">
                  <v:shape id="Freeform 54" o:spid="_x0000_s1405" style="position:absolute;left:1837;top:1792;width:9302;height:929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" path="m,l9354,r,7809l,7809,,e" fillcolor="#edf2ea" stroked="f">
                    <v:path arrowok="t" o:connecttype="custom" o:connectlocs="0,1190;9302,1190;9302,10481;0,10481;0,1190" o:connectangles="0,0,0,0,0"/>
                  </v:shape>
                </v:group>
                <v:group id="Group 764518327" o:spid="_x0000_s140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">
                  <v:shape id="Freeform 58" o:spid="_x0000_s140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" path="m,l1815,e" filled="f" strokecolor="#72ab6a" strokeweight=".5pt">
                    <v:path arrowok="t" o:connecttype="custom" o:connectlocs="0,0;1073495,0" o:connectangles="0,0"/>
                  </v:shape>
                  <v:shape id="Freeform 66" o:spid="_x0000_s140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B4774B8" w14:textId="6A184A22" w:rsidR="00A55F53" w:rsidRPr="00E700FF" w:rsidRDefault="00A55F53" w:rsidP="004E60D6">
                          <w:pPr>
                            <w:pStyle w:val="BoxTitle"/>
                            <w:spacing w:before="0" w:beforeAutospacing="0"/>
                          </w:pPr>
                          <w:r w:rsidRPr="001C1B37">
                            <w:t>Q</w:t>
                          </w:r>
                          <w:r>
                            <w:t>29</w:t>
                          </w:r>
                        </w:p>
                      </w:txbxContent>
                    </v:textbox>
                  </v:shape>
                </v:group>
              </v:group>
            </w:pict>
          </mc:Fallback>
        </mc:AlternateContent>
      </w:r>
    </w:p>
    <w:p w14:paraId="34596CC0" w14:textId="2BB35F64" w:rsidR="00997427" w:rsidRDefault="00997427" w:rsidP="00997427">
      <w:pPr>
        <w:pStyle w:val="QuestionBox"/>
      </w:pPr>
    </w:p>
    <w:p w14:paraId="594F8737" w14:textId="132543F7" w:rsidR="00997427" w:rsidRDefault="00997427" w:rsidP="00997427">
      <w:pPr>
        <w:pStyle w:val="QuestionBox"/>
      </w:pPr>
    </w:p>
    <w:p w14:paraId="572142CB" w14:textId="4A4F543A" w:rsidR="00653EA8" w:rsidRDefault="00BD5C95" w:rsidP="00997427">
      <w:pPr>
        <w:pStyle w:val="QuestionBox"/>
      </w:pPr>
      <w:r>
        <w:rPr>
          <w:rFonts w:ascii="ZWAdobeF" w:hAnsi="ZWAdobeF" w:cs="ZWAdobeF"/>
          <w:color w:val="auto"/>
          <w:sz w:val="2"/>
          <w:szCs w:val="2"/>
        </w:rPr>
        <w:t>1430B</w:t>
      </w:r>
      <w:r w:rsidR="0049638A">
        <w:rPr>
          <w:rFonts w:ascii="ZWAdobeF" w:hAnsi="ZWAdobeF" w:cs="ZWAdobeF"/>
          <w:color w:val="auto"/>
          <w:sz w:val="2"/>
          <w:szCs w:val="2"/>
        </w:rPr>
        <w:t>1430B</w:t>
      </w:r>
      <w:r w:rsidR="00D629FA">
        <w:rPr>
          <w:rFonts w:ascii="ZWAdobeF" w:hAnsi="ZWAdobeF" w:cs="ZWAdobeF"/>
          <w:color w:val="auto"/>
          <w:sz w:val="2"/>
          <w:szCs w:val="2"/>
        </w:rPr>
        <w:t>1430B</w:t>
      </w:r>
      <w:r w:rsidR="00653EA8">
        <w:t>Do you agree with our draft provision</w:t>
      </w:r>
      <w:r w:rsidR="00D939C5">
        <w:t xml:space="preserve"> on the </w:t>
      </w:r>
      <w:r w:rsidR="00843ACC">
        <w:t>binding effect of a class actions judgment</w:t>
      </w:r>
      <w:r w:rsidR="00653EA8">
        <w:t xml:space="preserve">? If not, how should it be amended?  </w:t>
      </w:r>
    </w:p>
    <w:p w14:paraId="52A1A3EA" w14:textId="63D626A2" w:rsidR="00997427" w:rsidRPr="006A0F43" w:rsidRDefault="00CB744B" w:rsidP="00CB744B">
      <w:pPr>
        <w:pStyle w:val="QuestionBox"/>
        <w:tabs>
          <w:tab w:val="left" w:pos="3928"/>
        </w:tabs>
      </w:pPr>
      <w:r>
        <w:tab/>
      </w:r>
    </w:p>
    <w:p w14:paraId="320C449B" w14:textId="77777777" w:rsidR="00653EA8" w:rsidRPr="00FF5662" w:rsidRDefault="00653EA8" w:rsidP="004E60D6">
      <w:pPr>
        <w:pStyle w:val="Heading2"/>
      </w:pPr>
      <w:bookmarkStart w:id="87" w:name="_Toc83895457"/>
      <w:r>
        <w:t>Damages in class actions</w:t>
      </w:r>
      <w:bookmarkEnd w:id="87"/>
    </w:p>
    <w:p w14:paraId="1BB0C680" w14:textId="05FF54FC" w:rsidR="00653EA8" w:rsidRPr="00383B9B" w:rsidRDefault="00BD5C95" w:rsidP="005B10E9">
      <w:pPr>
        <w:pStyle w:val="BodyText"/>
      </w:pPr>
      <w:r>
        <w:rPr>
          <w:rFonts w:ascii="ZWAdobeF" w:hAnsi="ZWAdobeF" w:cs="ZWAdobeF"/>
          <w:color w:val="auto"/>
          <w:sz w:val="2"/>
          <w:szCs w:val="2"/>
        </w:rPr>
        <w:t>377B</w:t>
      </w:r>
      <w:r w:rsidR="0049638A">
        <w:rPr>
          <w:rFonts w:ascii="ZWAdobeF" w:hAnsi="ZWAdobeF" w:cs="ZWAdobeF"/>
          <w:color w:val="auto"/>
          <w:sz w:val="2"/>
          <w:szCs w:val="2"/>
        </w:rPr>
        <w:t>377B</w:t>
      </w:r>
      <w:r w:rsidR="00D629FA">
        <w:rPr>
          <w:rFonts w:ascii="ZWAdobeF" w:hAnsi="ZWAdobeF" w:cs="ZWAdobeF"/>
          <w:color w:val="auto"/>
          <w:sz w:val="2"/>
          <w:szCs w:val="2"/>
        </w:rPr>
        <w:t>377B</w:t>
      </w:r>
      <w:r w:rsidR="00653EA8">
        <w:t>There are several potential ways of assessing damages in a class action. The court could determine the amount due to each class member on an individual basis, as it does in ordinary litigation. Because awarding damages on an individual basis to class members may be a lengthy and difficult exercise, particularly if the class is large, overseas class actions regimes have developed alternative means of assessing damages. One method is to award damages on an aggregate basis, with a formula or other method to allocate individual entitlements. Another method is to award the damages to an organisation closely associated with the claim, which is known as a cy-près award.</w:t>
      </w:r>
      <w:r w:rsidR="00D629FA">
        <w:rPr>
          <w:rFonts w:ascii="ZWAdobeF" w:hAnsi="ZWAdobeF" w:cs="ZWAdobeF"/>
          <w:color w:val="auto"/>
          <w:sz w:val="2"/>
          <w:szCs w:val="2"/>
        </w:rPr>
        <w:t>603F</w:t>
      </w:r>
      <w:r w:rsidR="007A330E">
        <w:rPr>
          <w:rFonts w:ascii="ZWAdobeF" w:hAnsi="ZWAdobeF" w:cs="ZWAdobeF"/>
          <w:color w:val="auto"/>
          <w:sz w:val="2"/>
          <w:szCs w:val="2"/>
        </w:rPr>
        <w:t>603F</w:t>
      </w:r>
      <w:r w:rsidR="00317AE4">
        <w:rPr>
          <w:rFonts w:ascii="ZWAdobeF" w:hAnsi="ZWAdobeF" w:cs="ZWAdobeF"/>
          <w:color w:val="auto"/>
          <w:sz w:val="2"/>
          <w:szCs w:val="2"/>
        </w:rPr>
        <w:t>603F</w:t>
      </w:r>
      <w:r w:rsidR="00653EA8">
        <w:rPr>
          <w:rStyle w:val="FootnoteReference"/>
        </w:rPr>
        <w:footnoteReference w:id="605"/>
      </w:r>
      <w:r w:rsidR="00653EA8">
        <w:t xml:space="preserve"> We discuss each of these forms of damages below and also provide a draft provision.</w:t>
      </w:r>
    </w:p>
    <w:p w14:paraId="67BBEE52" w14:textId="77777777" w:rsidR="00653EA8" w:rsidRDefault="00653EA8" w:rsidP="004E60D6">
      <w:pPr>
        <w:pStyle w:val="Heading3"/>
      </w:pPr>
      <w:r>
        <w:lastRenderedPageBreak/>
        <w:t>Individual Damages</w:t>
      </w:r>
    </w:p>
    <w:p w14:paraId="2FB2A71E" w14:textId="335C600E" w:rsidR="00653EA8" w:rsidRDefault="00BD5C95" w:rsidP="005B10E9">
      <w:pPr>
        <w:pStyle w:val="BodyText"/>
      </w:pPr>
      <w:r>
        <w:rPr>
          <w:rFonts w:ascii="ZWAdobeF" w:hAnsi="ZWAdobeF" w:cs="ZWAdobeF"/>
          <w:color w:val="auto"/>
          <w:sz w:val="2"/>
          <w:szCs w:val="2"/>
        </w:rPr>
        <w:t>378B</w:t>
      </w:r>
      <w:r w:rsidR="0049638A">
        <w:rPr>
          <w:rFonts w:ascii="ZWAdobeF" w:hAnsi="ZWAdobeF" w:cs="ZWAdobeF"/>
          <w:color w:val="auto"/>
          <w:sz w:val="2"/>
          <w:szCs w:val="2"/>
        </w:rPr>
        <w:t>378B</w:t>
      </w:r>
      <w:r w:rsidR="00D629FA">
        <w:rPr>
          <w:rFonts w:ascii="ZWAdobeF" w:hAnsi="ZWAdobeF" w:cs="ZWAdobeF"/>
          <w:color w:val="auto"/>
          <w:sz w:val="2"/>
          <w:szCs w:val="2"/>
        </w:rPr>
        <w:t>378B</w:t>
      </w:r>
      <w:r w:rsidR="00653EA8">
        <w:t xml:space="preserve">Individual assessment of damages is likely to be </w:t>
      </w:r>
      <w:r w:rsidR="00323A46">
        <w:t xml:space="preserve">appropriate </w:t>
      </w:r>
      <w:r w:rsidR="00653EA8">
        <w:t>where the class is small and/or there is a simple method available for calculating damages. Individual assessment of damages may also be necessary where individual issues must be determined to address quantum, including contributory negligence, mitigation, and the extent of the damage.</w:t>
      </w:r>
      <w:r w:rsidR="00D629FA">
        <w:rPr>
          <w:rFonts w:ascii="ZWAdobeF" w:hAnsi="ZWAdobeF" w:cs="ZWAdobeF"/>
          <w:color w:val="auto"/>
          <w:sz w:val="2"/>
          <w:szCs w:val="2"/>
        </w:rPr>
        <w:t>604F</w:t>
      </w:r>
      <w:r w:rsidR="007A330E">
        <w:rPr>
          <w:rFonts w:ascii="ZWAdobeF" w:hAnsi="ZWAdobeF" w:cs="ZWAdobeF"/>
          <w:color w:val="auto"/>
          <w:sz w:val="2"/>
          <w:szCs w:val="2"/>
        </w:rPr>
        <w:t>604F</w:t>
      </w:r>
      <w:r w:rsidR="00317AE4">
        <w:rPr>
          <w:rFonts w:ascii="ZWAdobeF" w:hAnsi="ZWAdobeF" w:cs="ZWAdobeF"/>
          <w:color w:val="auto"/>
          <w:sz w:val="2"/>
          <w:szCs w:val="2"/>
        </w:rPr>
        <w:t>604F</w:t>
      </w:r>
      <w:r w:rsidR="00653EA8">
        <w:rPr>
          <w:rStyle w:val="FootnoteReference"/>
        </w:rPr>
        <w:footnoteReference w:id="606"/>
      </w:r>
      <w:r w:rsidR="00653EA8">
        <w:t xml:space="preserve"> Courts have a power to award individual damages to class members in the United States,</w:t>
      </w:r>
      <w:r w:rsidR="00D629FA">
        <w:rPr>
          <w:rFonts w:ascii="ZWAdobeF" w:hAnsi="ZWAdobeF" w:cs="ZWAdobeF"/>
          <w:color w:val="auto"/>
          <w:sz w:val="2"/>
          <w:szCs w:val="2"/>
        </w:rPr>
        <w:t>605F</w:t>
      </w:r>
      <w:r w:rsidR="007A330E">
        <w:rPr>
          <w:rFonts w:ascii="ZWAdobeF" w:hAnsi="ZWAdobeF" w:cs="ZWAdobeF"/>
          <w:color w:val="auto"/>
          <w:sz w:val="2"/>
          <w:szCs w:val="2"/>
        </w:rPr>
        <w:t>605F</w:t>
      </w:r>
      <w:r w:rsidR="00317AE4">
        <w:rPr>
          <w:rFonts w:ascii="ZWAdobeF" w:hAnsi="ZWAdobeF" w:cs="ZWAdobeF"/>
          <w:color w:val="auto"/>
          <w:sz w:val="2"/>
          <w:szCs w:val="2"/>
        </w:rPr>
        <w:t>605F</w:t>
      </w:r>
      <w:r w:rsidR="00653EA8">
        <w:rPr>
          <w:rStyle w:val="FootnoteReference"/>
        </w:rPr>
        <w:footnoteReference w:id="607"/>
      </w:r>
      <w:r w:rsidR="00653EA8">
        <w:t xml:space="preserve"> Australia</w:t>
      </w:r>
      <w:r w:rsidR="00D629FA">
        <w:rPr>
          <w:rFonts w:ascii="ZWAdobeF" w:hAnsi="ZWAdobeF" w:cs="ZWAdobeF"/>
          <w:color w:val="auto"/>
          <w:sz w:val="2"/>
          <w:szCs w:val="2"/>
        </w:rPr>
        <w:t>606F</w:t>
      </w:r>
      <w:r w:rsidR="007A330E">
        <w:rPr>
          <w:rFonts w:ascii="ZWAdobeF" w:hAnsi="ZWAdobeF" w:cs="ZWAdobeF"/>
          <w:color w:val="auto"/>
          <w:sz w:val="2"/>
          <w:szCs w:val="2"/>
        </w:rPr>
        <w:t>606F</w:t>
      </w:r>
      <w:r w:rsidR="00317AE4">
        <w:rPr>
          <w:rFonts w:ascii="ZWAdobeF" w:hAnsi="ZWAdobeF" w:cs="ZWAdobeF"/>
          <w:color w:val="auto"/>
          <w:sz w:val="2"/>
          <w:szCs w:val="2"/>
        </w:rPr>
        <w:t>606F</w:t>
      </w:r>
      <w:r w:rsidR="00653EA8">
        <w:rPr>
          <w:rStyle w:val="FootnoteReference"/>
        </w:rPr>
        <w:footnoteReference w:id="608"/>
      </w:r>
      <w:r w:rsidR="00653EA8">
        <w:t xml:space="preserve"> and Canada,</w:t>
      </w:r>
      <w:r w:rsidR="00D629FA">
        <w:rPr>
          <w:rFonts w:ascii="ZWAdobeF" w:hAnsi="ZWAdobeF" w:cs="ZWAdobeF"/>
          <w:color w:val="auto"/>
          <w:sz w:val="2"/>
          <w:szCs w:val="2"/>
        </w:rPr>
        <w:t>607F</w:t>
      </w:r>
      <w:r w:rsidR="007A330E">
        <w:rPr>
          <w:rFonts w:ascii="ZWAdobeF" w:hAnsi="ZWAdobeF" w:cs="ZWAdobeF"/>
          <w:color w:val="auto"/>
          <w:sz w:val="2"/>
          <w:szCs w:val="2"/>
        </w:rPr>
        <w:t>607F</w:t>
      </w:r>
      <w:r w:rsidR="00317AE4">
        <w:rPr>
          <w:rFonts w:ascii="ZWAdobeF" w:hAnsi="ZWAdobeF" w:cs="ZWAdobeF"/>
          <w:color w:val="auto"/>
          <w:sz w:val="2"/>
          <w:szCs w:val="2"/>
        </w:rPr>
        <w:t>607F</w:t>
      </w:r>
      <w:r w:rsidR="00653EA8">
        <w:rPr>
          <w:rStyle w:val="FootnoteReference"/>
        </w:rPr>
        <w:footnoteReference w:id="609"/>
      </w:r>
      <w:r w:rsidR="00653EA8">
        <w:t xml:space="preserve"> and in the United Kingdom Competition Appeal Tribunal.</w:t>
      </w:r>
      <w:r w:rsidR="00D629FA">
        <w:rPr>
          <w:rFonts w:ascii="ZWAdobeF" w:hAnsi="ZWAdobeF" w:cs="ZWAdobeF"/>
          <w:color w:val="auto"/>
          <w:sz w:val="2"/>
          <w:szCs w:val="2"/>
        </w:rPr>
        <w:t>608F</w:t>
      </w:r>
      <w:r w:rsidR="007A330E">
        <w:rPr>
          <w:rFonts w:ascii="ZWAdobeF" w:hAnsi="ZWAdobeF" w:cs="ZWAdobeF"/>
          <w:color w:val="auto"/>
          <w:sz w:val="2"/>
          <w:szCs w:val="2"/>
        </w:rPr>
        <w:t>608F</w:t>
      </w:r>
      <w:r w:rsidR="00317AE4">
        <w:rPr>
          <w:rFonts w:ascii="ZWAdobeF" w:hAnsi="ZWAdobeF" w:cs="ZWAdobeF"/>
          <w:color w:val="auto"/>
          <w:sz w:val="2"/>
          <w:szCs w:val="2"/>
        </w:rPr>
        <w:t>608F</w:t>
      </w:r>
      <w:r w:rsidR="00653EA8">
        <w:rPr>
          <w:rStyle w:val="FootnoteReference"/>
        </w:rPr>
        <w:footnoteReference w:id="610"/>
      </w:r>
      <w:r w:rsidR="00653EA8">
        <w:t xml:space="preserve"> </w:t>
      </w:r>
    </w:p>
    <w:p w14:paraId="73C1EFE1" w14:textId="63295CB0" w:rsidR="00653EA8" w:rsidRDefault="00BD5C95" w:rsidP="005B10E9">
      <w:pPr>
        <w:pStyle w:val="BodyText"/>
      </w:pPr>
      <w:r>
        <w:rPr>
          <w:rFonts w:ascii="ZWAdobeF" w:hAnsi="ZWAdobeF" w:cs="ZWAdobeF"/>
          <w:color w:val="auto"/>
          <w:sz w:val="2"/>
          <w:szCs w:val="2"/>
        </w:rPr>
        <w:t>379B</w:t>
      </w:r>
      <w:r w:rsidR="0049638A">
        <w:rPr>
          <w:rFonts w:ascii="ZWAdobeF" w:hAnsi="ZWAdobeF" w:cs="ZWAdobeF"/>
          <w:color w:val="auto"/>
          <w:sz w:val="2"/>
          <w:szCs w:val="2"/>
        </w:rPr>
        <w:t>379B</w:t>
      </w:r>
      <w:r w:rsidR="00D629FA">
        <w:rPr>
          <w:rFonts w:ascii="ZWAdobeF" w:hAnsi="ZWAdobeF" w:cs="ZWAdobeF"/>
          <w:color w:val="auto"/>
          <w:sz w:val="2"/>
          <w:szCs w:val="2"/>
        </w:rPr>
        <w:t>379B</w:t>
      </w:r>
      <w:r w:rsidR="00653EA8">
        <w:t xml:space="preserve">We consider the class actions regime should expressly empower the courts to make individual awards of damages. As this is the usual basis for awarding damages, we have not developed a draft provision for consultation.   </w:t>
      </w:r>
    </w:p>
    <w:p w14:paraId="721C7D9A" w14:textId="79DDBE3E" w:rsidR="00653EA8" w:rsidRDefault="00BD5C95" w:rsidP="005B10E9">
      <w:pPr>
        <w:pStyle w:val="BodyText"/>
      </w:pPr>
      <w:r>
        <w:rPr>
          <w:rFonts w:ascii="ZWAdobeF" w:hAnsi="ZWAdobeF" w:cs="ZWAdobeF"/>
          <w:color w:val="auto"/>
          <w:sz w:val="2"/>
          <w:szCs w:val="2"/>
        </w:rPr>
        <w:t>380B</w:t>
      </w:r>
      <w:r w:rsidR="0049638A">
        <w:rPr>
          <w:rFonts w:ascii="ZWAdobeF" w:hAnsi="ZWAdobeF" w:cs="ZWAdobeF"/>
          <w:color w:val="auto"/>
          <w:sz w:val="2"/>
          <w:szCs w:val="2"/>
        </w:rPr>
        <w:t>380B</w:t>
      </w:r>
      <w:r w:rsidR="00D629FA">
        <w:rPr>
          <w:rFonts w:ascii="ZWAdobeF" w:hAnsi="ZWAdobeF" w:cs="ZWAdobeF"/>
          <w:color w:val="auto"/>
          <w:sz w:val="2"/>
          <w:szCs w:val="2"/>
        </w:rPr>
        <w:t>380B</w:t>
      </w:r>
      <w:r w:rsidR="00653EA8">
        <w:t>As we discuss in Chapter 4, there are various approaches which could make it practical for the court to determine individual issues</w:t>
      </w:r>
      <w:r w:rsidR="00761C17">
        <w:t>, including damages</w:t>
      </w:r>
      <w:r w:rsidR="00653EA8">
        <w:t>.</w:t>
      </w:r>
      <w:r w:rsidR="00D629FA">
        <w:rPr>
          <w:rFonts w:ascii="ZWAdobeF" w:hAnsi="ZWAdobeF" w:cs="ZWAdobeF"/>
          <w:color w:val="auto"/>
          <w:sz w:val="2"/>
          <w:szCs w:val="2"/>
        </w:rPr>
        <w:t>609F</w:t>
      </w:r>
      <w:r w:rsidR="007A330E">
        <w:rPr>
          <w:rFonts w:ascii="ZWAdobeF" w:hAnsi="ZWAdobeF" w:cs="ZWAdobeF"/>
          <w:color w:val="auto"/>
          <w:sz w:val="2"/>
          <w:szCs w:val="2"/>
        </w:rPr>
        <w:t>609F</w:t>
      </w:r>
      <w:r w:rsidR="00317AE4">
        <w:rPr>
          <w:rFonts w:ascii="ZWAdobeF" w:hAnsi="ZWAdobeF" w:cs="ZWAdobeF"/>
          <w:color w:val="auto"/>
          <w:sz w:val="2"/>
          <w:szCs w:val="2"/>
        </w:rPr>
        <w:t>609F</w:t>
      </w:r>
      <w:r w:rsidR="00653EA8">
        <w:rPr>
          <w:rStyle w:val="FootnoteReference"/>
        </w:rPr>
        <w:footnoteReference w:id="611"/>
      </w:r>
      <w:r w:rsidR="00653EA8">
        <w:t xml:space="preserve"> </w:t>
      </w:r>
    </w:p>
    <w:p w14:paraId="4A0B6851" w14:textId="77777777" w:rsidR="00653EA8" w:rsidRDefault="00653EA8" w:rsidP="004E60D6">
      <w:pPr>
        <w:pStyle w:val="Heading3"/>
      </w:pPr>
      <w:r>
        <w:t>Aggregate damages</w:t>
      </w:r>
    </w:p>
    <w:p w14:paraId="32ADD081" w14:textId="190CC4B8" w:rsidR="00653EA8" w:rsidRDefault="00BD5C95" w:rsidP="00932DB9">
      <w:pPr>
        <w:pStyle w:val="BodyText"/>
      </w:pPr>
      <w:r>
        <w:rPr>
          <w:rFonts w:ascii="ZWAdobeF" w:hAnsi="ZWAdobeF" w:cs="ZWAdobeF"/>
          <w:color w:val="auto"/>
          <w:sz w:val="2"/>
          <w:szCs w:val="2"/>
        </w:rPr>
        <w:t>381B</w:t>
      </w:r>
      <w:r w:rsidR="0049638A">
        <w:rPr>
          <w:rFonts w:ascii="ZWAdobeF" w:hAnsi="ZWAdobeF" w:cs="ZWAdobeF"/>
          <w:color w:val="auto"/>
          <w:sz w:val="2"/>
          <w:szCs w:val="2"/>
        </w:rPr>
        <w:t>381B</w:t>
      </w:r>
      <w:r w:rsidR="00D629FA">
        <w:rPr>
          <w:rFonts w:ascii="ZWAdobeF" w:hAnsi="ZWAdobeF" w:cs="ZWAdobeF"/>
          <w:color w:val="auto"/>
          <w:sz w:val="2"/>
          <w:szCs w:val="2"/>
        </w:rPr>
        <w:t>381B</w:t>
      </w:r>
      <w:r w:rsidR="00653EA8">
        <w:t xml:space="preserve">An alternative to individual damages is to </w:t>
      </w:r>
      <w:r w:rsidR="00F302B1">
        <w:t xml:space="preserve">enable </w:t>
      </w:r>
      <w:r w:rsidR="00653EA8">
        <w:t>the court to assess damages payable to the class on an aggregate basis. This may occur by a global or lump sum award against the defendant, or by applying a formula to class members’ claims to determine individual entitlements. In either scenario, class members are not required to individually prove their loss or damage.</w:t>
      </w:r>
      <w:r w:rsidR="00D629FA">
        <w:rPr>
          <w:rFonts w:ascii="ZWAdobeF" w:hAnsi="ZWAdobeF" w:cs="ZWAdobeF"/>
          <w:color w:val="auto"/>
          <w:sz w:val="2"/>
          <w:szCs w:val="2"/>
        </w:rPr>
        <w:t>610F</w:t>
      </w:r>
      <w:r w:rsidR="007A330E">
        <w:rPr>
          <w:rFonts w:ascii="ZWAdobeF" w:hAnsi="ZWAdobeF" w:cs="ZWAdobeF"/>
          <w:color w:val="auto"/>
          <w:sz w:val="2"/>
          <w:szCs w:val="2"/>
        </w:rPr>
        <w:t>610F</w:t>
      </w:r>
      <w:r w:rsidR="00317AE4">
        <w:rPr>
          <w:rFonts w:ascii="ZWAdobeF" w:hAnsi="ZWAdobeF" w:cs="ZWAdobeF"/>
          <w:color w:val="auto"/>
          <w:sz w:val="2"/>
          <w:szCs w:val="2"/>
        </w:rPr>
        <w:t>610F</w:t>
      </w:r>
      <w:r w:rsidR="00653EA8">
        <w:rPr>
          <w:rStyle w:val="FootnoteReference"/>
        </w:rPr>
        <w:footnoteReference w:id="612"/>
      </w:r>
      <w:r w:rsidR="00653EA8">
        <w:t xml:space="preserve"> Aggregate damages are available in class action proceedings in </w:t>
      </w:r>
      <w:r w:rsidR="00653EA8">
        <w:lastRenderedPageBreak/>
        <w:t>Australia,</w:t>
      </w:r>
      <w:r w:rsidR="00D629FA">
        <w:rPr>
          <w:rFonts w:ascii="ZWAdobeF" w:hAnsi="ZWAdobeF" w:cs="ZWAdobeF"/>
          <w:color w:val="auto"/>
          <w:sz w:val="2"/>
          <w:szCs w:val="2"/>
        </w:rPr>
        <w:t>611F</w:t>
      </w:r>
      <w:r w:rsidR="007A330E">
        <w:rPr>
          <w:rFonts w:ascii="ZWAdobeF" w:hAnsi="ZWAdobeF" w:cs="ZWAdobeF"/>
          <w:color w:val="auto"/>
          <w:sz w:val="2"/>
          <w:szCs w:val="2"/>
        </w:rPr>
        <w:t>611F</w:t>
      </w:r>
      <w:r w:rsidR="00317AE4">
        <w:rPr>
          <w:rFonts w:ascii="ZWAdobeF" w:hAnsi="ZWAdobeF" w:cs="ZWAdobeF"/>
          <w:color w:val="auto"/>
          <w:sz w:val="2"/>
          <w:szCs w:val="2"/>
        </w:rPr>
        <w:t>611F</w:t>
      </w:r>
      <w:r w:rsidR="00653EA8">
        <w:rPr>
          <w:rStyle w:val="FootnoteReference"/>
        </w:rPr>
        <w:footnoteReference w:id="613"/>
      </w:r>
      <w:r w:rsidR="00653EA8">
        <w:t xml:space="preserve"> Canada,</w:t>
      </w:r>
      <w:r w:rsidR="00D629FA">
        <w:rPr>
          <w:rFonts w:ascii="ZWAdobeF" w:hAnsi="ZWAdobeF" w:cs="ZWAdobeF"/>
          <w:color w:val="auto"/>
          <w:sz w:val="2"/>
          <w:szCs w:val="2"/>
        </w:rPr>
        <w:t>612F</w:t>
      </w:r>
      <w:r w:rsidR="007A330E">
        <w:rPr>
          <w:rFonts w:ascii="ZWAdobeF" w:hAnsi="ZWAdobeF" w:cs="ZWAdobeF"/>
          <w:color w:val="auto"/>
          <w:sz w:val="2"/>
          <w:szCs w:val="2"/>
        </w:rPr>
        <w:t>612F</w:t>
      </w:r>
      <w:r w:rsidR="00317AE4">
        <w:rPr>
          <w:rFonts w:ascii="ZWAdobeF" w:hAnsi="ZWAdobeF" w:cs="ZWAdobeF"/>
          <w:color w:val="auto"/>
          <w:sz w:val="2"/>
          <w:szCs w:val="2"/>
        </w:rPr>
        <w:t>612F</w:t>
      </w:r>
      <w:r w:rsidR="00653EA8">
        <w:rPr>
          <w:rStyle w:val="FootnoteReference"/>
        </w:rPr>
        <w:footnoteReference w:id="614"/>
      </w:r>
      <w:r w:rsidR="00653EA8">
        <w:t xml:space="preserve"> the United States,</w:t>
      </w:r>
      <w:r w:rsidR="00D629FA">
        <w:rPr>
          <w:rFonts w:ascii="ZWAdobeF" w:hAnsi="ZWAdobeF" w:cs="ZWAdobeF"/>
          <w:color w:val="auto"/>
          <w:sz w:val="2"/>
          <w:szCs w:val="2"/>
        </w:rPr>
        <w:t>613F</w:t>
      </w:r>
      <w:r w:rsidR="007A330E">
        <w:rPr>
          <w:rFonts w:ascii="ZWAdobeF" w:hAnsi="ZWAdobeF" w:cs="ZWAdobeF"/>
          <w:color w:val="auto"/>
          <w:sz w:val="2"/>
          <w:szCs w:val="2"/>
        </w:rPr>
        <w:t>613F</w:t>
      </w:r>
      <w:r w:rsidR="00317AE4">
        <w:rPr>
          <w:rFonts w:ascii="ZWAdobeF" w:hAnsi="ZWAdobeF" w:cs="ZWAdobeF"/>
          <w:color w:val="auto"/>
          <w:sz w:val="2"/>
          <w:szCs w:val="2"/>
        </w:rPr>
        <w:t>613F</w:t>
      </w:r>
      <w:r w:rsidR="00653EA8" w:rsidRPr="00030132">
        <w:rPr>
          <w:vertAlign w:val="superscript"/>
        </w:rPr>
        <w:footnoteReference w:id="615"/>
      </w:r>
      <w:r w:rsidR="00653EA8" w:rsidRPr="007E7B4A">
        <w:rPr>
          <w:vertAlign w:val="superscript"/>
        </w:rPr>
        <w:t xml:space="preserve"> </w:t>
      </w:r>
      <w:r w:rsidR="00653EA8">
        <w:t>and the United Kingdom Competition Appeal Tribunal.</w:t>
      </w:r>
      <w:r w:rsidR="00D629FA">
        <w:rPr>
          <w:rFonts w:ascii="ZWAdobeF" w:hAnsi="ZWAdobeF" w:cs="ZWAdobeF"/>
          <w:color w:val="auto"/>
          <w:sz w:val="2"/>
          <w:szCs w:val="2"/>
        </w:rPr>
        <w:t>614F</w:t>
      </w:r>
      <w:r w:rsidR="007A330E">
        <w:rPr>
          <w:rFonts w:ascii="ZWAdobeF" w:hAnsi="ZWAdobeF" w:cs="ZWAdobeF"/>
          <w:color w:val="auto"/>
          <w:sz w:val="2"/>
          <w:szCs w:val="2"/>
        </w:rPr>
        <w:t>614F</w:t>
      </w:r>
      <w:r w:rsidR="00317AE4">
        <w:rPr>
          <w:rFonts w:ascii="ZWAdobeF" w:hAnsi="ZWAdobeF" w:cs="ZWAdobeF"/>
          <w:color w:val="auto"/>
          <w:sz w:val="2"/>
          <w:szCs w:val="2"/>
        </w:rPr>
        <w:t>614F</w:t>
      </w:r>
      <w:r w:rsidR="00653EA8" w:rsidRPr="00AB1003">
        <w:rPr>
          <w:vertAlign w:val="superscript"/>
        </w:rPr>
        <w:footnoteReference w:id="616"/>
      </w:r>
      <w:r w:rsidR="00653EA8">
        <w:t xml:space="preserve"> However, jurisdictions differ as to the basis on which they may be awarded. </w:t>
      </w:r>
    </w:p>
    <w:p w14:paraId="5124BFFA" w14:textId="4AE61EC6" w:rsidR="00653EA8" w:rsidRDefault="00BD5C95" w:rsidP="00932DB9">
      <w:pPr>
        <w:pStyle w:val="BodyText"/>
      </w:pPr>
      <w:r>
        <w:rPr>
          <w:rFonts w:ascii="ZWAdobeF" w:hAnsi="ZWAdobeF" w:cs="ZWAdobeF"/>
          <w:color w:val="auto"/>
          <w:sz w:val="2"/>
          <w:szCs w:val="2"/>
        </w:rPr>
        <w:t>382B</w:t>
      </w:r>
      <w:r w:rsidR="0049638A">
        <w:rPr>
          <w:rFonts w:ascii="ZWAdobeF" w:hAnsi="ZWAdobeF" w:cs="ZWAdobeF"/>
          <w:color w:val="auto"/>
          <w:sz w:val="2"/>
          <w:szCs w:val="2"/>
        </w:rPr>
        <w:t>382B</w:t>
      </w:r>
      <w:r w:rsidR="00D629FA">
        <w:rPr>
          <w:rFonts w:ascii="ZWAdobeF" w:hAnsi="ZWAdobeF" w:cs="ZWAdobeF"/>
          <w:color w:val="auto"/>
          <w:sz w:val="2"/>
          <w:szCs w:val="2"/>
        </w:rPr>
        <w:t>382B</w:t>
      </w:r>
      <w:r w:rsidR="00653EA8">
        <w:t xml:space="preserve">In Australia the court can award aggregate damages if “a reasonably accurate assessment </w:t>
      </w:r>
      <w:r w:rsidR="00653EA8" w:rsidRPr="00856C79">
        <w:t>can be made of the total amount to which group members will be entitled under the judgment</w:t>
      </w:r>
      <w:r w:rsidR="00653EA8">
        <w:t>”</w:t>
      </w:r>
      <w:r w:rsidR="00653EA8" w:rsidRPr="00856C79">
        <w:t>.</w:t>
      </w:r>
      <w:r w:rsidR="00D629FA">
        <w:rPr>
          <w:rFonts w:ascii="ZWAdobeF" w:hAnsi="ZWAdobeF" w:cs="ZWAdobeF"/>
          <w:color w:val="auto"/>
          <w:sz w:val="2"/>
          <w:szCs w:val="2"/>
        </w:rPr>
        <w:t>615F</w:t>
      </w:r>
      <w:r w:rsidR="007A330E">
        <w:rPr>
          <w:rFonts w:ascii="ZWAdobeF" w:hAnsi="ZWAdobeF" w:cs="ZWAdobeF"/>
          <w:color w:val="auto"/>
          <w:sz w:val="2"/>
          <w:szCs w:val="2"/>
        </w:rPr>
        <w:t>615F</w:t>
      </w:r>
      <w:r w:rsidR="00317AE4">
        <w:rPr>
          <w:rFonts w:ascii="ZWAdobeF" w:hAnsi="ZWAdobeF" w:cs="ZWAdobeF"/>
          <w:color w:val="auto"/>
          <w:sz w:val="2"/>
          <w:szCs w:val="2"/>
        </w:rPr>
        <w:t>615F</w:t>
      </w:r>
      <w:r w:rsidR="00653EA8" w:rsidRPr="00750190">
        <w:rPr>
          <w:vertAlign w:val="superscript"/>
        </w:rPr>
        <w:footnoteReference w:id="617"/>
      </w:r>
      <w:r w:rsidR="00653EA8" w:rsidRPr="00861ABA">
        <w:t xml:space="preserve"> </w:t>
      </w:r>
      <w:r w:rsidR="00653EA8">
        <w:t xml:space="preserve">Case law indicates this </w:t>
      </w:r>
      <w:r w:rsidR="00653EA8" w:rsidRPr="004B283C">
        <w:t xml:space="preserve">should not </w:t>
      </w:r>
      <w:r w:rsidR="00653EA8">
        <w:t xml:space="preserve">allow </w:t>
      </w:r>
      <w:r w:rsidR="00653EA8" w:rsidRPr="004B283C">
        <w:t>orders which would be insufficient to enable group members to recover their full damages.</w:t>
      </w:r>
      <w:r w:rsidR="00D629FA">
        <w:rPr>
          <w:rFonts w:ascii="ZWAdobeF" w:hAnsi="ZWAdobeF" w:cs="ZWAdobeF"/>
          <w:color w:val="auto"/>
          <w:sz w:val="2"/>
          <w:szCs w:val="2"/>
        </w:rPr>
        <w:t>616F</w:t>
      </w:r>
      <w:r w:rsidR="007A330E">
        <w:rPr>
          <w:rFonts w:ascii="ZWAdobeF" w:hAnsi="ZWAdobeF" w:cs="ZWAdobeF"/>
          <w:color w:val="auto"/>
          <w:sz w:val="2"/>
          <w:szCs w:val="2"/>
        </w:rPr>
        <w:t>616F</w:t>
      </w:r>
      <w:r w:rsidR="00317AE4">
        <w:rPr>
          <w:rFonts w:ascii="ZWAdobeF" w:hAnsi="ZWAdobeF" w:cs="ZWAdobeF"/>
          <w:color w:val="auto"/>
          <w:sz w:val="2"/>
          <w:szCs w:val="2"/>
        </w:rPr>
        <w:t>616F</w:t>
      </w:r>
      <w:r w:rsidR="00653EA8" w:rsidRPr="004B283C">
        <w:rPr>
          <w:vertAlign w:val="superscript"/>
        </w:rPr>
        <w:footnoteReference w:id="618"/>
      </w:r>
    </w:p>
    <w:p w14:paraId="09E5AEDE" w14:textId="4551DDED" w:rsidR="00653EA8" w:rsidRDefault="00BD5C95" w:rsidP="00932DB9">
      <w:pPr>
        <w:pStyle w:val="BodyText"/>
      </w:pPr>
      <w:r>
        <w:rPr>
          <w:rFonts w:ascii="ZWAdobeF" w:hAnsi="ZWAdobeF" w:cs="ZWAdobeF"/>
          <w:color w:val="auto"/>
          <w:sz w:val="2"/>
          <w:szCs w:val="2"/>
        </w:rPr>
        <w:t>383B</w:t>
      </w:r>
      <w:r w:rsidR="0049638A">
        <w:rPr>
          <w:rFonts w:ascii="ZWAdobeF" w:hAnsi="ZWAdobeF" w:cs="ZWAdobeF"/>
          <w:color w:val="auto"/>
          <w:sz w:val="2"/>
          <w:szCs w:val="2"/>
        </w:rPr>
        <w:t>383B</w:t>
      </w:r>
      <w:r w:rsidR="00D629FA">
        <w:rPr>
          <w:rFonts w:ascii="ZWAdobeF" w:hAnsi="ZWAdobeF" w:cs="ZWAdobeF"/>
          <w:color w:val="auto"/>
          <w:sz w:val="2"/>
          <w:szCs w:val="2"/>
        </w:rPr>
        <w:t>383B</w:t>
      </w:r>
      <w:r w:rsidR="00653EA8">
        <w:t xml:space="preserve">Aggregate damages are available in Canada where the entitlement to damages is asserted on behalf of some or all </w:t>
      </w:r>
      <w:r w:rsidR="00917D8A">
        <w:t xml:space="preserve">of </w:t>
      </w:r>
      <w:r w:rsidR="00653EA8">
        <w:t>the class members, no further issues must be determined to establish the amount of the defendant’s liability,</w:t>
      </w:r>
      <w:r w:rsidR="00D629FA">
        <w:rPr>
          <w:rFonts w:ascii="ZWAdobeF" w:hAnsi="ZWAdobeF" w:cs="ZWAdobeF"/>
          <w:color w:val="auto"/>
          <w:sz w:val="2"/>
          <w:szCs w:val="2"/>
        </w:rPr>
        <w:t>617F</w:t>
      </w:r>
      <w:r w:rsidR="007A330E">
        <w:rPr>
          <w:rFonts w:ascii="ZWAdobeF" w:hAnsi="ZWAdobeF" w:cs="ZWAdobeF"/>
          <w:color w:val="auto"/>
          <w:sz w:val="2"/>
          <w:szCs w:val="2"/>
        </w:rPr>
        <w:t>617F</w:t>
      </w:r>
      <w:r w:rsidR="00317AE4">
        <w:rPr>
          <w:rFonts w:ascii="ZWAdobeF" w:hAnsi="ZWAdobeF" w:cs="ZWAdobeF"/>
          <w:color w:val="auto"/>
          <w:sz w:val="2"/>
          <w:szCs w:val="2"/>
        </w:rPr>
        <w:t>617F</w:t>
      </w:r>
      <w:r w:rsidR="00653EA8">
        <w:rPr>
          <w:rStyle w:val="FootnoteReference"/>
        </w:rPr>
        <w:footnoteReference w:id="619"/>
      </w:r>
      <w:r w:rsidR="00653EA8">
        <w:t xml:space="preserve"> and the aggregate damages can be reasonably determined without proof by individual class members.</w:t>
      </w:r>
      <w:r w:rsidR="00D629FA">
        <w:rPr>
          <w:rFonts w:ascii="ZWAdobeF" w:hAnsi="ZWAdobeF" w:cs="ZWAdobeF"/>
          <w:color w:val="auto"/>
          <w:sz w:val="2"/>
          <w:szCs w:val="2"/>
        </w:rPr>
        <w:t>618F</w:t>
      </w:r>
      <w:r w:rsidR="007A330E">
        <w:rPr>
          <w:rFonts w:ascii="ZWAdobeF" w:hAnsi="ZWAdobeF" w:cs="ZWAdobeF"/>
          <w:color w:val="auto"/>
          <w:sz w:val="2"/>
          <w:szCs w:val="2"/>
        </w:rPr>
        <w:t>618F</w:t>
      </w:r>
      <w:r w:rsidR="00317AE4">
        <w:rPr>
          <w:rFonts w:ascii="ZWAdobeF" w:hAnsi="ZWAdobeF" w:cs="ZWAdobeF"/>
          <w:color w:val="auto"/>
          <w:sz w:val="2"/>
          <w:szCs w:val="2"/>
        </w:rPr>
        <w:t>618F</w:t>
      </w:r>
      <w:r w:rsidR="00653EA8">
        <w:rPr>
          <w:rStyle w:val="FootnoteReference"/>
        </w:rPr>
        <w:footnoteReference w:id="620"/>
      </w:r>
      <w:r w:rsidR="00653EA8">
        <w:t xml:space="preserve"> </w:t>
      </w:r>
      <w:r w:rsidR="00653EA8" w:rsidRPr="00D307B0">
        <w:t xml:space="preserve">In Canada, most of the common law provinces allow statistical evidence to be admitted for the purposes of determining issues relating to the amount or distribution of a </w:t>
      </w:r>
      <w:r w:rsidR="00653EA8">
        <w:t>damages</w:t>
      </w:r>
      <w:r w:rsidR="00653EA8" w:rsidRPr="00D307B0">
        <w:t xml:space="preserve"> in a class action.</w:t>
      </w:r>
      <w:r w:rsidR="00D629FA">
        <w:rPr>
          <w:rFonts w:ascii="ZWAdobeF" w:hAnsi="ZWAdobeF" w:cs="ZWAdobeF"/>
          <w:color w:val="auto"/>
          <w:sz w:val="2"/>
          <w:szCs w:val="2"/>
        </w:rPr>
        <w:t>619F</w:t>
      </w:r>
      <w:r w:rsidR="007A330E">
        <w:rPr>
          <w:rFonts w:ascii="ZWAdobeF" w:hAnsi="ZWAdobeF" w:cs="ZWAdobeF"/>
          <w:color w:val="auto"/>
          <w:sz w:val="2"/>
          <w:szCs w:val="2"/>
        </w:rPr>
        <w:t>619F</w:t>
      </w:r>
      <w:r w:rsidR="00317AE4">
        <w:rPr>
          <w:rFonts w:ascii="ZWAdobeF" w:hAnsi="ZWAdobeF" w:cs="ZWAdobeF"/>
          <w:color w:val="auto"/>
          <w:sz w:val="2"/>
          <w:szCs w:val="2"/>
        </w:rPr>
        <w:t>619F</w:t>
      </w:r>
      <w:r w:rsidR="00653EA8">
        <w:rPr>
          <w:rStyle w:val="FootnoteReference"/>
        </w:rPr>
        <w:footnoteReference w:id="621"/>
      </w:r>
    </w:p>
    <w:p w14:paraId="4B723458" w14:textId="70BBA403" w:rsidR="00653EA8" w:rsidRDefault="00BD5C95" w:rsidP="00932DB9">
      <w:pPr>
        <w:pStyle w:val="BodyText"/>
      </w:pPr>
      <w:r>
        <w:rPr>
          <w:rFonts w:ascii="ZWAdobeF" w:hAnsi="ZWAdobeF" w:cs="ZWAdobeF"/>
          <w:color w:val="auto"/>
          <w:sz w:val="2"/>
          <w:szCs w:val="2"/>
        </w:rPr>
        <w:t>384B</w:t>
      </w:r>
      <w:r w:rsidR="0049638A">
        <w:rPr>
          <w:rFonts w:ascii="ZWAdobeF" w:hAnsi="ZWAdobeF" w:cs="ZWAdobeF"/>
          <w:color w:val="auto"/>
          <w:sz w:val="2"/>
          <w:szCs w:val="2"/>
        </w:rPr>
        <w:t>384B</w:t>
      </w:r>
      <w:r w:rsidR="00D629FA">
        <w:rPr>
          <w:rFonts w:ascii="ZWAdobeF" w:hAnsi="ZWAdobeF" w:cs="ZWAdobeF"/>
          <w:color w:val="auto"/>
          <w:sz w:val="2"/>
          <w:szCs w:val="2"/>
        </w:rPr>
        <w:t>384B</w:t>
      </w:r>
      <w:r w:rsidR="00653EA8">
        <w:t>In the United States, c</w:t>
      </w:r>
      <w:r w:rsidR="00653EA8" w:rsidRPr="00AA644F">
        <w:t xml:space="preserve">ourts generally allow </w:t>
      </w:r>
      <w:r w:rsidR="00E5446B">
        <w:t xml:space="preserve">representative </w:t>
      </w:r>
      <w:r w:rsidR="00653EA8" w:rsidRPr="00AA644F">
        <w:t xml:space="preserve">plaintiffs to </w:t>
      </w:r>
      <w:r w:rsidR="00653EA8">
        <w:t>use an</w:t>
      </w:r>
      <w:r w:rsidR="00653EA8" w:rsidRPr="00AA644F">
        <w:t xml:space="preserve"> aggregate assessment of damages </w:t>
      </w:r>
      <w:r w:rsidR="00653EA8">
        <w:t>where the assessment is based on a</w:t>
      </w:r>
      <w:r w:rsidR="00653EA8" w:rsidRPr="00AA644F">
        <w:t xml:space="preserve"> reasonable methodology </w:t>
      </w:r>
      <w:r w:rsidR="00653EA8" w:rsidRPr="00AA644F">
        <w:lastRenderedPageBreak/>
        <w:t>and the individual damage calculations that follow can be made according to a common methodology.</w:t>
      </w:r>
      <w:r w:rsidR="00D629FA">
        <w:rPr>
          <w:rFonts w:ascii="ZWAdobeF" w:hAnsi="ZWAdobeF" w:cs="ZWAdobeF"/>
          <w:color w:val="auto"/>
          <w:sz w:val="2"/>
          <w:szCs w:val="2"/>
        </w:rPr>
        <w:t>620F</w:t>
      </w:r>
      <w:r w:rsidR="007A330E">
        <w:rPr>
          <w:rFonts w:ascii="ZWAdobeF" w:hAnsi="ZWAdobeF" w:cs="ZWAdobeF"/>
          <w:color w:val="auto"/>
          <w:sz w:val="2"/>
          <w:szCs w:val="2"/>
        </w:rPr>
        <w:t>620F</w:t>
      </w:r>
      <w:r w:rsidR="00317AE4">
        <w:rPr>
          <w:rFonts w:ascii="ZWAdobeF" w:hAnsi="ZWAdobeF" w:cs="ZWAdobeF"/>
          <w:color w:val="auto"/>
          <w:sz w:val="2"/>
          <w:szCs w:val="2"/>
        </w:rPr>
        <w:t>620F</w:t>
      </w:r>
      <w:r w:rsidR="00653EA8" w:rsidRPr="00AA644F">
        <w:rPr>
          <w:vertAlign w:val="superscript"/>
        </w:rPr>
        <w:footnoteReference w:id="622"/>
      </w:r>
      <w:r w:rsidR="00653EA8">
        <w:t xml:space="preserve"> </w:t>
      </w:r>
    </w:p>
    <w:p w14:paraId="774EE88F" w14:textId="7B75A63F" w:rsidR="00653EA8" w:rsidRDefault="00BD5C95" w:rsidP="00932DB9">
      <w:pPr>
        <w:pStyle w:val="BodyText"/>
      </w:pPr>
      <w:r>
        <w:rPr>
          <w:rFonts w:ascii="ZWAdobeF" w:hAnsi="ZWAdobeF" w:cs="ZWAdobeF"/>
          <w:color w:val="auto"/>
          <w:sz w:val="2"/>
          <w:szCs w:val="2"/>
        </w:rPr>
        <w:t>385B</w:t>
      </w:r>
      <w:r w:rsidR="0049638A">
        <w:rPr>
          <w:rFonts w:ascii="ZWAdobeF" w:hAnsi="ZWAdobeF" w:cs="ZWAdobeF"/>
          <w:color w:val="auto"/>
          <w:sz w:val="2"/>
          <w:szCs w:val="2"/>
        </w:rPr>
        <w:t>385B</w:t>
      </w:r>
      <w:r w:rsidR="00D629FA">
        <w:rPr>
          <w:rFonts w:ascii="ZWAdobeF" w:hAnsi="ZWAdobeF" w:cs="ZWAdobeF"/>
          <w:color w:val="auto"/>
          <w:sz w:val="2"/>
          <w:szCs w:val="2"/>
        </w:rPr>
        <w:t>385B</w:t>
      </w:r>
      <w:r w:rsidR="00653EA8">
        <w:t>There is no specific threshold for determining whether aggregate damages are available in the United Kingdom Competition Appeal Tribunal, but aggregate damages are “likely to be more suitable where its calculation can be made without information from class members”.</w:t>
      </w:r>
      <w:r w:rsidR="00D629FA">
        <w:rPr>
          <w:rFonts w:ascii="ZWAdobeF" w:hAnsi="ZWAdobeF" w:cs="ZWAdobeF"/>
          <w:color w:val="auto"/>
          <w:sz w:val="2"/>
          <w:szCs w:val="2"/>
        </w:rPr>
        <w:t>621F</w:t>
      </w:r>
      <w:r w:rsidR="007A330E">
        <w:rPr>
          <w:rFonts w:ascii="ZWAdobeF" w:hAnsi="ZWAdobeF" w:cs="ZWAdobeF"/>
          <w:color w:val="auto"/>
          <w:sz w:val="2"/>
          <w:szCs w:val="2"/>
        </w:rPr>
        <w:t>621F</w:t>
      </w:r>
      <w:r w:rsidR="00317AE4">
        <w:rPr>
          <w:rFonts w:ascii="ZWAdobeF" w:hAnsi="ZWAdobeF" w:cs="ZWAdobeF"/>
          <w:color w:val="auto"/>
          <w:sz w:val="2"/>
          <w:szCs w:val="2"/>
        </w:rPr>
        <w:t>621F</w:t>
      </w:r>
      <w:r w:rsidR="00653EA8">
        <w:rPr>
          <w:rStyle w:val="FootnoteReference"/>
        </w:rPr>
        <w:footnoteReference w:id="623"/>
      </w:r>
      <w:r w:rsidR="00653EA8">
        <w:t xml:space="preserve"> The United Kingdom Supreme Court has noted that “[a] central purpose of the power to award aggregate damages in collective proceedings is to avoid the need for individual assessment of loss”.</w:t>
      </w:r>
      <w:r w:rsidR="00D629FA">
        <w:rPr>
          <w:rFonts w:ascii="ZWAdobeF" w:hAnsi="ZWAdobeF" w:cs="ZWAdobeF"/>
          <w:color w:val="auto"/>
          <w:sz w:val="2"/>
          <w:szCs w:val="2"/>
        </w:rPr>
        <w:t>622F</w:t>
      </w:r>
      <w:r w:rsidR="007A330E">
        <w:rPr>
          <w:rFonts w:ascii="ZWAdobeF" w:hAnsi="ZWAdobeF" w:cs="ZWAdobeF"/>
          <w:color w:val="auto"/>
          <w:sz w:val="2"/>
          <w:szCs w:val="2"/>
        </w:rPr>
        <w:t>622F</w:t>
      </w:r>
      <w:r w:rsidR="00317AE4">
        <w:rPr>
          <w:rFonts w:ascii="ZWAdobeF" w:hAnsi="ZWAdobeF" w:cs="ZWAdobeF"/>
          <w:color w:val="auto"/>
          <w:sz w:val="2"/>
          <w:szCs w:val="2"/>
        </w:rPr>
        <w:t>622F</w:t>
      </w:r>
      <w:r w:rsidR="00653EA8">
        <w:rPr>
          <w:rStyle w:val="FootnoteReference"/>
        </w:rPr>
        <w:footnoteReference w:id="624"/>
      </w:r>
      <w:r w:rsidR="00653EA8">
        <w:t xml:space="preserve"> Where</w:t>
      </w:r>
      <w:r w:rsidR="00653EA8" w:rsidRPr="00106FDA">
        <w:t xml:space="preserve"> it is not possible to make an aggregate award of damages for the entire class, the Tribunal may </w:t>
      </w:r>
      <w:r w:rsidR="00653EA8">
        <w:t>order aggregate damages on a sub-class basis.</w:t>
      </w:r>
      <w:r w:rsidR="00D629FA">
        <w:rPr>
          <w:rFonts w:ascii="ZWAdobeF" w:hAnsi="ZWAdobeF" w:cs="ZWAdobeF"/>
          <w:color w:val="auto"/>
          <w:sz w:val="2"/>
          <w:szCs w:val="2"/>
        </w:rPr>
        <w:t>623F</w:t>
      </w:r>
      <w:r w:rsidR="007A330E">
        <w:rPr>
          <w:rFonts w:ascii="ZWAdobeF" w:hAnsi="ZWAdobeF" w:cs="ZWAdobeF"/>
          <w:color w:val="auto"/>
          <w:sz w:val="2"/>
          <w:szCs w:val="2"/>
        </w:rPr>
        <w:t>623F</w:t>
      </w:r>
      <w:r w:rsidR="00317AE4">
        <w:rPr>
          <w:rFonts w:ascii="ZWAdobeF" w:hAnsi="ZWAdobeF" w:cs="ZWAdobeF"/>
          <w:color w:val="auto"/>
          <w:sz w:val="2"/>
          <w:szCs w:val="2"/>
        </w:rPr>
        <w:t>623F</w:t>
      </w:r>
      <w:r w:rsidR="00653EA8">
        <w:rPr>
          <w:rStyle w:val="FootnoteReference"/>
        </w:rPr>
        <w:footnoteReference w:id="625"/>
      </w:r>
    </w:p>
    <w:p w14:paraId="293CB8ED" w14:textId="6C85E01E" w:rsidR="00653EA8" w:rsidRDefault="00BD5C95" w:rsidP="00932DB9">
      <w:pPr>
        <w:pStyle w:val="BodyText"/>
      </w:pPr>
      <w:r>
        <w:rPr>
          <w:rFonts w:ascii="ZWAdobeF" w:hAnsi="ZWAdobeF" w:cs="ZWAdobeF"/>
          <w:color w:val="auto"/>
          <w:sz w:val="2"/>
          <w:szCs w:val="2"/>
        </w:rPr>
        <w:t>386B</w:t>
      </w:r>
      <w:r w:rsidR="0049638A">
        <w:rPr>
          <w:rFonts w:ascii="ZWAdobeF" w:hAnsi="ZWAdobeF" w:cs="ZWAdobeF"/>
          <w:color w:val="auto"/>
          <w:sz w:val="2"/>
          <w:szCs w:val="2"/>
        </w:rPr>
        <w:t>386B</w:t>
      </w:r>
      <w:r w:rsidR="00D629FA">
        <w:rPr>
          <w:rFonts w:ascii="ZWAdobeF" w:hAnsi="ZWAdobeF" w:cs="ZWAdobeF"/>
          <w:color w:val="auto"/>
          <w:sz w:val="2"/>
          <w:szCs w:val="2"/>
        </w:rPr>
        <w:t>386B</w:t>
      </w:r>
      <w:r w:rsidR="00653EA8">
        <w:t>Our view is that aggregate damages should be available for class actions in Aotearoa New Zealand. We think this would be consistent with the objectives of improving access to justice and manag</w:t>
      </w:r>
      <w:r w:rsidR="00917D8A">
        <w:t>ing</w:t>
      </w:r>
      <w:r w:rsidR="00653EA8">
        <w:t xml:space="preserve"> multiple claims in an efficient way. While assessing damages on an individual basis may be feasible in some cases, in other cases it could be slow and inefficient.</w:t>
      </w:r>
      <w:r w:rsidR="00D629FA">
        <w:rPr>
          <w:rFonts w:ascii="ZWAdobeF" w:hAnsi="ZWAdobeF" w:cs="ZWAdobeF"/>
          <w:color w:val="auto"/>
          <w:sz w:val="2"/>
          <w:szCs w:val="2"/>
        </w:rPr>
        <w:t>624F</w:t>
      </w:r>
      <w:r w:rsidR="007A330E">
        <w:rPr>
          <w:rFonts w:ascii="ZWAdobeF" w:hAnsi="ZWAdobeF" w:cs="ZWAdobeF"/>
          <w:color w:val="auto"/>
          <w:sz w:val="2"/>
          <w:szCs w:val="2"/>
        </w:rPr>
        <w:t>624F</w:t>
      </w:r>
      <w:r w:rsidR="00317AE4">
        <w:rPr>
          <w:rFonts w:ascii="ZWAdobeF" w:hAnsi="ZWAdobeF" w:cs="ZWAdobeF"/>
          <w:color w:val="auto"/>
          <w:sz w:val="2"/>
          <w:szCs w:val="2"/>
        </w:rPr>
        <w:t>624F</w:t>
      </w:r>
      <w:r w:rsidR="00653EA8">
        <w:rPr>
          <w:rStyle w:val="FootnoteReference"/>
        </w:rPr>
        <w:footnoteReference w:id="626"/>
      </w:r>
      <w:r w:rsidR="00653EA8">
        <w:t xml:space="preserve"> An aggregate award of damages can also ensure that a class action achieves finality for all parties, as after such an award the defendant’s liability will have been fully and finally determined.</w:t>
      </w:r>
      <w:r w:rsidR="00D629FA">
        <w:rPr>
          <w:rFonts w:ascii="ZWAdobeF" w:hAnsi="ZWAdobeF" w:cs="ZWAdobeF"/>
          <w:color w:val="auto"/>
          <w:sz w:val="2"/>
          <w:szCs w:val="2"/>
        </w:rPr>
        <w:t>625F</w:t>
      </w:r>
      <w:r w:rsidR="007A330E">
        <w:rPr>
          <w:rFonts w:ascii="ZWAdobeF" w:hAnsi="ZWAdobeF" w:cs="ZWAdobeF"/>
          <w:color w:val="auto"/>
          <w:sz w:val="2"/>
          <w:szCs w:val="2"/>
        </w:rPr>
        <w:t>625F</w:t>
      </w:r>
      <w:r w:rsidR="00317AE4">
        <w:rPr>
          <w:rFonts w:ascii="ZWAdobeF" w:hAnsi="ZWAdobeF" w:cs="ZWAdobeF"/>
          <w:color w:val="auto"/>
          <w:sz w:val="2"/>
          <w:szCs w:val="2"/>
        </w:rPr>
        <w:t>625F</w:t>
      </w:r>
      <w:r w:rsidR="00653EA8">
        <w:rPr>
          <w:rStyle w:val="FootnoteReference"/>
        </w:rPr>
        <w:footnoteReference w:id="627"/>
      </w:r>
      <w:r w:rsidR="00653EA8">
        <w:t xml:space="preserve"> </w:t>
      </w:r>
    </w:p>
    <w:p w14:paraId="198F230F" w14:textId="312523D6" w:rsidR="00653EA8" w:rsidRDefault="00BD5C95" w:rsidP="00932DB9">
      <w:pPr>
        <w:pStyle w:val="BodyText"/>
      </w:pPr>
      <w:r>
        <w:rPr>
          <w:rFonts w:ascii="ZWAdobeF" w:hAnsi="ZWAdobeF" w:cs="ZWAdobeF"/>
          <w:color w:val="auto"/>
          <w:sz w:val="2"/>
          <w:szCs w:val="2"/>
        </w:rPr>
        <w:t>387B</w:t>
      </w:r>
      <w:r w:rsidR="0049638A">
        <w:rPr>
          <w:rFonts w:ascii="ZWAdobeF" w:hAnsi="ZWAdobeF" w:cs="ZWAdobeF"/>
          <w:color w:val="auto"/>
          <w:sz w:val="2"/>
          <w:szCs w:val="2"/>
        </w:rPr>
        <w:t>387B</w:t>
      </w:r>
      <w:r w:rsidR="00D629FA">
        <w:rPr>
          <w:rFonts w:ascii="ZWAdobeF" w:hAnsi="ZWAdobeF" w:cs="ZWAdobeF"/>
          <w:color w:val="auto"/>
          <w:sz w:val="2"/>
          <w:szCs w:val="2"/>
        </w:rPr>
        <w:t>387B</w:t>
      </w:r>
      <w:r w:rsidR="00653EA8">
        <w:t xml:space="preserve">We consider that, as in Australia, an award of aggregate damages should only be permitted where “a reasonably accurate assessment” of the total amount of damages owed to class members </w:t>
      </w:r>
      <w:r w:rsidR="00653EA8" w:rsidRPr="00856C79">
        <w:t>can be made</w:t>
      </w:r>
      <w:r w:rsidR="00653EA8">
        <w:t>. This is the approach taken in Australia and was the approach preferred by the Rules Committee in its 2009 draft Class Actions Bill.</w:t>
      </w:r>
      <w:r w:rsidR="00D629FA">
        <w:rPr>
          <w:rFonts w:ascii="ZWAdobeF" w:hAnsi="ZWAdobeF" w:cs="ZWAdobeF"/>
          <w:color w:val="auto"/>
          <w:sz w:val="2"/>
          <w:szCs w:val="2"/>
        </w:rPr>
        <w:t>626F</w:t>
      </w:r>
      <w:r w:rsidR="007A330E">
        <w:rPr>
          <w:rFonts w:ascii="ZWAdobeF" w:hAnsi="ZWAdobeF" w:cs="ZWAdobeF"/>
          <w:color w:val="auto"/>
          <w:sz w:val="2"/>
          <w:szCs w:val="2"/>
        </w:rPr>
        <w:t>626F</w:t>
      </w:r>
      <w:r w:rsidR="00317AE4">
        <w:rPr>
          <w:rFonts w:ascii="ZWAdobeF" w:hAnsi="ZWAdobeF" w:cs="ZWAdobeF"/>
          <w:color w:val="auto"/>
          <w:sz w:val="2"/>
          <w:szCs w:val="2"/>
        </w:rPr>
        <w:t>626F</w:t>
      </w:r>
      <w:r w:rsidR="00653EA8">
        <w:rPr>
          <w:rStyle w:val="FootnoteReference"/>
        </w:rPr>
        <w:footnoteReference w:id="628"/>
      </w:r>
      <w:r w:rsidR="00653EA8">
        <w:t xml:space="preserve"> The reference to a “reasonably accurate” assessment acknowledges that absolute precision may be impossible, particularly in an opt-out class action if an aggregate award is made without knowing the number and identity of all class members.</w:t>
      </w:r>
      <w:r w:rsidR="00D629FA">
        <w:rPr>
          <w:rFonts w:ascii="ZWAdobeF" w:hAnsi="ZWAdobeF" w:cs="ZWAdobeF"/>
          <w:color w:val="auto"/>
          <w:sz w:val="2"/>
          <w:szCs w:val="2"/>
        </w:rPr>
        <w:t>627F</w:t>
      </w:r>
      <w:r w:rsidR="007A330E">
        <w:rPr>
          <w:rFonts w:ascii="ZWAdobeF" w:hAnsi="ZWAdobeF" w:cs="ZWAdobeF"/>
          <w:color w:val="auto"/>
          <w:sz w:val="2"/>
          <w:szCs w:val="2"/>
        </w:rPr>
        <w:t>627F</w:t>
      </w:r>
      <w:r w:rsidR="00317AE4">
        <w:rPr>
          <w:rFonts w:ascii="ZWAdobeF" w:hAnsi="ZWAdobeF" w:cs="ZWAdobeF"/>
          <w:color w:val="auto"/>
          <w:sz w:val="2"/>
          <w:szCs w:val="2"/>
        </w:rPr>
        <w:t>627F</w:t>
      </w:r>
      <w:r w:rsidR="00653EA8">
        <w:rPr>
          <w:rStyle w:val="FootnoteReference"/>
        </w:rPr>
        <w:footnoteReference w:id="629"/>
      </w:r>
      <w:r w:rsidR="00653EA8" w:rsidRPr="007E384E">
        <w:t xml:space="preserve"> </w:t>
      </w:r>
      <w:r w:rsidR="00653EA8">
        <w:t xml:space="preserve">While a precise assessment of damages owed to class members may not be possible, the court would still need to be satisfied there is a sufficient basis for calculating aggregate damages. </w:t>
      </w:r>
    </w:p>
    <w:p w14:paraId="2340AA74" w14:textId="41F46FB5" w:rsidR="00653EA8" w:rsidRDefault="00BD5C95" w:rsidP="00932DB9">
      <w:pPr>
        <w:pStyle w:val="BodyText"/>
      </w:pPr>
      <w:r>
        <w:rPr>
          <w:rFonts w:ascii="ZWAdobeF" w:hAnsi="ZWAdobeF" w:cs="ZWAdobeF"/>
          <w:color w:val="auto"/>
          <w:sz w:val="2"/>
          <w:szCs w:val="2"/>
        </w:rPr>
        <w:t>388B</w:t>
      </w:r>
      <w:r w:rsidR="0049638A">
        <w:rPr>
          <w:rFonts w:ascii="ZWAdobeF" w:hAnsi="ZWAdobeF" w:cs="ZWAdobeF"/>
          <w:color w:val="auto"/>
          <w:sz w:val="2"/>
          <w:szCs w:val="2"/>
        </w:rPr>
        <w:t>388B</w:t>
      </w:r>
      <w:r w:rsidR="00D629FA">
        <w:rPr>
          <w:rFonts w:ascii="ZWAdobeF" w:hAnsi="ZWAdobeF" w:cs="ZWAdobeF"/>
          <w:color w:val="auto"/>
          <w:sz w:val="2"/>
          <w:szCs w:val="2"/>
        </w:rPr>
        <w:t>388B</w:t>
      </w:r>
      <w:r w:rsidR="00653EA8">
        <w:t>We think aggregate damages should only be available where no further issues must be determined to establish the amount of the defendant’s liability.</w:t>
      </w:r>
      <w:r w:rsidR="00D629FA">
        <w:rPr>
          <w:rFonts w:ascii="ZWAdobeF" w:hAnsi="ZWAdobeF" w:cs="ZWAdobeF"/>
          <w:color w:val="auto"/>
          <w:sz w:val="2"/>
          <w:szCs w:val="2"/>
        </w:rPr>
        <w:t>628F</w:t>
      </w:r>
      <w:r w:rsidR="007A330E">
        <w:rPr>
          <w:rFonts w:ascii="ZWAdobeF" w:hAnsi="ZWAdobeF" w:cs="ZWAdobeF"/>
          <w:color w:val="auto"/>
          <w:sz w:val="2"/>
          <w:szCs w:val="2"/>
        </w:rPr>
        <w:t>628F</w:t>
      </w:r>
      <w:r w:rsidR="00317AE4">
        <w:rPr>
          <w:rFonts w:ascii="ZWAdobeF" w:hAnsi="ZWAdobeF" w:cs="ZWAdobeF"/>
          <w:color w:val="auto"/>
          <w:sz w:val="2"/>
          <w:szCs w:val="2"/>
        </w:rPr>
        <w:t>628F</w:t>
      </w:r>
      <w:r w:rsidR="00653EA8">
        <w:rPr>
          <w:rStyle w:val="FootnoteReference"/>
        </w:rPr>
        <w:footnoteReference w:id="630"/>
      </w:r>
      <w:r w:rsidR="00653EA8">
        <w:t xml:space="preserve"> If proof of harm is </w:t>
      </w:r>
      <w:r w:rsidR="00653EA8">
        <w:lastRenderedPageBreak/>
        <w:t>required to make out a particular cause of action, class members should not be able to avoid this element by relying on aggregate damages.</w:t>
      </w:r>
      <w:r w:rsidR="00D629FA">
        <w:rPr>
          <w:rFonts w:ascii="ZWAdobeF" w:hAnsi="ZWAdobeF" w:cs="ZWAdobeF"/>
          <w:color w:val="auto"/>
          <w:sz w:val="2"/>
          <w:szCs w:val="2"/>
        </w:rPr>
        <w:t>629F</w:t>
      </w:r>
      <w:r w:rsidR="007A330E">
        <w:rPr>
          <w:rFonts w:ascii="ZWAdobeF" w:hAnsi="ZWAdobeF" w:cs="ZWAdobeF"/>
          <w:color w:val="auto"/>
          <w:sz w:val="2"/>
          <w:szCs w:val="2"/>
        </w:rPr>
        <w:t>629F</w:t>
      </w:r>
      <w:r w:rsidR="00317AE4">
        <w:rPr>
          <w:rFonts w:ascii="ZWAdobeF" w:hAnsi="ZWAdobeF" w:cs="ZWAdobeF"/>
          <w:color w:val="auto"/>
          <w:sz w:val="2"/>
          <w:szCs w:val="2"/>
        </w:rPr>
        <w:t>629F</w:t>
      </w:r>
      <w:r w:rsidR="00653EA8">
        <w:rPr>
          <w:rStyle w:val="FootnoteReference"/>
        </w:rPr>
        <w:footnoteReference w:id="631"/>
      </w:r>
      <w:r w:rsidR="00653EA8">
        <w:t xml:space="preserve"> </w:t>
      </w:r>
    </w:p>
    <w:p w14:paraId="02D7D9DE" w14:textId="596E5462" w:rsidR="00653EA8" w:rsidRDefault="00BD5C95" w:rsidP="00932DB9">
      <w:pPr>
        <w:pStyle w:val="BodyText"/>
      </w:pPr>
      <w:r>
        <w:rPr>
          <w:rFonts w:ascii="ZWAdobeF" w:hAnsi="ZWAdobeF" w:cs="ZWAdobeF"/>
          <w:color w:val="auto"/>
          <w:sz w:val="2"/>
          <w:szCs w:val="2"/>
        </w:rPr>
        <w:t>389B</w:t>
      </w:r>
      <w:r w:rsidR="0049638A">
        <w:rPr>
          <w:rFonts w:ascii="ZWAdobeF" w:hAnsi="ZWAdobeF" w:cs="ZWAdobeF"/>
          <w:color w:val="auto"/>
          <w:sz w:val="2"/>
          <w:szCs w:val="2"/>
        </w:rPr>
        <w:t>389B</w:t>
      </w:r>
      <w:r w:rsidR="00D629FA">
        <w:rPr>
          <w:rFonts w:ascii="ZWAdobeF" w:hAnsi="ZWAdobeF" w:cs="ZWAdobeF"/>
          <w:color w:val="auto"/>
          <w:sz w:val="2"/>
          <w:szCs w:val="2"/>
        </w:rPr>
        <w:t>389B</w:t>
      </w:r>
      <w:r w:rsidR="00653EA8">
        <w:t>Our draft provision on aggregate damages incorporates these two requirements by specifying that an aggregate damages award may only be made if:</w:t>
      </w:r>
      <w:r w:rsidR="00D629FA">
        <w:rPr>
          <w:rFonts w:ascii="ZWAdobeF" w:hAnsi="ZWAdobeF" w:cs="ZWAdobeF"/>
          <w:color w:val="auto"/>
          <w:sz w:val="2"/>
          <w:szCs w:val="2"/>
        </w:rPr>
        <w:t>630F</w:t>
      </w:r>
      <w:r w:rsidR="007A330E">
        <w:rPr>
          <w:rFonts w:ascii="ZWAdobeF" w:hAnsi="ZWAdobeF" w:cs="ZWAdobeF"/>
          <w:color w:val="auto"/>
          <w:sz w:val="2"/>
          <w:szCs w:val="2"/>
        </w:rPr>
        <w:t>630F</w:t>
      </w:r>
      <w:r w:rsidR="00317AE4">
        <w:rPr>
          <w:rFonts w:ascii="ZWAdobeF" w:hAnsi="ZWAdobeF" w:cs="ZWAdobeF"/>
          <w:color w:val="auto"/>
          <w:sz w:val="2"/>
          <w:szCs w:val="2"/>
        </w:rPr>
        <w:t>630F</w:t>
      </w:r>
      <w:r w:rsidR="00653EA8">
        <w:rPr>
          <w:rStyle w:val="FootnoteReference"/>
        </w:rPr>
        <w:footnoteReference w:id="632"/>
      </w:r>
    </w:p>
    <w:p w14:paraId="2DCDD631" w14:textId="5A65D398" w:rsidR="00653EA8" w:rsidRDefault="00BD5C95" w:rsidP="00932DB9">
      <w:pPr>
        <w:pStyle w:val="BodyTextnonum"/>
        <w:numPr>
          <w:ilvl w:val="3"/>
          <w:numId w:val="14"/>
        </w:numPr>
        <w:tabs>
          <w:tab w:val="clear" w:pos="709"/>
        </w:tabs>
      </w:pPr>
      <w:r>
        <w:rPr>
          <w:rFonts w:ascii="ZWAdobeF" w:hAnsi="ZWAdobeF" w:cs="ZWAdobeF"/>
          <w:color w:val="auto"/>
          <w:sz w:val="2"/>
          <w:szCs w:val="2"/>
        </w:rPr>
        <w:t>760B</w:t>
      </w:r>
      <w:r w:rsidR="0049638A">
        <w:rPr>
          <w:rFonts w:ascii="ZWAdobeF" w:hAnsi="ZWAdobeF" w:cs="ZWAdobeF"/>
          <w:color w:val="auto"/>
          <w:sz w:val="2"/>
          <w:szCs w:val="2"/>
        </w:rPr>
        <w:t>760B</w:t>
      </w:r>
      <w:r w:rsidR="00D629FA">
        <w:rPr>
          <w:rFonts w:ascii="ZWAdobeF" w:hAnsi="ZWAdobeF" w:cs="ZWAdobeF"/>
          <w:color w:val="auto"/>
          <w:sz w:val="2"/>
          <w:szCs w:val="2"/>
        </w:rPr>
        <w:t>760B</w:t>
      </w:r>
      <w:r w:rsidR="00653EA8" w:rsidRPr="007F6828">
        <w:t>The court is satisfied it can make a reasonably accurate assessment of the total amount to which class members will be entitled under the judgment; and</w:t>
      </w:r>
    </w:p>
    <w:p w14:paraId="4C9EE6A6" w14:textId="378DEA64" w:rsidR="00653EA8" w:rsidRPr="007F6828" w:rsidRDefault="00BD5C95" w:rsidP="00932DB9">
      <w:pPr>
        <w:pStyle w:val="BodyTextnonum"/>
        <w:numPr>
          <w:ilvl w:val="3"/>
          <w:numId w:val="14"/>
        </w:numPr>
        <w:tabs>
          <w:tab w:val="clear" w:pos="709"/>
        </w:tabs>
      </w:pPr>
      <w:r>
        <w:rPr>
          <w:rFonts w:ascii="ZWAdobeF" w:hAnsi="ZWAdobeF" w:cs="ZWAdobeF"/>
          <w:color w:val="auto"/>
          <w:sz w:val="2"/>
          <w:szCs w:val="2"/>
        </w:rPr>
        <w:t>761B</w:t>
      </w:r>
      <w:r w:rsidR="0049638A">
        <w:rPr>
          <w:rFonts w:ascii="ZWAdobeF" w:hAnsi="ZWAdobeF" w:cs="ZWAdobeF"/>
          <w:color w:val="auto"/>
          <w:sz w:val="2"/>
          <w:szCs w:val="2"/>
        </w:rPr>
        <w:t>761B</w:t>
      </w:r>
      <w:r w:rsidR="00D629FA">
        <w:rPr>
          <w:rFonts w:ascii="ZWAdobeF" w:hAnsi="ZWAdobeF" w:cs="ZWAdobeF"/>
          <w:color w:val="auto"/>
          <w:sz w:val="2"/>
          <w:szCs w:val="2"/>
        </w:rPr>
        <w:t>761B</w:t>
      </w:r>
      <w:r w:rsidR="00653EA8">
        <w:t xml:space="preserve">No question of fact or law remains to be determined to establish the amount of the defendant’s liability other than questions relating to assessment of monetary relief.  </w:t>
      </w:r>
    </w:p>
    <w:p w14:paraId="07035EC7" w14:textId="77777777" w:rsidR="00653EA8" w:rsidRDefault="00653EA8" w:rsidP="0002742D">
      <w:pPr>
        <w:pStyle w:val="Heading3"/>
      </w:pPr>
      <w:r>
        <w:t>Distribution of damages</w:t>
      </w:r>
    </w:p>
    <w:p w14:paraId="27579E0F" w14:textId="59740FBB" w:rsidR="00653EA8" w:rsidRDefault="00BD5C95" w:rsidP="00932DB9">
      <w:pPr>
        <w:pStyle w:val="BodyText"/>
      </w:pPr>
      <w:r>
        <w:rPr>
          <w:rFonts w:ascii="ZWAdobeF" w:hAnsi="ZWAdobeF" w:cs="ZWAdobeF"/>
          <w:color w:val="auto"/>
          <w:sz w:val="2"/>
          <w:szCs w:val="2"/>
        </w:rPr>
        <w:t>390B</w:t>
      </w:r>
      <w:r w:rsidR="0049638A">
        <w:rPr>
          <w:rFonts w:ascii="ZWAdobeF" w:hAnsi="ZWAdobeF" w:cs="ZWAdobeF"/>
          <w:color w:val="auto"/>
          <w:sz w:val="2"/>
          <w:szCs w:val="2"/>
        </w:rPr>
        <w:t>390B</w:t>
      </w:r>
      <w:r w:rsidR="00D629FA">
        <w:rPr>
          <w:rFonts w:ascii="ZWAdobeF" w:hAnsi="ZWAdobeF" w:cs="ZWAdobeF"/>
          <w:color w:val="auto"/>
          <w:sz w:val="2"/>
          <w:szCs w:val="2"/>
        </w:rPr>
        <w:t>390B</w:t>
      </w:r>
      <w:r w:rsidR="00653EA8">
        <w:t>After making an aggregate damages award, the court will have to determine how this award will be distributed to class members. In other class actions regimes, courts generally have a wide discretion to determine the appropriate method of distribution. For instance, there is a general requirement for Australian courts to “make provision for the payment or distribution of money to [class] members”.</w:t>
      </w:r>
      <w:r w:rsidR="00D629FA">
        <w:rPr>
          <w:rFonts w:ascii="ZWAdobeF" w:hAnsi="ZWAdobeF" w:cs="ZWAdobeF"/>
          <w:color w:val="auto"/>
          <w:sz w:val="2"/>
          <w:szCs w:val="2"/>
        </w:rPr>
        <w:t>631F</w:t>
      </w:r>
      <w:r w:rsidR="007A330E">
        <w:rPr>
          <w:rFonts w:ascii="ZWAdobeF" w:hAnsi="ZWAdobeF" w:cs="ZWAdobeF"/>
          <w:color w:val="auto"/>
          <w:sz w:val="2"/>
          <w:szCs w:val="2"/>
        </w:rPr>
        <w:t>631F</w:t>
      </w:r>
      <w:r w:rsidR="00317AE4">
        <w:rPr>
          <w:rFonts w:ascii="ZWAdobeF" w:hAnsi="ZWAdobeF" w:cs="ZWAdobeF"/>
          <w:color w:val="auto"/>
          <w:sz w:val="2"/>
          <w:szCs w:val="2"/>
        </w:rPr>
        <w:t>631F</w:t>
      </w:r>
      <w:r w:rsidR="00653EA8">
        <w:rPr>
          <w:rStyle w:val="FootnoteReference"/>
        </w:rPr>
        <w:footnoteReference w:id="633"/>
      </w:r>
      <w:r w:rsidR="00653EA8">
        <w:t xml:space="preserve"> Similarly, Canadian courts are empowered to make any order they </w:t>
      </w:r>
      <w:r w:rsidR="00653EA8" w:rsidRPr="00700C1D">
        <w:t xml:space="preserve">consider </w:t>
      </w:r>
      <w:r w:rsidR="00653EA8">
        <w:t>“</w:t>
      </w:r>
      <w:r w:rsidR="00653EA8" w:rsidRPr="00700C1D">
        <w:t>appropriate</w:t>
      </w:r>
      <w:r w:rsidR="00653EA8">
        <w:t>” for distribution.</w:t>
      </w:r>
      <w:r w:rsidR="00D629FA">
        <w:rPr>
          <w:rFonts w:ascii="ZWAdobeF" w:hAnsi="ZWAdobeF" w:cs="ZWAdobeF"/>
          <w:color w:val="auto"/>
          <w:sz w:val="2"/>
          <w:szCs w:val="2"/>
        </w:rPr>
        <w:t>632F</w:t>
      </w:r>
      <w:r w:rsidR="007A330E">
        <w:rPr>
          <w:rFonts w:ascii="ZWAdobeF" w:hAnsi="ZWAdobeF" w:cs="ZWAdobeF"/>
          <w:color w:val="auto"/>
          <w:sz w:val="2"/>
          <w:szCs w:val="2"/>
        </w:rPr>
        <w:t>632F</w:t>
      </w:r>
      <w:r w:rsidR="00317AE4">
        <w:rPr>
          <w:rFonts w:ascii="ZWAdobeF" w:hAnsi="ZWAdobeF" w:cs="ZWAdobeF"/>
          <w:color w:val="auto"/>
          <w:sz w:val="2"/>
          <w:szCs w:val="2"/>
        </w:rPr>
        <w:t>632F</w:t>
      </w:r>
      <w:r w:rsidR="00653EA8">
        <w:rPr>
          <w:rStyle w:val="FootnoteReference"/>
        </w:rPr>
        <w:footnoteReference w:id="634"/>
      </w:r>
      <w:r w:rsidR="00653EA8">
        <w:t xml:space="preserve"> The United Kingdom Competition Appeal Tribunal is required to make an order for any damages to be paid to a class representative or “any other person as the Tribunal thinks fit”.</w:t>
      </w:r>
      <w:r w:rsidR="00D629FA">
        <w:rPr>
          <w:rFonts w:ascii="ZWAdobeF" w:hAnsi="ZWAdobeF" w:cs="ZWAdobeF"/>
          <w:color w:val="auto"/>
          <w:sz w:val="2"/>
          <w:szCs w:val="2"/>
        </w:rPr>
        <w:t>633F</w:t>
      </w:r>
      <w:r w:rsidR="007A330E">
        <w:rPr>
          <w:rFonts w:ascii="ZWAdobeF" w:hAnsi="ZWAdobeF" w:cs="ZWAdobeF"/>
          <w:color w:val="auto"/>
          <w:sz w:val="2"/>
          <w:szCs w:val="2"/>
        </w:rPr>
        <w:t>633F</w:t>
      </w:r>
      <w:r w:rsidR="00317AE4">
        <w:rPr>
          <w:rFonts w:ascii="ZWAdobeF" w:hAnsi="ZWAdobeF" w:cs="ZWAdobeF"/>
          <w:color w:val="auto"/>
          <w:sz w:val="2"/>
          <w:szCs w:val="2"/>
        </w:rPr>
        <w:t>633F</w:t>
      </w:r>
      <w:r w:rsidR="00653EA8">
        <w:rPr>
          <w:rStyle w:val="FootnoteReference"/>
        </w:rPr>
        <w:footnoteReference w:id="635"/>
      </w:r>
      <w:r w:rsidR="00653EA8">
        <w:t xml:space="preserve"> </w:t>
      </w:r>
    </w:p>
    <w:p w14:paraId="67576DE7" w14:textId="7F9EE3DE" w:rsidR="00653EA8" w:rsidRDefault="00BD5C95" w:rsidP="00932DB9">
      <w:pPr>
        <w:pStyle w:val="BodyText"/>
        <w:tabs>
          <w:tab w:val="clear" w:pos="709"/>
        </w:tabs>
      </w:pPr>
      <w:r>
        <w:rPr>
          <w:rFonts w:ascii="ZWAdobeF" w:hAnsi="ZWAdobeF" w:cs="ZWAdobeF"/>
          <w:color w:val="auto"/>
          <w:sz w:val="2"/>
          <w:szCs w:val="2"/>
        </w:rPr>
        <w:t>391B</w:t>
      </w:r>
      <w:r w:rsidR="0049638A">
        <w:rPr>
          <w:rFonts w:ascii="ZWAdobeF" w:hAnsi="ZWAdobeF" w:cs="ZWAdobeF"/>
          <w:color w:val="auto"/>
          <w:sz w:val="2"/>
          <w:szCs w:val="2"/>
        </w:rPr>
        <w:t>391B</w:t>
      </w:r>
      <w:r w:rsidR="00D629FA">
        <w:rPr>
          <w:rFonts w:ascii="ZWAdobeF" w:hAnsi="ZWAdobeF" w:cs="ZWAdobeF"/>
          <w:color w:val="auto"/>
          <w:sz w:val="2"/>
          <w:szCs w:val="2"/>
        </w:rPr>
        <w:t>391B</w:t>
      </w:r>
      <w:r w:rsidR="00653EA8">
        <w:t>There are a number of possible methods for distributing awards of damages in class actions, including:</w:t>
      </w:r>
    </w:p>
    <w:p w14:paraId="2020298F" w14:textId="629E753F" w:rsidR="00653EA8" w:rsidRDefault="00BD5C95" w:rsidP="00932DB9">
      <w:pPr>
        <w:pStyle w:val="BodyTextnonum"/>
        <w:numPr>
          <w:ilvl w:val="3"/>
          <w:numId w:val="14"/>
        </w:numPr>
        <w:tabs>
          <w:tab w:val="clear" w:pos="709"/>
        </w:tabs>
      </w:pPr>
      <w:r>
        <w:rPr>
          <w:rFonts w:ascii="ZWAdobeF" w:hAnsi="ZWAdobeF" w:cs="ZWAdobeF"/>
          <w:bCs/>
          <w:color w:val="auto"/>
          <w:sz w:val="2"/>
          <w:szCs w:val="2"/>
        </w:rPr>
        <w:t>762B</w:t>
      </w:r>
      <w:r w:rsidR="0049638A">
        <w:rPr>
          <w:rFonts w:ascii="ZWAdobeF" w:hAnsi="ZWAdobeF" w:cs="ZWAdobeF"/>
          <w:bCs/>
          <w:color w:val="auto"/>
          <w:sz w:val="2"/>
          <w:szCs w:val="2"/>
        </w:rPr>
        <w:t>762B</w:t>
      </w:r>
      <w:r w:rsidR="00D629FA">
        <w:rPr>
          <w:rFonts w:ascii="ZWAdobeF" w:hAnsi="ZWAdobeF" w:cs="ZWAdobeF"/>
          <w:bCs/>
          <w:color w:val="auto"/>
          <w:sz w:val="2"/>
          <w:szCs w:val="2"/>
        </w:rPr>
        <w:t>762B</w:t>
      </w:r>
      <w:r w:rsidR="00653EA8" w:rsidRPr="005B1792">
        <w:rPr>
          <w:b/>
          <w:bCs/>
        </w:rPr>
        <w:t>Defendant distribution</w:t>
      </w:r>
      <w:r w:rsidR="00653EA8">
        <w:t>:  In certain circumstances it may be appropriate for the court to order the defendant to distribute damages to class members directly. An example is where the defendant can ascertain the identity and entitlement of class members from its records.</w:t>
      </w:r>
      <w:r w:rsidR="00D629FA">
        <w:rPr>
          <w:rFonts w:ascii="ZWAdobeF" w:hAnsi="ZWAdobeF" w:cs="ZWAdobeF"/>
          <w:color w:val="auto"/>
          <w:sz w:val="2"/>
          <w:szCs w:val="2"/>
        </w:rPr>
        <w:t>634F</w:t>
      </w:r>
      <w:r w:rsidR="007A330E">
        <w:rPr>
          <w:rFonts w:ascii="ZWAdobeF" w:hAnsi="ZWAdobeF" w:cs="ZWAdobeF"/>
          <w:color w:val="auto"/>
          <w:sz w:val="2"/>
          <w:szCs w:val="2"/>
        </w:rPr>
        <w:t>634F</w:t>
      </w:r>
      <w:r w:rsidR="00317AE4">
        <w:rPr>
          <w:rFonts w:ascii="ZWAdobeF" w:hAnsi="ZWAdobeF" w:cs="ZWAdobeF"/>
          <w:color w:val="auto"/>
          <w:sz w:val="2"/>
          <w:szCs w:val="2"/>
        </w:rPr>
        <w:t>634F</w:t>
      </w:r>
      <w:r w:rsidR="00653EA8">
        <w:rPr>
          <w:rStyle w:val="FootnoteReference"/>
        </w:rPr>
        <w:footnoteReference w:id="636"/>
      </w:r>
      <w:r w:rsidR="00653EA8">
        <w:t xml:space="preserve"> Direct distribution </w:t>
      </w:r>
      <w:r w:rsidR="004E215A">
        <w:t xml:space="preserve">can </w:t>
      </w:r>
      <w:r w:rsidR="00653EA8">
        <w:t>take place in Australia,</w:t>
      </w:r>
      <w:r w:rsidR="00D629FA">
        <w:rPr>
          <w:rFonts w:ascii="ZWAdobeF" w:hAnsi="ZWAdobeF" w:cs="ZWAdobeF"/>
          <w:color w:val="auto"/>
          <w:sz w:val="2"/>
          <w:szCs w:val="2"/>
        </w:rPr>
        <w:t>635F</w:t>
      </w:r>
      <w:r w:rsidR="007A330E">
        <w:rPr>
          <w:rFonts w:ascii="ZWAdobeF" w:hAnsi="ZWAdobeF" w:cs="ZWAdobeF"/>
          <w:color w:val="auto"/>
          <w:sz w:val="2"/>
          <w:szCs w:val="2"/>
        </w:rPr>
        <w:t>635F</w:t>
      </w:r>
      <w:r w:rsidR="00317AE4">
        <w:rPr>
          <w:rFonts w:ascii="ZWAdobeF" w:hAnsi="ZWAdobeF" w:cs="ZWAdobeF"/>
          <w:color w:val="auto"/>
          <w:sz w:val="2"/>
          <w:szCs w:val="2"/>
        </w:rPr>
        <w:t>635F</w:t>
      </w:r>
      <w:r w:rsidR="00653EA8">
        <w:rPr>
          <w:rStyle w:val="FootnoteReference"/>
        </w:rPr>
        <w:footnoteReference w:id="637"/>
      </w:r>
      <w:r w:rsidR="00653EA8">
        <w:t xml:space="preserve"> Canada,</w:t>
      </w:r>
      <w:r w:rsidR="00D629FA">
        <w:rPr>
          <w:rFonts w:ascii="ZWAdobeF" w:hAnsi="ZWAdobeF" w:cs="ZWAdobeF"/>
          <w:color w:val="auto"/>
          <w:sz w:val="2"/>
          <w:szCs w:val="2"/>
        </w:rPr>
        <w:t>636F</w:t>
      </w:r>
      <w:r w:rsidR="007A330E">
        <w:rPr>
          <w:rFonts w:ascii="ZWAdobeF" w:hAnsi="ZWAdobeF" w:cs="ZWAdobeF"/>
          <w:color w:val="auto"/>
          <w:sz w:val="2"/>
          <w:szCs w:val="2"/>
        </w:rPr>
        <w:t>636F</w:t>
      </w:r>
      <w:r w:rsidR="00317AE4">
        <w:rPr>
          <w:rFonts w:ascii="ZWAdobeF" w:hAnsi="ZWAdobeF" w:cs="ZWAdobeF"/>
          <w:color w:val="auto"/>
          <w:sz w:val="2"/>
          <w:szCs w:val="2"/>
        </w:rPr>
        <w:t>636F</w:t>
      </w:r>
      <w:r w:rsidR="00653EA8">
        <w:rPr>
          <w:rStyle w:val="FootnoteReference"/>
        </w:rPr>
        <w:footnoteReference w:id="638"/>
      </w:r>
      <w:r w:rsidR="00653EA8">
        <w:t xml:space="preserve"> and the United States.</w:t>
      </w:r>
      <w:r w:rsidR="00D629FA">
        <w:rPr>
          <w:rFonts w:ascii="ZWAdobeF" w:hAnsi="ZWAdobeF" w:cs="ZWAdobeF"/>
          <w:color w:val="auto"/>
          <w:sz w:val="2"/>
          <w:szCs w:val="2"/>
        </w:rPr>
        <w:t>637F</w:t>
      </w:r>
      <w:r w:rsidR="007A330E">
        <w:rPr>
          <w:rFonts w:ascii="ZWAdobeF" w:hAnsi="ZWAdobeF" w:cs="ZWAdobeF"/>
          <w:color w:val="auto"/>
          <w:sz w:val="2"/>
          <w:szCs w:val="2"/>
        </w:rPr>
        <w:t>637F</w:t>
      </w:r>
      <w:r w:rsidR="00317AE4">
        <w:rPr>
          <w:rFonts w:ascii="ZWAdobeF" w:hAnsi="ZWAdobeF" w:cs="ZWAdobeF"/>
          <w:color w:val="auto"/>
          <w:sz w:val="2"/>
          <w:szCs w:val="2"/>
        </w:rPr>
        <w:t>637F</w:t>
      </w:r>
      <w:r w:rsidR="00653EA8">
        <w:rPr>
          <w:rStyle w:val="FootnoteReference"/>
        </w:rPr>
        <w:footnoteReference w:id="639"/>
      </w:r>
      <w:r w:rsidR="00653EA8">
        <w:t xml:space="preserve"> </w:t>
      </w:r>
    </w:p>
    <w:p w14:paraId="0CE72958" w14:textId="06073CA3" w:rsidR="00653EA8" w:rsidRDefault="00BD5C95" w:rsidP="00932DB9">
      <w:pPr>
        <w:pStyle w:val="BodyTextnonum"/>
        <w:numPr>
          <w:ilvl w:val="3"/>
          <w:numId w:val="14"/>
        </w:numPr>
        <w:tabs>
          <w:tab w:val="clear" w:pos="709"/>
        </w:tabs>
      </w:pPr>
      <w:r>
        <w:rPr>
          <w:rFonts w:ascii="ZWAdobeF" w:hAnsi="ZWAdobeF" w:cs="ZWAdobeF"/>
          <w:bCs/>
          <w:color w:val="auto"/>
          <w:sz w:val="2"/>
          <w:szCs w:val="2"/>
        </w:rPr>
        <w:lastRenderedPageBreak/>
        <w:t>763B</w:t>
      </w:r>
      <w:r w:rsidR="0049638A">
        <w:rPr>
          <w:rFonts w:ascii="ZWAdobeF" w:hAnsi="ZWAdobeF" w:cs="ZWAdobeF"/>
          <w:bCs/>
          <w:color w:val="auto"/>
          <w:sz w:val="2"/>
          <w:szCs w:val="2"/>
        </w:rPr>
        <w:t>763B</w:t>
      </w:r>
      <w:r w:rsidR="00D629FA">
        <w:rPr>
          <w:rFonts w:ascii="ZWAdobeF" w:hAnsi="ZWAdobeF" w:cs="ZWAdobeF"/>
          <w:bCs/>
          <w:color w:val="auto"/>
          <w:sz w:val="2"/>
          <w:szCs w:val="2"/>
        </w:rPr>
        <w:t>763B</w:t>
      </w:r>
      <w:r w:rsidR="00653EA8" w:rsidRPr="00CB17DE">
        <w:rPr>
          <w:b/>
          <w:bCs/>
        </w:rPr>
        <w:t>Use of a fund:</w:t>
      </w:r>
      <w:r w:rsidR="00653EA8">
        <w:rPr>
          <w:b/>
          <w:bCs/>
        </w:rPr>
        <w:t xml:space="preserve"> </w:t>
      </w:r>
      <w:r w:rsidR="00653EA8" w:rsidRPr="00F84E00">
        <w:t>In</w:t>
      </w:r>
      <w:r w:rsidR="00653EA8">
        <w:t xml:space="preserve"> Australia,</w:t>
      </w:r>
      <w:r w:rsidR="00D629FA">
        <w:rPr>
          <w:rFonts w:ascii="ZWAdobeF" w:hAnsi="ZWAdobeF" w:cs="ZWAdobeF"/>
          <w:color w:val="auto"/>
          <w:sz w:val="2"/>
          <w:szCs w:val="2"/>
        </w:rPr>
        <w:t>638F</w:t>
      </w:r>
      <w:r w:rsidR="007A330E">
        <w:rPr>
          <w:rFonts w:ascii="ZWAdobeF" w:hAnsi="ZWAdobeF" w:cs="ZWAdobeF"/>
          <w:color w:val="auto"/>
          <w:sz w:val="2"/>
          <w:szCs w:val="2"/>
        </w:rPr>
        <w:t>638F</w:t>
      </w:r>
      <w:r w:rsidR="00317AE4">
        <w:rPr>
          <w:rFonts w:ascii="ZWAdobeF" w:hAnsi="ZWAdobeF" w:cs="ZWAdobeF"/>
          <w:color w:val="auto"/>
          <w:sz w:val="2"/>
          <w:szCs w:val="2"/>
        </w:rPr>
        <w:t>638F</w:t>
      </w:r>
      <w:r w:rsidR="00653EA8">
        <w:rPr>
          <w:rStyle w:val="FootnoteReference"/>
        </w:rPr>
        <w:footnoteReference w:id="640"/>
      </w:r>
      <w:r w:rsidR="00653EA8">
        <w:t xml:space="preserve"> Canada</w:t>
      </w:r>
      <w:r w:rsidR="00D629FA">
        <w:rPr>
          <w:rFonts w:ascii="ZWAdobeF" w:hAnsi="ZWAdobeF" w:cs="ZWAdobeF"/>
          <w:color w:val="auto"/>
          <w:sz w:val="2"/>
          <w:szCs w:val="2"/>
        </w:rPr>
        <w:t>639F</w:t>
      </w:r>
      <w:r w:rsidR="007A330E">
        <w:rPr>
          <w:rFonts w:ascii="ZWAdobeF" w:hAnsi="ZWAdobeF" w:cs="ZWAdobeF"/>
          <w:color w:val="auto"/>
          <w:sz w:val="2"/>
          <w:szCs w:val="2"/>
        </w:rPr>
        <w:t>639F</w:t>
      </w:r>
      <w:r w:rsidR="00317AE4">
        <w:rPr>
          <w:rFonts w:ascii="ZWAdobeF" w:hAnsi="ZWAdobeF" w:cs="ZWAdobeF"/>
          <w:color w:val="auto"/>
          <w:sz w:val="2"/>
          <w:szCs w:val="2"/>
        </w:rPr>
        <w:t>639F</w:t>
      </w:r>
      <w:r w:rsidR="00653EA8">
        <w:rPr>
          <w:rStyle w:val="FootnoteReference"/>
        </w:rPr>
        <w:footnoteReference w:id="641"/>
      </w:r>
      <w:r w:rsidR="00653EA8">
        <w:t xml:space="preserve"> and the United States,</w:t>
      </w:r>
      <w:r w:rsidR="00D629FA">
        <w:rPr>
          <w:rFonts w:ascii="ZWAdobeF" w:hAnsi="ZWAdobeF" w:cs="ZWAdobeF"/>
          <w:color w:val="auto"/>
          <w:sz w:val="2"/>
          <w:szCs w:val="2"/>
        </w:rPr>
        <w:t>640F</w:t>
      </w:r>
      <w:r w:rsidR="007A330E">
        <w:rPr>
          <w:rFonts w:ascii="ZWAdobeF" w:hAnsi="ZWAdobeF" w:cs="ZWAdobeF"/>
          <w:color w:val="auto"/>
          <w:sz w:val="2"/>
          <w:szCs w:val="2"/>
        </w:rPr>
        <w:t>640F</w:t>
      </w:r>
      <w:r w:rsidR="00317AE4">
        <w:rPr>
          <w:rFonts w:ascii="ZWAdobeF" w:hAnsi="ZWAdobeF" w:cs="ZWAdobeF"/>
          <w:color w:val="auto"/>
          <w:sz w:val="2"/>
          <w:szCs w:val="2"/>
        </w:rPr>
        <w:t>640F</w:t>
      </w:r>
      <w:r w:rsidR="00653EA8">
        <w:rPr>
          <w:rStyle w:val="FootnoteReference"/>
        </w:rPr>
        <w:footnoteReference w:id="642"/>
      </w:r>
      <w:r w:rsidR="00653EA8">
        <w:t xml:space="preserve"> the court can direct that a fund be established for the purposes of distributing damages to class members.</w:t>
      </w:r>
    </w:p>
    <w:p w14:paraId="1B29D902" w14:textId="5152947D" w:rsidR="00653EA8" w:rsidRDefault="00BD5C95" w:rsidP="00932DB9">
      <w:pPr>
        <w:pStyle w:val="BodyTextnonum"/>
        <w:numPr>
          <w:ilvl w:val="3"/>
          <w:numId w:val="14"/>
        </w:numPr>
      </w:pPr>
      <w:r>
        <w:rPr>
          <w:rFonts w:ascii="ZWAdobeF" w:hAnsi="ZWAdobeF" w:cs="ZWAdobeF"/>
          <w:bCs/>
          <w:color w:val="auto"/>
          <w:sz w:val="2"/>
          <w:szCs w:val="2"/>
        </w:rPr>
        <w:t>764B</w:t>
      </w:r>
      <w:r w:rsidR="0049638A">
        <w:rPr>
          <w:rFonts w:ascii="ZWAdobeF" w:hAnsi="ZWAdobeF" w:cs="ZWAdobeF"/>
          <w:bCs/>
          <w:color w:val="auto"/>
          <w:sz w:val="2"/>
          <w:szCs w:val="2"/>
        </w:rPr>
        <w:t>764B</w:t>
      </w:r>
      <w:r w:rsidR="00D629FA">
        <w:rPr>
          <w:rFonts w:ascii="ZWAdobeF" w:hAnsi="ZWAdobeF" w:cs="ZWAdobeF"/>
          <w:bCs/>
          <w:color w:val="auto"/>
          <w:sz w:val="2"/>
          <w:szCs w:val="2"/>
        </w:rPr>
        <w:t>764B</w:t>
      </w:r>
      <w:r w:rsidR="00653EA8" w:rsidRPr="00CB17DE">
        <w:rPr>
          <w:b/>
          <w:bCs/>
        </w:rPr>
        <w:t xml:space="preserve">Distribution by a third party: </w:t>
      </w:r>
      <w:r w:rsidR="00653EA8">
        <w:t>Canadian common law regimes also permit a non-party, such as an administrator, to distribute any damages to class members.</w:t>
      </w:r>
      <w:r w:rsidR="00D629FA">
        <w:rPr>
          <w:rFonts w:ascii="ZWAdobeF" w:hAnsi="ZWAdobeF" w:cs="ZWAdobeF"/>
          <w:color w:val="auto"/>
          <w:sz w:val="2"/>
          <w:szCs w:val="2"/>
        </w:rPr>
        <w:t>641F</w:t>
      </w:r>
      <w:r w:rsidR="007A330E">
        <w:rPr>
          <w:rFonts w:ascii="ZWAdobeF" w:hAnsi="ZWAdobeF" w:cs="ZWAdobeF"/>
          <w:color w:val="auto"/>
          <w:sz w:val="2"/>
          <w:szCs w:val="2"/>
        </w:rPr>
        <w:t>641F</w:t>
      </w:r>
      <w:r w:rsidR="00317AE4">
        <w:rPr>
          <w:rFonts w:ascii="ZWAdobeF" w:hAnsi="ZWAdobeF" w:cs="ZWAdobeF"/>
          <w:color w:val="auto"/>
          <w:sz w:val="2"/>
          <w:szCs w:val="2"/>
        </w:rPr>
        <w:t>641F</w:t>
      </w:r>
      <w:r w:rsidR="00653EA8">
        <w:rPr>
          <w:rStyle w:val="FootnoteReference"/>
        </w:rPr>
        <w:footnoteReference w:id="643"/>
      </w:r>
      <w:r w:rsidR="00653EA8">
        <w:t xml:space="preserve"> The United Kingdom Competition Appeal Tribunal may also order distribution through a third party.</w:t>
      </w:r>
      <w:r w:rsidR="00D629FA">
        <w:rPr>
          <w:rFonts w:ascii="ZWAdobeF" w:hAnsi="ZWAdobeF" w:cs="ZWAdobeF"/>
          <w:color w:val="auto"/>
          <w:sz w:val="2"/>
          <w:szCs w:val="2"/>
        </w:rPr>
        <w:t>642F</w:t>
      </w:r>
      <w:r w:rsidR="007A330E">
        <w:rPr>
          <w:rFonts w:ascii="ZWAdobeF" w:hAnsi="ZWAdobeF" w:cs="ZWAdobeF"/>
          <w:color w:val="auto"/>
          <w:sz w:val="2"/>
          <w:szCs w:val="2"/>
        </w:rPr>
        <w:t>642F</w:t>
      </w:r>
      <w:r w:rsidR="00317AE4">
        <w:rPr>
          <w:rFonts w:ascii="ZWAdobeF" w:hAnsi="ZWAdobeF" w:cs="ZWAdobeF"/>
          <w:color w:val="auto"/>
          <w:sz w:val="2"/>
          <w:szCs w:val="2"/>
        </w:rPr>
        <w:t>642F</w:t>
      </w:r>
      <w:r w:rsidR="00653EA8">
        <w:rPr>
          <w:rStyle w:val="FootnoteReference"/>
        </w:rPr>
        <w:footnoteReference w:id="644"/>
      </w:r>
      <w:r w:rsidR="00653EA8" w:rsidRPr="001E1802">
        <w:t xml:space="preserve"> </w:t>
      </w:r>
      <w:r w:rsidR="00653EA8">
        <w:t>The Australian regimes do not expressly provide for such distribution by a third party.</w:t>
      </w:r>
    </w:p>
    <w:p w14:paraId="2F76D282" w14:textId="40E14029" w:rsidR="00653EA8" w:rsidRDefault="00BD5C95" w:rsidP="00932DB9">
      <w:pPr>
        <w:pStyle w:val="BodyText"/>
        <w:tabs>
          <w:tab w:val="clear" w:pos="709"/>
        </w:tabs>
      </w:pPr>
      <w:r>
        <w:rPr>
          <w:rFonts w:ascii="ZWAdobeF" w:hAnsi="ZWAdobeF" w:cs="ZWAdobeF"/>
          <w:color w:val="auto"/>
          <w:sz w:val="2"/>
          <w:szCs w:val="2"/>
        </w:rPr>
        <w:t>392B</w:t>
      </w:r>
      <w:r w:rsidR="0049638A">
        <w:rPr>
          <w:rFonts w:ascii="ZWAdobeF" w:hAnsi="ZWAdobeF" w:cs="ZWAdobeF"/>
          <w:color w:val="auto"/>
          <w:sz w:val="2"/>
          <w:szCs w:val="2"/>
        </w:rPr>
        <w:t>392B</w:t>
      </w:r>
      <w:r w:rsidR="00D629FA">
        <w:rPr>
          <w:rFonts w:ascii="ZWAdobeF" w:hAnsi="ZWAdobeF" w:cs="ZWAdobeF"/>
          <w:color w:val="auto"/>
          <w:sz w:val="2"/>
          <w:szCs w:val="2"/>
        </w:rPr>
        <w:t>392B</w:t>
      </w:r>
      <w:r w:rsidR="00653EA8">
        <w:t>We consider that e</w:t>
      </w:r>
      <w:r w:rsidR="00653EA8" w:rsidRPr="00BB53EB">
        <w:t xml:space="preserve">nsuring court oversight of the distribution process is an important safeguard to ensure </w:t>
      </w:r>
      <w:r w:rsidR="00653EA8">
        <w:t xml:space="preserve">proceedings are effectively concluded. Our draft provision on aggregate monetary relief therefore includes powers relating to distribution. </w:t>
      </w:r>
    </w:p>
    <w:p w14:paraId="7C768237" w14:textId="68176948" w:rsidR="00653EA8" w:rsidRDefault="00BD5C95" w:rsidP="00932DB9">
      <w:pPr>
        <w:pStyle w:val="BodyText"/>
        <w:tabs>
          <w:tab w:val="clear" w:pos="709"/>
        </w:tabs>
      </w:pPr>
      <w:r>
        <w:rPr>
          <w:rFonts w:ascii="ZWAdobeF" w:hAnsi="ZWAdobeF" w:cs="ZWAdobeF"/>
          <w:color w:val="auto"/>
          <w:sz w:val="2"/>
          <w:szCs w:val="2"/>
        </w:rPr>
        <w:t>393B</w:t>
      </w:r>
      <w:r w:rsidR="0049638A">
        <w:rPr>
          <w:rFonts w:ascii="ZWAdobeF" w:hAnsi="ZWAdobeF" w:cs="ZWAdobeF"/>
          <w:color w:val="auto"/>
          <w:sz w:val="2"/>
          <w:szCs w:val="2"/>
        </w:rPr>
        <w:t>393B</w:t>
      </w:r>
      <w:r w:rsidR="00D629FA">
        <w:rPr>
          <w:rFonts w:ascii="ZWAdobeF" w:hAnsi="ZWAdobeF" w:cs="ZWAdobeF"/>
          <w:color w:val="auto"/>
          <w:sz w:val="2"/>
          <w:szCs w:val="2"/>
        </w:rPr>
        <w:t>393B</w:t>
      </w:r>
      <w:r w:rsidR="00653EA8">
        <w:t xml:space="preserve">Like </w:t>
      </w:r>
      <w:r w:rsidR="00653EA8" w:rsidRPr="00DD487A">
        <w:t xml:space="preserve">our comparator jurisdictions, </w:t>
      </w:r>
      <w:r w:rsidR="00653EA8">
        <w:t xml:space="preserve">we consider that </w:t>
      </w:r>
      <w:r w:rsidR="00653EA8" w:rsidRPr="00DD487A">
        <w:t xml:space="preserve">the court should have a wide discretion as to the appropriate method of distributing damages to class members. </w:t>
      </w:r>
      <w:r w:rsidR="00653EA8">
        <w:t>In some cases, distribution will be relatively straightforward, for example, if there is a share register or customer database that can be used to facilitate distribution. Distribution in other cases will be more complex. Because appropriate distribution methods will depend</w:t>
      </w:r>
      <w:r w:rsidR="00653EA8" w:rsidRPr="00DD487A">
        <w:t xml:space="preserve"> on the circumstances of </w:t>
      </w:r>
      <w:r w:rsidR="00653EA8">
        <w:t xml:space="preserve">the </w:t>
      </w:r>
      <w:r w:rsidR="00653EA8" w:rsidRPr="00DD487A">
        <w:t>particular case</w:t>
      </w:r>
      <w:r w:rsidR="00653EA8">
        <w:t>, we have proposed that the court should be able to make any orders it considers appropriate with respect to distribution.</w:t>
      </w:r>
      <w:r w:rsidR="00D629FA">
        <w:rPr>
          <w:rFonts w:ascii="ZWAdobeF" w:hAnsi="ZWAdobeF" w:cs="ZWAdobeF"/>
          <w:color w:val="auto"/>
          <w:sz w:val="2"/>
          <w:szCs w:val="2"/>
        </w:rPr>
        <w:t>643F</w:t>
      </w:r>
      <w:r w:rsidR="007A330E">
        <w:rPr>
          <w:rFonts w:ascii="ZWAdobeF" w:hAnsi="ZWAdobeF" w:cs="ZWAdobeF"/>
          <w:color w:val="auto"/>
          <w:sz w:val="2"/>
          <w:szCs w:val="2"/>
        </w:rPr>
        <w:t>643F</w:t>
      </w:r>
      <w:r w:rsidR="00317AE4">
        <w:rPr>
          <w:rFonts w:ascii="ZWAdobeF" w:hAnsi="ZWAdobeF" w:cs="ZWAdobeF"/>
          <w:color w:val="auto"/>
          <w:sz w:val="2"/>
          <w:szCs w:val="2"/>
        </w:rPr>
        <w:t>643F</w:t>
      </w:r>
      <w:r w:rsidR="00653EA8">
        <w:rPr>
          <w:rStyle w:val="FootnoteReference"/>
        </w:rPr>
        <w:footnoteReference w:id="645"/>
      </w:r>
      <w:r w:rsidR="00653EA8">
        <w:t xml:space="preserve"> </w:t>
      </w:r>
      <w:r w:rsidR="00107F0A">
        <w:t>Our draft provision provides some examples of orders that may be appropriate, such as</w:t>
      </w:r>
      <w:r w:rsidR="00653EA8">
        <w:t xml:space="preserve"> orders as to how a class member must establish their entitlement to relief and orders as to who will pay the costs of distribution. </w:t>
      </w:r>
    </w:p>
    <w:p w14:paraId="696E72A3" w14:textId="77777777" w:rsidR="00653EA8" w:rsidRDefault="00653EA8" w:rsidP="0002742D">
      <w:pPr>
        <w:pStyle w:val="Heading3"/>
      </w:pPr>
      <w:r>
        <w:t>Unclaimed damages</w:t>
      </w:r>
    </w:p>
    <w:p w14:paraId="4D30BE64" w14:textId="62F87958" w:rsidR="00653EA8" w:rsidRDefault="00BD5C95" w:rsidP="00932DB9">
      <w:pPr>
        <w:pStyle w:val="BodyText"/>
      </w:pPr>
      <w:r>
        <w:rPr>
          <w:rFonts w:ascii="ZWAdobeF" w:hAnsi="ZWAdobeF" w:cs="ZWAdobeF"/>
          <w:color w:val="auto"/>
          <w:sz w:val="2"/>
          <w:szCs w:val="2"/>
        </w:rPr>
        <w:t>394B</w:t>
      </w:r>
      <w:r w:rsidR="0049638A">
        <w:rPr>
          <w:rFonts w:ascii="ZWAdobeF" w:hAnsi="ZWAdobeF" w:cs="ZWAdobeF"/>
          <w:color w:val="auto"/>
          <w:sz w:val="2"/>
          <w:szCs w:val="2"/>
        </w:rPr>
        <w:t>394B</w:t>
      </w:r>
      <w:r w:rsidR="00D629FA">
        <w:rPr>
          <w:rFonts w:ascii="ZWAdobeF" w:hAnsi="ZWAdobeF" w:cs="ZWAdobeF"/>
          <w:color w:val="auto"/>
          <w:sz w:val="2"/>
          <w:szCs w:val="2"/>
        </w:rPr>
        <w:t>394B</w:t>
      </w:r>
      <w:r w:rsidR="00653EA8">
        <w:t xml:space="preserve">It may not always be possible to distribute the entire sum of an aggregate award of damages to class members. In some cases, not all class members will take part in a claims process, leaving unclaimed damages. </w:t>
      </w:r>
    </w:p>
    <w:p w14:paraId="6204E0BC" w14:textId="37CD8873" w:rsidR="00653EA8" w:rsidRDefault="00BD5C95" w:rsidP="00932DB9">
      <w:pPr>
        <w:pStyle w:val="BodyText"/>
        <w:tabs>
          <w:tab w:val="num" w:pos="709"/>
        </w:tabs>
      </w:pPr>
      <w:r>
        <w:rPr>
          <w:rFonts w:ascii="ZWAdobeF" w:hAnsi="ZWAdobeF" w:cs="ZWAdobeF"/>
          <w:color w:val="auto"/>
          <w:sz w:val="2"/>
          <w:szCs w:val="2"/>
        </w:rPr>
        <w:t>395B</w:t>
      </w:r>
      <w:r w:rsidR="0049638A">
        <w:rPr>
          <w:rFonts w:ascii="ZWAdobeF" w:hAnsi="ZWAdobeF" w:cs="ZWAdobeF"/>
          <w:color w:val="auto"/>
          <w:sz w:val="2"/>
          <w:szCs w:val="2"/>
        </w:rPr>
        <w:t>395B</w:t>
      </w:r>
      <w:r w:rsidR="00D629FA">
        <w:rPr>
          <w:rFonts w:ascii="ZWAdobeF" w:hAnsi="ZWAdobeF" w:cs="ZWAdobeF"/>
          <w:color w:val="auto"/>
          <w:sz w:val="2"/>
          <w:szCs w:val="2"/>
        </w:rPr>
        <w:t>395B</w:t>
      </w:r>
      <w:r w:rsidR="00653EA8">
        <w:t>Overseas jurisdictions use a variety of different approaches for distributing unclaimed damages:</w:t>
      </w:r>
    </w:p>
    <w:p w14:paraId="702E8767" w14:textId="652EE23F" w:rsidR="00653EA8" w:rsidRPr="00DA418E" w:rsidRDefault="00BD5C95" w:rsidP="00932DB9">
      <w:pPr>
        <w:pStyle w:val="BodyTextnonum"/>
        <w:numPr>
          <w:ilvl w:val="3"/>
          <w:numId w:val="14"/>
        </w:numPr>
        <w:tabs>
          <w:tab w:val="clear" w:pos="709"/>
        </w:tabs>
        <w:rPr>
          <w:b/>
          <w:bCs/>
        </w:rPr>
      </w:pPr>
      <w:r>
        <w:rPr>
          <w:rFonts w:ascii="ZWAdobeF" w:hAnsi="ZWAdobeF" w:cs="ZWAdobeF"/>
          <w:bCs/>
          <w:color w:val="auto"/>
          <w:sz w:val="2"/>
          <w:szCs w:val="2"/>
        </w:rPr>
        <w:t>765B</w:t>
      </w:r>
      <w:r w:rsidR="0049638A">
        <w:rPr>
          <w:rFonts w:ascii="ZWAdobeF" w:hAnsi="ZWAdobeF" w:cs="ZWAdobeF"/>
          <w:bCs/>
          <w:color w:val="auto"/>
          <w:sz w:val="2"/>
          <w:szCs w:val="2"/>
        </w:rPr>
        <w:t>765B</w:t>
      </w:r>
      <w:r w:rsidR="00D629FA">
        <w:rPr>
          <w:rFonts w:ascii="ZWAdobeF" w:hAnsi="ZWAdobeF" w:cs="ZWAdobeF"/>
          <w:bCs/>
          <w:color w:val="auto"/>
          <w:sz w:val="2"/>
          <w:szCs w:val="2"/>
        </w:rPr>
        <w:t>765B</w:t>
      </w:r>
      <w:r w:rsidR="00653EA8" w:rsidRPr="005B1792">
        <w:rPr>
          <w:b/>
          <w:bCs/>
        </w:rPr>
        <w:t xml:space="preserve">Pro-rata </w:t>
      </w:r>
      <w:r w:rsidR="00653EA8">
        <w:rPr>
          <w:b/>
          <w:bCs/>
        </w:rPr>
        <w:t xml:space="preserve">distribution to class members: </w:t>
      </w:r>
      <w:r w:rsidR="00653EA8">
        <w:t>Unclaimed damages could be redistributed between the class members who successfully make a claim for damages. This is possible in the United States.</w:t>
      </w:r>
      <w:r w:rsidR="00D629FA">
        <w:rPr>
          <w:rFonts w:ascii="ZWAdobeF" w:hAnsi="ZWAdobeF" w:cs="ZWAdobeF"/>
          <w:color w:val="auto"/>
          <w:sz w:val="2"/>
          <w:szCs w:val="2"/>
        </w:rPr>
        <w:t>644F</w:t>
      </w:r>
      <w:r w:rsidR="007A330E">
        <w:rPr>
          <w:rFonts w:ascii="ZWAdobeF" w:hAnsi="ZWAdobeF" w:cs="ZWAdobeF"/>
          <w:color w:val="auto"/>
          <w:sz w:val="2"/>
          <w:szCs w:val="2"/>
        </w:rPr>
        <w:t>644F</w:t>
      </w:r>
      <w:r w:rsidR="00317AE4">
        <w:rPr>
          <w:rFonts w:ascii="ZWAdobeF" w:hAnsi="ZWAdobeF" w:cs="ZWAdobeF"/>
          <w:color w:val="auto"/>
          <w:sz w:val="2"/>
          <w:szCs w:val="2"/>
        </w:rPr>
        <w:t>644F</w:t>
      </w:r>
      <w:r w:rsidR="00653EA8">
        <w:rPr>
          <w:rStyle w:val="FootnoteReference"/>
        </w:rPr>
        <w:footnoteReference w:id="646"/>
      </w:r>
    </w:p>
    <w:p w14:paraId="440D64F7" w14:textId="52AA64BA" w:rsidR="00653EA8" w:rsidRDefault="00BD5C95" w:rsidP="00932DB9">
      <w:pPr>
        <w:pStyle w:val="BodyTextnonum"/>
        <w:numPr>
          <w:ilvl w:val="3"/>
          <w:numId w:val="14"/>
        </w:numPr>
        <w:tabs>
          <w:tab w:val="clear" w:pos="709"/>
        </w:tabs>
      </w:pPr>
      <w:r>
        <w:rPr>
          <w:rFonts w:ascii="ZWAdobeF" w:hAnsi="ZWAdobeF" w:cs="ZWAdobeF"/>
          <w:bCs/>
          <w:color w:val="auto"/>
          <w:sz w:val="2"/>
          <w:szCs w:val="2"/>
        </w:rPr>
        <w:t>766B</w:t>
      </w:r>
      <w:r w:rsidR="0049638A">
        <w:rPr>
          <w:rFonts w:ascii="ZWAdobeF" w:hAnsi="ZWAdobeF" w:cs="ZWAdobeF"/>
          <w:bCs/>
          <w:color w:val="auto"/>
          <w:sz w:val="2"/>
          <w:szCs w:val="2"/>
        </w:rPr>
        <w:t>766B</w:t>
      </w:r>
      <w:r w:rsidR="00D629FA">
        <w:rPr>
          <w:rFonts w:ascii="ZWAdobeF" w:hAnsi="ZWAdobeF" w:cs="ZWAdobeF"/>
          <w:bCs/>
          <w:color w:val="auto"/>
          <w:sz w:val="2"/>
          <w:szCs w:val="2"/>
        </w:rPr>
        <w:t>766B</w:t>
      </w:r>
      <w:r w:rsidR="00653EA8">
        <w:rPr>
          <w:b/>
          <w:bCs/>
        </w:rPr>
        <w:t>Contribution to legal costs.</w:t>
      </w:r>
      <w:r w:rsidR="00653EA8">
        <w:t xml:space="preserve"> Unclaimed damages could be used to cover some of the legal costs incurred by the representative plaintiff in bringing the proceeding. For instance, the United Kingdom Competition Appeal Tribunal can order unclaimed </w:t>
      </w:r>
      <w:r w:rsidR="00653EA8">
        <w:lastRenderedPageBreak/>
        <w:t>damages be paid to the representative plaintiff to cover costs incurred.</w:t>
      </w:r>
      <w:r w:rsidR="00D629FA">
        <w:rPr>
          <w:rFonts w:ascii="ZWAdobeF" w:hAnsi="ZWAdobeF" w:cs="ZWAdobeF"/>
          <w:color w:val="auto"/>
          <w:sz w:val="2"/>
          <w:szCs w:val="2"/>
        </w:rPr>
        <w:t>645F</w:t>
      </w:r>
      <w:r w:rsidR="007A330E">
        <w:rPr>
          <w:rFonts w:ascii="ZWAdobeF" w:hAnsi="ZWAdobeF" w:cs="ZWAdobeF"/>
          <w:color w:val="auto"/>
          <w:sz w:val="2"/>
          <w:szCs w:val="2"/>
        </w:rPr>
        <w:t>645F</w:t>
      </w:r>
      <w:r w:rsidR="00317AE4">
        <w:rPr>
          <w:rFonts w:ascii="ZWAdobeF" w:hAnsi="ZWAdobeF" w:cs="ZWAdobeF"/>
          <w:color w:val="auto"/>
          <w:sz w:val="2"/>
          <w:szCs w:val="2"/>
        </w:rPr>
        <w:t>645F</w:t>
      </w:r>
      <w:r w:rsidR="00653EA8">
        <w:rPr>
          <w:rStyle w:val="FootnoteReference"/>
        </w:rPr>
        <w:footnoteReference w:id="647"/>
      </w:r>
      <w:r w:rsidR="00653EA8">
        <w:t xml:space="preserve"> In funded class actions</w:t>
      </w:r>
      <w:r w:rsidR="00985BE2">
        <w:t>,</w:t>
      </w:r>
      <w:r w:rsidR="00653EA8">
        <w:t xml:space="preserve"> however, those costs would usually be met by the litigation funder.</w:t>
      </w:r>
    </w:p>
    <w:p w14:paraId="50E73CF5" w14:textId="4F80834F" w:rsidR="00653EA8" w:rsidRDefault="00BD5C95" w:rsidP="00932DB9">
      <w:pPr>
        <w:pStyle w:val="BodyTextnonum"/>
        <w:numPr>
          <w:ilvl w:val="3"/>
          <w:numId w:val="14"/>
        </w:numPr>
        <w:tabs>
          <w:tab w:val="clear" w:pos="709"/>
        </w:tabs>
      </w:pPr>
      <w:r>
        <w:rPr>
          <w:rFonts w:ascii="ZWAdobeF" w:hAnsi="ZWAdobeF" w:cs="ZWAdobeF"/>
          <w:bCs/>
          <w:color w:val="auto"/>
          <w:sz w:val="2"/>
          <w:szCs w:val="2"/>
        </w:rPr>
        <w:t>767B</w:t>
      </w:r>
      <w:r w:rsidR="0049638A">
        <w:rPr>
          <w:rFonts w:ascii="ZWAdobeF" w:hAnsi="ZWAdobeF" w:cs="ZWAdobeF"/>
          <w:bCs/>
          <w:color w:val="auto"/>
          <w:sz w:val="2"/>
          <w:szCs w:val="2"/>
        </w:rPr>
        <w:t>767B</w:t>
      </w:r>
      <w:r w:rsidR="00D629FA">
        <w:rPr>
          <w:rFonts w:ascii="ZWAdobeF" w:hAnsi="ZWAdobeF" w:cs="ZWAdobeF"/>
          <w:bCs/>
          <w:color w:val="auto"/>
          <w:sz w:val="2"/>
          <w:szCs w:val="2"/>
        </w:rPr>
        <w:t>767B</w:t>
      </w:r>
      <w:r w:rsidR="00653EA8" w:rsidRPr="005B1792">
        <w:rPr>
          <w:b/>
          <w:bCs/>
        </w:rPr>
        <w:t>Cy-</w:t>
      </w:r>
      <w:r w:rsidR="00653EA8" w:rsidRPr="00DA418E">
        <w:rPr>
          <w:b/>
          <w:bCs/>
        </w:rPr>
        <w:t>près</w:t>
      </w:r>
      <w:r w:rsidR="00653EA8" w:rsidRPr="005B1792">
        <w:rPr>
          <w:b/>
          <w:bCs/>
        </w:rPr>
        <w:t xml:space="preserve"> distribution</w:t>
      </w:r>
      <w:r w:rsidR="00653EA8" w:rsidRPr="00DA418E">
        <w:rPr>
          <w:b/>
          <w:bCs/>
        </w:rPr>
        <w:t>:</w:t>
      </w:r>
      <w:r w:rsidR="00D629FA">
        <w:rPr>
          <w:rFonts w:ascii="ZWAdobeF" w:hAnsi="ZWAdobeF" w:cs="ZWAdobeF"/>
          <w:bCs/>
          <w:color w:val="auto"/>
          <w:sz w:val="2"/>
          <w:szCs w:val="2"/>
        </w:rPr>
        <w:t>646F</w:t>
      </w:r>
      <w:r w:rsidR="007A330E">
        <w:rPr>
          <w:rFonts w:ascii="ZWAdobeF" w:hAnsi="ZWAdobeF" w:cs="ZWAdobeF"/>
          <w:bCs/>
          <w:color w:val="auto"/>
          <w:sz w:val="2"/>
          <w:szCs w:val="2"/>
        </w:rPr>
        <w:t>646F</w:t>
      </w:r>
      <w:r w:rsidR="00317AE4">
        <w:rPr>
          <w:rFonts w:ascii="ZWAdobeF" w:hAnsi="ZWAdobeF" w:cs="ZWAdobeF"/>
          <w:bCs/>
          <w:color w:val="auto"/>
          <w:sz w:val="2"/>
          <w:szCs w:val="2"/>
        </w:rPr>
        <w:t>646F</w:t>
      </w:r>
      <w:r w:rsidR="00653EA8" w:rsidRPr="00023B94">
        <w:rPr>
          <w:rStyle w:val="FootnoteReference"/>
        </w:rPr>
        <w:footnoteReference w:id="648"/>
      </w:r>
      <w:r w:rsidR="00653EA8">
        <w:t xml:space="preserve"> In most Canadian common law provinces, courts may make cy-près orders in respect of unclaimed aggregate damages.</w:t>
      </w:r>
      <w:r w:rsidR="00D629FA">
        <w:rPr>
          <w:rFonts w:ascii="ZWAdobeF" w:hAnsi="ZWAdobeF" w:cs="ZWAdobeF"/>
          <w:color w:val="auto"/>
          <w:sz w:val="2"/>
          <w:szCs w:val="2"/>
        </w:rPr>
        <w:t>647F</w:t>
      </w:r>
      <w:r w:rsidR="007A330E">
        <w:rPr>
          <w:rFonts w:ascii="ZWAdobeF" w:hAnsi="ZWAdobeF" w:cs="ZWAdobeF"/>
          <w:color w:val="auto"/>
          <w:sz w:val="2"/>
          <w:szCs w:val="2"/>
        </w:rPr>
        <w:t>647F</w:t>
      </w:r>
      <w:r w:rsidR="00317AE4">
        <w:rPr>
          <w:rFonts w:ascii="ZWAdobeF" w:hAnsi="ZWAdobeF" w:cs="ZWAdobeF"/>
          <w:color w:val="auto"/>
          <w:sz w:val="2"/>
          <w:szCs w:val="2"/>
        </w:rPr>
        <w:t>647F</w:t>
      </w:r>
      <w:r w:rsidR="00653EA8">
        <w:rPr>
          <w:rStyle w:val="FootnoteReference"/>
        </w:rPr>
        <w:footnoteReference w:id="649"/>
      </w:r>
      <w:r w:rsidR="00653EA8">
        <w:t xml:space="preserve"> The U</w:t>
      </w:r>
      <w:r w:rsidR="00985BE2">
        <w:t>nited Kingdom</w:t>
      </w:r>
      <w:r w:rsidR="00653EA8">
        <w:t xml:space="preserve"> Competition Appeal Tribunal may order unclaimed damages to be paid to a designated charity, currently the Access to Justice Foundation.</w:t>
      </w:r>
      <w:r w:rsidR="00D629FA">
        <w:rPr>
          <w:rFonts w:ascii="ZWAdobeF" w:hAnsi="ZWAdobeF" w:cs="ZWAdobeF"/>
          <w:color w:val="auto"/>
          <w:sz w:val="2"/>
          <w:szCs w:val="2"/>
        </w:rPr>
        <w:t>648F</w:t>
      </w:r>
      <w:r w:rsidR="007A330E">
        <w:rPr>
          <w:rFonts w:ascii="ZWAdobeF" w:hAnsi="ZWAdobeF" w:cs="ZWAdobeF"/>
          <w:color w:val="auto"/>
          <w:sz w:val="2"/>
          <w:szCs w:val="2"/>
        </w:rPr>
        <w:t>648F</w:t>
      </w:r>
      <w:r w:rsidR="00317AE4">
        <w:rPr>
          <w:rFonts w:ascii="ZWAdobeF" w:hAnsi="ZWAdobeF" w:cs="ZWAdobeF"/>
          <w:color w:val="auto"/>
          <w:sz w:val="2"/>
          <w:szCs w:val="2"/>
        </w:rPr>
        <w:t>648F</w:t>
      </w:r>
      <w:r w:rsidR="00653EA8">
        <w:rPr>
          <w:rStyle w:val="FootnoteReference"/>
        </w:rPr>
        <w:footnoteReference w:id="650"/>
      </w:r>
    </w:p>
    <w:p w14:paraId="521A6C0D" w14:textId="25C63718" w:rsidR="00653EA8" w:rsidRPr="00981E42" w:rsidRDefault="00BD5C95" w:rsidP="00932DB9">
      <w:pPr>
        <w:pStyle w:val="BodyTextnonum"/>
        <w:numPr>
          <w:ilvl w:val="3"/>
          <w:numId w:val="14"/>
        </w:numPr>
        <w:tabs>
          <w:tab w:val="clear" w:pos="709"/>
        </w:tabs>
      </w:pPr>
      <w:r>
        <w:rPr>
          <w:rFonts w:ascii="ZWAdobeF" w:hAnsi="ZWAdobeF" w:cs="ZWAdobeF"/>
          <w:bCs/>
          <w:color w:val="auto"/>
          <w:sz w:val="2"/>
          <w:szCs w:val="2"/>
        </w:rPr>
        <w:t>768B</w:t>
      </w:r>
      <w:r w:rsidR="0049638A">
        <w:rPr>
          <w:rFonts w:ascii="ZWAdobeF" w:hAnsi="ZWAdobeF" w:cs="ZWAdobeF"/>
          <w:bCs/>
          <w:color w:val="auto"/>
          <w:sz w:val="2"/>
          <w:szCs w:val="2"/>
        </w:rPr>
        <w:t>768B</w:t>
      </w:r>
      <w:r w:rsidR="00D629FA">
        <w:rPr>
          <w:rFonts w:ascii="ZWAdobeF" w:hAnsi="ZWAdobeF" w:cs="ZWAdobeF"/>
          <w:bCs/>
          <w:color w:val="auto"/>
          <w:sz w:val="2"/>
          <w:szCs w:val="2"/>
        </w:rPr>
        <w:t>768B</w:t>
      </w:r>
      <w:r w:rsidR="00653EA8" w:rsidRPr="00DA418E">
        <w:rPr>
          <w:b/>
          <w:bCs/>
        </w:rPr>
        <w:t xml:space="preserve">Reversion to </w:t>
      </w:r>
      <w:r w:rsidR="00653EA8">
        <w:rPr>
          <w:b/>
          <w:bCs/>
        </w:rPr>
        <w:t xml:space="preserve">the </w:t>
      </w:r>
      <w:r w:rsidR="00653EA8" w:rsidRPr="00DA418E">
        <w:rPr>
          <w:b/>
          <w:bCs/>
        </w:rPr>
        <w:t>defendant:</w:t>
      </w:r>
      <w:r w:rsidR="00653EA8" w:rsidRPr="00DA418E">
        <w:t xml:space="preserve"> </w:t>
      </w:r>
      <w:r w:rsidR="00653EA8">
        <w:t>Unclaimed damages could revert to the defendant. This is the default approach in Ontario,</w:t>
      </w:r>
      <w:r w:rsidR="00D629FA">
        <w:rPr>
          <w:rFonts w:ascii="ZWAdobeF" w:hAnsi="ZWAdobeF" w:cs="ZWAdobeF"/>
          <w:color w:val="auto"/>
          <w:sz w:val="2"/>
          <w:szCs w:val="2"/>
        </w:rPr>
        <w:t>649F</w:t>
      </w:r>
      <w:r w:rsidR="007A330E">
        <w:rPr>
          <w:rFonts w:ascii="ZWAdobeF" w:hAnsi="ZWAdobeF" w:cs="ZWAdobeF"/>
          <w:color w:val="auto"/>
          <w:sz w:val="2"/>
          <w:szCs w:val="2"/>
        </w:rPr>
        <w:t>649F</w:t>
      </w:r>
      <w:r w:rsidR="00317AE4">
        <w:rPr>
          <w:rFonts w:ascii="ZWAdobeF" w:hAnsi="ZWAdobeF" w:cs="ZWAdobeF"/>
          <w:color w:val="auto"/>
          <w:sz w:val="2"/>
          <w:szCs w:val="2"/>
        </w:rPr>
        <w:t>649F</w:t>
      </w:r>
      <w:r w:rsidR="00653EA8" w:rsidRPr="004D1A20">
        <w:rPr>
          <w:vertAlign w:val="superscript"/>
        </w:rPr>
        <w:footnoteReference w:id="651"/>
      </w:r>
      <w:r w:rsidR="00653EA8">
        <w:t xml:space="preserve"> and is also permitted in the United States.</w:t>
      </w:r>
      <w:r w:rsidR="00D629FA">
        <w:rPr>
          <w:rFonts w:ascii="ZWAdobeF" w:hAnsi="ZWAdobeF" w:cs="ZWAdobeF"/>
          <w:color w:val="auto"/>
          <w:sz w:val="2"/>
          <w:szCs w:val="2"/>
        </w:rPr>
        <w:t>650F</w:t>
      </w:r>
      <w:r w:rsidR="007A330E">
        <w:rPr>
          <w:rFonts w:ascii="ZWAdobeF" w:hAnsi="ZWAdobeF" w:cs="ZWAdobeF"/>
          <w:color w:val="auto"/>
          <w:sz w:val="2"/>
          <w:szCs w:val="2"/>
        </w:rPr>
        <w:t>650F</w:t>
      </w:r>
      <w:r w:rsidR="00317AE4">
        <w:rPr>
          <w:rFonts w:ascii="ZWAdobeF" w:hAnsi="ZWAdobeF" w:cs="ZWAdobeF"/>
          <w:color w:val="auto"/>
          <w:sz w:val="2"/>
          <w:szCs w:val="2"/>
        </w:rPr>
        <w:t>650F</w:t>
      </w:r>
      <w:r w:rsidR="00653EA8">
        <w:rPr>
          <w:rStyle w:val="FootnoteReference"/>
        </w:rPr>
        <w:footnoteReference w:id="652"/>
      </w:r>
      <w:r w:rsidR="00653EA8">
        <w:t xml:space="preserve"> </w:t>
      </w:r>
    </w:p>
    <w:p w14:paraId="5AB021E3" w14:textId="64A0AE08" w:rsidR="00653EA8" w:rsidRDefault="00BD5C95" w:rsidP="00932DB9">
      <w:pPr>
        <w:pStyle w:val="BodyTextnonum"/>
        <w:numPr>
          <w:ilvl w:val="3"/>
          <w:numId w:val="14"/>
        </w:numPr>
      </w:pPr>
      <w:r>
        <w:rPr>
          <w:rFonts w:ascii="ZWAdobeF" w:hAnsi="ZWAdobeF" w:cs="ZWAdobeF"/>
          <w:bCs/>
          <w:color w:val="auto"/>
          <w:sz w:val="2"/>
          <w:szCs w:val="2"/>
        </w:rPr>
        <w:t>769B</w:t>
      </w:r>
      <w:r w:rsidR="0049638A">
        <w:rPr>
          <w:rFonts w:ascii="ZWAdobeF" w:hAnsi="ZWAdobeF" w:cs="ZWAdobeF"/>
          <w:bCs/>
          <w:color w:val="auto"/>
          <w:sz w:val="2"/>
          <w:szCs w:val="2"/>
        </w:rPr>
        <w:t>769B</w:t>
      </w:r>
      <w:r w:rsidR="00D629FA">
        <w:rPr>
          <w:rFonts w:ascii="ZWAdobeF" w:hAnsi="ZWAdobeF" w:cs="ZWAdobeF"/>
          <w:bCs/>
          <w:color w:val="auto"/>
          <w:sz w:val="2"/>
          <w:szCs w:val="2"/>
        </w:rPr>
        <w:t>769B</w:t>
      </w:r>
      <w:r w:rsidR="00653EA8">
        <w:rPr>
          <w:b/>
          <w:bCs/>
        </w:rPr>
        <w:t>Forfeit</w:t>
      </w:r>
      <w:r w:rsidR="00653EA8" w:rsidRPr="005B1792">
        <w:rPr>
          <w:b/>
          <w:bCs/>
        </w:rPr>
        <w:t xml:space="preserve"> to </w:t>
      </w:r>
      <w:r w:rsidR="00653EA8">
        <w:rPr>
          <w:b/>
          <w:bCs/>
        </w:rPr>
        <w:t xml:space="preserve">the </w:t>
      </w:r>
      <w:r w:rsidR="00653EA8" w:rsidRPr="005B1792">
        <w:rPr>
          <w:b/>
          <w:bCs/>
        </w:rPr>
        <w:t>Government</w:t>
      </w:r>
      <w:r w:rsidR="00653EA8">
        <w:t>:</w:t>
      </w:r>
      <w:r w:rsidR="00653EA8" w:rsidRPr="00981E42">
        <w:t xml:space="preserve"> </w:t>
      </w:r>
      <w:r w:rsidR="00653EA8">
        <w:t>In one Canadian province the court may order unclaimed damages to be forfeited to the Government.</w:t>
      </w:r>
      <w:r w:rsidR="00D629FA">
        <w:rPr>
          <w:rFonts w:ascii="ZWAdobeF" w:hAnsi="ZWAdobeF" w:cs="ZWAdobeF"/>
          <w:color w:val="auto"/>
          <w:sz w:val="2"/>
          <w:szCs w:val="2"/>
        </w:rPr>
        <w:t>651F</w:t>
      </w:r>
      <w:r w:rsidR="007A330E">
        <w:rPr>
          <w:rFonts w:ascii="ZWAdobeF" w:hAnsi="ZWAdobeF" w:cs="ZWAdobeF"/>
          <w:color w:val="auto"/>
          <w:sz w:val="2"/>
          <w:szCs w:val="2"/>
        </w:rPr>
        <w:t>651F</w:t>
      </w:r>
      <w:r w:rsidR="00317AE4">
        <w:rPr>
          <w:rFonts w:ascii="ZWAdobeF" w:hAnsi="ZWAdobeF" w:cs="ZWAdobeF"/>
          <w:color w:val="auto"/>
          <w:sz w:val="2"/>
          <w:szCs w:val="2"/>
        </w:rPr>
        <w:t>651F</w:t>
      </w:r>
      <w:r w:rsidR="00653EA8">
        <w:rPr>
          <w:rStyle w:val="FootnoteReference"/>
        </w:rPr>
        <w:footnoteReference w:id="653"/>
      </w:r>
      <w:r w:rsidR="00653EA8">
        <w:t xml:space="preserve"> This is also possible in the United States.</w:t>
      </w:r>
      <w:r w:rsidR="00D629FA">
        <w:rPr>
          <w:rFonts w:ascii="ZWAdobeF" w:hAnsi="ZWAdobeF" w:cs="ZWAdobeF"/>
          <w:color w:val="auto"/>
          <w:sz w:val="2"/>
          <w:szCs w:val="2"/>
        </w:rPr>
        <w:t>652F</w:t>
      </w:r>
      <w:r w:rsidR="007A330E">
        <w:rPr>
          <w:rFonts w:ascii="ZWAdobeF" w:hAnsi="ZWAdobeF" w:cs="ZWAdobeF"/>
          <w:color w:val="auto"/>
          <w:sz w:val="2"/>
          <w:szCs w:val="2"/>
        </w:rPr>
        <w:t>652F</w:t>
      </w:r>
      <w:r w:rsidR="00317AE4">
        <w:rPr>
          <w:rFonts w:ascii="ZWAdobeF" w:hAnsi="ZWAdobeF" w:cs="ZWAdobeF"/>
          <w:color w:val="auto"/>
          <w:sz w:val="2"/>
          <w:szCs w:val="2"/>
        </w:rPr>
        <w:t>652F</w:t>
      </w:r>
      <w:r w:rsidR="00653EA8">
        <w:rPr>
          <w:rStyle w:val="FootnoteReference"/>
        </w:rPr>
        <w:footnoteReference w:id="654"/>
      </w:r>
    </w:p>
    <w:p w14:paraId="3210E246" w14:textId="03415050" w:rsidR="00653EA8" w:rsidRDefault="00D57B10" w:rsidP="00932DB9">
      <w:pPr>
        <w:pStyle w:val="BodyText"/>
        <w:tabs>
          <w:tab w:val="num" w:pos="709"/>
        </w:tabs>
        <w:ind w:hanging="596"/>
      </w:pPr>
      <w:r>
        <w:rPr>
          <w:noProof/>
        </w:rPr>
        <mc:AlternateContent>
          <mc:Choice Requires="wpg">
            <w:drawing>
              <wp:anchor distT="0" distB="0" distL="114300" distR="114300" simplePos="0" relativeHeight="251652170" behindDoc="1" locked="0" layoutInCell="1" allowOverlap="1" wp14:anchorId="7EB5F844" wp14:editId="227FF0E5">
                <wp:simplePos x="0" y="0"/>
                <wp:positionH relativeFrom="column">
                  <wp:posOffset>-1833</wp:posOffset>
                </wp:positionH>
                <wp:positionV relativeFrom="paragraph">
                  <wp:posOffset>1388110</wp:posOffset>
                </wp:positionV>
                <wp:extent cx="5760085" cy="940324"/>
                <wp:effectExtent l="0" t="0" r="0" b="0"/>
                <wp:wrapNone/>
                <wp:docPr id="764518330" name="Group 764518330"/>
                <wp:cNvGraphicFramePr/>
                <a:graphic xmlns:a="http://schemas.openxmlformats.org/drawingml/2006/main">
                  <a:graphicData uri="http://schemas.microsoft.com/office/word/2010/wordprocessingGroup">
                    <wpg:wgp>
                      <wpg:cNvGrpSpPr/>
                      <wpg:grpSpPr>
                        <a:xfrm>
                          <a:off x="0" y="0"/>
                          <a:ext cx="5760085" cy="940324"/>
                          <a:chOff x="0" y="62865"/>
                          <a:chExt cx="5760085" cy="940419"/>
                        </a:xfrm>
                      </wpg:grpSpPr>
                      <wps:wsp>
                        <wps:cNvPr id="76451833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74171B" w14:textId="77777777" w:rsidR="00A55F53" w:rsidRDefault="00A55F53" w:rsidP="0002742D">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332" name="Group 53"/>
                        <wpg:cNvGrpSpPr>
                          <a:grpSpLocks/>
                        </wpg:cNvGrpSpPr>
                        <wpg:grpSpPr bwMode="auto">
                          <a:xfrm>
                            <a:off x="0" y="316263"/>
                            <a:ext cx="5760085" cy="687021"/>
                            <a:chOff x="1837" y="1792"/>
                            <a:chExt cx="9302" cy="7421"/>
                          </a:xfrm>
                        </wpg:grpSpPr>
                        <wps:wsp>
                          <wps:cNvPr id="764518333" name="Freeform 54"/>
                          <wps:cNvSpPr>
                            <a:spLocks/>
                          </wps:cNvSpPr>
                          <wps:spPr bwMode="auto">
                            <a:xfrm>
                              <a:off x="1837" y="1792"/>
                              <a:ext cx="9302" cy="742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335" name="Group 764518335"/>
                        <wpg:cNvGrpSpPr/>
                        <wpg:grpSpPr>
                          <a:xfrm>
                            <a:off x="0" y="494036"/>
                            <a:ext cx="1443794" cy="252000"/>
                            <a:chOff x="-15880" y="0"/>
                            <a:chExt cx="1444379" cy="252068"/>
                          </a:xfrm>
                        </wpg:grpSpPr>
                        <wps:wsp>
                          <wps:cNvPr id="32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66"/>
                          <wps:cNvSpPr>
                            <a:spLocks/>
                          </wps:cNvSpPr>
                          <wps:spPr bwMode="auto">
                            <a:xfrm>
                              <a:off x="-15880" y="0"/>
                              <a:ext cx="432175"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A728BF" w14:textId="71098B90" w:rsidR="00A55F53" w:rsidRPr="00E700FF" w:rsidRDefault="00A55F53" w:rsidP="0002742D">
                                <w:pPr>
                                  <w:pStyle w:val="BoxTitle"/>
                                  <w:spacing w:before="0" w:beforeAutospacing="0"/>
                                </w:pPr>
                                <w:r w:rsidRPr="001C1B37">
                                  <w:t>Q</w:t>
                                </w:r>
                                <w:r>
                                  <w:t>30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EB5F844" id="Group 764518330" o:spid="_x0000_s1409" style="position:absolute;left:0;text-align:left;margin-left:-.15pt;margin-top:109.3pt;width:453.55pt;height:74.05pt;z-index:-251664310;mso-height-relative:margin" coordorigin=",628" coordsize="57600,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">
                <v:shape id="_x0000_s141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574171B" w14:textId="77777777" w:rsidR="00A55F53" w:rsidRDefault="00A55F53" w:rsidP="0002742D">
                        <w:pPr>
                          <w:pStyle w:val="BoxTitle"/>
                          <w:spacing w:before="0" w:beforeAutospacing="0"/>
                        </w:pPr>
                        <w:r w:rsidRPr="007F6876">
                          <w:t>QUESTION</w:t>
                        </w:r>
                      </w:p>
                    </w:txbxContent>
                  </v:textbox>
                </v:shape>
                <v:group id="Group 53" o:spid="_x0000_s1411" style="position:absolute;top:3162;width:57600;height:6870" coordorigin="1837,1792" coordsize="9302,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">
                  <v:shape id="Freeform 54" o:spid="_x0000_s1412" style="position:absolute;left:1837;top:1792;width:9302;height:742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" path="m,l9354,r,7809l,7809,,e" fillcolor="#edf2ea" stroked="f">
                    <v:path arrowok="t" o:connecttype="custom" o:connectlocs="0,950;9302,950;9302,8371;0,8371;0,950" o:connectangles="0,0,0,0,0"/>
                  </v:shape>
                </v:group>
                <v:group id="Group 764518335" o:spid="_x0000_s141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">
                  <v:shape id="Freeform 58" o:spid="_x0000_s141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" path="m,l1815,e" filled="f" strokecolor="#72ab6a" strokeweight=".5pt">
                    <v:path arrowok="t" o:connecttype="custom" o:connectlocs="0,0;1073495,0" o:connectangles="0,0"/>
                  </v:shape>
                  <v:shape id="Freeform 66" o:spid="_x0000_s1415" style="position:absolute;left:-158;width:4320;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" adj="-11796480,,5400" path="m,470r642,l642,,,,,470e" fillcolor="#72ab6a" stroked="f">
                    <v:stroke joinstyle="round"/>
                    <v:formulas/>
                    <v:path arrowok="t" o:connecttype="custom" o:connectlocs="0,2317953;431503,2317953;431503,2065885;0,2065885;0,2317953" o:connectangles="0,0,0,0,0" textboxrect="0,0,643,470"/>
                    <v:textbox inset="1.5mm,2.3mm">
                      <w:txbxContent>
                        <w:p w14:paraId="51A728BF" w14:textId="71098B90" w:rsidR="00A55F53" w:rsidRPr="00E700FF" w:rsidRDefault="00A55F53" w:rsidP="0002742D">
                          <w:pPr>
                            <w:pStyle w:val="BoxTitle"/>
                            <w:spacing w:before="0" w:beforeAutospacing="0"/>
                          </w:pPr>
                          <w:r w:rsidRPr="001C1B37">
                            <w:t>Q</w:t>
                          </w:r>
                          <w:r>
                            <w:t>30</w:t>
                          </w:r>
                        </w:p>
                      </w:txbxContent>
                    </v:textbox>
                  </v:shape>
                </v:group>
              </v:group>
            </w:pict>
          </mc:Fallback>
        </mc:AlternateContent>
      </w:r>
      <w:r w:rsidR="00BD5C95">
        <w:rPr>
          <w:rFonts w:ascii="ZWAdobeF" w:hAnsi="ZWAdobeF" w:cs="ZWAdobeF"/>
          <w:color w:val="auto"/>
          <w:sz w:val="2"/>
          <w:szCs w:val="2"/>
        </w:rPr>
        <w:t>396B</w:t>
      </w:r>
      <w:r w:rsidR="0049638A">
        <w:rPr>
          <w:rFonts w:ascii="ZWAdobeF" w:hAnsi="ZWAdobeF" w:cs="ZWAdobeF"/>
          <w:color w:val="auto"/>
          <w:sz w:val="2"/>
          <w:szCs w:val="2"/>
        </w:rPr>
        <w:t>396B</w:t>
      </w:r>
      <w:r w:rsidR="00D629FA">
        <w:rPr>
          <w:rFonts w:ascii="ZWAdobeF" w:hAnsi="ZWAdobeF" w:cs="ZWAdobeF"/>
          <w:color w:val="auto"/>
          <w:sz w:val="2"/>
          <w:szCs w:val="2"/>
        </w:rPr>
        <w:t>396B</w:t>
      </w:r>
      <w:r w:rsidR="00653EA8">
        <w:t xml:space="preserve">As with distribution generally, we think the court should retain discretion to make any orders it considers appropriate for managing unclaimed damages. We have therefore proposed that the court’s power to make orders with respect to distribution should </w:t>
      </w:r>
      <w:r w:rsidR="00A07103">
        <w:t xml:space="preserve">include </w:t>
      </w:r>
      <w:r w:rsidR="001824B4">
        <w:t xml:space="preserve">making </w:t>
      </w:r>
      <w:r w:rsidR="00653EA8">
        <w:t xml:space="preserve">orders on </w:t>
      </w:r>
      <w:r w:rsidR="00985BE2">
        <w:t xml:space="preserve">the distribution of </w:t>
      </w:r>
      <w:r w:rsidR="00653EA8">
        <w:t>unclaimed damages.</w:t>
      </w:r>
      <w:r w:rsidR="00D629FA">
        <w:rPr>
          <w:rFonts w:ascii="ZWAdobeF" w:hAnsi="ZWAdobeF" w:cs="ZWAdobeF"/>
          <w:color w:val="auto"/>
          <w:sz w:val="2"/>
          <w:szCs w:val="2"/>
        </w:rPr>
        <w:t>653F</w:t>
      </w:r>
      <w:r w:rsidR="007A330E">
        <w:rPr>
          <w:rFonts w:ascii="ZWAdobeF" w:hAnsi="ZWAdobeF" w:cs="ZWAdobeF"/>
          <w:color w:val="auto"/>
          <w:sz w:val="2"/>
          <w:szCs w:val="2"/>
        </w:rPr>
        <w:t>653F</w:t>
      </w:r>
      <w:r w:rsidR="00317AE4">
        <w:rPr>
          <w:rFonts w:ascii="ZWAdobeF" w:hAnsi="ZWAdobeF" w:cs="ZWAdobeF"/>
          <w:color w:val="auto"/>
          <w:sz w:val="2"/>
          <w:szCs w:val="2"/>
        </w:rPr>
        <w:t>653F</w:t>
      </w:r>
      <w:r w:rsidR="00653EA8">
        <w:rPr>
          <w:rStyle w:val="FootnoteReference"/>
        </w:rPr>
        <w:footnoteReference w:id="655"/>
      </w:r>
      <w:r w:rsidR="00653EA8">
        <w:t xml:space="preserve"> </w:t>
      </w:r>
      <w:r w:rsidR="00985BE2">
        <w:t>We think approaches</w:t>
      </w:r>
      <w:r w:rsidR="00653EA8" w:rsidDel="00985BE2">
        <w:t xml:space="preserve"> </w:t>
      </w:r>
      <w:r w:rsidR="00653EA8">
        <w:t xml:space="preserve">which are consistent with the objective of access to justice for class members are preferable and so we think pro-rata distribution to class members </w:t>
      </w:r>
      <w:r w:rsidR="00985BE2">
        <w:t xml:space="preserve">will generally </w:t>
      </w:r>
      <w:r w:rsidR="00653EA8">
        <w:t xml:space="preserve">be preferable to damages reverting to the defendant. </w:t>
      </w:r>
    </w:p>
    <w:p w14:paraId="44D00366" w14:textId="7376D8FC" w:rsidR="008D2220" w:rsidRDefault="008D2220" w:rsidP="008D2220">
      <w:pPr>
        <w:pStyle w:val="QuestionBox"/>
      </w:pPr>
    </w:p>
    <w:p w14:paraId="7605CE7E" w14:textId="77777777" w:rsidR="008D2220" w:rsidRDefault="008D2220" w:rsidP="008D2220">
      <w:pPr>
        <w:pStyle w:val="QuestionBox"/>
      </w:pPr>
    </w:p>
    <w:p w14:paraId="4CC564FB" w14:textId="2568E85B" w:rsidR="00653EA8" w:rsidRDefault="00BD5C95" w:rsidP="008D2220">
      <w:pPr>
        <w:pStyle w:val="QuestionBox"/>
      </w:pPr>
      <w:r>
        <w:rPr>
          <w:rFonts w:ascii="ZWAdobeF" w:hAnsi="ZWAdobeF" w:cs="ZWAdobeF"/>
          <w:color w:val="auto"/>
          <w:sz w:val="2"/>
          <w:szCs w:val="2"/>
        </w:rPr>
        <w:t>1431B</w:t>
      </w:r>
      <w:r w:rsidR="0049638A">
        <w:rPr>
          <w:rFonts w:ascii="ZWAdobeF" w:hAnsi="ZWAdobeF" w:cs="ZWAdobeF"/>
          <w:color w:val="auto"/>
          <w:sz w:val="2"/>
          <w:szCs w:val="2"/>
        </w:rPr>
        <w:t>1431B</w:t>
      </w:r>
      <w:r w:rsidR="00D629FA">
        <w:rPr>
          <w:rFonts w:ascii="ZWAdobeF" w:hAnsi="ZWAdobeF" w:cs="ZWAdobeF"/>
          <w:color w:val="auto"/>
          <w:sz w:val="2"/>
          <w:szCs w:val="2"/>
        </w:rPr>
        <w:t>1431B</w:t>
      </w:r>
      <w:r w:rsidR="00653EA8">
        <w:t>Do you agree that aggregate damages should be allowed in class actions?</w:t>
      </w:r>
    </w:p>
    <w:p w14:paraId="747CAA90" w14:textId="77777777" w:rsidR="008D2220" w:rsidRDefault="008D2220" w:rsidP="008D2220">
      <w:pPr>
        <w:pStyle w:val="QuestionBox"/>
      </w:pPr>
    </w:p>
    <w:p w14:paraId="4BBFCAF3" w14:textId="77777777" w:rsidR="00653EA8" w:rsidRDefault="00653EA8" w:rsidP="0002742D">
      <w:pPr>
        <w:pStyle w:val="Heading3"/>
      </w:pPr>
      <w:r>
        <w:t>Cy-pr</w:t>
      </w:r>
      <w:r w:rsidRPr="000B3BB0">
        <w:t>è</w:t>
      </w:r>
      <w:r>
        <w:t>s damages</w:t>
      </w:r>
    </w:p>
    <w:p w14:paraId="17D996FC" w14:textId="11A2D60E" w:rsidR="00653EA8" w:rsidRDefault="00BD5C95" w:rsidP="00932DB9">
      <w:pPr>
        <w:pStyle w:val="BodyText"/>
        <w:tabs>
          <w:tab w:val="num" w:pos="709"/>
        </w:tabs>
      </w:pPr>
      <w:bookmarkStart w:id="89" w:name="_Ref82096123"/>
      <w:r>
        <w:rPr>
          <w:rFonts w:ascii="ZWAdobeF" w:hAnsi="ZWAdobeF" w:cs="ZWAdobeF"/>
          <w:color w:val="auto"/>
          <w:sz w:val="2"/>
          <w:szCs w:val="2"/>
        </w:rPr>
        <w:t>397B</w:t>
      </w:r>
      <w:r w:rsidR="0049638A">
        <w:rPr>
          <w:rFonts w:ascii="ZWAdobeF" w:hAnsi="ZWAdobeF" w:cs="ZWAdobeF"/>
          <w:color w:val="auto"/>
          <w:sz w:val="2"/>
          <w:szCs w:val="2"/>
        </w:rPr>
        <w:t>397B</w:t>
      </w:r>
      <w:r w:rsidR="00D629FA">
        <w:rPr>
          <w:rFonts w:ascii="ZWAdobeF" w:hAnsi="ZWAdobeF" w:cs="ZWAdobeF"/>
          <w:color w:val="auto"/>
          <w:sz w:val="2"/>
          <w:szCs w:val="2"/>
        </w:rPr>
        <w:t>397B</w:t>
      </w:r>
      <w:r w:rsidR="00653EA8">
        <w:t xml:space="preserve">In some jurisdictions, damages may be ordered on a ‘cy-près’ basis. </w:t>
      </w:r>
      <w:r w:rsidR="00653EA8" w:rsidRPr="000B3BB0">
        <w:t xml:space="preserve">Cy-près is an abbreviation of the French </w:t>
      </w:r>
      <w:r w:rsidR="00653EA8" w:rsidRPr="00C41DF8">
        <w:rPr>
          <w:i/>
          <w:iCs/>
        </w:rPr>
        <w:t>cy près comme</w:t>
      </w:r>
      <w:r w:rsidR="00653EA8" w:rsidRPr="000B3BB0">
        <w:t xml:space="preserve"> which means ‘as near as possible’.</w:t>
      </w:r>
      <w:r w:rsidR="00D629FA">
        <w:rPr>
          <w:rFonts w:ascii="ZWAdobeF" w:hAnsi="ZWAdobeF" w:cs="ZWAdobeF"/>
          <w:color w:val="auto"/>
          <w:sz w:val="2"/>
          <w:szCs w:val="2"/>
        </w:rPr>
        <w:t>654F</w:t>
      </w:r>
      <w:r w:rsidR="007A330E">
        <w:rPr>
          <w:rFonts w:ascii="ZWAdobeF" w:hAnsi="ZWAdobeF" w:cs="ZWAdobeF"/>
          <w:color w:val="auto"/>
          <w:sz w:val="2"/>
          <w:szCs w:val="2"/>
        </w:rPr>
        <w:t>654F</w:t>
      </w:r>
      <w:r w:rsidR="00317AE4">
        <w:rPr>
          <w:rFonts w:ascii="ZWAdobeF" w:hAnsi="ZWAdobeF" w:cs="ZWAdobeF"/>
          <w:color w:val="auto"/>
          <w:sz w:val="2"/>
          <w:szCs w:val="2"/>
        </w:rPr>
        <w:t>654F</w:t>
      </w:r>
      <w:r w:rsidR="00653EA8" w:rsidRPr="000B3BB0">
        <w:rPr>
          <w:vertAlign w:val="superscript"/>
        </w:rPr>
        <w:footnoteReference w:id="656"/>
      </w:r>
      <w:r w:rsidR="00653EA8" w:rsidRPr="00AB31C9">
        <w:rPr>
          <w:rFonts w:ascii="Palatino" w:hAnsi="Palatino"/>
          <w:color w:val="auto"/>
          <w:szCs w:val="20"/>
          <w:lang w:eastAsia="en-NZ"/>
        </w:rPr>
        <w:t xml:space="preserve"> </w:t>
      </w:r>
      <w:r w:rsidR="00653EA8" w:rsidRPr="00C919AA">
        <w:rPr>
          <w:color w:val="auto"/>
          <w:szCs w:val="20"/>
          <w:lang w:eastAsia="en-NZ"/>
        </w:rPr>
        <w:t xml:space="preserve">A </w:t>
      </w:r>
      <w:r w:rsidR="00653EA8" w:rsidRPr="00B15A0D">
        <w:t>cy-près</w:t>
      </w:r>
      <w:r w:rsidR="00653EA8">
        <w:t xml:space="preserve"> </w:t>
      </w:r>
      <w:r w:rsidR="00653EA8" w:rsidRPr="00AB31C9">
        <w:t xml:space="preserve">damages </w:t>
      </w:r>
      <w:r w:rsidR="00653EA8">
        <w:t xml:space="preserve">order involves money being paid to an organisation or charity associated with the claim in a situation where distributing </w:t>
      </w:r>
      <w:r w:rsidR="00653EA8" w:rsidRPr="00AB31C9">
        <w:t xml:space="preserve">compensation to </w:t>
      </w:r>
      <w:r w:rsidR="00653EA8">
        <w:t xml:space="preserve">individual </w:t>
      </w:r>
      <w:r w:rsidR="00653EA8" w:rsidRPr="00AB31C9">
        <w:t xml:space="preserve">class members is impossible or impracticable. </w:t>
      </w:r>
      <w:r w:rsidR="00653EA8">
        <w:t xml:space="preserve">This could be because it is difficult to identify class members, </w:t>
      </w:r>
      <w:r w:rsidR="00653EA8">
        <w:lastRenderedPageBreak/>
        <w:t xml:space="preserve">or the small size of individual damages awards means the costs of distribution would be disproportionate. Cy-près damages therefore attempt to achieve a result </w:t>
      </w:r>
      <w:r w:rsidR="00653EA8" w:rsidRPr="00AB31C9">
        <w:t xml:space="preserve">‘as near as possible’ to </w:t>
      </w:r>
      <w:r w:rsidR="00653EA8">
        <w:t>directly co</w:t>
      </w:r>
      <w:r w:rsidR="00653EA8" w:rsidRPr="00AB31C9">
        <w:t>mpensating the plaintiffs.</w:t>
      </w:r>
      <w:r w:rsidR="00D629FA">
        <w:rPr>
          <w:rFonts w:ascii="ZWAdobeF" w:hAnsi="ZWAdobeF" w:cs="ZWAdobeF"/>
          <w:color w:val="auto"/>
          <w:sz w:val="2"/>
          <w:szCs w:val="2"/>
        </w:rPr>
        <w:t>655F</w:t>
      </w:r>
      <w:r w:rsidR="007A330E">
        <w:rPr>
          <w:rFonts w:ascii="ZWAdobeF" w:hAnsi="ZWAdobeF" w:cs="ZWAdobeF"/>
          <w:color w:val="auto"/>
          <w:sz w:val="2"/>
          <w:szCs w:val="2"/>
        </w:rPr>
        <w:t>655F</w:t>
      </w:r>
      <w:r w:rsidR="00317AE4">
        <w:rPr>
          <w:rFonts w:ascii="ZWAdobeF" w:hAnsi="ZWAdobeF" w:cs="ZWAdobeF"/>
          <w:color w:val="auto"/>
          <w:sz w:val="2"/>
          <w:szCs w:val="2"/>
        </w:rPr>
        <w:t>655F</w:t>
      </w:r>
      <w:r w:rsidR="00653EA8" w:rsidRPr="00AB31C9">
        <w:rPr>
          <w:vertAlign w:val="superscript"/>
        </w:rPr>
        <w:footnoteReference w:id="657"/>
      </w:r>
      <w:r w:rsidR="00653EA8">
        <w:t xml:space="preserve"> Full cy-pr</w:t>
      </w:r>
      <w:r w:rsidR="00653EA8" w:rsidRPr="000B3BB0">
        <w:t>è</w:t>
      </w:r>
      <w:r w:rsidR="00653EA8">
        <w:t>s</w:t>
      </w:r>
      <w:r w:rsidR="00653EA8" w:rsidRPr="00AB31C9">
        <w:t xml:space="preserve"> damages </w:t>
      </w:r>
      <w:r w:rsidR="00653EA8">
        <w:t xml:space="preserve">involve the entire sum of damages being paid to an organisation rather than to individual class members. Alternatively, a cy-près order could be limited to distributing </w:t>
      </w:r>
      <w:bookmarkEnd w:id="89"/>
      <w:r w:rsidR="00653EA8">
        <w:t>unclaimed damages.</w:t>
      </w:r>
    </w:p>
    <w:p w14:paraId="1181F8B2" w14:textId="2EFA8D1C" w:rsidR="00653EA8" w:rsidRDefault="00BD5C95" w:rsidP="00932DB9">
      <w:pPr>
        <w:pStyle w:val="BodyText"/>
        <w:tabs>
          <w:tab w:val="clear" w:pos="709"/>
        </w:tabs>
      </w:pPr>
      <w:r>
        <w:rPr>
          <w:rFonts w:ascii="ZWAdobeF" w:hAnsi="ZWAdobeF" w:cs="ZWAdobeF"/>
          <w:color w:val="auto"/>
          <w:sz w:val="2"/>
          <w:szCs w:val="2"/>
        </w:rPr>
        <w:t>398B</w:t>
      </w:r>
      <w:r w:rsidR="0049638A">
        <w:rPr>
          <w:rFonts w:ascii="ZWAdobeF" w:hAnsi="ZWAdobeF" w:cs="ZWAdobeF"/>
          <w:color w:val="auto"/>
          <w:sz w:val="2"/>
          <w:szCs w:val="2"/>
        </w:rPr>
        <w:t>398B</w:t>
      </w:r>
      <w:r w:rsidR="00D629FA">
        <w:rPr>
          <w:rFonts w:ascii="ZWAdobeF" w:hAnsi="ZWAdobeF" w:cs="ZWAdobeF"/>
          <w:color w:val="auto"/>
          <w:sz w:val="2"/>
          <w:szCs w:val="2"/>
        </w:rPr>
        <w:t>398B</w:t>
      </w:r>
      <w:r w:rsidR="00653EA8">
        <w:t>Full cy-près damages are not universally available in overseas class actions regimes. There is no express power to award full cy-près damages in Australian class action</w:t>
      </w:r>
      <w:r w:rsidR="00197DFC">
        <w:t>s</w:t>
      </w:r>
      <w:r w:rsidR="00653EA8">
        <w:t xml:space="preserve"> legislation,</w:t>
      </w:r>
      <w:r w:rsidR="00D629FA">
        <w:rPr>
          <w:rFonts w:ascii="ZWAdobeF" w:hAnsi="ZWAdobeF" w:cs="ZWAdobeF"/>
          <w:color w:val="auto"/>
          <w:sz w:val="2"/>
          <w:szCs w:val="2"/>
        </w:rPr>
        <w:t>656F</w:t>
      </w:r>
      <w:r w:rsidR="007A330E">
        <w:rPr>
          <w:rFonts w:ascii="ZWAdobeF" w:hAnsi="ZWAdobeF" w:cs="ZWAdobeF"/>
          <w:color w:val="auto"/>
          <w:sz w:val="2"/>
          <w:szCs w:val="2"/>
        </w:rPr>
        <w:t>656F</w:t>
      </w:r>
      <w:r w:rsidR="00317AE4">
        <w:rPr>
          <w:rFonts w:ascii="ZWAdobeF" w:hAnsi="ZWAdobeF" w:cs="ZWAdobeF"/>
          <w:color w:val="auto"/>
          <w:sz w:val="2"/>
          <w:szCs w:val="2"/>
        </w:rPr>
        <w:t>656F</w:t>
      </w:r>
      <w:r w:rsidR="00653EA8">
        <w:rPr>
          <w:rStyle w:val="FootnoteReference"/>
        </w:rPr>
        <w:footnoteReference w:id="658"/>
      </w:r>
      <w:r w:rsidR="00653EA8">
        <w:t xml:space="preserve"> or in the United Kingdom Competition Appeal Tribunal. </w:t>
      </w:r>
    </w:p>
    <w:p w14:paraId="422E9284" w14:textId="07A1B839" w:rsidR="00653EA8" w:rsidRPr="00BF683F" w:rsidRDefault="00BD5C95" w:rsidP="00932DB9">
      <w:pPr>
        <w:pStyle w:val="BodyText"/>
        <w:tabs>
          <w:tab w:val="clear" w:pos="709"/>
        </w:tabs>
      </w:pPr>
      <w:r>
        <w:rPr>
          <w:rFonts w:ascii="ZWAdobeF" w:hAnsi="ZWAdobeF" w:cs="ZWAdobeF"/>
          <w:color w:val="auto"/>
          <w:sz w:val="2"/>
          <w:szCs w:val="2"/>
        </w:rPr>
        <w:t>399B</w:t>
      </w:r>
      <w:r w:rsidR="0049638A">
        <w:rPr>
          <w:rFonts w:ascii="ZWAdobeF" w:hAnsi="ZWAdobeF" w:cs="ZWAdobeF"/>
          <w:color w:val="auto"/>
          <w:sz w:val="2"/>
          <w:szCs w:val="2"/>
        </w:rPr>
        <w:t>399B</w:t>
      </w:r>
      <w:r w:rsidR="00D629FA">
        <w:rPr>
          <w:rFonts w:ascii="ZWAdobeF" w:hAnsi="ZWAdobeF" w:cs="ZWAdobeF"/>
          <w:color w:val="auto"/>
          <w:sz w:val="2"/>
          <w:szCs w:val="2"/>
        </w:rPr>
        <w:t>399B</w:t>
      </w:r>
      <w:r w:rsidR="00653EA8">
        <w:t xml:space="preserve">In Canada, </w:t>
      </w:r>
      <w:r w:rsidR="00653EA8" w:rsidRPr="0041035A">
        <w:t>the courts may order cy-près distribution of aggregate damages where the award cannot be economically distributed to individual class members.</w:t>
      </w:r>
      <w:r w:rsidR="00D629FA">
        <w:rPr>
          <w:rFonts w:ascii="ZWAdobeF" w:hAnsi="ZWAdobeF" w:cs="ZWAdobeF"/>
          <w:color w:val="auto"/>
          <w:sz w:val="2"/>
          <w:szCs w:val="2"/>
        </w:rPr>
        <w:t>657F</w:t>
      </w:r>
      <w:r w:rsidR="007A330E">
        <w:rPr>
          <w:rFonts w:ascii="ZWAdobeF" w:hAnsi="ZWAdobeF" w:cs="ZWAdobeF"/>
          <w:color w:val="auto"/>
          <w:sz w:val="2"/>
          <w:szCs w:val="2"/>
        </w:rPr>
        <w:t>657F</w:t>
      </w:r>
      <w:r w:rsidR="00317AE4">
        <w:rPr>
          <w:rFonts w:ascii="ZWAdobeF" w:hAnsi="ZWAdobeF" w:cs="ZWAdobeF"/>
          <w:color w:val="auto"/>
          <w:sz w:val="2"/>
          <w:szCs w:val="2"/>
        </w:rPr>
        <w:t>657F</w:t>
      </w:r>
      <w:r w:rsidR="00653EA8">
        <w:rPr>
          <w:rStyle w:val="FootnoteReference"/>
        </w:rPr>
        <w:footnoteReference w:id="659"/>
      </w:r>
      <w:r w:rsidR="00653EA8">
        <w:t xml:space="preserve"> In the United States, courts have allowed damages to be awarded on a </w:t>
      </w:r>
      <w:r w:rsidR="00653EA8" w:rsidRPr="00DE1C8F">
        <w:t xml:space="preserve">cy-près </w:t>
      </w:r>
      <w:r w:rsidR="00653EA8">
        <w:t>basis</w:t>
      </w:r>
      <w:r w:rsidR="00653EA8" w:rsidRPr="00DE1C8F">
        <w:t xml:space="preserve"> where “it is difficult or impossible to identify the persons to whom damages should be assigned or distributed”.</w:t>
      </w:r>
      <w:r w:rsidR="00D629FA">
        <w:rPr>
          <w:rFonts w:ascii="ZWAdobeF" w:hAnsi="ZWAdobeF" w:cs="ZWAdobeF"/>
          <w:color w:val="auto"/>
          <w:sz w:val="2"/>
          <w:szCs w:val="2"/>
        </w:rPr>
        <w:t>658F</w:t>
      </w:r>
      <w:r w:rsidR="007A330E">
        <w:rPr>
          <w:rFonts w:ascii="ZWAdobeF" w:hAnsi="ZWAdobeF" w:cs="ZWAdobeF"/>
          <w:color w:val="auto"/>
          <w:sz w:val="2"/>
          <w:szCs w:val="2"/>
        </w:rPr>
        <w:t>658F</w:t>
      </w:r>
      <w:r w:rsidR="00317AE4">
        <w:rPr>
          <w:rFonts w:ascii="ZWAdobeF" w:hAnsi="ZWAdobeF" w:cs="ZWAdobeF"/>
          <w:color w:val="auto"/>
          <w:sz w:val="2"/>
          <w:szCs w:val="2"/>
        </w:rPr>
        <w:t>658F</w:t>
      </w:r>
      <w:r w:rsidR="00653EA8" w:rsidRPr="00DE1C8F">
        <w:rPr>
          <w:vertAlign w:val="superscript"/>
        </w:rPr>
        <w:footnoteReference w:id="660"/>
      </w:r>
      <w:r w:rsidR="00653EA8" w:rsidRPr="00DE1C8F">
        <w:t xml:space="preserve"> </w:t>
      </w:r>
      <w:r w:rsidR="00653EA8">
        <w:t>Jurisdictions have been more willing to allow cy-près distribution of unclaimed damages, as we discuss below.</w:t>
      </w:r>
    </w:p>
    <w:p w14:paraId="0FB7A13B" w14:textId="77777777" w:rsidR="00653EA8" w:rsidRDefault="00653EA8" w:rsidP="0002742D">
      <w:pPr>
        <w:pStyle w:val="Heading4"/>
      </w:pPr>
      <w:r>
        <w:t>Should full cy-près damages be available?</w:t>
      </w:r>
    </w:p>
    <w:p w14:paraId="12B10EA8" w14:textId="6225174E" w:rsidR="00653EA8" w:rsidRDefault="00BD5C95" w:rsidP="00932DB9">
      <w:pPr>
        <w:pStyle w:val="BodyText"/>
        <w:tabs>
          <w:tab w:val="num" w:pos="709"/>
        </w:tabs>
      </w:pPr>
      <w:r>
        <w:rPr>
          <w:rFonts w:ascii="ZWAdobeF" w:hAnsi="ZWAdobeF" w:cs="ZWAdobeF"/>
          <w:color w:val="auto"/>
          <w:sz w:val="2"/>
          <w:szCs w:val="2"/>
        </w:rPr>
        <w:t>400B</w:t>
      </w:r>
      <w:r w:rsidR="0049638A">
        <w:rPr>
          <w:rFonts w:ascii="ZWAdobeF" w:hAnsi="ZWAdobeF" w:cs="ZWAdobeF"/>
          <w:color w:val="auto"/>
          <w:sz w:val="2"/>
          <w:szCs w:val="2"/>
        </w:rPr>
        <w:t>400B</w:t>
      </w:r>
      <w:r w:rsidR="00D629FA">
        <w:rPr>
          <w:rFonts w:ascii="ZWAdobeF" w:hAnsi="ZWAdobeF" w:cs="ZWAdobeF"/>
          <w:color w:val="auto"/>
          <w:sz w:val="2"/>
          <w:szCs w:val="2"/>
        </w:rPr>
        <w:t>400B</w:t>
      </w:r>
      <w:r w:rsidR="00653EA8">
        <w:t>A key rationale for cy-près damages is to fulfil the objective of deterrence by ensuring the defendant pays the full cost of any harm they have caused. Both Canada and the United States, which allow full cy-près damages, have deterrence as an objective of their class action</w:t>
      </w:r>
      <w:r w:rsidR="00197DFC">
        <w:t>s</w:t>
      </w:r>
      <w:r w:rsidR="00653EA8">
        <w:t xml:space="preserve"> regimes. As we explain in the Introduction, we consider that deterrence is not an appropriate objective for class actions in Aotearoa New Zealand. Therefore, if full cy-près damages are to be allowed, they would need to be justified on the basis of the objectives of improving access to justice or manage multiple claims in an efficient way. The Australian Law Reform Commission (ALRC) recommended</w:t>
      </w:r>
      <w:r w:rsidR="00653EA8" w:rsidRPr="005D31EC">
        <w:t xml:space="preserve"> against measures that redirect unclaimed aggregate damages in alternative ways (including cy-près)</w:t>
      </w:r>
      <w:r w:rsidR="00653EA8">
        <w:t xml:space="preserve">, noting that the Australian class action procedure was </w:t>
      </w:r>
      <w:r w:rsidR="00653EA8" w:rsidRPr="005D31EC">
        <w:t xml:space="preserve">not intended </w:t>
      </w:r>
      <w:r w:rsidR="00653EA8">
        <w:t>“</w:t>
      </w:r>
      <w:r w:rsidR="00653EA8" w:rsidRPr="005D31EC">
        <w:t xml:space="preserve">to penalise </w:t>
      </w:r>
      <w:r w:rsidR="00653EA8">
        <w:t>...</w:t>
      </w:r>
      <w:r w:rsidR="00653EA8" w:rsidRPr="005D31EC">
        <w:t xml:space="preserve"> or</w:t>
      </w:r>
      <w:r w:rsidR="00653EA8">
        <w:t xml:space="preserve"> to</w:t>
      </w:r>
      <w:r w:rsidR="00653EA8" w:rsidRPr="005D31EC">
        <w:t xml:space="preserve"> deter behaviour to any greater extent than provided for under the existing law”</w:t>
      </w:r>
      <w:r w:rsidR="00653EA8">
        <w:t>.</w:t>
      </w:r>
      <w:r w:rsidR="00D629FA">
        <w:rPr>
          <w:rFonts w:ascii="ZWAdobeF" w:hAnsi="ZWAdobeF" w:cs="ZWAdobeF"/>
          <w:color w:val="auto"/>
          <w:sz w:val="2"/>
          <w:szCs w:val="2"/>
        </w:rPr>
        <w:t>659F</w:t>
      </w:r>
      <w:r w:rsidR="007A330E">
        <w:rPr>
          <w:rFonts w:ascii="ZWAdobeF" w:hAnsi="ZWAdobeF" w:cs="ZWAdobeF"/>
          <w:color w:val="auto"/>
          <w:sz w:val="2"/>
          <w:szCs w:val="2"/>
        </w:rPr>
        <w:t>659F</w:t>
      </w:r>
      <w:r w:rsidR="00317AE4">
        <w:rPr>
          <w:rFonts w:ascii="ZWAdobeF" w:hAnsi="ZWAdobeF" w:cs="ZWAdobeF"/>
          <w:color w:val="auto"/>
          <w:sz w:val="2"/>
          <w:szCs w:val="2"/>
        </w:rPr>
        <w:t>659F</w:t>
      </w:r>
      <w:r w:rsidR="00653EA8" w:rsidRPr="005D31EC">
        <w:rPr>
          <w:vertAlign w:val="superscript"/>
        </w:rPr>
        <w:footnoteReference w:id="661"/>
      </w:r>
    </w:p>
    <w:p w14:paraId="2D8BFBAE" w14:textId="5554F29A" w:rsidR="00653EA8" w:rsidRDefault="00BD5C95" w:rsidP="00932DB9">
      <w:pPr>
        <w:pStyle w:val="BodyText"/>
        <w:tabs>
          <w:tab w:val="num" w:pos="709"/>
        </w:tabs>
      </w:pPr>
      <w:r>
        <w:rPr>
          <w:rFonts w:ascii="ZWAdobeF" w:hAnsi="ZWAdobeF" w:cs="ZWAdobeF"/>
          <w:color w:val="auto"/>
          <w:sz w:val="2"/>
          <w:szCs w:val="2"/>
        </w:rPr>
        <w:t>401B</w:t>
      </w:r>
      <w:r w:rsidR="0049638A">
        <w:rPr>
          <w:rFonts w:ascii="ZWAdobeF" w:hAnsi="ZWAdobeF" w:cs="ZWAdobeF"/>
          <w:color w:val="auto"/>
          <w:sz w:val="2"/>
          <w:szCs w:val="2"/>
        </w:rPr>
        <w:t>401B</w:t>
      </w:r>
      <w:r w:rsidR="00D629FA">
        <w:rPr>
          <w:rFonts w:ascii="ZWAdobeF" w:hAnsi="ZWAdobeF" w:cs="ZWAdobeF"/>
          <w:color w:val="auto"/>
          <w:sz w:val="2"/>
          <w:szCs w:val="2"/>
        </w:rPr>
        <w:t>401B</w:t>
      </w:r>
      <w:r w:rsidR="00653EA8">
        <w:t>In our Issues Paper we explained that substantive access to justice includes the extent to which class members are compensated through class actions.</w:t>
      </w:r>
      <w:r w:rsidR="00D629FA">
        <w:rPr>
          <w:rFonts w:ascii="ZWAdobeF" w:hAnsi="ZWAdobeF" w:cs="ZWAdobeF"/>
          <w:color w:val="auto"/>
          <w:sz w:val="2"/>
          <w:szCs w:val="2"/>
        </w:rPr>
        <w:t>660F</w:t>
      </w:r>
      <w:r w:rsidR="007A330E">
        <w:rPr>
          <w:rFonts w:ascii="ZWAdobeF" w:hAnsi="ZWAdobeF" w:cs="ZWAdobeF"/>
          <w:color w:val="auto"/>
          <w:sz w:val="2"/>
          <w:szCs w:val="2"/>
        </w:rPr>
        <w:t>660F</w:t>
      </w:r>
      <w:r w:rsidR="00317AE4">
        <w:rPr>
          <w:rFonts w:ascii="ZWAdobeF" w:hAnsi="ZWAdobeF" w:cs="ZWAdobeF"/>
          <w:color w:val="auto"/>
          <w:sz w:val="2"/>
          <w:szCs w:val="2"/>
        </w:rPr>
        <w:t>660F</w:t>
      </w:r>
      <w:r w:rsidR="00653EA8">
        <w:rPr>
          <w:rStyle w:val="FootnoteReference"/>
        </w:rPr>
        <w:footnoteReference w:id="662"/>
      </w:r>
      <w:r w:rsidR="00653EA8">
        <w:t xml:space="preserve"> We think that cy-près awards can provide indirect benefits to class members if there is a close nexus between </w:t>
      </w:r>
      <w:r w:rsidR="00653EA8">
        <w:lastRenderedPageBreak/>
        <w:t xml:space="preserve">the </w:t>
      </w:r>
      <w:r w:rsidR="005F1B76">
        <w:t>beneficiary</w:t>
      </w:r>
      <w:r w:rsidR="00653EA8">
        <w:t xml:space="preserve"> of the funds and the class</w:t>
      </w:r>
      <w:r w:rsidR="004C01AF">
        <w:t xml:space="preserve"> claims</w:t>
      </w:r>
      <w:r w:rsidR="00653EA8">
        <w:t>.</w:t>
      </w:r>
      <w:r w:rsidR="00D629FA">
        <w:rPr>
          <w:rFonts w:ascii="ZWAdobeF" w:hAnsi="ZWAdobeF" w:cs="ZWAdobeF"/>
          <w:color w:val="auto"/>
          <w:sz w:val="2"/>
          <w:szCs w:val="2"/>
        </w:rPr>
        <w:t>661F</w:t>
      </w:r>
      <w:r w:rsidR="007A330E">
        <w:rPr>
          <w:rFonts w:ascii="ZWAdobeF" w:hAnsi="ZWAdobeF" w:cs="ZWAdobeF"/>
          <w:color w:val="auto"/>
          <w:sz w:val="2"/>
          <w:szCs w:val="2"/>
        </w:rPr>
        <w:t>661F</w:t>
      </w:r>
      <w:r w:rsidR="00317AE4">
        <w:rPr>
          <w:rFonts w:ascii="ZWAdobeF" w:hAnsi="ZWAdobeF" w:cs="ZWAdobeF"/>
          <w:color w:val="auto"/>
          <w:sz w:val="2"/>
          <w:szCs w:val="2"/>
        </w:rPr>
        <w:t>661F</w:t>
      </w:r>
      <w:r w:rsidR="00653EA8">
        <w:rPr>
          <w:rStyle w:val="FootnoteReference"/>
        </w:rPr>
        <w:footnoteReference w:id="663"/>
      </w:r>
      <w:r w:rsidR="00653EA8">
        <w:t xml:space="preserve">  However, the access to justice objectives of a class action</w:t>
      </w:r>
      <w:r w:rsidR="00805C83">
        <w:t>s</w:t>
      </w:r>
      <w:r w:rsidR="00653EA8">
        <w:t xml:space="preserve"> regime would be better met by direct compensation of class members. Accordingly, we have reached the view that cy-près orders should be available, but only where direct compensation of class members is not feasible. Our draft provision would only allow a cy-près award where it is not practicable or possible for monetary relief to be distributed to individual class members.</w:t>
      </w:r>
      <w:r w:rsidR="00D629FA">
        <w:rPr>
          <w:rFonts w:ascii="ZWAdobeF" w:hAnsi="ZWAdobeF" w:cs="ZWAdobeF"/>
          <w:color w:val="auto"/>
          <w:sz w:val="2"/>
          <w:szCs w:val="2"/>
        </w:rPr>
        <w:t>662F</w:t>
      </w:r>
      <w:r w:rsidR="007A330E">
        <w:rPr>
          <w:rFonts w:ascii="ZWAdobeF" w:hAnsi="ZWAdobeF" w:cs="ZWAdobeF"/>
          <w:color w:val="auto"/>
          <w:sz w:val="2"/>
          <w:szCs w:val="2"/>
        </w:rPr>
        <w:t>662F</w:t>
      </w:r>
      <w:r w:rsidR="00317AE4">
        <w:rPr>
          <w:rFonts w:ascii="ZWAdobeF" w:hAnsi="ZWAdobeF" w:cs="ZWAdobeF"/>
          <w:color w:val="auto"/>
          <w:sz w:val="2"/>
          <w:szCs w:val="2"/>
        </w:rPr>
        <w:t>662F</w:t>
      </w:r>
      <w:r w:rsidR="00653EA8">
        <w:rPr>
          <w:rStyle w:val="FootnoteReference"/>
        </w:rPr>
        <w:footnoteReference w:id="664"/>
      </w:r>
      <w:r w:rsidR="00653EA8">
        <w:t xml:space="preserve"> This will ensure that while such awards are expressly permitted, they are only used where strictly necessary.</w:t>
      </w:r>
      <w:r w:rsidR="00D629FA">
        <w:rPr>
          <w:rFonts w:ascii="ZWAdobeF" w:hAnsi="ZWAdobeF" w:cs="ZWAdobeF"/>
          <w:color w:val="auto"/>
          <w:sz w:val="2"/>
          <w:szCs w:val="2"/>
        </w:rPr>
        <w:t>663F</w:t>
      </w:r>
      <w:r w:rsidR="007A330E">
        <w:rPr>
          <w:rFonts w:ascii="ZWAdobeF" w:hAnsi="ZWAdobeF" w:cs="ZWAdobeF"/>
          <w:color w:val="auto"/>
          <w:sz w:val="2"/>
          <w:szCs w:val="2"/>
        </w:rPr>
        <w:t>663F</w:t>
      </w:r>
      <w:r w:rsidR="00317AE4">
        <w:rPr>
          <w:rFonts w:ascii="ZWAdobeF" w:hAnsi="ZWAdobeF" w:cs="ZWAdobeF"/>
          <w:color w:val="auto"/>
          <w:sz w:val="2"/>
          <w:szCs w:val="2"/>
        </w:rPr>
        <w:t>663F</w:t>
      </w:r>
      <w:r w:rsidR="00653EA8">
        <w:rPr>
          <w:rStyle w:val="FootnoteReference"/>
        </w:rPr>
        <w:footnoteReference w:id="665"/>
      </w:r>
      <w:r w:rsidR="00653EA8">
        <w:t xml:space="preserve"> </w:t>
      </w:r>
    </w:p>
    <w:p w14:paraId="6E4301F9" w14:textId="5D3EA21B" w:rsidR="00653EA8" w:rsidRDefault="00BD5C95" w:rsidP="00932DB9">
      <w:pPr>
        <w:pStyle w:val="BodyText"/>
        <w:tabs>
          <w:tab w:val="num" w:pos="709"/>
        </w:tabs>
      </w:pPr>
      <w:r>
        <w:rPr>
          <w:rFonts w:ascii="ZWAdobeF" w:hAnsi="ZWAdobeF" w:cs="ZWAdobeF"/>
          <w:color w:val="auto"/>
          <w:sz w:val="2"/>
          <w:szCs w:val="2"/>
        </w:rPr>
        <w:t>402B</w:t>
      </w:r>
      <w:r w:rsidR="0049638A">
        <w:rPr>
          <w:rFonts w:ascii="ZWAdobeF" w:hAnsi="ZWAdobeF" w:cs="ZWAdobeF"/>
          <w:color w:val="auto"/>
          <w:sz w:val="2"/>
          <w:szCs w:val="2"/>
        </w:rPr>
        <w:t>402B</w:t>
      </w:r>
      <w:r w:rsidR="00D629FA">
        <w:rPr>
          <w:rFonts w:ascii="ZWAdobeF" w:hAnsi="ZWAdobeF" w:cs="ZWAdobeF"/>
          <w:color w:val="auto"/>
          <w:sz w:val="2"/>
          <w:szCs w:val="2"/>
        </w:rPr>
        <w:t>402B</w:t>
      </w:r>
      <w:r w:rsidR="00653EA8">
        <w:t>It will also be important to identify how effectively any cy-près award will indirectly compensate class members. Our draft provision requires a cy-près award to be paid to an eligible charity or organisation, which will usually be an organisation whose activities</w:t>
      </w:r>
      <w:r w:rsidR="005F1B76">
        <w:t xml:space="preserve"> are related to the class action and </w:t>
      </w:r>
      <w:r w:rsidR="00653EA8">
        <w:t>are likely to directly or indirectly benefit class members.</w:t>
      </w:r>
      <w:r w:rsidR="00D629FA">
        <w:rPr>
          <w:rFonts w:ascii="ZWAdobeF" w:hAnsi="ZWAdobeF" w:cs="ZWAdobeF"/>
          <w:color w:val="auto"/>
          <w:sz w:val="2"/>
          <w:szCs w:val="2"/>
        </w:rPr>
        <w:t>664F</w:t>
      </w:r>
      <w:r w:rsidR="007A330E">
        <w:rPr>
          <w:rFonts w:ascii="ZWAdobeF" w:hAnsi="ZWAdobeF" w:cs="ZWAdobeF"/>
          <w:color w:val="auto"/>
          <w:sz w:val="2"/>
          <w:szCs w:val="2"/>
        </w:rPr>
        <w:t>664F</w:t>
      </w:r>
      <w:r w:rsidR="00317AE4">
        <w:rPr>
          <w:rFonts w:ascii="ZWAdobeF" w:hAnsi="ZWAdobeF" w:cs="ZWAdobeF"/>
          <w:color w:val="auto"/>
          <w:sz w:val="2"/>
          <w:szCs w:val="2"/>
        </w:rPr>
        <w:t>664F</w:t>
      </w:r>
      <w:r w:rsidR="00653EA8">
        <w:rPr>
          <w:rStyle w:val="FootnoteReference"/>
        </w:rPr>
        <w:footnoteReference w:id="666"/>
      </w:r>
      <w:r w:rsidR="00653EA8">
        <w:t xml:space="preserve"> </w:t>
      </w:r>
      <w:r w:rsidR="00653EA8" w:rsidRPr="00DB79F9">
        <w:t xml:space="preserve">For instance, </w:t>
      </w:r>
      <w:r w:rsidR="00653EA8">
        <w:t>in a successful</w:t>
      </w:r>
      <w:r w:rsidR="00653EA8" w:rsidRPr="00DB79F9">
        <w:t xml:space="preserve"> class action for misleading advertising in relation to a consumer product, it may be appropriate to award the money to a consumer advocacy organisation</w:t>
      </w:r>
      <w:r w:rsidR="00653EA8">
        <w:t>. We recognise that in some cases, it will be difficult to find a charity or organisation whose activities align with the class action claims. Therefore, we think a particular organisation could be specified in regulations as an eligible charity or organisation.</w:t>
      </w:r>
      <w:r w:rsidR="00D629FA">
        <w:rPr>
          <w:rFonts w:ascii="ZWAdobeF" w:hAnsi="ZWAdobeF" w:cs="ZWAdobeF"/>
          <w:color w:val="auto"/>
          <w:sz w:val="2"/>
          <w:szCs w:val="2"/>
        </w:rPr>
        <w:t>665F</w:t>
      </w:r>
      <w:r w:rsidR="007A330E">
        <w:rPr>
          <w:rFonts w:ascii="ZWAdobeF" w:hAnsi="ZWAdobeF" w:cs="ZWAdobeF"/>
          <w:color w:val="auto"/>
          <w:sz w:val="2"/>
          <w:szCs w:val="2"/>
        </w:rPr>
        <w:t>665F</w:t>
      </w:r>
      <w:r w:rsidR="00317AE4">
        <w:rPr>
          <w:rFonts w:ascii="ZWAdobeF" w:hAnsi="ZWAdobeF" w:cs="ZWAdobeF"/>
          <w:color w:val="auto"/>
          <w:sz w:val="2"/>
          <w:szCs w:val="2"/>
        </w:rPr>
        <w:t>665F</w:t>
      </w:r>
      <w:r w:rsidR="00653EA8">
        <w:rPr>
          <w:rStyle w:val="FootnoteReference"/>
        </w:rPr>
        <w:footnoteReference w:id="667"/>
      </w:r>
      <w:r w:rsidR="00653EA8">
        <w:t xml:space="preserve"> We envisage this would be a charity or organisation that is associated with improving access to justice.</w:t>
      </w:r>
      <w:r w:rsidR="00D629FA">
        <w:rPr>
          <w:rFonts w:ascii="ZWAdobeF" w:hAnsi="ZWAdobeF" w:cs="ZWAdobeF"/>
          <w:color w:val="auto"/>
          <w:sz w:val="2"/>
          <w:szCs w:val="2"/>
        </w:rPr>
        <w:t>666F</w:t>
      </w:r>
      <w:r w:rsidR="007A330E">
        <w:rPr>
          <w:rFonts w:ascii="ZWAdobeF" w:hAnsi="ZWAdobeF" w:cs="ZWAdobeF"/>
          <w:color w:val="auto"/>
          <w:sz w:val="2"/>
          <w:szCs w:val="2"/>
        </w:rPr>
        <w:t>666F</w:t>
      </w:r>
      <w:r w:rsidR="00317AE4">
        <w:rPr>
          <w:rFonts w:ascii="ZWAdobeF" w:hAnsi="ZWAdobeF" w:cs="ZWAdobeF"/>
          <w:color w:val="auto"/>
          <w:sz w:val="2"/>
          <w:szCs w:val="2"/>
        </w:rPr>
        <w:t>666F</w:t>
      </w:r>
      <w:r w:rsidR="00653EA8">
        <w:rPr>
          <w:rStyle w:val="FootnoteReference"/>
        </w:rPr>
        <w:footnoteReference w:id="668"/>
      </w:r>
      <w:r w:rsidR="00653EA8">
        <w:t xml:space="preserve">  </w:t>
      </w:r>
    </w:p>
    <w:p w14:paraId="74B9BC62" w14:textId="5D467B39" w:rsidR="00E81695" w:rsidRDefault="008535A8" w:rsidP="00E81695">
      <w:pPr>
        <w:pStyle w:val="QuestionBox"/>
      </w:pPr>
      <w:r>
        <w:rPr>
          <w:noProof/>
        </w:rPr>
        <mc:AlternateContent>
          <mc:Choice Requires="wpg">
            <w:drawing>
              <wp:anchor distT="0" distB="0" distL="114300" distR="114300" simplePos="0" relativeHeight="251652171" behindDoc="1" locked="0" layoutInCell="1" allowOverlap="1" wp14:anchorId="73F219D6" wp14:editId="21494707">
                <wp:simplePos x="0" y="0"/>
                <wp:positionH relativeFrom="column">
                  <wp:posOffset>0</wp:posOffset>
                </wp:positionH>
                <wp:positionV relativeFrom="paragraph">
                  <wp:posOffset>-635</wp:posOffset>
                </wp:positionV>
                <wp:extent cx="5760085" cy="1063625"/>
                <wp:effectExtent l="0" t="0" r="0" b="3175"/>
                <wp:wrapNone/>
                <wp:docPr id="323" name="Group 323"/>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32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8EC574" w14:textId="77777777" w:rsidR="00A55F53" w:rsidRDefault="00A55F53" w:rsidP="008535A8">
                              <w:pPr>
                                <w:pStyle w:val="BoxTitle"/>
                                <w:spacing w:before="0" w:beforeAutospacing="0"/>
                              </w:pPr>
                              <w:r w:rsidRPr="007F6876">
                                <w:t>QUESTION</w:t>
                              </w:r>
                            </w:p>
                          </w:txbxContent>
                        </wps:txbx>
                        <wps:bodyPr rot="0" vert="horz" wrap="square" lIns="91440" tIns="0" rIns="0" bIns="45720" anchor="ctr" anchorCtr="0" upright="1">
                          <a:noAutofit/>
                        </wps:bodyPr>
                      </wps:wsp>
                      <wpg:grpSp>
                        <wpg:cNvPr id="327" name="Group 53"/>
                        <wpg:cNvGrpSpPr>
                          <a:grpSpLocks/>
                        </wpg:cNvGrpSpPr>
                        <wpg:grpSpPr bwMode="auto">
                          <a:xfrm>
                            <a:off x="0" y="316263"/>
                            <a:ext cx="5760085" cy="810335"/>
                            <a:chOff x="1837" y="1792"/>
                            <a:chExt cx="9302" cy="8753"/>
                          </a:xfrm>
                        </wpg:grpSpPr>
                        <wps:wsp>
                          <wps:cNvPr id="328"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329"/>
                        <wpg:cNvGrpSpPr/>
                        <wpg:grpSpPr>
                          <a:xfrm>
                            <a:off x="0" y="494036"/>
                            <a:ext cx="1443794" cy="252000"/>
                            <a:chOff x="-15880" y="0"/>
                            <a:chExt cx="1444379" cy="252068"/>
                          </a:xfrm>
                        </wpg:grpSpPr>
                        <wps:wsp>
                          <wps:cNvPr id="33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39B0F5" w14:textId="56284C80" w:rsidR="00A55F53" w:rsidRPr="00E700FF" w:rsidRDefault="00A55F53" w:rsidP="008535A8">
                                <w:pPr>
                                  <w:pStyle w:val="BoxTitle"/>
                                  <w:spacing w:before="0" w:beforeAutospacing="0"/>
                                </w:pPr>
                                <w:r w:rsidRPr="001C1B37">
                                  <w:t>Q</w:t>
                                </w:r>
                                <w:r>
                                  <w:t>31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3F219D6" id="Group 323" o:spid="_x0000_s1416" style="position:absolute;left:0;text-align:left;margin-left:0;margin-top:-.05pt;width:453.55pt;height:83.75pt;z-index:-251664309;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">
                <v:shape id="_x0000_s141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58EC574" w14:textId="77777777" w:rsidR="00A55F53" w:rsidRDefault="00A55F53" w:rsidP="008535A8">
                        <w:pPr>
                          <w:pStyle w:val="BoxTitle"/>
                          <w:spacing w:before="0" w:beforeAutospacing="0"/>
                        </w:pPr>
                        <w:r w:rsidRPr="007F6876">
                          <w:t>QUESTION</w:t>
                        </w:r>
                      </w:p>
                    </w:txbxContent>
                  </v:textbox>
                </v:shape>
                <v:group id="Group 53" o:spid="_x0000_s1418"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54" o:spid="_x0000_s1419"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" path="m,l9354,r,7809l,7809,,e" fillcolor="#edf2ea" stroked="f">
                    <v:path arrowok="t" o:connecttype="custom" o:connectlocs="0,1121;9302,1121;9302,9874;0,9874;0,1121" o:connectangles="0,0,0,0,0"/>
                  </v:shape>
                </v:group>
                <v:group id="Group 329" o:spid="_x0000_s142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58" o:spid="_x0000_s142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" path="m,l1815,e" filled="f" strokecolor="#72ab6a" strokeweight=".5pt">
                    <v:path arrowok="t" o:connecttype="custom" o:connectlocs="0,0;1073495,0" o:connectangles="0,0"/>
                  </v:shape>
                  <v:shape id="Freeform 66" o:spid="_x0000_s142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139B0F5" w14:textId="56284C80" w:rsidR="00A55F53" w:rsidRPr="00E700FF" w:rsidRDefault="00A55F53" w:rsidP="008535A8">
                          <w:pPr>
                            <w:pStyle w:val="BoxTitle"/>
                            <w:spacing w:before="0" w:beforeAutospacing="0"/>
                          </w:pPr>
                          <w:r w:rsidRPr="001C1B37">
                            <w:t>Q</w:t>
                          </w:r>
                          <w:r>
                            <w:t>31</w:t>
                          </w:r>
                        </w:p>
                      </w:txbxContent>
                    </v:textbox>
                  </v:shape>
                </v:group>
              </v:group>
            </w:pict>
          </mc:Fallback>
        </mc:AlternateContent>
      </w:r>
    </w:p>
    <w:p w14:paraId="15DE2D50" w14:textId="77777777" w:rsidR="00E81695" w:rsidRDefault="00E81695" w:rsidP="00E81695">
      <w:pPr>
        <w:pStyle w:val="QuestionBox"/>
      </w:pPr>
    </w:p>
    <w:p w14:paraId="1BAF9D67" w14:textId="585D7E90" w:rsidR="00653EA8" w:rsidRDefault="00BD5C95" w:rsidP="00E81695">
      <w:pPr>
        <w:pStyle w:val="QuestionBox"/>
      </w:pPr>
      <w:r>
        <w:rPr>
          <w:rFonts w:ascii="ZWAdobeF" w:hAnsi="ZWAdobeF" w:cs="ZWAdobeF"/>
          <w:color w:val="auto"/>
          <w:sz w:val="2"/>
          <w:szCs w:val="2"/>
        </w:rPr>
        <w:t>1432B</w:t>
      </w:r>
      <w:r w:rsidR="0049638A">
        <w:rPr>
          <w:rFonts w:ascii="ZWAdobeF" w:hAnsi="ZWAdobeF" w:cs="ZWAdobeF"/>
          <w:color w:val="auto"/>
          <w:sz w:val="2"/>
          <w:szCs w:val="2"/>
        </w:rPr>
        <w:t>1432B</w:t>
      </w:r>
      <w:r w:rsidR="00D629FA">
        <w:rPr>
          <w:rFonts w:ascii="ZWAdobeF" w:hAnsi="ZWAdobeF" w:cs="ZWAdobeF"/>
          <w:color w:val="auto"/>
          <w:sz w:val="2"/>
          <w:szCs w:val="2"/>
        </w:rPr>
        <w:t>1432B</w:t>
      </w:r>
      <w:r w:rsidR="00653EA8" w:rsidRPr="005B1792">
        <w:t xml:space="preserve">Should the court be able to order </w:t>
      </w:r>
      <w:r w:rsidR="00653EA8">
        <w:t xml:space="preserve">cy-près </w:t>
      </w:r>
      <w:r w:rsidR="00653EA8" w:rsidRPr="005B1792">
        <w:t>damage</w:t>
      </w:r>
      <w:r w:rsidR="00653EA8">
        <w:t>s and if so, under what circumstances</w:t>
      </w:r>
      <w:r w:rsidR="00653EA8" w:rsidRPr="005B1792">
        <w:t>?</w:t>
      </w:r>
    </w:p>
    <w:p w14:paraId="0F3442D8" w14:textId="77777777" w:rsidR="009B37CB" w:rsidRPr="005B1792" w:rsidRDefault="009B37CB" w:rsidP="00E81695">
      <w:pPr>
        <w:pStyle w:val="QuestionBox"/>
      </w:pPr>
    </w:p>
    <w:p w14:paraId="3B363A48" w14:textId="77777777" w:rsidR="00653EA8" w:rsidRDefault="00653EA8" w:rsidP="008535A8">
      <w:pPr>
        <w:pStyle w:val="Heading3"/>
      </w:pPr>
      <w:r>
        <w:t>Draft provisions on aggregate and cy-près damages</w:t>
      </w:r>
    </w:p>
    <w:p w14:paraId="2A66A909" w14:textId="5DE2943B" w:rsidR="00653EA8" w:rsidRDefault="00BD5C95" w:rsidP="00932DB9">
      <w:pPr>
        <w:pStyle w:val="BodyText"/>
      </w:pPr>
      <w:r>
        <w:rPr>
          <w:rFonts w:ascii="ZWAdobeF" w:hAnsi="ZWAdobeF" w:cs="ZWAdobeF"/>
          <w:color w:val="auto"/>
          <w:sz w:val="2"/>
          <w:szCs w:val="2"/>
        </w:rPr>
        <w:t>403B</w:t>
      </w:r>
      <w:r w:rsidR="0049638A">
        <w:rPr>
          <w:rFonts w:ascii="ZWAdobeF" w:hAnsi="ZWAdobeF" w:cs="ZWAdobeF"/>
          <w:color w:val="auto"/>
          <w:sz w:val="2"/>
          <w:szCs w:val="2"/>
        </w:rPr>
        <w:t>403B</w:t>
      </w:r>
      <w:r w:rsidR="00D629FA">
        <w:rPr>
          <w:rFonts w:ascii="ZWAdobeF" w:hAnsi="ZWAdobeF" w:cs="ZWAdobeF"/>
          <w:color w:val="auto"/>
          <w:sz w:val="2"/>
          <w:szCs w:val="2"/>
        </w:rPr>
        <w:t>403B</w:t>
      </w:r>
      <w:r w:rsidR="00653EA8">
        <w:t xml:space="preserve">We set out below our draft provisions on aggregate damages and cy-près damages. As we note above, we have not included a draft provision on individual damages </w:t>
      </w:r>
      <w:r w:rsidR="005F1B76">
        <w:t>since</w:t>
      </w:r>
      <w:r w:rsidR="00653EA8">
        <w:t xml:space="preserve"> this is the conventional </w:t>
      </w:r>
      <w:r w:rsidR="005F1B76">
        <w:t>approach to damages</w:t>
      </w:r>
      <w:r w:rsidR="00653EA8">
        <w:t xml:space="preserve">. </w:t>
      </w:r>
    </w:p>
    <w:p w14:paraId="3F6F7FAF" w14:textId="35C318E7" w:rsidR="00653EA8" w:rsidRDefault="00BD5C95" w:rsidP="00932DB9">
      <w:pPr>
        <w:pStyle w:val="BodyText"/>
      </w:pPr>
      <w:r>
        <w:rPr>
          <w:rFonts w:ascii="ZWAdobeF" w:hAnsi="ZWAdobeF" w:cs="ZWAdobeF"/>
          <w:color w:val="auto"/>
          <w:sz w:val="2"/>
          <w:szCs w:val="2"/>
        </w:rPr>
        <w:t>404B</w:t>
      </w:r>
      <w:r w:rsidR="0049638A">
        <w:rPr>
          <w:rFonts w:ascii="ZWAdobeF" w:hAnsi="ZWAdobeF" w:cs="ZWAdobeF"/>
          <w:color w:val="auto"/>
          <w:sz w:val="2"/>
          <w:szCs w:val="2"/>
        </w:rPr>
        <w:t>404B</w:t>
      </w:r>
      <w:r w:rsidR="00D629FA">
        <w:rPr>
          <w:rFonts w:ascii="ZWAdobeF" w:hAnsi="ZWAdobeF" w:cs="ZWAdobeF"/>
          <w:color w:val="auto"/>
          <w:sz w:val="2"/>
          <w:szCs w:val="2"/>
        </w:rPr>
        <w:t>404B</w:t>
      </w:r>
      <w:r w:rsidR="00653EA8">
        <w:t>Our draft provision on aggregate awards uses the term “monetary relief” rather than “damages”.</w:t>
      </w:r>
      <w:r w:rsidR="00D629FA">
        <w:rPr>
          <w:rFonts w:ascii="ZWAdobeF" w:hAnsi="ZWAdobeF" w:cs="ZWAdobeF"/>
          <w:color w:val="auto"/>
          <w:sz w:val="2"/>
          <w:szCs w:val="2"/>
        </w:rPr>
        <w:t>667F</w:t>
      </w:r>
      <w:r w:rsidR="007A330E">
        <w:rPr>
          <w:rFonts w:ascii="ZWAdobeF" w:hAnsi="ZWAdobeF" w:cs="ZWAdobeF"/>
          <w:color w:val="auto"/>
          <w:sz w:val="2"/>
          <w:szCs w:val="2"/>
        </w:rPr>
        <w:t>667F</w:t>
      </w:r>
      <w:r w:rsidR="00317AE4">
        <w:rPr>
          <w:rFonts w:ascii="ZWAdobeF" w:hAnsi="ZWAdobeF" w:cs="ZWAdobeF"/>
          <w:color w:val="auto"/>
          <w:sz w:val="2"/>
          <w:szCs w:val="2"/>
        </w:rPr>
        <w:t>667F</w:t>
      </w:r>
      <w:r w:rsidR="00653EA8">
        <w:rPr>
          <w:rStyle w:val="FootnoteReference"/>
        </w:rPr>
        <w:footnoteReference w:id="669"/>
      </w:r>
      <w:r w:rsidR="00653EA8">
        <w:t xml:space="preserve"> One academic has observed that while Australian statutes refer to courts making an award of “damages”, the Canadian common law statutes refer to class </w:t>
      </w:r>
      <w:r w:rsidR="00653EA8">
        <w:lastRenderedPageBreak/>
        <w:t>members’ entitlement to “monetary relief”.</w:t>
      </w:r>
      <w:r w:rsidR="00D629FA">
        <w:rPr>
          <w:rFonts w:ascii="ZWAdobeF" w:hAnsi="ZWAdobeF" w:cs="ZWAdobeF"/>
          <w:color w:val="auto"/>
          <w:sz w:val="2"/>
          <w:szCs w:val="2"/>
        </w:rPr>
        <w:t>668F</w:t>
      </w:r>
      <w:r w:rsidR="007A330E">
        <w:rPr>
          <w:rFonts w:ascii="ZWAdobeF" w:hAnsi="ZWAdobeF" w:cs="ZWAdobeF"/>
          <w:color w:val="auto"/>
          <w:sz w:val="2"/>
          <w:szCs w:val="2"/>
        </w:rPr>
        <w:t>668F</w:t>
      </w:r>
      <w:r w:rsidR="00317AE4">
        <w:rPr>
          <w:rFonts w:ascii="ZWAdobeF" w:hAnsi="ZWAdobeF" w:cs="ZWAdobeF"/>
          <w:color w:val="auto"/>
          <w:sz w:val="2"/>
          <w:szCs w:val="2"/>
        </w:rPr>
        <w:t>668F</w:t>
      </w:r>
      <w:r w:rsidR="00653EA8">
        <w:rPr>
          <w:rStyle w:val="FootnoteReference"/>
        </w:rPr>
        <w:footnoteReference w:id="670"/>
      </w:r>
      <w:r w:rsidR="00653EA8">
        <w:t xml:space="preserve"> While the ALRC appeared to treat the two terms interchangeably, the OLRC distinguished between damages and other forms of monetary relief.</w:t>
      </w:r>
      <w:r w:rsidR="00D629FA">
        <w:rPr>
          <w:rFonts w:ascii="ZWAdobeF" w:hAnsi="ZWAdobeF" w:cs="ZWAdobeF"/>
          <w:color w:val="auto"/>
          <w:sz w:val="2"/>
          <w:szCs w:val="2"/>
        </w:rPr>
        <w:t>669F</w:t>
      </w:r>
      <w:r w:rsidR="007A330E">
        <w:rPr>
          <w:rFonts w:ascii="ZWAdobeF" w:hAnsi="ZWAdobeF" w:cs="ZWAdobeF"/>
          <w:color w:val="auto"/>
          <w:sz w:val="2"/>
          <w:szCs w:val="2"/>
        </w:rPr>
        <w:t>669F</w:t>
      </w:r>
      <w:r w:rsidR="00317AE4">
        <w:rPr>
          <w:rFonts w:ascii="ZWAdobeF" w:hAnsi="ZWAdobeF" w:cs="ZWAdobeF"/>
          <w:color w:val="auto"/>
          <w:sz w:val="2"/>
          <w:szCs w:val="2"/>
        </w:rPr>
        <w:t>669F</w:t>
      </w:r>
      <w:r w:rsidR="00653EA8">
        <w:rPr>
          <w:rStyle w:val="FootnoteReference"/>
        </w:rPr>
        <w:footnoteReference w:id="671"/>
      </w:r>
      <w:r w:rsidR="00653EA8">
        <w:t xml:space="preserve"> The difference in wording is potentially significant as monetary relief, while including damages, may also include claims for compensation that are not ordinarily considered ‘damages’.</w:t>
      </w:r>
      <w:r w:rsidR="00D629FA">
        <w:rPr>
          <w:rFonts w:ascii="ZWAdobeF" w:hAnsi="ZWAdobeF" w:cs="ZWAdobeF"/>
          <w:color w:val="auto"/>
          <w:sz w:val="2"/>
          <w:szCs w:val="2"/>
        </w:rPr>
        <w:t>670F</w:t>
      </w:r>
      <w:r w:rsidR="007A330E">
        <w:rPr>
          <w:rFonts w:ascii="ZWAdobeF" w:hAnsi="ZWAdobeF" w:cs="ZWAdobeF"/>
          <w:color w:val="auto"/>
          <w:sz w:val="2"/>
          <w:szCs w:val="2"/>
        </w:rPr>
        <w:t>670F</w:t>
      </w:r>
      <w:r w:rsidR="00317AE4">
        <w:rPr>
          <w:rFonts w:ascii="ZWAdobeF" w:hAnsi="ZWAdobeF" w:cs="ZWAdobeF"/>
          <w:color w:val="auto"/>
          <w:sz w:val="2"/>
          <w:szCs w:val="2"/>
        </w:rPr>
        <w:t>670F</w:t>
      </w:r>
      <w:r w:rsidR="00653EA8">
        <w:rPr>
          <w:rStyle w:val="FootnoteReference"/>
        </w:rPr>
        <w:footnoteReference w:id="672"/>
      </w:r>
      <w:r w:rsidR="00653EA8">
        <w:t xml:space="preserve"> </w:t>
      </w:r>
    </w:p>
    <w:p w14:paraId="33822601" w14:textId="4E2689DF" w:rsidR="00653EA8" w:rsidRDefault="00BD5C95" w:rsidP="00932DB9">
      <w:pPr>
        <w:pStyle w:val="BodyText"/>
      </w:pPr>
      <w:r>
        <w:rPr>
          <w:rFonts w:ascii="ZWAdobeF" w:hAnsi="ZWAdobeF" w:cs="ZWAdobeF"/>
          <w:color w:val="auto"/>
          <w:sz w:val="2"/>
          <w:szCs w:val="2"/>
        </w:rPr>
        <w:t>405B</w:t>
      </w:r>
      <w:r w:rsidR="0049638A">
        <w:rPr>
          <w:rFonts w:ascii="ZWAdobeF" w:hAnsi="ZWAdobeF" w:cs="ZWAdobeF"/>
          <w:color w:val="auto"/>
          <w:sz w:val="2"/>
          <w:szCs w:val="2"/>
        </w:rPr>
        <w:t>405B</w:t>
      </w:r>
      <w:r w:rsidR="00D629FA">
        <w:rPr>
          <w:rFonts w:ascii="ZWAdobeF" w:hAnsi="ZWAdobeF" w:cs="ZWAdobeF"/>
          <w:color w:val="auto"/>
          <w:sz w:val="2"/>
          <w:szCs w:val="2"/>
        </w:rPr>
        <w:t>405B</w:t>
      </w:r>
      <w:r w:rsidR="00653EA8">
        <w:t>We consider that a provision empowering a court to award “damages” could therefore cast doubt on whether the court would be able to award aggregate monetary relief in claims where technically “damages” are not available. We have therefore used the term “monetary relief” to ensure that all forms of relief are available in a class action.</w:t>
      </w:r>
    </w:p>
    <w:p w14:paraId="22F8CE81" w14:textId="189F32FB" w:rsidR="00653EA8" w:rsidRDefault="00BD5C95" w:rsidP="00932DB9">
      <w:pPr>
        <w:pStyle w:val="BodyText"/>
      </w:pPr>
      <w:r>
        <w:rPr>
          <w:rFonts w:ascii="ZWAdobeF" w:hAnsi="ZWAdobeF" w:cs="ZWAdobeF"/>
          <w:color w:val="auto"/>
          <w:sz w:val="2"/>
          <w:szCs w:val="2"/>
        </w:rPr>
        <w:t>406B</w:t>
      </w:r>
      <w:r w:rsidR="0049638A">
        <w:rPr>
          <w:rFonts w:ascii="ZWAdobeF" w:hAnsi="ZWAdobeF" w:cs="ZWAdobeF"/>
          <w:color w:val="auto"/>
          <w:sz w:val="2"/>
          <w:szCs w:val="2"/>
        </w:rPr>
        <w:t>406B</w:t>
      </w:r>
      <w:r w:rsidR="00D629FA">
        <w:rPr>
          <w:rFonts w:ascii="ZWAdobeF" w:hAnsi="ZWAdobeF" w:cs="ZWAdobeF"/>
          <w:color w:val="auto"/>
          <w:sz w:val="2"/>
          <w:szCs w:val="2"/>
        </w:rPr>
        <w:t>406B</w:t>
      </w:r>
      <w:r w:rsidR="00653EA8">
        <w:t>Rather than use the French term ‘cy-près’, we have used the phrase “alternative distribution”.</w:t>
      </w:r>
      <w:r w:rsidR="00D629FA">
        <w:rPr>
          <w:rFonts w:ascii="ZWAdobeF" w:hAnsi="ZWAdobeF" w:cs="ZWAdobeF"/>
          <w:color w:val="auto"/>
          <w:sz w:val="2"/>
          <w:szCs w:val="2"/>
        </w:rPr>
        <w:t>671F</w:t>
      </w:r>
      <w:r w:rsidR="007A330E">
        <w:rPr>
          <w:rFonts w:ascii="ZWAdobeF" w:hAnsi="ZWAdobeF" w:cs="ZWAdobeF"/>
          <w:color w:val="auto"/>
          <w:sz w:val="2"/>
          <w:szCs w:val="2"/>
        </w:rPr>
        <w:t>671F</w:t>
      </w:r>
      <w:r w:rsidR="00317AE4">
        <w:rPr>
          <w:rFonts w:ascii="ZWAdobeF" w:hAnsi="ZWAdobeF" w:cs="ZWAdobeF"/>
          <w:color w:val="auto"/>
          <w:sz w:val="2"/>
          <w:szCs w:val="2"/>
        </w:rPr>
        <w:t>671F</w:t>
      </w:r>
      <w:r w:rsidR="00653EA8">
        <w:rPr>
          <w:rStyle w:val="FootnoteReference"/>
        </w:rPr>
        <w:footnoteReference w:id="673"/>
      </w:r>
    </w:p>
    <w:p w14:paraId="3E16F20C" w14:textId="059C5C70" w:rsidR="00653EA8" w:rsidRPr="008535A8" w:rsidRDefault="00A70021" w:rsidP="001E6553">
      <w:pPr>
        <w:pStyle w:val="BodyText"/>
        <w:numPr>
          <w:ilvl w:val="0"/>
          <w:numId w:val="0"/>
        </w:numPr>
        <w:rPr>
          <w:sz w:val="8"/>
          <w:szCs w:val="12"/>
        </w:rPr>
      </w:pPr>
      <w:r w:rsidRPr="008535A8">
        <w:rPr>
          <w:noProof/>
          <w:sz w:val="8"/>
          <w:szCs w:val="12"/>
        </w:rPr>
        <mc:AlternateContent>
          <mc:Choice Requires="wps">
            <w:drawing>
              <wp:anchor distT="0" distB="0" distL="114300" distR="114300" simplePos="0" relativeHeight="251651098" behindDoc="1" locked="0" layoutInCell="1" allowOverlap="1" wp14:anchorId="76F740C6" wp14:editId="1336961C">
                <wp:simplePos x="0" y="0"/>
                <wp:positionH relativeFrom="column">
                  <wp:posOffset>6793</wp:posOffset>
                </wp:positionH>
                <wp:positionV relativeFrom="paragraph">
                  <wp:posOffset>9561</wp:posOffset>
                </wp:positionV>
                <wp:extent cx="5760085" cy="5201728"/>
                <wp:effectExtent l="0" t="0" r="0" b="0"/>
                <wp:wrapNone/>
                <wp:docPr id="4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520172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F860B98" id="Freeform 54" o:spid="_x0000_s1026" style="position:absolute;margin-left:.55pt;margin-top:.75pt;width:453.55pt;height:409.6pt;z-index:-2516653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" path="m,l9354,r,7809l,7809,,e" fillcolor="#edf2ea" stroked="f">
                <v:path arrowok="t" o:connecttype="custom" o:connectlocs="0,666120;5760085,666120;5760085,5867848;0,5867848;0,666120" o:connectangles="0,0,0,0,0"/>
              </v:shape>
            </w:pict>
          </mc:Fallback>
        </mc:AlternateContent>
      </w:r>
    </w:p>
    <w:p w14:paraId="7FDBDD5E" w14:textId="1BEFD789" w:rsidR="002228D1" w:rsidRPr="002228D1" w:rsidRDefault="00BD5C95" w:rsidP="00B73434">
      <w:pPr>
        <w:widowControl w:val="0"/>
        <w:numPr>
          <w:ilvl w:val="0"/>
          <w:numId w:val="60"/>
        </w:numPr>
        <w:tabs>
          <w:tab w:val="left" w:pos="905"/>
        </w:tabs>
        <w:autoSpaceDE w:val="0"/>
        <w:autoSpaceDN w:val="0"/>
        <w:spacing w:before="213"/>
        <w:jc w:val="both"/>
        <w:outlineLvl w:val="2"/>
        <w:rPr>
          <w:rFonts w:ascii="Times New Roman" w:hAnsi="Times New Roman"/>
          <w:b/>
          <w:sz w:val="23"/>
          <w:szCs w:val="23"/>
          <w:lang w:val="en-US" w:bidi="en-US"/>
        </w:rPr>
      </w:pPr>
      <w:r>
        <w:rPr>
          <w:rFonts w:ascii="ZWAdobeF" w:hAnsi="ZWAdobeF" w:cs="ZWAdobeF"/>
          <w:color w:val="auto"/>
          <w:sz w:val="2"/>
          <w:szCs w:val="2"/>
          <w:lang w:val="en-US" w:bidi="en-US"/>
        </w:rPr>
        <w:t>1066B</w:t>
      </w:r>
      <w:r w:rsidR="0049638A">
        <w:rPr>
          <w:rFonts w:ascii="ZWAdobeF" w:hAnsi="ZWAdobeF" w:cs="ZWAdobeF"/>
          <w:color w:val="auto"/>
          <w:sz w:val="2"/>
          <w:szCs w:val="2"/>
          <w:lang w:val="en-US" w:bidi="en-US"/>
        </w:rPr>
        <w:t>1066B</w:t>
      </w:r>
      <w:r w:rsidR="00D629FA">
        <w:rPr>
          <w:rFonts w:ascii="ZWAdobeF" w:hAnsi="ZWAdobeF" w:cs="ZWAdobeF"/>
          <w:color w:val="auto"/>
          <w:sz w:val="2"/>
          <w:szCs w:val="2"/>
          <w:lang w:val="en-US" w:bidi="en-US"/>
        </w:rPr>
        <w:t>1066B</w:t>
      </w:r>
      <w:r w:rsidR="002228D1" w:rsidRPr="002228D1">
        <w:rPr>
          <w:rFonts w:ascii="Times New Roman" w:hAnsi="Times New Roman"/>
          <w:b/>
          <w:sz w:val="23"/>
          <w:szCs w:val="23"/>
          <w:lang w:val="en-US" w:bidi="en-US"/>
        </w:rPr>
        <w:t>Aggregate monetary</w:t>
      </w:r>
      <w:r w:rsidR="002228D1" w:rsidRPr="002228D1">
        <w:rPr>
          <w:rFonts w:ascii="Times New Roman" w:hAnsi="Times New Roman"/>
          <w:b/>
          <w:spacing w:val="-1"/>
          <w:sz w:val="23"/>
          <w:szCs w:val="23"/>
          <w:lang w:val="en-US" w:bidi="en-US"/>
        </w:rPr>
        <w:t xml:space="preserve"> </w:t>
      </w:r>
      <w:r w:rsidR="002228D1" w:rsidRPr="002228D1">
        <w:rPr>
          <w:rFonts w:ascii="Times New Roman" w:hAnsi="Times New Roman"/>
          <w:b/>
          <w:sz w:val="23"/>
          <w:szCs w:val="23"/>
          <w:lang w:val="en-US" w:bidi="en-US"/>
        </w:rPr>
        <w:t>relief</w:t>
      </w:r>
    </w:p>
    <w:p w14:paraId="30C86A37" w14:textId="788B8810" w:rsidR="002228D1" w:rsidRPr="002228D1" w:rsidRDefault="00BD5C95" w:rsidP="00B73434">
      <w:pPr>
        <w:widowControl w:val="0"/>
        <w:numPr>
          <w:ilvl w:val="0"/>
          <w:numId w:val="59"/>
        </w:numPr>
        <w:tabs>
          <w:tab w:val="left" w:pos="905"/>
        </w:tabs>
        <w:autoSpaceDE w:val="0"/>
        <w:autoSpaceDN w:val="0"/>
        <w:spacing w:before="92" w:line="249" w:lineRule="auto"/>
        <w:ind w:right="297"/>
        <w:jc w:val="both"/>
        <w:rPr>
          <w:rFonts w:ascii="Times New Roman" w:hAnsi="Times New Roman"/>
          <w:sz w:val="23"/>
          <w:lang w:val="en-US" w:bidi="en-US"/>
        </w:rPr>
      </w:pPr>
      <w:r>
        <w:rPr>
          <w:rFonts w:ascii="ZWAdobeF" w:hAnsi="ZWAdobeF" w:cs="ZWAdobeF"/>
          <w:color w:val="auto"/>
          <w:sz w:val="2"/>
          <w:szCs w:val="2"/>
          <w:lang w:val="en-US" w:bidi="en-US"/>
        </w:rPr>
        <w:t>1067B</w:t>
      </w:r>
      <w:r w:rsidR="0049638A">
        <w:rPr>
          <w:rFonts w:ascii="ZWAdobeF" w:hAnsi="ZWAdobeF" w:cs="ZWAdobeF"/>
          <w:color w:val="auto"/>
          <w:sz w:val="2"/>
          <w:szCs w:val="2"/>
          <w:lang w:val="en-US" w:bidi="en-US"/>
        </w:rPr>
        <w:t>1067B</w:t>
      </w:r>
      <w:r w:rsidR="00D629FA">
        <w:rPr>
          <w:rFonts w:ascii="ZWAdobeF" w:hAnsi="ZWAdobeF" w:cs="ZWAdobeF"/>
          <w:color w:val="auto"/>
          <w:sz w:val="2"/>
          <w:szCs w:val="2"/>
          <w:lang w:val="en-US" w:bidi="en-US"/>
        </w:rPr>
        <w:t>1067B</w:t>
      </w:r>
      <w:r w:rsidR="002228D1" w:rsidRPr="002228D1">
        <w:rPr>
          <w:rFonts w:ascii="Times New Roman" w:hAnsi="Times New Roman"/>
          <w:sz w:val="23"/>
          <w:lang w:val="en-US" w:bidi="en-US"/>
        </w:rPr>
        <w:t xml:space="preserve">A court may award monetary relief to class members on an aggregate </w:t>
      </w:r>
      <w:r w:rsidR="002228D1" w:rsidRPr="002228D1">
        <w:rPr>
          <w:rFonts w:ascii="Times New Roman" w:hAnsi="Times New Roman"/>
          <w:spacing w:val="-3"/>
          <w:sz w:val="23"/>
          <w:lang w:val="en-US" w:bidi="en-US"/>
        </w:rPr>
        <w:t>basis</w:t>
      </w:r>
      <w:r w:rsidR="002228D1" w:rsidRPr="002228D1">
        <w:rPr>
          <w:rFonts w:ascii="Times New Roman" w:hAnsi="Times New Roman"/>
          <w:spacing w:val="51"/>
          <w:sz w:val="23"/>
          <w:lang w:val="en-US" w:bidi="en-US"/>
        </w:rPr>
        <w:t xml:space="preserve"> </w:t>
      </w:r>
      <w:r w:rsidR="002228D1" w:rsidRPr="002228D1">
        <w:rPr>
          <w:rFonts w:ascii="Times New Roman" w:hAnsi="Times New Roman"/>
          <w:sz w:val="23"/>
          <w:lang w:val="en-US" w:bidi="en-US"/>
        </w:rPr>
        <w:t>if—</w:t>
      </w:r>
    </w:p>
    <w:p w14:paraId="139F9E9E" w14:textId="3048EBD1" w:rsidR="002228D1" w:rsidRPr="002228D1" w:rsidRDefault="00BD5C95" w:rsidP="00B73434">
      <w:pPr>
        <w:widowControl w:val="0"/>
        <w:numPr>
          <w:ilvl w:val="1"/>
          <w:numId w:val="59"/>
        </w:numPr>
        <w:tabs>
          <w:tab w:val="left" w:pos="1505"/>
        </w:tabs>
        <w:autoSpaceDE w:val="0"/>
        <w:autoSpaceDN w:val="0"/>
        <w:spacing w:before="82" w:line="249" w:lineRule="auto"/>
        <w:ind w:right="300" w:hanging="601"/>
        <w:jc w:val="both"/>
        <w:rPr>
          <w:rFonts w:ascii="Times New Roman" w:hAnsi="Times New Roman"/>
          <w:sz w:val="23"/>
          <w:lang w:val="en-US" w:bidi="en-US"/>
        </w:rPr>
      </w:pPr>
      <w:r>
        <w:rPr>
          <w:rFonts w:ascii="ZWAdobeF" w:hAnsi="ZWAdobeF" w:cs="ZWAdobeF"/>
          <w:color w:val="auto"/>
          <w:sz w:val="2"/>
          <w:szCs w:val="2"/>
          <w:lang w:val="en-US" w:bidi="en-US"/>
        </w:rPr>
        <w:t>1068B</w:t>
      </w:r>
      <w:r w:rsidR="0049638A">
        <w:rPr>
          <w:rFonts w:ascii="ZWAdobeF" w:hAnsi="ZWAdobeF" w:cs="ZWAdobeF"/>
          <w:color w:val="auto"/>
          <w:sz w:val="2"/>
          <w:szCs w:val="2"/>
          <w:lang w:val="en-US" w:bidi="en-US"/>
        </w:rPr>
        <w:t>1068B</w:t>
      </w:r>
      <w:r w:rsidR="00D629FA">
        <w:rPr>
          <w:rFonts w:ascii="ZWAdobeF" w:hAnsi="ZWAdobeF" w:cs="ZWAdobeF"/>
          <w:color w:val="auto"/>
          <w:sz w:val="2"/>
          <w:szCs w:val="2"/>
          <w:lang w:val="en-US" w:bidi="en-US"/>
        </w:rPr>
        <w:t>1068B</w:t>
      </w:r>
      <w:r w:rsidR="002228D1" w:rsidRPr="002228D1">
        <w:rPr>
          <w:rFonts w:ascii="Times New Roman" w:hAnsi="Times New Roman"/>
          <w:sz w:val="23"/>
          <w:lang w:val="en-US" w:bidi="en-US"/>
        </w:rPr>
        <w:t xml:space="preserve">it is satisfied that it can make a reasonably accurate assessment of the total amount to which class members are entitled (the </w:t>
      </w:r>
      <w:r w:rsidR="002228D1" w:rsidRPr="002228D1">
        <w:rPr>
          <w:rFonts w:ascii="Times New Roman" w:hAnsi="Times New Roman"/>
          <w:b/>
          <w:sz w:val="23"/>
          <w:lang w:val="en-US" w:bidi="en-US"/>
        </w:rPr>
        <w:t>award</w:t>
      </w:r>
      <w:r w:rsidR="002228D1" w:rsidRPr="002228D1">
        <w:rPr>
          <w:rFonts w:ascii="Times New Roman" w:hAnsi="Times New Roman"/>
          <w:sz w:val="23"/>
          <w:lang w:val="en-US" w:bidi="en-US"/>
        </w:rPr>
        <w:t>);</w:t>
      </w:r>
      <w:r w:rsidR="002228D1" w:rsidRPr="002228D1">
        <w:rPr>
          <w:rFonts w:ascii="Times New Roman" w:hAnsi="Times New Roman"/>
          <w:spacing w:val="-7"/>
          <w:sz w:val="23"/>
          <w:lang w:val="en-US" w:bidi="en-US"/>
        </w:rPr>
        <w:t xml:space="preserve"> </w:t>
      </w:r>
      <w:r w:rsidR="002228D1" w:rsidRPr="002228D1">
        <w:rPr>
          <w:rFonts w:ascii="Times New Roman" w:hAnsi="Times New Roman"/>
          <w:sz w:val="23"/>
          <w:lang w:val="en-US" w:bidi="en-US"/>
        </w:rPr>
        <w:t>and</w:t>
      </w:r>
    </w:p>
    <w:p w14:paraId="6D94D6AE" w14:textId="0FB1BA68" w:rsidR="002228D1" w:rsidRPr="002228D1" w:rsidRDefault="00BD5C95" w:rsidP="00B73434">
      <w:pPr>
        <w:widowControl w:val="0"/>
        <w:numPr>
          <w:ilvl w:val="1"/>
          <w:numId w:val="59"/>
        </w:numPr>
        <w:tabs>
          <w:tab w:val="left" w:pos="1505"/>
        </w:tabs>
        <w:autoSpaceDE w:val="0"/>
        <w:autoSpaceDN w:val="0"/>
        <w:spacing w:before="82"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1069B</w:t>
      </w:r>
      <w:r w:rsidR="0049638A">
        <w:rPr>
          <w:rFonts w:ascii="ZWAdobeF" w:hAnsi="ZWAdobeF" w:cs="ZWAdobeF"/>
          <w:color w:val="auto"/>
          <w:sz w:val="2"/>
          <w:szCs w:val="2"/>
          <w:lang w:val="en-US" w:bidi="en-US"/>
        </w:rPr>
        <w:t>1069B</w:t>
      </w:r>
      <w:r w:rsidR="00D629FA">
        <w:rPr>
          <w:rFonts w:ascii="ZWAdobeF" w:hAnsi="ZWAdobeF" w:cs="ZWAdobeF"/>
          <w:color w:val="auto"/>
          <w:sz w:val="2"/>
          <w:szCs w:val="2"/>
          <w:lang w:val="en-US" w:bidi="en-US"/>
        </w:rPr>
        <w:t>1069B</w:t>
      </w:r>
      <w:r w:rsidR="002228D1" w:rsidRPr="002228D1">
        <w:rPr>
          <w:rFonts w:ascii="Times New Roman" w:hAnsi="Times New Roman"/>
          <w:sz w:val="23"/>
          <w:lang w:val="en-US" w:bidi="en-US"/>
        </w:rPr>
        <w:t xml:space="preserve">no question of fact or law remains to be determined to establish the amount of the defendant’s liability other than questions relating to </w:t>
      </w:r>
      <w:r w:rsidR="002228D1" w:rsidRPr="002228D1">
        <w:rPr>
          <w:rFonts w:ascii="Times New Roman" w:hAnsi="Times New Roman"/>
          <w:spacing w:val="-4"/>
          <w:sz w:val="23"/>
          <w:lang w:val="en-US" w:bidi="en-US"/>
        </w:rPr>
        <w:t>the</w:t>
      </w:r>
      <w:r w:rsidR="002228D1" w:rsidRPr="002228D1">
        <w:rPr>
          <w:rFonts w:ascii="Times New Roman" w:hAnsi="Times New Roman"/>
          <w:spacing w:val="49"/>
          <w:sz w:val="23"/>
          <w:lang w:val="en-US" w:bidi="en-US"/>
        </w:rPr>
        <w:t xml:space="preserve"> </w:t>
      </w:r>
      <w:r w:rsidR="002228D1" w:rsidRPr="002228D1">
        <w:rPr>
          <w:rFonts w:ascii="Times New Roman" w:hAnsi="Times New Roman"/>
          <w:sz w:val="23"/>
          <w:lang w:val="en-US" w:bidi="en-US"/>
        </w:rPr>
        <w:t>assessment of monetary relief.</w:t>
      </w:r>
    </w:p>
    <w:p w14:paraId="01FCD5C3" w14:textId="5A47CDDF" w:rsidR="002228D1" w:rsidRPr="002228D1" w:rsidRDefault="00BD5C95" w:rsidP="00B73434">
      <w:pPr>
        <w:widowControl w:val="0"/>
        <w:numPr>
          <w:ilvl w:val="0"/>
          <w:numId w:val="59"/>
        </w:numPr>
        <w:tabs>
          <w:tab w:val="left" w:pos="905"/>
        </w:tabs>
        <w:autoSpaceDE w:val="0"/>
        <w:autoSpaceDN w:val="0"/>
        <w:spacing w:before="82" w:line="249" w:lineRule="auto"/>
        <w:ind w:right="298"/>
        <w:jc w:val="both"/>
        <w:rPr>
          <w:rFonts w:ascii="Times New Roman" w:hAnsi="Times New Roman"/>
          <w:sz w:val="23"/>
          <w:lang w:val="en-US" w:bidi="en-US"/>
        </w:rPr>
      </w:pPr>
      <w:r>
        <w:rPr>
          <w:rFonts w:ascii="ZWAdobeF" w:hAnsi="ZWAdobeF" w:cs="ZWAdobeF"/>
          <w:color w:val="auto"/>
          <w:sz w:val="2"/>
          <w:szCs w:val="2"/>
          <w:lang w:val="en-US" w:bidi="en-US"/>
        </w:rPr>
        <w:t>1070B</w:t>
      </w:r>
      <w:r w:rsidR="0049638A">
        <w:rPr>
          <w:rFonts w:ascii="ZWAdobeF" w:hAnsi="ZWAdobeF" w:cs="ZWAdobeF"/>
          <w:color w:val="auto"/>
          <w:sz w:val="2"/>
          <w:szCs w:val="2"/>
          <w:lang w:val="en-US" w:bidi="en-US"/>
        </w:rPr>
        <w:t>1070B</w:t>
      </w:r>
      <w:r w:rsidR="00D629FA">
        <w:rPr>
          <w:rFonts w:ascii="ZWAdobeF" w:hAnsi="ZWAdobeF" w:cs="ZWAdobeF"/>
          <w:color w:val="auto"/>
          <w:sz w:val="2"/>
          <w:szCs w:val="2"/>
          <w:lang w:val="en-US" w:bidi="en-US"/>
        </w:rPr>
        <w:t>1070B</w:t>
      </w:r>
      <w:r w:rsidR="002228D1" w:rsidRPr="002228D1">
        <w:rPr>
          <w:rFonts w:ascii="Times New Roman" w:hAnsi="Times New Roman"/>
          <w:sz w:val="23"/>
          <w:lang w:val="en-US" w:bidi="en-US"/>
        </w:rPr>
        <w:t>For the purpose of the court’s assessment of the award, it is not necessary for any individual class member to establish the amount of loss or damage suffered by them.</w:t>
      </w:r>
    </w:p>
    <w:p w14:paraId="5BA159C1" w14:textId="2270BE78" w:rsidR="002228D1" w:rsidRPr="002228D1" w:rsidRDefault="00BD5C95" w:rsidP="00B73434">
      <w:pPr>
        <w:widowControl w:val="0"/>
        <w:numPr>
          <w:ilvl w:val="0"/>
          <w:numId w:val="59"/>
        </w:numPr>
        <w:tabs>
          <w:tab w:val="left" w:pos="905"/>
        </w:tabs>
        <w:autoSpaceDE w:val="0"/>
        <w:autoSpaceDN w:val="0"/>
        <w:spacing w:before="83" w:line="249" w:lineRule="auto"/>
        <w:ind w:right="298"/>
        <w:jc w:val="both"/>
        <w:rPr>
          <w:rFonts w:ascii="Times New Roman" w:hAnsi="Times New Roman"/>
          <w:sz w:val="23"/>
          <w:lang w:val="en-US" w:bidi="en-US"/>
        </w:rPr>
      </w:pPr>
      <w:r>
        <w:rPr>
          <w:rFonts w:ascii="ZWAdobeF" w:hAnsi="ZWAdobeF" w:cs="ZWAdobeF"/>
          <w:color w:val="auto"/>
          <w:sz w:val="2"/>
          <w:szCs w:val="2"/>
          <w:lang w:val="en-US" w:bidi="en-US"/>
        </w:rPr>
        <w:t>1071B</w:t>
      </w:r>
      <w:r w:rsidR="0049638A">
        <w:rPr>
          <w:rFonts w:ascii="ZWAdobeF" w:hAnsi="ZWAdobeF" w:cs="ZWAdobeF"/>
          <w:color w:val="auto"/>
          <w:sz w:val="2"/>
          <w:szCs w:val="2"/>
          <w:lang w:val="en-US" w:bidi="en-US"/>
        </w:rPr>
        <w:t>1071B</w:t>
      </w:r>
      <w:r w:rsidR="00D629FA">
        <w:rPr>
          <w:rFonts w:ascii="ZWAdobeF" w:hAnsi="ZWAdobeF" w:cs="ZWAdobeF"/>
          <w:color w:val="auto"/>
          <w:sz w:val="2"/>
          <w:szCs w:val="2"/>
          <w:lang w:val="en-US" w:bidi="en-US"/>
        </w:rPr>
        <w:t>1071B</w:t>
      </w:r>
      <w:r w:rsidR="002228D1" w:rsidRPr="002228D1">
        <w:rPr>
          <w:rFonts w:ascii="Times New Roman" w:hAnsi="Times New Roman"/>
          <w:sz w:val="23"/>
          <w:lang w:val="en-US" w:bidi="en-US"/>
        </w:rPr>
        <w:t>The court may make any orders for the distribution of the award that it considers appropriate, and these may include an</w:t>
      </w:r>
      <w:r w:rsidR="002228D1" w:rsidRPr="002228D1">
        <w:rPr>
          <w:rFonts w:ascii="Times New Roman" w:hAnsi="Times New Roman"/>
          <w:spacing w:val="-2"/>
          <w:sz w:val="23"/>
          <w:lang w:val="en-US" w:bidi="en-US"/>
        </w:rPr>
        <w:t xml:space="preserve"> </w:t>
      </w:r>
      <w:r w:rsidR="002228D1" w:rsidRPr="002228D1">
        <w:rPr>
          <w:rFonts w:ascii="Times New Roman" w:hAnsi="Times New Roman"/>
          <w:sz w:val="23"/>
          <w:lang w:val="en-US" w:bidi="en-US"/>
        </w:rPr>
        <w:t>order—</w:t>
      </w:r>
    </w:p>
    <w:p w14:paraId="57FD18A1" w14:textId="0FAE07DF" w:rsidR="002228D1" w:rsidRPr="002228D1" w:rsidRDefault="00BD5C95" w:rsidP="00B73434">
      <w:pPr>
        <w:widowControl w:val="0"/>
        <w:numPr>
          <w:ilvl w:val="1"/>
          <w:numId w:val="59"/>
        </w:numPr>
        <w:tabs>
          <w:tab w:val="left" w:pos="1505"/>
        </w:tabs>
        <w:autoSpaceDE w:val="0"/>
        <w:autoSpaceDN w:val="0"/>
        <w:spacing w:before="82"/>
        <w:ind w:hanging="601"/>
        <w:jc w:val="both"/>
        <w:rPr>
          <w:rFonts w:ascii="Times New Roman" w:hAnsi="Times New Roman"/>
          <w:sz w:val="23"/>
          <w:lang w:val="en-US" w:bidi="en-US"/>
        </w:rPr>
      </w:pPr>
      <w:r>
        <w:rPr>
          <w:rFonts w:ascii="ZWAdobeF" w:hAnsi="ZWAdobeF" w:cs="ZWAdobeF"/>
          <w:color w:val="auto"/>
          <w:sz w:val="2"/>
          <w:szCs w:val="2"/>
          <w:lang w:val="en-US" w:bidi="en-US"/>
        </w:rPr>
        <w:t>1072B</w:t>
      </w:r>
      <w:r w:rsidR="0049638A">
        <w:rPr>
          <w:rFonts w:ascii="ZWAdobeF" w:hAnsi="ZWAdobeF" w:cs="ZWAdobeF"/>
          <w:color w:val="auto"/>
          <w:sz w:val="2"/>
          <w:szCs w:val="2"/>
          <w:lang w:val="en-US" w:bidi="en-US"/>
        </w:rPr>
        <w:t>1072B</w:t>
      </w:r>
      <w:r w:rsidR="00D629FA">
        <w:rPr>
          <w:rFonts w:ascii="ZWAdobeF" w:hAnsi="ZWAdobeF" w:cs="ZWAdobeF"/>
          <w:color w:val="auto"/>
          <w:sz w:val="2"/>
          <w:szCs w:val="2"/>
          <w:lang w:val="en-US" w:bidi="en-US"/>
        </w:rPr>
        <w:t>1072B</w:t>
      </w:r>
      <w:r w:rsidR="002228D1" w:rsidRPr="002228D1">
        <w:rPr>
          <w:rFonts w:ascii="Times New Roman" w:hAnsi="Times New Roman"/>
          <w:sz w:val="23"/>
          <w:lang w:val="en-US" w:bidi="en-US"/>
        </w:rPr>
        <w:t>that the defendant must distribute the award directly to class members:</w:t>
      </w:r>
    </w:p>
    <w:p w14:paraId="7FFB2F02" w14:textId="6ADF32D5" w:rsidR="002228D1" w:rsidRPr="002228D1" w:rsidRDefault="00BD5C95" w:rsidP="00B73434">
      <w:pPr>
        <w:widowControl w:val="0"/>
        <w:numPr>
          <w:ilvl w:val="1"/>
          <w:numId w:val="59"/>
        </w:numPr>
        <w:tabs>
          <w:tab w:val="left" w:pos="1505"/>
          <w:tab w:val="left" w:pos="1505"/>
        </w:tabs>
        <w:autoSpaceDE w:val="0"/>
        <w:autoSpaceDN w:val="0"/>
        <w:spacing w:before="90" w:line="249" w:lineRule="auto"/>
        <w:ind w:right="299"/>
        <w:rPr>
          <w:rFonts w:ascii="Times New Roman" w:hAnsi="Times New Roman"/>
          <w:sz w:val="23"/>
          <w:lang w:val="en-US" w:bidi="en-US"/>
        </w:rPr>
      </w:pPr>
      <w:r>
        <w:rPr>
          <w:rFonts w:ascii="ZWAdobeF" w:hAnsi="ZWAdobeF" w:cs="ZWAdobeF"/>
          <w:color w:val="auto"/>
          <w:sz w:val="2"/>
          <w:szCs w:val="2"/>
          <w:lang w:val="en-US" w:bidi="en-US"/>
        </w:rPr>
        <w:t>1073B</w:t>
      </w:r>
      <w:r w:rsidR="0049638A">
        <w:rPr>
          <w:rFonts w:ascii="ZWAdobeF" w:hAnsi="ZWAdobeF" w:cs="ZWAdobeF"/>
          <w:color w:val="auto"/>
          <w:sz w:val="2"/>
          <w:szCs w:val="2"/>
          <w:lang w:val="en-US" w:bidi="en-US"/>
        </w:rPr>
        <w:t>1073B</w:t>
      </w:r>
      <w:r w:rsidR="00D629FA">
        <w:rPr>
          <w:rFonts w:ascii="ZWAdobeF" w:hAnsi="ZWAdobeF" w:cs="ZWAdobeF"/>
          <w:color w:val="auto"/>
          <w:sz w:val="2"/>
          <w:szCs w:val="2"/>
          <w:lang w:val="en-US" w:bidi="en-US"/>
        </w:rPr>
        <w:t>1073B</w:t>
      </w:r>
      <w:r w:rsidR="002228D1" w:rsidRPr="002228D1">
        <w:rPr>
          <w:rFonts w:ascii="Times New Roman" w:hAnsi="Times New Roman"/>
          <w:sz w:val="23"/>
          <w:lang w:val="en-US" w:bidi="en-US"/>
        </w:rPr>
        <w:t xml:space="preserve">appointing a person as the administrator to distribute the award to </w:t>
      </w:r>
      <w:r w:rsidR="002228D1" w:rsidRPr="002228D1">
        <w:rPr>
          <w:rFonts w:ascii="Times New Roman" w:hAnsi="Times New Roman"/>
          <w:spacing w:val="-3"/>
          <w:sz w:val="23"/>
          <w:lang w:val="en-US" w:bidi="en-US"/>
        </w:rPr>
        <w:t xml:space="preserve">class </w:t>
      </w:r>
      <w:r w:rsidR="002228D1" w:rsidRPr="002228D1">
        <w:rPr>
          <w:rFonts w:ascii="Times New Roman" w:hAnsi="Times New Roman"/>
          <w:sz w:val="23"/>
          <w:lang w:val="en-US" w:bidi="en-US"/>
        </w:rPr>
        <w:t>members:</w:t>
      </w:r>
    </w:p>
    <w:p w14:paraId="624763AC" w14:textId="3622A9F7" w:rsidR="002228D1" w:rsidRPr="002228D1" w:rsidRDefault="00BD5C95" w:rsidP="00B73434">
      <w:pPr>
        <w:widowControl w:val="0"/>
        <w:numPr>
          <w:ilvl w:val="1"/>
          <w:numId w:val="59"/>
        </w:numPr>
        <w:tabs>
          <w:tab w:val="left" w:pos="1505"/>
          <w:tab w:val="left" w:pos="1505"/>
        </w:tabs>
        <w:autoSpaceDE w:val="0"/>
        <w:autoSpaceDN w:val="0"/>
        <w:spacing w:before="82" w:line="249" w:lineRule="auto"/>
        <w:ind w:right="304"/>
        <w:rPr>
          <w:rFonts w:ascii="Times New Roman" w:hAnsi="Times New Roman"/>
          <w:sz w:val="23"/>
          <w:lang w:val="en-US" w:bidi="en-US"/>
        </w:rPr>
      </w:pPr>
      <w:r>
        <w:rPr>
          <w:rFonts w:ascii="ZWAdobeF" w:hAnsi="ZWAdobeF" w:cs="ZWAdobeF"/>
          <w:color w:val="auto"/>
          <w:sz w:val="2"/>
          <w:szCs w:val="2"/>
          <w:lang w:val="en-US" w:bidi="en-US"/>
        </w:rPr>
        <w:t>1074B</w:t>
      </w:r>
      <w:r w:rsidR="0049638A">
        <w:rPr>
          <w:rFonts w:ascii="ZWAdobeF" w:hAnsi="ZWAdobeF" w:cs="ZWAdobeF"/>
          <w:color w:val="auto"/>
          <w:sz w:val="2"/>
          <w:szCs w:val="2"/>
          <w:lang w:val="en-US" w:bidi="en-US"/>
        </w:rPr>
        <w:t>1074B</w:t>
      </w:r>
      <w:r w:rsidR="00D629FA">
        <w:rPr>
          <w:rFonts w:ascii="ZWAdobeF" w:hAnsi="ZWAdobeF" w:cs="ZWAdobeF"/>
          <w:color w:val="auto"/>
          <w:sz w:val="2"/>
          <w:szCs w:val="2"/>
          <w:lang w:val="en-US" w:bidi="en-US"/>
        </w:rPr>
        <w:t>1074B</w:t>
      </w:r>
      <w:r w:rsidR="002228D1" w:rsidRPr="002228D1">
        <w:rPr>
          <w:rFonts w:ascii="Times New Roman" w:hAnsi="Times New Roman"/>
          <w:sz w:val="23"/>
          <w:lang w:val="en-US" w:bidi="en-US"/>
        </w:rPr>
        <w:t>directing the manner in which a class member is to establish their entitlement to a share of the</w:t>
      </w:r>
      <w:r w:rsidR="002228D1" w:rsidRPr="002228D1">
        <w:rPr>
          <w:rFonts w:ascii="Times New Roman" w:hAnsi="Times New Roman"/>
          <w:spacing w:val="-2"/>
          <w:sz w:val="23"/>
          <w:lang w:val="en-US" w:bidi="en-US"/>
        </w:rPr>
        <w:t xml:space="preserve"> </w:t>
      </w:r>
      <w:r w:rsidR="002228D1" w:rsidRPr="002228D1">
        <w:rPr>
          <w:rFonts w:ascii="Times New Roman" w:hAnsi="Times New Roman"/>
          <w:sz w:val="23"/>
          <w:lang w:val="en-US" w:bidi="en-US"/>
        </w:rPr>
        <w:t>award:</w:t>
      </w:r>
    </w:p>
    <w:p w14:paraId="67C7B8BD" w14:textId="2D1FC058" w:rsidR="002228D1" w:rsidRPr="002228D1" w:rsidRDefault="00BD5C95" w:rsidP="00B73434">
      <w:pPr>
        <w:widowControl w:val="0"/>
        <w:numPr>
          <w:ilvl w:val="1"/>
          <w:numId w:val="59"/>
        </w:numPr>
        <w:tabs>
          <w:tab w:val="left" w:pos="1505"/>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1075B</w:t>
      </w:r>
      <w:r w:rsidR="0049638A">
        <w:rPr>
          <w:rFonts w:ascii="ZWAdobeF" w:hAnsi="ZWAdobeF" w:cs="ZWAdobeF"/>
          <w:color w:val="auto"/>
          <w:sz w:val="2"/>
          <w:szCs w:val="2"/>
          <w:lang w:val="en-US" w:bidi="en-US"/>
        </w:rPr>
        <w:t>1075B</w:t>
      </w:r>
      <w:r w:rsidR="00D629FA">
        <w:rPr>
          <w:rFonts w:ascii="ZWAdobeF" w:hAnsi="ZWAdobeF" w:cs="ZWAdobeF"/>
          <w:color w:val="auto"/>
          <w:sz w:val="2"/>
          <w:szCs w:val="2"/>
          <w:lang w:val="en-US" w:bidi="en-US"/>
        </w:rPr>
        <w:t>1075B</w:t>
      </w:r>
      <w:r w:rsidR="002228D1" w:rsidRPr="002228D1">
        <w:rPr>
          <w:rFonts w:ascii="Times New Roman" w:hAnsi="Times New Roman"/>
          <w:sz w:val="23"/>
          <w:lang w:val="en-US" w:bidi="en-US"/>
        </w:rPr>
        <w:t>directing how any unclaimed portion of the award is to be distributed:</w:t>
      </w:r>
    </w:p>
    <w:p w14:paraId="35F1FA9F" w14:textId="1FAF8F78" w:rsidR="00BD35CF" w:rsidRPr="008B44DD" w:rsidRDefault="00BD5C95" w:rsidP="00B73434">
      <w:pPr>
        <w:widowControl w:val="0"/>
        <w:numPr>
          <w:ilvl w:val="1"/>
          <w:numId w:val="59"/>
        </w:numPr>
        <w:tabs>
          <w:tab w:val="left" w:pos="1505"/>
          <w:tab w:val="left" w:pos="1505"/>
        </w:tabs>
        <w:autoSpaceDE w:val="0"/>
        <w:autoSpaceDN w:val="0"/>
        <w:spacing w:before="92"/>
        <w:ind w:hanging="601"/>
        <w:rPr>
          <w:rFonts w:ascii="Times New Roman" w:hAnsi="Times New Roman"/>
          <w:sz w:val="23"/>
          <w:lang w:val="en-US" w:bidi="en-US"/>
        </w:rPr>
      </w:pPr>
      <w:r>
        <w:rPr>
          <w:rFonts w:ascii="ZWAdobeF" w:hAnsi="ZWAdobeF" w:cs="ZWAdobeF"/>
          <w:color w:val="auto"/>
          <w:sz w:val="2"/>
          <w:szCs w:val="2"/>
          <w:lang w:val="en-US" w:bidi="en-US"/>
        </w:rPr>
        <w:t>1076B</w:t>
      </w:r>
      <w:r w:rsidR="0049638A">
        <w:rPr>
          <w:rFonts w:ascii="ZWAdobeF" w:hAnsi="ZWAdobeF" w:cs="ZWAdobeF"/>
          <w:color w:val="auto"/>
          <w:sz w:val="2"/>
          <w:szCs w:val="2"/>
          <w:lang w:val="en-US" w:bidi="en-US"/>
        </w:rPr>
        <w:t>1076B</w:t>
      </w:r>
      <w:r w:rsidR="00D629FA">
        <w:rPr>
          <w:rFonts w:ascii="ZWAdobeF" w:hAnsi="ZWAdobeF" w:cs="ZWAdobeF"/>
          <w:color w:val="auto"/>
          <w:sz w:val="2"/>
          <w:szCs w:val="2"/>
          <w:lang w:val="en-US" w:bidi="en-US"/>
        </w:rPr>
        <w:t>1076B</w:t>
      </w:r>
      <w:r w:rsidR="002228D1" w:rsidRPr="002228D1">
        <w:rPr>
          <w:rFonts w:ascii="Times New Roman" w:hAnsi="Times New Roman"/>
          <w:sz w:val="23"/>
          <w:lang w:val="en-US" w:bidi="en-US"/>
        </w:rPr>
        <w:t>directing how the costs of the distribution are to be met.</w:t>
      </w:r>
    </w:p>
    <w:p w14:paraId="50DC1F47" w14:textId="5F2EC104" w:rsidR="002228D1" w:rsidRPr="002228D1" w:rsidRDefault="00BD5C95" w:rsidP="00B73434">
      <w:pPr>
        <w:widowControl w:val="0"/>
        <w:numPr>
          <w:ilvl w:val="0"/>
          <w:numId w:val="59"/>
        </w:numPr>
        <w:tabs>
          <w:tab w:val="left" w:pos="905"/>
        </w:tabs>
        <w:autoSpaceDE w:val="0"/>
        <w:autoSpaceDN w:val="0"/>
        <w:spacing w:before="91" w:line="249" w:lineRule="auto"/>
        <w:ind w:right="299" w:hanging="601"/>
        <w:jc w:val="both"/>
        <w:rPr>
          <w:rFonts w:ascii="Times New Roman" w:hAnsi="Times New Roman"/>
          <w:sz w:val="23"/>
          <w:lang w:val="en-US" w:bidi="en-US"/>
        </w:rPr>
      </w:pPr>
      <w:r>
        <w:rPr>
          <w:rFonts w:ascii="ZWAdobeF" w:hAnsi="ZWAdobeF" w:cs="ZWAdobeF"/>
          <w:color w:val="auto"/>
          <w:sz w:val="2"/>
          <w:szCs w:val="2"/>
          <w:lang w:val="en-US" w:bidi="en-US"/>
        </w:rPr>
        <w:t>1077B</w:t>
      </w:r>
      <w:r w:rsidR="0049638A">
        <w:rPr>
          <w:rFonts w:ascii="ZWAdobeF" w:hAnsi="ZWAdobeF" w:cs="ZWAdobeF"/>
          <w:color w:val="auto"/>
          <w:sz w:val="2"/>
          <w:szCs w:val="2"/>
          <w:lang w:val="en-US" w:bidi="en-US"/>
        </w:rPr>
        <w:t>1077B</w:t>
      </w:r>
      <w:r w:rsidR="00D629FA">
        <w:rPr>
          <w:rFonts w:ascii="ZWAdobeF" w:hAnsi="ZWAdobeF" w:cs="ZWAdobeF"/>
          <w:color w:val="auto"/>
          <w:sz w:val="2"/>
          <w:szCs w:val="2"/>
          <w:lang w:val="en-US" w:bidi="en-US"/>
        </w:rPr>
        <w:t>1077B</w:t>
      </w:r>
      <w:r w:rsidR="002228D1" w:rsidRPr="002228D1">
        <w:rPr>
          <w:rFonts w:ascii="Times New Roman" w:hAnsi="Times New Roman"/>
          <w:sz w:val="23"/>
          <w:lang w:val="en-US" w:bidi="en-US"/>
        </w:rPr>
        <w:t>An administrator or the parties (if the court has not appointed an administrator) must file a report with information about the process and outcome of the distribution of the award within 60 days of the distribution process being</w:t>
      </w:r>
      <w:r w:rsidR="002228D1" w:rsidRPr="002228D1">
        <w:rPr>
          <w:rFonts w:ascii="Times New Roman" w:hAnsi="Times New Roman"/>
          <w:spacing w:val="-6"/>
          <w:sz w:val="23"/>
          <w:lang w:val="en-US" w:bidi="en-US"/>
        </w:rPr>
        <w:t xml:space="preserve"> </w:t>
      </w:r>
      <w:r w:rsidR="002228D1" w:rsidRPr="002228D1">
        <w:rPr>
          <w:rFonts w:ascii="Times New Roman" w:hAnsi="Times New Roman"/>
          <w:sz w:val="23"/>
          <w:lang w:val="en-US" w:bidi="en-US"/>
        </w:rPr>
        <w:t>completed.</w:t>
      </w:r>
    </w:p>
    <w:bookmarkStart w:id="90" w:name="_bookmark15"/>
    <w:bookmarkEnd w:id="90"/>
    <w:p w14:paraId="486F4003" w14:textId="766A9DCD" w:rsidR="008B44DD" w:rsidRPr="008B44DD" w:rsidRDefault="008B44DD" w:rsidP="008B44DD">
      <w:pPr>
        <w:pStyle w:val="BodyTextnonum"/>
        <w:rPr>
          <w:sz w:val="8"/>
          <w:szCs w:val="12"/>
          <w:lang w:val="en-US" w:bidi="en-US"/>
        </w:rPr>
      </w:pPr>
      <w:r w:rsidRPr="00BD35CF">
        <w:rPr>
          <w:noProof/>
          <w:sz w:val="2"/>
          <w:szCs w:val="2"/>
        </w:rPr>
        <w:lastRenderedPageBreak/>
        <mc:AlternateContent>
          <mc:Choice Requires="wps">
            <w:drawing>
              <wp:anchor distT="0" distB="0" distL="114300" distR="114300" simplePos="0" relativeHeight="251651099" behindDoc="1" locked="0" layoutInCell="1" allowOverlap="1" wp14:anchorId="79FD2CFC" wp14:editId="40C862BF">
                <wp:simplePos x="0" y="0"/>
                <wp:positionH relativeFrom="column">
                  <wp:posOffset>-3810</wp:posOffset>
                </wp:positionH>
                <wp:positionV relativeFrom="page">
                  <wp:posOffset>723901</wp:posOffset>
                </wp:positionV>
                <wp:extent cx="5760085" cy="3009900"/>
                <wp:effectExtent l="0" t="0" r="0" b="0"/>
                <wp:wrapNone/>
                <wp:docPr id="4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300990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9FE7278" id="Freeform 54" o:spid="_x0000_s1026" style="position:absolute;margin-left:-.3pt;margin-top:57pt;width:453.55pt;height:237pt;z-index:-25166538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" path="m,l9354,r,7809l,7809,,e" fillcolor="#edf2ea" stroked="f">
                <v:path arrowok="t" o:connecttype="custom" o:connectlocs="0,385440;5760085,385440;5760085,3395340;0,3395340;0,385440" o:connectangles="0,0,0,0,0"/>
                <w10:wrap anchory="page"/>
              </v:shape>
            </w:pict>
          </mc:Fallback>
        </mc:AlternateContent>
      </w:r>
    </w:p>
    <w:p w14:paraId="27A8C2BB" w14:textId="349F528D" w:rsidR="002228D1" w:rsidRPr="002228D1" w:rsidRDefault="00BD5C95" w:rsidP="00B73434">
      <w:pPr>
        <w:widowControl w:val="0"/>
        <w:numPr>
          <w:ilvl w:val="0"/>
          <w:numId w:val="60"/>
        </w:numPr>
        <w:tabs>
          <w:tab w:val="left" w:pos="905"/>
        </w:tabs>
        <w:autoSpaceDE w:val="0"/>
        <w:autoSpaceDN w:val="0"/>
        <w:spacing w:before="203"/>
        <w:ind w:hanging="601"/>
        <w:jc w:val="both"/>
        <w:outlineLvl w:val="2"/>
        <w:rPr>
          <w:rFonts w:ascii="Times New Roman" w:hAnsi="Times New Roman"/>
          <w:b/>
          <w:sz w:val="23"/>
          <w:szCs w:val="23"/>
          <w:lang w:val="en-US" w:bidi="en-US"/>
        </w:rPr>
      </w:pPr>
      <w:r>
        <w:rPr>
          <w:rFonts w:ascii="ZWAdobeF" w:hAnsi="ZWAdobeF" w:cs="ZWAdobeF"/>
          <w:color w:val="auto"/>
          <w:sz w:val="2"/>
          <w:szCs w:val="2"/>
          <w:lang w:val="en-US" w:bidi="en-US"/>
        </w:rPr>
        <w:t>1078B</w:t>
      </w:r>
      <w:r w:rsidR="0049638A">
        <w:rPr>
          <w:rFonts w:ascii="ZWAdobeF" w:hAnsi="ZWAdobeF" w:cs="ZWAdobeF"/>
          <w:color w:val="auto"/>
          <w:sz w:val="2"/>
          <w:szCs w:val="2"/>
          <w:lang w:val="en-US" w:bidi="en-US"/>
        </w:rPr>
        <w:t>1078B</w:t>
      </w:r>
      <w:r w:rsidR="00D629FA">
        <w:rPr>
          <w:rFonts w:ascii="ZWAdobeF" w:hAnsi="ZWAdobeF" w:cs="ZWAdobeF"/>
          <w:color w:val="auto"/>
          <w:sz w:val="2"/>
          <w:szCs w:val="2"/>
          <w:lang w:val="en-US" w:bidi="en-US"/>
        </w:rPr>
        <w:t>1078B</w:t>
      </w:r>
      <w:r w:rsidR="002228D1" w:rsidRPr="002228D1">
        <w:rPr>
          <w:rFonts w:ascii="Times New Roman" w:hAnsi="Times New Roman"/>
          <w:b/>
          <w:sz w:val="23"/>
          <w:szCs w:val="23"/>
          <w:lang w:val="en-US" w:bidi="en-US"/>
        </w:rPr>
        <w:t>Alternative</w:t>
      </w:r>
      <w:r w:rsidR="002228D1" w:rsidRPr="002228D1">
        <w:rPr>
          <w:rFonts w:ascii="Times New Roman" w:hAnsi="Times New Roman"/>
          <w:b/>
          <w:spacing w:val="-2"/>
          <w:sz w:val="23"/>
          <w:szCs w:val="23"/>
          <w:lang w:val="en-US" w:bidi="en-US"/>
        </w:rPr>
        <w:t xml:space="preserve"> </w:t>
      </w:r>
      <w:r w:rsidR="002228D1" w:rsidRPr="002228D1">
        <w:rPr>
          <w:rFonts w:ascii="Times New Roman" w:hAnsi="Times New Roman"/>
          <w:b/>
          <w:sz w:val="23"/>
          <w:szCs w:val="23"/>
          <w:lang w:val="en-US" w:bidi="en-US"/>
        </w:rPr>
        <w:t>distribution</w:t>
      </w:r>
    </w:p>
    <w:p w14:paraId="021CFB03" w14:textId="6B37A1E0" w:rsidR="002228D1" w:rsidRPr="002C5F54" w:rsidRDefault="00BD5C95" w:rsidP="00690A5A">
      <w:pPr>
        <w:widowControl w:val="0"/>
        <w:numPr>
          <w:ilvl w:val="0"/>
          <w:numId w:val="58"/>
        </w:numPr>
        <w:tabs>
          <w:tab w:val="left" w:pos="905"/>
        </w:tabs>
        <w:autoSpaceDE w:val="0"/>
        <w:autoSpaceDN w:val="0"/>
        <w:spacing w:before="12" w:line="249" w:lineRule="auto"/>
        <w:ind w:right="300"/>
        <w:jc w:val="both"/>
        <w:rPr>
          <w:rFonts w:ascii="Times New Roman" w:hAnsi="Times New Roman"/>
          <w:sz w:val="23"/>
          <w:szCs w:val="23"/>
          <w:lang w:val="en-US" w:bidi="en-US"/>
        </w:rPr>
      </w:pPr>
      <w:r>
        <w:rPr>
          <w:rFonts w:ascii="ZWAdobeF" w:hAnsi="ZWAdobeF" w:cs="ZWAdobeF"/>
          <w:color w:val="auto"/>
          <w:sz w:val="2"/>
          <w:szCs w:val="2"/>
          <w:lang w:val="en-US" w:bidi="en-US"/>
        </w:rPr>
        <w:t>1079B</w:t>
      </w:r>
      <w:r w:rsidR="0049638A">
        <w:rPr>
          <w:rFonts w:ascii="ZWAdobeF" w:hAnsi="ZWAdobeF" w:cs="ZWAdobeF"/>
          <w:color w:val="auto"/>
          <w:sz w:val="2"/>
          <w:szCs w:val="2"/>
          <w:lang w:val="en-US" w:bidi="en-US"/>
        </w:rPr>
        <w:t>1079B</w:t>
      </w:r>
      <w:r w:rsidR="00D629FA">
        <w:rPr>
          <w:rFonts w:ascii="ZWAdobeF" w:hAnsi="ZWAdobeF" w:cs="ZWAdobeF"/>
          <w:color w:val="auto"/>
          <w:sz w:val="2"/>
          <w:szCs w:val="2"/>
          <w:lang w:val="en-US" w:bidi="en-US"/>
        </w:rPr>
        <w:t>1079B</w:t>
      </w:r>
      <w:r w:rsidR="002228D1" w:rsidRPr="002C5F54">
        <w:rPr>
          <w:rFonts w:ascii="Times New Roman" w:hAnsi="Times New Roman"/>
          <w:sz w:val="23"/>
          <w:lang w:val="en-US" w:bidi="en-US"/>
        </w:rPr>
        <w:t>This</w:t>
      </w:r>
      <w:r w:rsidR="002228D1" w:rsidRPr="002C5F54">
        <w:rPr>
          <w:rFonts w:ascii="Times New Roman" w:hAnsi="Times New Roman"/>
          <w:spacing w:val="20"/>
          <w:sz w:val="23"/>
          <w:lang w:val="en-US" w:bidi="en-US"/>
        </w:rPr>
        <w:t xml:space="preserve"> </w:t>
      </w:r>
      <w:r w:rsidR="002228D1" w:rsidRPr="002C5F54">
        <w:rPr>
          <w:rFonts w:ascii="Times New Roman" w:hAnsi="Times New Roman"/>
          <w:sz w:val="23"/>
          <w:lang w:val="en-US" w:bidi="en-US"/>
        </w:rPr>
        <w:t>section</w:t>
      </w:r>
      <w:r w:rsidR="002228D1" w:rsidRPr="002C5F54">
        <w:rPr>
          <w:rFonts w:ascii="Times New Roman" w:hAnsi="Times New Roman"/>
          <w:spacing w:val="21"/>
          <w:sz w:val="23"/>
          <w:lang w:val="en-US" w:bidi="en-US"/>
        </w:rPr>
        <w:t xml:space="preserve"> </w:t>
      </w:r>
      <w:r w:rsidR="002228D1" w:rsidRPr="002C5F54">
        <w:rPr>
          <w:rFonts w:ascii="Times New Roman" w:hAnsi="Times New Roman"/>
          <w:sz w:val="23"/>
          <w:lang w:val="en-US" w:bidi="en-US"/>
        </w:rPr>
        <w:t>applies</w:t>
      </w:r>
      <w:r w:rsidR="002228D1" w:rsidRPr="002C5F54">
        <w:rPr>
          <w:rFonts w:ascii="Times New Roman" w:hAnsi="Times New Roman"/>
          <w:spacing w:val="21"/>
          <w:sz w:val="23"/>
          <w:lang w:val="en-US" w:bidi="en-US"/>
        </w:rPr>
        <w:t xml:space="preserve"> </w:t>
      </w:r>
      <w:r w:rsidR="002228D1" w:rsidRPr="002C5F54">
        <w:rPr>
          <w:rFonts w:ascii="Times New Roman" w:hAnsi="Times New Roman"/>
          <w:sz w:val="23"/>
          <w:lang w:val="en-US" w:bidi="en-US"/>
        </w:rPr>
        <w:t>if</w:t>
      </w:r>
      <w:r w:rsidR="002228D1" w:rsidRPr="002C5F54">
        <w:rPr>
          <w:rFonts w:ascii="Times New Roman" w:hAnsi="Times New Roman"/>
          <w:spacing w:val="20"/>
          <w:sz w:val="23"/>
          <w:lang w:val="en-US" w:bidi="en-US"/>
        </w:rPr>
        <w:t xml:space="preserve"> </w:t>
      </w:r>
      <w:r w:rsidR="002228D1" w:rsidRPr="002C5F54">
        <w:rPr>
          <w:rFonts w:ascii="Times New Roman" w:hAnsi="Times New Roman"/>
          <w:sz w:val="23"/>
          <w:lang w:val="en-US" w:bidi="en-US"/>
        </w:rPr>
        <w:t>it</w:t>
      </w:r>
      <w:r w:rsidR="002228D1" w:rsidRPr="002C5F54">
        <w:rPr>
          <w:rFonts w:ascii="Times New Roman" w:hAnsi="Times New Roman"/>
          <w:spacing w:val="21"/>
          <w:sz w:val="23"/>
          <w:lang w:val="en-US" w:bidi="en-US"/>
        </w:rPr>
        <w:t xml:space="preserve"> </w:t>
      </w:r>
      <w:r w:rsidR="002228D1" w:rsidRPr="002C5F54">
        <w:rPr>
          <w:rFonts w:ascii="Times New Roman" w:hAnsi="Times New Roman"/>
          <w:sz w:val="23"/>
          <w:lang w:val="en-US" w:bidi="en-US"/>
        </w:rPr>
        <w:t>is</w:t>
      </w:r>
      <w:r w:rsidR="002228D1" w:rsidRPr="002C5F54">
        <w:rPr>
          <w:rFonts w:ascii="Times New Roman" w:hAnsi="Times New Roman"/>
          <w:spacing w:val="21"/>
          <w:sz w:val="23"/>
          <w:lang w:val="en-US" w:bidi="en-US"/>
        </w:rPr>
        <w:t xml:space="preserve"> </w:t>
      </w:r>
      <w:r w:rsidR="002228D1" w:rsidRPr="002C5F54">
        <w:rPr>
          <w:rFonts w:ascii="Times New Roman" w:hAnsi="Times New Roman"/>
          <w:sz w:val="23"/>
          <w:lang w:val="en-US" w:bidi="en-US"/>
        </w:rPr>
        <w:t>not</w:t>
      </w:r>
      <w:r w:rsidR="002228D1" w:rsidRPr="002C5F54">
        <w:rPr>
          <w:rFonts w:ascii="Times New Roman" w:hAnsi="Times New Roman"/>
          <w:spacing w:val="20"/>
          <w:sz w:val="23"/>
          <w:lang w:val="en-US" w:bidi="en-US"/>
        </w:rPr>
        <w:t xml:space="preserve"> </w:t>
      </w:r>
      <w:r w:rsidR="002228D1" w:rsidRPr="002C5F54">
        <w:rPr>
          <w:rFonts w:ascii="Times New Roman" w:hAnsi="Times New Roman"/>
          <w:sz w:val="23"/>
          <w:lang w:val="en-US" w:bidi="en-US"/>
        </w:rPr>
        <w:t>practical</w:t>
      </w:r>
      <w:r w:rsidR="002228D1" w:rsidRPr="002C5F54">
        <w:rPr>
          <w:rFonts w:ascii="Times New Roman" w:hAnsi="Times New Roman"/>
          <w:spacing w:val="21"/>
          <w:sz w:val="23"/>
          <w:lang w:val="en-US" w:bidi="en-US"/>
        </w:rPr>
        <w:t xml:space="preserve"> </w:t>
      </w:r>
      <w:r w:rsidR="002228D1" w:rsidRPr="002C5F54">
        <w:rPr>
          <w:rFonts w:ascii="Times New Roman" w:hAnsi="Times New Roman"/>
          <w:sz w:val="23"/>
          <w:lang w:val="en-US" w:bidi="en-US"/>
        </w:rPr>
        <w:t>or</w:t>
      </w:r>
      <w:r w:rsidR="002228D1" w:rsidRPr="002C5F54">
        <w:rPr>
          <w:rFonts w:ascii="Times New Roman" w:hAnsi="Times New Roman"/>
          <w:spacing w:val="21"/>
          <w:sz w:val="23"/>
          <w:lang w:val="en-US" w:bidi="en-US"/>
        </w:rPr>
        <w:t xml:space="preserve"> </w:t>
      </w:r>
      <w:r w:rsidR="002228D1" w:rsidRPr="002C5F54">
        <w:rPr>
          <w:rFonts w:ascii="Times New Roman" w:hAnsi="Times New Roman"/>
          <w:sz w:val="23"/>
          <w:lang w:val="en-US" w:bidi="en-US"/>
        </w:rPr>
        <w:t>possible</w:t>
      </w:r>
      <w:r w:rsidR="002228D1" w:rsidRPr="002C5F54">
        <w:rPr>
          <w:rFonts w:ascii="Times New Roman" w:hAnsi="Times New Roman"/>
          <w:spacing w:val="20"/>
          <w:sz w:val="23"/>
          <w:lang w:val="en-US" w:bidi="en-US"/>
        </w:rPr>
        <w:t xml:space="preserve"> </w:t>
      </w:r>
      <w:r w:rsidR="002228D1" w:rsidRPr="002C5F54">
        <w:rPr>
          <w:rFonts w:ascii="Times New Roman" w:hAnsi="Times New Roman"/>
          <w:sz w:val="23"/>
          <w:lang w:val="en-US" w:bidi="en-US"/>
        </w:rPr>
        <w:t>for</w:t>
      </w:r>
      <w:r w:rsidR="002228D1" w:rsidRPr="002C5F54">
        <w:rPr>
          <w:rFonts w:ascii="Times New Roman" w:hAnsi="Times New Roman"/>
          <w:spacing w:val="21"/>
          <w:sz w:val="23"/>
          <w:lang w:val="en-US" w:bidi="en-US"/>
        </w:rPr>
        <w:t xml:space="preserve"> </w:t>
      </w:r>
      <w:r w:rsidR="002228D1" w:rsidRPr="002C5F54">
        <w:rPr>
          <w:rFonts w:ascii="Times New Roman" w:hAnsi="Times New Roman"/>
          <w:sz w:val="23"/>
          <w:lang w:val="en-US" w:bidi="en-US"/>
        </w:rPr>
        <w:t>an</w:t>
      </w:r>
      <w:r w:rsidR="002228D1" w:rsidRPr="002C5F54">
        <w:rPr>
          <w:rFonts w:ascii="Times New Roman" w:hAnsi="Times New Roman"/>
          <w:spacing w:val="21"/>
          <w:sz w:val="23"/>
          <w:lang w:val="en-US" w:bidi="en-US"/>
        </w:rPr>
        <w:t xml:space="preserve"> </w:t>
      </w:r>
      <w:r w:rsidR="002228D1" w:rsidRPr="002C5F54">
        <w:rPr>
          <w:rFonts w:ascii="Times New Roman" w:hAnsi="Times New Roman"/>
          <w:sz w:val="23"/>
          <w:lang w:val="en-US" w:bidi="en-US"/>
        </w:rPr>
        <w:t>award</w:t>
      </w:r>
      <w:r w:rsidR="002228D1" w:rsidRPr="002C5F54">
        <w:rPr>
          <w:rFonts w:ascii="Times New Roman" w:hAnsi="Times New Roman"/>
          <w:spacing w:val="20"/>
          <w:sz w:val="23"/>
          <w:lang w:val="en-US" w:bidi="en-US"/>
        </w:rPr>
        <w:t xml:space="preserve"> </w:t>
      </w:r>
      <w:r w:rsidR="002228D1" w:rsidRPr="002C5F54">
        <w:rPr>
          <w:rFonts w:ascii="Times New Roman" w:hAnsi="Times New Roman"/>
          <w:sz w:val="23"/>
          <w:lang w:val="en-US" w:bidi="en-US"/>
        </w:rPr>
        <w:t>made</w:t>
      </w:r>
      <w:r w:rsidR="002228D1" w:rsidRPr="002C5F54">
        <w:rPr>
          <w:rFonts w:ascii="Times New Roman" w:hAnsi="Times New Roman"/>
          <w:spacing w:val="21"/>
          <w:sz w:val="23"/>
          <w:lang w:val="en-US" w:bidi="en-US"/>
        </w:rPr>
        <w:t xml:space="preserve"> </w:t>
      </w:r>
      <w:r w:rsidR="002228D1" w:rsidRPr="002C5F54">
        <w:rPr>
          <w:rFonts w:ascii="Times New Roman" w:hAnsi="Times New Roman"/>
          <w:sz w:val="23"/>
          <w:lang w:val="en-US" w:bidi="en-US"/>
        </w:rPr>
        <w:t>under</w:t>
      </w:r>
      <w:r w:rsidR="002C5F54">
        <w:rPr>
          <w:rFonts w:ascii="Times New Roman" w:hAnsi="Times New Roman"/>
          <w:sz w:val="23"/>
          <w:lang w:val="en-US" w:bidi="en-US"/>
        </w:rPr>
        <w:t xml:space="preserve"> </w:t>
      </w:r>
      <w:r w:rsidR="002228D1" w:rsidRPr="002C5F54">
        <w:rPr>
          <w:rFonts w:ascii="Arial Black" w:hAnsi="Times New Roman"/>
          <w:sz w:val="19"/>
          <w:szCs w:val="23"/>
          <w:lang w:val="en-US" w:bidi="en-US"/>
        </w:rPr>
        <w:t>section 1</w:t>
      </w:r>
      <w:r w:rsidR="00F54412">
        <w:rPr>
          <w:rFonts w:ascii="Arial Black" w:hAnsi="Times New Roman"/>
          <w:sz w:val="19"/>
          <w:szCs w:val="23"/>
          <w:lang w:val="en-US" w:bidi="en-US"/>
        </w:rPr>
        <w:t>1</w:t>
      </w:r>
      <w:r w:rsidR="002228D1" w:rsidRPr="002C5F54">
        <w:rPr>
          <w:rFonts w:ascii="Arial Black" w:hAnsi="Times New Roman"/>
          <w:sz w:val="19"/>
          <w:szCs w:val="23"/>
          <w:lang w:val="en-US" w:bidi="en-US"/>
        </w:rPr>
        <w:t xml:space="preserve"> </w:t>
      </w:r>
      <w:r w:rsidR="002228D1" w:rsidRPr="002C5F54">
        <w:rPr>
          <w:rFonts w:ascii="Times New Roman" w:hAnsi="Times New Roman"/>
          <w:sz w:val="23"/>
          <w:szCs w:val="23"/>
          <w:lang w:val="en-US" w:bidi="en-US"/>
        </w:rPr>
        <w:t>or any portion of it to be distributed to individual class members.</w:t>
      </w:r>
    </w:p>
    <w:p w14:paraId="2CD65471" w14:textId="69EBBA6A" w:rsidR="002228D1" w:rsidRPr="002228D1" w:rsidRDefault="00BD5C95" w:rsidP="00B73434">
      <w:pPr>
        <w:widowControl w:val="0"/>
        <w:numPr>
          <w:ilvl w:val="0"/>
          <w:numId w:val="58"/>
        </w:numPr>
        <w:tabs>
          <w:tab w:val="left" w:pos="905"/>
        </w:tabs>
        <w:autoSpaceDE w:val="0"/>
        <w:autoSpaceDN w:val="0"/>
        <w:spacing w:before="82"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1080B</w:t>
      </w:r>
      <w:r w:rsidR="0049638A">
        <w:rPr>
          <w:rFonts w:ascii="ZWAdobeF" w:hAnsi="ZWAdobeF" w:cs="ZWAdobeF"/>
          <w:color w:val="auto"/>
          <w:sz w:val="2"/>
          <w:szCs w:val="2"/>
          <w:lang w:val="en-US" w:bidi="en-US"/>
        </w:rPr>
        <w:t>1080B</w:t>
      </w:r>
      <w:r w:rsidR="00D629FA">
        <w:rPr>
          <w:rFonts w:ascii="ZWAdobeF" w:hAnsi="ZWAdobeF" w:cs="ZWAdobeF"/>
          <w:color w:val="auto"/>
          <w:sz w:val="2"/>
          <w:szCs w:val="2"/>
          <w:lang w:val="en-US" w:bidi="en-US"/>
        </w:rPr>
        <w:t>1080B</w:t>
      </w:r>
      <w:r w:rsidR="002228D1" w:rsidRPr="002228D1">
        <w:rPr>
          <w:rFonts w:ascii="Times New Roman" w:hAnsi="Times New Roman"/>
          <w:sz w:val="23"/>
          <w:lang w:val="en-US" w:bidi="en-US"/>
        </w:rPr>
        <w:t>The court may order that the award be paid instead to an eligible charity or organisation.</w:t>
      </w:r>
    </w:p>
    <w:p w14:paraId="35724F4A" w14:textId="0D46A319" w:rsidR="002228D1" w:rsidRPr="002228D1" w:rsidRDefault="00BD5C95" w:rsidP="00B73434">
      <w:pPr>
        <w:widowControl w:val="0"/>
        <w:numPr>
          <w:ilvl w:val="0"/>
          <w:numId w:val="58"/>
        </w:numPr>
        <w:tabs>
          <w:tab w:val="left" w:pos="905"/>
        </w:tabs>
        <w:autoSpaceDE w:val="0"/>
        <w:autoSpaceDN w:val="0"/>
        <w:spacing w:before="82"/>
        <w:ind w:hanging="601"/>
        <w:jc w:val="both"/>
        <w:rPr>
          <w:rFonts w:ascii="Times New Roman" w:hAnsi="Times New Roman"/>
          <w:sz w:val="23"/>
          <w:lang w:val="en-US" w:bidi="en-US"/>
        </w:rPr>
      </w:pPr>
      <w:r>
        <w:rPr>
          <w:rFonts w:ascii="ZWAdobeF" w:hAnsi="ZWAdobeF" w:cs="ZWAdobeF"/>
          <w:color w:val="auto"/>
          <w:sz w:val="2"/>
          <w:szCs w:val="2"/>
          <w:lang w:val="en-US" w:bidi="en-US"/>
        </w:rPr>
        <w:t>1081B</w:t>
      </w:r>
      <w:r w:rsidR="0049638A">
        <w:rPr>
          <w:rFonts w:ascii="ZWAdobeF" w:hAnsi="ZWAdobeF" w:cs="ZWAdobeF"/>
          <w:color w:val="auto"/>
          <w:sz w:val="2"/>
          <w:szCs w:val="2"/>
          <w:lang w:val="en-US" w:bidi="en-US"/>
        </w:rPr>
        <w:t>1081B</w:t>
      </w:r>
      <w:r w:rsidR="00D629FA">
        <w:rPr>
          <w:rFonts w:ascii="ZWAdobeF" w:hAnsi="ZWAdobeF" w:cs="ZWAdobeF"/>
          <w:color w:val="auto"/>
          <w:sz w:val="2"/>
          <w:szCs w:val="2"/>
          <w:lang w:val="en-US" w:bidi="en-US"/>
        </w:rPr>
        <w:t>1081B</w:t>
      </w:r>
      <w:r w:rsidR="002228D1" w:rsidRPr="002228D1">
        <w:rPr>
          <w:rFonts w:ascii="Times New Roman" w:hAnsi="Times New Roman"/>
          <w:sz w:val="23"/>
          <w:lang w:val="en-US" w:bidi="en-US"/>
        </w:rPr>
        <w:t xml:space="preserve">In this section, </w:t>
      </w:r>
      <w:r w:rsidR="002228D1" w:rsidRPr="002228D1">
        <w:rPr>
          <w:rFonts w:ascii="Times New Roman" w:hAnsi="Times New Roman"/>
          <w:b/>
          <w:sz w:val="23"/>
          <w:lang w:val="en-US" w:bidi="en-US"/>
        </w:rPr>
        <w:t>eligible charity or organisation</w:t>
      </w:r>
      <w:r w:rsidR="002228D1" w:rsidRPr="002228D1">
        <w:rPr>
          <w:rFonts w:ascii="Times New Roman" w:hAnsi="Times New Roman"/>
          <w:b/>
          <w:spacing w:val="-3"/>
          <w:sz w:val="23"/>
          <w:lang w:val="en-US" w:bidi="en-US"/>
        </w:rPr>
        <w:t xml:space="preserve"> </w:t>
      </w:r>
      <w:r w:rsidR="002228D1" w:rsidRPr="002228D1">
        <w:rPr>
          <w:rFonts w:ascii="Times New Roman" w:hAnsi="Times New Roman"/>
          <w:sz w:val="23"/>
          <w:lang w:val="en-US" w:bidi="en-US"/>
        </w:rPr>
        <w:t>means—</w:t>
      </w:r>
    </w:p>
    <w:p w14:paraId="7D58AB5C" w14:textId="09E41001" w:rsidR="002228D1" w:rsidRPr="002228D1" w:rsidRDefault="00BD5C95" w:rsidP="00B73434">
      <w:pPr>
        <w:widowControl w:val="0"/>
        <w:numPr>
          <w:ilvl w:val="1"/>
          <w:numId w:val="58"/>
        </w:numPr>
        <w:tabs>
          <w:tab w:val="left" w:pos="1505"/>
        </w:tabs>
        <w:autoSpaceDE w:val="0"/>
        <w:autoSpaceDN w:val="0"/>
        <w:spacing w:before="9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1082B</w:t>
      </w:r>
      <w:r w:rsidR="0049638A">
        <w:rPr>
          <w:rFonts w:ascii="ZWAdobeF" w:hAnsi="ZWAdobeF" w:cs="ZWAdobeF"/>
          <w:color w:val="auto"/>
          <w:sz w:val="2"/>
          <w:szCs w:val="2"/>
          <w:lang w:val="en-US" w:bidi="en-US"/>
        </w:rPr>
        <w:t>1082B</w:t>
      </w:r>
      <w:r w:rsidR="00D629FA">
        <w:rPr>
          <w:rFonts w:ascii="ZWAdobeF" w:hAnsi="ZWAdobeF" w:cs="ZWAdobeF"/>
          <w:color w:val="auto"/>
          <w:sz w:val="2"/>
          <w:szCs w:val="2"/>
          <w:lang w:val="en-US" w:bidi="en-US"/>
        </w:rPr>
        <w:t>1082B</w:t>
      </w:r>
      <w:r w:rsidR="002228D1" w:rsidRPr="002228D1">
        <w:rPr>
          <w:rFonts w:ascii="Times New Roman" w:hAnsi="Times New Roman"/>
          <w:sz w:val="23"/>
          <w:lang w:val="en-US" w:bidi="en-US"/>
        </w:rPr>
        <w:t>an entity whose activities are related to claims in the class action proceeding and whose activities are likely to directly or indirectly benefit some or all class</w:t>
      </w:r>
      <w:r w:rsidR="002228D1" w:rsidRPr="002228D1">
        <w:rPr>
          <w:rFonts w:ascii="Times New Roman" w:hAnsi="Times New Roman"/>
          <w:spacing w:val="-2"/>
          <w:sz w:val="23"/>
          <w:lang w:val="en-US" w:bidi="en-US"/>
        </w:rPr>
        <w:t xml:space="preserve"> </w:t>
      </w:r>
      <w:r w:rsidR="002228D1" w:rsidRPr="002228D1">
        <w:rPr>
          <w:rFonts w:ascii="Times New Roman" w:hAnsi="Times New Roman"/>
          <w:sz w:val="23"/>
          <w:lang w:val="en-US" w:bidi="en-US"/>
        </w:rPr>
        <w:t>members:</w:t>
      </w:r>
    </w:p>
    <w:p w14:paraId="4DB2F4B0" w14:textId="5EDE1BF9" w:rsidR="002228D1" w:rsidRPr="002228D1" w:rsidRDefault="00BD5C95" w:rsidP="00B73434">
      <w:pPr>
        <w:widowControl w:val="0"/>
        <w:numPr>
          <w:ilvl w:val="1"/>
          <w:numId w:val="58"/>
        </w:numPr>
        <w:tabs>
          <w:tab w:val="left" w:pos="1505"/>
        </w:tabs>
        <w:autoSpaceDE w:val="0"/>
        <w:autoSpaceDN w:val="0"/>
        <w:spacing w:before="83"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1083B</w:t>
      </w:r>
      <w:r w:rsidR="0049638A">
        <w:rPr>
          <w:rFonts w:ascii="ZWAdobeF" w:hAnsi="ZWAdobeF" w:cs="ZWAdobeF"/>
          <w:color w:val="auto"/>
          <w:sz w:val="2"/>
          <w:szCs w:val="2"/>
          <w:lang w:val="en-US" w:bidi="en-US"/>
        </w:rPr>
        <w:t>1083B</w:t>
      </w:r>
      <w:r w:rsidR="00D629FA">
        <w:rPr>
          <w:rFonts w:ascii="ZWAdobeF" w:hAnsi="ZWAdobeF" w:cs="ZWAdobeF"/>
          <w:color w:val="auto"/>
          <w:sz w:val="2"/>
          <w:szCs w:val="2"/>
          <w:lang w:val="en-US" w:bidi="en-US"/>
        </w:rPr>
        <w:t>1083B</w:t>
      </w:r>
      <w:r w:rsidR="002228D1" w:rsidRPr="002228D1">
        <w:rPr>
          <w:rFonts w:ascii="Times New Roman" w:hAnsi="Times New Roman"/>
          <w:sz w:val="23"/>
          <w:lang w:val="en-US" w:bidi="en-US"/>
        </w:rPr>
        <w:t>an entity prescribed by regulations as an eligible charity or organisation for the purposes of this</w:t>
      </w:r>
      <w:r w:rsidR="002228D1" w:rsidRPr="002228D1">
        <w:rPr>
          <w:rFonts w:ascii="Times New Roman" w:hAnsi="Times New Roman"/>
          <w:spacing w:val="-1"/>
          <w:sz w:val="23"/>
          <w:lang w:val="en-US" w:bidi="en-US"/>
        </w:rPr>
        <w:t xml:space="preserve"> </w:t>
      </w:r>
      <w:r w:rsidR="002228D1" w:rsidRPr="002228D1">
        <w:rPr>
          <w:rFonts w:ascii="Times New Roman" w:hAnsi="Times New Roman"/>
          <w:sz w:val="23"/>
          <w:lang w:val="en-US" w:bidi="en-US"/>
        </w:rPr>
        <w:t>section.</w:t>
      </w:r>
    </w:p>
    <w:p w14:paraId="72D3BB8E" w14:textId="740D752B" w:rsidR="002228D1" w:rsidRDefault="002228D1" w:rsidP="001E6553">
      <w:pPr>
        <w:pStyle w:val="BodyText"/>
        <w:numPr>
          <w:ilvl w:val="0"/>
          <w:numId w:val="0"/>
        </w:numPr>
      </w:pPr>
    </w:p>
    <w:p w14:paraId="0FDC0EF5" w14:textId="22F7E463" w:rsidR="001E6553" w:rsidRDefault="001E6553" w:rsidP="001E6553">
      <w:pPr>
        <w:pStyle w:val="BodyText"/>
        <w:numPr>
          <w:ilvl w:val="0"/>
          <w:numId w:val="0"/>
        </w:numPr>
      </w:pPr>
    </w:p>
    <w:p w14:paraId="11507F45" w14:textId="2E376056" w:rsidR="00653EA8" w:rsidRPr="009B37CB" w:rsidRDefault="00653EA8" w:rsidP="00BD35CF">
      <w:pPr>
        <w:pStyle w:val="QuestionBox"/>
        <w:ind w:left="0"/>
      </w:pPr>
    </w:p>
    <w:p w14:paraId="582F236D" w14:textId="7CE7E531" w:rsidR="00653EA8" w:rsidRDefault="008535A8" w:rsidP="009B37CB">
      <w:pPr>
        <w:pStyle w:val="QuestionBox"/>
      </w:pPr>
      <w:r>
        <w:rPr>
          <w:noProof/>
        </w:rPr>
        <mc:AlternateContent>
          <mc:Choice Requires="wpg">
            <w:drawing>
              <wp:anchor distT="0" distB="0" distL="114300" distR="114300" simplePos="0" relativeHeight="251652172" behindDoc="1" locked="0" layoutInCell="1" allowOverlap="1" wp14:anchorId="6B4611C7" wp14:editId="42BA9C9E">
                <wp:simplePos x="0" y="0"/>
                <wp:positionH relativeFrom="column">
                  <wp:posOffset>0</wp:posOffset>
                </wp:positionH>
                <wp:positionV relativeFrom="paragraph">
                  <wp:posOffset>-635</wp:posOffset>
                </wp:positionV>
                <wp:extent cx="5760085" cy="1063625"/>
                <wp:effectExtent l="0" t="0" r="0" b="3175"/>
                <wp:wrapNone/>
                <wp:docPr id="332" name="Group 332"/>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33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54BBA2" w14:textId="77777777" w:rsidR="00A55F53" w:rsidRDefault="00A55F53" w:rsidP="008535A8">
                              <w:pPr>
                                <w:pStyle w:val="BoxTitle"/>
                                <w:spacing w:before="0" w:beforeAutospacing="0"/>
                              </w:pPr>
                              <w:r w:rsidRPr="007F6876">
                                <w:t>QUESTION</w:t>
                              </w:r>
                            </w:p>
                          </w:txbxContent>
                        </wps:txbx>
                        <wps:bodyPr rot="0" vert="horz" wrap="square" lIns="91440" tIns="0" rIns="0" bIns="45720" anchor="ctr" anchorCtr="0" upright="1">
                          <a:noAutofit/>
                        </wps:bodyPr>
                      </wps:wsp>
                      <wpg:grpSp>
                        <wpg:cNvPr id="334" name="Group 53"/>
                        <wpg:cNvGrpSpPr>
                          <a:grpSpLocks/>
                        </wpg:cNvGrpSpPr>
                        <wpg:grpSpPr bwMode="auto">
                          <a:xfrm>
                            <a:off x="0" y="316263"/>
                            <a:ext cx="5760085" cy="810335"/>
                            <a:chOff x="1837" y="1792"/>
                            <a:chExt cx="9302" cy="8753"/>
                          </a:xfrm>
                        </wpg:grpSpPr>
                        <wps:wsp>
                          <wps:cNvPr id="335"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339"/>
                        <wpg:cNvGrpSpPr/>
                        <wpg:grpSpPr>
                          <a:xfrm>
                            <a:off x="0" y="494036"/>
                            <a:ext cx="1443794" cy="252000"/>
                            <a:chOff x="-15880" y="0"/>
                            <a:chExt cx="1444379" cy="252068"/>
                          </a:xfrm>
                        </wpg:grpSpPr>
                        <wps:wsp>
                          <wps:cNvPr id="34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AEEC1A" w14:textId="78BF2A3B" w:rsidR="00A55F53" w:rsidRPr="00E700FF" w:rsidRDefault="00A55F53" w:rsidP="008535A8">
                                <w:pPr>
                                  <w:pStyle w:val="BoxTitle"/>
                                  <w:spacing w:before="0" w:beforeAutospacing="0"/>
                                </w:pPr>
                                <w:r w:rsidRPr="001C1B37">
                                  <w:t>Q</w:t>
                                </w:r>
                                <w:r>
                                  <w:t>32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B4611C7" id="Group 332" o:spid="_x0000_s1423" style="position:absolute;left:0;text-align:left;margin-left:0;margin-top:-.05pt;width:453.55pt;height:83.75pt;z-index:-251664308;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">
                <v:shape id="_x0000_s142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F54BBA2" w14:textId="77777777" w:rsidR="00A55F53" w:rsidRDefault="00A55F53" w:rsidP="008535A8">
                        <w:pPr>
                          <w:pStyle w:val="BoxTitle"/>
                          <w:spacing w:before="0" w:beforeAutospacing="0"/>
                        </w:pPr>
                        <w:r w:rsidRPr="007F6876">
                          <w:t>QUESTION</w:t>
                        </w:r>
                      </w:p>
                    </w:txbxContent>
                  </v:textbox>
                </v:shape>
                <v:group id="Group 53" o:spid="_x0000_s1425"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54" o:spid="_x0000_s1426"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" path="m,l9354,r,7809l,7809,,e" fillcolor="#edf2ea" stroked="f">
                    <v:path arrowok="t" o:connecttype="custom" o:connectlocs="0,1121;9302,1121;9302,9874;0,9874;0,1121" o:connectangles="0,0,0,0,0"/>
                  </v:shape>
                </v:group>
                <v:group id="Group 339" o:spid="_x0000_s142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8" o:spid="_x0000_s142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" path="m,l1815,e" filled="f" strokecolor="#72ab6a" strokeweight=".5pt">
                    <v:path arrowok="t" o:connecttype="custom" o:connectlocs="0,0;1073495,0" o:connectangles="0,0"/>
                  </v:shape>
                  <v:shape id="Freeform 66" o:spid="_x0000_s142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0AEEC1A" w14:textId="78BF2A3B" w:rsidR="00A55F53" w:rsidRPr="00E700FF" w:rsidRDefault="00A55F53" w:rsidP="008535A8">
                          <w:pPr>
                            <w:pStyle w:val="BoxTitle"/>
                            <w:spacing w:before="0" w:beforeAutospacing="0"/>
                          </w:pPr>
                          <w:r w:rsidRPr="001C1B37">
                            <w:t>Q</w:t>
                          </w:r>
                          <w:r>
                            <w:t>32</w:t>
                          </w:r>
                        </w:p>
                      </w:txbxContent>
                    </v:textbox>
                  </v:shape>
                </v:group>
              </v:group>
            </w:pict>
          </mc:Fallback>
        </mc:AlternateContent>
      </w:r>
    </w:p>
    <w:p w14:paraId="248D01E1" w14:textId="77777777" w:rsidR="009B37CB" w:rsidRPr="007F6828" w:rsidRDefault="009B37CB" w:rsidP="009B37CB">
      <w:pPr>
        <w:pStyle w:val="QuestionBox"/>
      </w:pPr>
    </w:p>
    <w:p w14:paraId="236EF0A1" w14:textId="4ABD6525" w:rsidR="00653EA8" w:rsidRDefault="00BD5C95" w:rsidP="009B37CB">
      <w:pPr>
        <w:pStyle w:val="QuestionBox"/>
      </w:pPr>
      <w:r>
        <w:rPr>
          <w:rFonts w:ascii="ZWAdobeF" w:hAnsi="ZWAdobeF" w:cs="ZWAdobeF"/>
          <w:color w:val="auto"/>
          <w:sz w:val="2"/>
          <w:szCs w:val="2"/>
        </w:rPr>
        <w:t>1433B</w:t>
      </w:r>
      <w:r w:rsidR="0049638A">
        <w:rPr>
          <w:rFonts w:ascii="ZWAdobeF" w:hAnsi="ZWAdobeF" w:cs="ZWAdobeF"/>
          <w:color w:val="auto"/>
          <w:sz w:val="2"/>
          <w:szCs w:val="2"/>
        </w:rPr>
        <w:t>1433B</w:t>
      </w:r>
      <w:r w:rsidR="00D629FA">
        <w:rPr>
          <w:rFonts w:ascii="ZWAdobeF" w:hAnsi="ZWAdobeF" w:cs="ZWAdobeF"/>
          <w:color w:val="auto"/>
          <w:sz w:val="2"/>
          <w:szCs w:val="2"/>
        </w:rPr>
        <w:t>1433B</w:t>
      </w:r>
      <w:r w:rsidR="00653EA8">
        <w:t>Do you agree with our draft provisions on monetary relief? If not, how should they be amended?</w:t>
      </w:r>
    </w:p>
    <w:p w14:paraId="5BDFE500" w14:textId="7B9F3DB7" w:rsidR="009B37CB" w:rsidRPr="00BC6A91" w:rsidRDefault="009B37CB" w:rsidP="009B37CB">
      <w:pPr>
        <w:pStyle w:val="QuestionBox"/>
      </w:pPr>
    </w:p>
    <w:p w14:paraId="721216C5" w14:textId="77777777" w:rsidR="00653EA8" w:rsidRDefault="00653EA8" w:rsidP="008535A8">
      <w:pPr>
        <w:pStyle w:val="Heading2"/>
      </w:pPr>
      <w:bookmarkStart w:id="91" w:name="_Toc83895458"/>
      <w:r>
        <w:t>Appeals in class actions</w:t>
      </w:r>
      <w:bookmarkEnd w:id="91"/>
    </w:p>
    <w:p w14:paraId="3B006BF1" w14:textId="2F14C459" w:rsidR="00653EA8" w:rsidRDefault="00BD5C95" w:rsidP="005B10E9">
      <w:pPr>
        <w:pStyle w:val="BodyText"/>
        <w:tabs>
          <w:tab w:val="num" w:pos="709"/>
        </w:tabs>
      </w:pPr>
      <w:r>
        <w:rPr>
          <w:rFonts w:ascii="ZWAdobeF" w:hAnsi="ZWAdobeF" w:cs="ZWAdobeF"/>
          <w:color w:val="auto"/>
          <w:sz w:val="2"/>
          <w:szCs w:val="2"/>
        </w:rPr>
        <w:t>407B</w:t>
      </w:r>
      <w:r w:rsidR="0049638A">
        <w:rPr>
          <w:rFonts w:ascii="ZWAdobeF" w:hAnsi="ZWAdobeF" w:cs="ZWAdobeF"/>
          <w:color w:val="auto"/>
          <w:sz w:val="2"/>
          <w:szCs w:val="2"/>
        </w:rPr>
        <w:t>407B</w:t>
      </w:r>
      <w:r w:rsidR="00D629FA">
        <w:rPr>
          <w:rFonts w:ascii="ZWAdobeF" w:hAnsi="ZWAdobeF" w:cs="ZWAdobeF"/>
          <w:color w:val="auto"/>
          <w:sz w:val="2"/>
          <w:szCs w:val="2"/>
        </w:rPr>
        <w:t>407B</w:t>
      </w:r>
      <w:r w:rsidR="00653EA8">
        <w:t xml:space="preserve">In this section we discuss what appeal rights parties and class members should have in a class action. </w:t>
      </w:r>
    </w:p>
    <w:p w14:paraId="1A39D771" w14:textId="22A50F7F" w:rsidR="00653EA8" w:rsidRDefault="00BD5C95" w:rsidP="005B10E9">
      <w:pPr>
        <w:pStyle w:val="BodyText"/>
      </w:pPr>
      <w:r>
        <w:rPr>
          <w:rFonts w:ascii="ZWAdobeF" w:hAnsi="ZWAdobeF" w:cs="ZWAdobeF"/>
          <w:color w:val="auto"/>
          <w:sz w:val="2"/>
          <w:szCs w:val="2"/>
        </w:rPr>
        <w:t>408B</w:t>
      </w:r>
      <w:r w:rsidR="0049638A">
        <w:rPr>
          <w:rFonts w:ascii="ZWAdobeF" w:hAnsi="ZWAdobeF" w:cs="ZWAdobeF"/>
          <w:color w:val="auto"/>
          <w:sz w:val="2"/>
          <w:szCs w:val="2"/>
        </w:rPr>
        <w:t>408B</w:t>
      </w:r>
      <w:r w:rsidR="00D629FA">
        <w:rPr>
          <w:rFonts w:ascii="ZWAdobeF" w:hAnsi="ZWAdobeF" w:cs="ZWAdobeF"/>
          <w:color w:val="auto"/>
          <w:sz w:val="2"/>
          <w:szCs w:val="2"/>
        </w:rPr>
        <w:t>408B</w:t>
      </w:r>
      <w:r w:rsidR="00653EA8">
        <w:t>The ability to appeal is “fundamental to our system of justice”.</w:t>
      </w:r>
      <w:r w:rsidR="00D629FA">
        <w:rPr>
          <w:rFonts w:ascii="ZWAdobeF" w:hAnsi="ZWAdobeF" w:cs="ZWAdobeF"/>
          <w:color w:val="auto"/>
          <w:sz w:val="2"/>
          <w:szCs w:val="2"/>
        </w:rPr>
        <w:t>672F</w:t>
      </w:r>
      <w:r w:rsidR="007A330E">
        <w:rPr>
          <w:rFonts w:ascii="ZWAdobeF" w:hAnsi="ZWAdobeF" w:cs="ZWAdobeF"/>
          <w:color w:val="auto"/>
          <w:sz w:val="2"/>
          <w:szCs w:val="2"/>
        </w:rPr>
        <w:t>672F</w:t>
      </w:r>
      <w:r w:rsidR="00317AE4">
        <w:rPr>
          <w:rFonts w:ascii="ZWAdobeF" w:hAnsi="ZWAdobeF" w:cs="ZWAdobeF"/>
          <w:color w:val="auto"/>
          <w:sz w:val="2"/>
          <w:szCs w:val="2"/>
        </w:rPr>
        <w:t>672F</w:t>
      </w:r>
      <w:r w:rsidR="00653EA8">
        <w:rPr>
          <w:rStyle w:val="FootnoteReference"/>
        </w:rPr>
        <w:footnoteReference w:id="674"/>
      </w:r>
      <w:r w:rsidR="00653EA8">
        <w:t xml:space="preserve"> However, it is a legitimate policy question to ask when there should be a right to appeal, when leave should be required and when no appeal rights should exist.</w:t>
      </w:r>
      <w:r w:rsidR="00D629FA">
        <w:rPr>
          <w:rFonts w:ascii="ZWAdobeF" w:hAnsi="ZWAdobeF" w:cs="ZWAdobeF"/>
          <w:color w:val="auto"/>
          <w:sz w:val="2"/>
          <w:szCs w:val="2"/>
        </w:rPr>
        <w:t>673F</w:t>
      </w:r>
      <w:r w:rsidR="007A330E">
        <w:rPr>
          <w:rFonts w:ascii="ZWAdobeF" w:hAnsi="ZWAdobeF" w:cs="ZWAdobeF"/>
          <w:color w:val="auto"/>
          <w:sz w:val="2"/>
          <w:szCs w:val="2"/>
        </w:rPr>
        <w:t>673F</w:t>
      </w:r>
      <w:r w:rsidR="00317AE4">
        <w:rPr>
          <w:rFonts w:ascii="ZWAdobeF" w:hAnsi="ZWAdobeF" w:cs="ZWAdobeF"/>
          <w:color w:val="auto"/>
          <w:sz w:val="2"/>
          <w:szCs w:val="2"/>
        </w:rPr>
        <w:t>673F</w:t>
      </w:r>
      <w:r w:rsidR="00653EA8">
        <w:rPr>
          <w:rStyle w:val="FootnoteReference"/>
        </w:rPr>
        <w:footnoteReference w:id="675"/>
      </w:r>
    </w:p>
    <w:p w14:paraId="380ACA31" w14:textId="3150331C" w:rsidR="00653EA8" w:rsidRDefault="00BD5C95" w:rsidP="005B10E9">
      <w:pPr>
        <w:pStyle w:val="BodyText"/>
      </w:pPr>
      <w:r>
        <w:rPr>
          <w:rFonts w:ascii="ZWAdobeF" w:hAnsi="ZWAdobeF" w:cs="ZWAdobeF"/>
          <w:color w:val="auto"/>
          <w:sz w:val="2"/>
          <w:szCs w:val="2"/>
        </w:rPr>
        <w:t>409B</w:t>
      </w:r>
      <w:r w:rsidR="0049638A">
        <w:rPr>
          <w:rFonts w:ascii="ZWAdobeF" w:hAnsi="ZWAdobeF" w:cs="ZWAdobeF"/>
          <w:color w:val="auto"/>
          <w:sz w:val="2"/>
          <w:szCs w:val="2"/>
        </w:rPr>
        <w:t>409B</w:t>
      </w:r>
      <w:r w:rsidR="00D629FA">
        <w:rPr>
          <w:rFonts w:ascii="ZWAdobeF" w:hAnsi="ZWAdobeF" w:cs="ZWAdobeF"/>
          <w:color w:val="auto"/>
          <w:sz w:val="2"/>
          <w:szCs w:val="2"/>
        </w:rPr>
        <w:t>409B</w:t>
      </w:r>
      <w:r w:rsidR="00653EA8">
        <w:t>We consider that, to the extent possible, existing appeal rules should be applied in class actions.</w:t>
      </w:r>
      <w:r w:rsidR="00D629FA">
        <w:rPr>
          <w:rFonts w:ascii="ZWAdobeF" w:hAnsi="ZWAdobeF" w:cs="ZWAdobeF"/>
          <w:color w:val="auto"/>
          <w:sz w:val="2"/>
          <w:szCs w:val="2"/>
        </w:rPr>
        <w:t>674F</w:t>
      </w:r>
      <w:r w:rsidR="007A330E">
        <w:rPr>
          <w:rFonts w:ascii="ZWAdobeF" w:hAnsi="ZWAdobeF" w:cs="ZWAdobeF"/>
          <w:color w:val="auto"/>
          <w:sz w:val="2"/>
          <w:szCs w:val="2"/>
        </w:rPr>
        <w:t>674F</w:t>
      </w:r>
      <w:r w:rsidR="00317AE4">
        <w:rPr>
          <w:rFonts w:ascii="ZWAdobeF" w:hAnsi="ZWAdobeF" w:cs="ZWAdobeF"/>
          <w:color w:val="auto"/>
          <w:sz w:val="2"/>
          <w:szCs w:val="2"/>
        </w:rPr>
        <w:t>674F</w:t>
      </w:r>
      <w:r w:rsidR="00653EA8">
        <w:rPr>
          <w:rStyle w:val="FootnoteReference"/>
        </w:rPr>
        <w:footnoteReference w:id="676"/>
      </w:r>
      <w:r w:rsidR="00653EA8">
        <w:t xml:space="preserve"> Many decisions in a class action proceeding will not be materially different to those in an ordinary proceeding. We therefore think the usual appeal rules should apply for most interlocutory decisions, common issues judgments, and decisions on individual </w:t>
      </w:r>
      <w:r w:rsidR="00653EA8">
        <w:lastRenderedPageBreak/>
        <w:t>issues. However, some aspects of a class action proceeding are unique, and it may not be appropriate to apply the existing appeal rules to them. These areas are:</w:t>
      </w:r>
    </w:p>
    <w:p w14:paraId="10FB7FDD" w14:textId="1A2E0140" w:rsidR="00653EA8" w:rsidRDefault="00BD5C95" w:rsidP="00932DB9">
      <w:pPr>
        <w:pStyle w:val="BodyTextnonum"/>
        <w:numPr>
          <w:ilvl w:val="3"/>
          <w:numId w:val="14"/>
        </w:numPr>
      </w:pPr>
      <w:r>
        <w:rPr>
          <w:rFonts w:ascii="ZWAdobeF" w:hAnsi="ZWAdobeF" w:cs="ZWAdobeF"/>
          <w:color w:val="auto"/>
          <w:sz w:val="2"/>
          <w:szCs w:val="2"/>
        </w:rPr>
        <w:t>770B</w:t>
      </w:r>
      <w:r w:rsidR="0049638A">
        <w:rPr>
          <w:rFonts w:ascii="ZWAdobeF" w:hAnsi="ZWAdobeF" w:cs="ZWAdobeF"/>
          <w:color w:val="auto"/>
          <w:sz w:val="2"/>
          <w:szCs w:val="2"/>
        </w:rPr>
        <w:t>770B</w:t>
      </w:r>
      <w:r w:rsidR="00D629FA">
        <w:rPr>
          <w:rFonts w:ascii="ZWAdobeF" w:hAnsi="ZWAdobeF" w:cs="ZWAdobeF"/>
          <w:color w:val="auto"/>
          <w:sz w:val="2"/>
          <w:szCs w:val="2"/>
        </w:rPr>
        <w:t>770B</w:t>
      </w:r>
      <w:r w:rsidR="00653EA8">
        <w:t>Parties’ rights of appeal against a certification decision.</w:t>
      </w:r>
    </w:p>
    <w:p w14:paraId="1B64EE65" w14:textId="2C78324A" w:rsidR="00653EA8" w:rsidRDefault="00BD5C95" w:rsidP="00932DB9">
      <w:pPr>
        <w:pStyle w:val="BodyTextnonum"/>
        <w:numPr>
          <w:ilvl w:val="3"/>
          <w:numId w:val="14"/>
        </w:numPr>
      </w:pPr>
      <w:r>
        <w:rPr>
          <w:rFonts w:ascii="ZWAdobeF" w:hAnsi="ZWAdobeF" w:cs="ZWAdobeF"/>
          <w:color w:val="auto"/>
          <w:sz w:val="2"/>
          <w:szCs w:val="2"/>
        </w:rPr>
        <w:t>771B</w:t>
      </w:r>
      <w:r w:rsidR="0049638A">
        <w:rPr>
          <w:rFonts w:ascii="ZWAdobeF" w:hAnsi="ZWAdobeF" w:cs="ZWAdobeF"/>
          <w:color w:val="auto"/>
          <w:sz w:val="2"/>
          <w:szCs w:val="2"/>
        </w:rPr>
        <w:t>771B</w:t>
      </w:r>
      <w:r w:rsidR="00D629FA">
        <w:rPr>
          <w:rFonts w:ascii="ZWAdobeF" w:hAnsi="ZWAdobeF" w:cs="ZWAdobeF"/>
          <w:color w:val="auto"/>
          <w:sz w:val="2"/>
          <w:szCs w:val="2"/>
        </w:rPr>
        <w:t>771B</w:t>
      </w:r>
      <w:r w:rsidR="00653EA8">
        <w:t>Parties’ rights of appeal against a court’s decision on whether to approve settlement.</w:t>
      </w:r>
    </w:p>
    <w:p w14:paraId="0A1A5982" w14:textId="7F27947B" w:rsidR="00653EA8" w:rsidRDefault="00BD5C95" w:rsidP="00932DB9">
      <w:pPr>
        <w:pStyle w:val="BodyTextnonum"/>
        <w:numPr>
          <w:ilvl w:val="3"/>
          <w:numId w:val="14"/>
        </w:numPr>
      </w:pPr>
      <w:r>
        <w:rPr>
          <w:rFonts w:ascii="ZWAdobeF" w:hAnsi="ZWAdobeF" w:cs="ZWAdobeF"/>
          <w:color w:val="auto"/>
          <w:sz w:val="2"/>
          <w:szCs w:val="2"/>
        </w:rPr>
        <w:t>772B</w:t>
      </w:r>
      <w:r w:rsidR="0049638A">
        <w:rPr>
          <w:rFonts w:ascii="ZWAdobeF" w:hAnsi="ZWAdobeF" w:cs="ZWAdobeF"/>
          <w:color w:val="auto"/>
          <w:sz w:val="2"/>
          <w:szCs w:val="2"/>
        </w:rPr>
        <w:t>772B</w:t>
      </w:r>
      <w:r w:rsidR="00D629FA">
        <w:rPr>
          <w:rFonts w:ascii="ZWAdobeF" w:hAnsi="ZWAdobeF" w:cs="ZWAdobeF"/>
          <w:color w:val="auto"/>
          <w:sz w:val="2"/>
          <w:szCs w:val="2"/>
        </w:rPr>
        <w:t>772B</w:t>
      </w:r>
      <w:r w:rsidR="00653EA8">
        <w:t>The appeal rights, if any, of class members.</w:t>
      </w:r>
    </w:p>
    <w:p w14:paraId="2FE88846" w14:textId="4A461F32" w:rsidR="00653EA8" w:rsidRDefault="00BD5C95" w:rsidP="005B10E9">
      <w:pPr>
        <w:pStyle w:val="BodyText"/>
        <w:tabs>
          <w:tab w:val="num" w:pos="709"/>
        </w:tabs>
      </w:pPr>
      <w:r>
        <w:rPr>
          <w:rFonts w:ascii="ZWAdobeF" w:hAnsi="ZWAdobeF" w:cs="ZWAdobeF"/>
          <w:color w:val="auto"/>
          <w:sz w:val="2"/>
          <w:szCs w:val="2"/>
        </w:rPr>
        <w:t>410B</w:t>
      </w:r>
      <w:r w:rsidR="0049638A">
        <w:rPr>
          <w:rFonts w:ascii="ZWAdobeF" w:hAnsi="ZWAdobeF" w:cs="ZWAdobeF"/>
          <w:color w:val="auto"/>
          <w:sz w:val="2"/>
          <w:szCs w:val="2"/>
        </w:rPr>
        <w:t>410B</w:t>
      </w:r>
      <w:r w:rsidR="00D629FA">
        <w:rPr>
          <w:rFonts w:ascii="ZWAdobeF" w:hAnsi="ZWAdobeF" w:cs="ZWAdobeF"/>
          <w:color w:val="auto"/>
          <w:sz w:val="2"/>
          <w:szCs w:val="2"/>
        </w:rPr>
        <w:t>410B</w:t>
      </w:r>
      <w:r w:rsidR="00653EA8">
        <w:t>We discuss each of these below.</w:t>
      </w:r>
    </w:p>
    <w:p w14:paraId="06C0BA2D" w14:textId="77777777" w:rsidR="00653EA8" w:rsidRDefault="00653EA8" w:rsidP="003F48CE">
      <w:pPr>
        <w:pStyle w:val="Heading3"/>
      </w:pPr>
      <w:r>
        <w:t>Parties’ appeal rights against a certification decision</w:t>
      </w:r>
    </w:p>
    <w:p w14:paraId="2AB31489" w14:textId="7E7298E7" w:rsidR="00653EA8" w:rsidRDefault="00BD5C95" w:rsidP="005B10E9">
      <w:pPr>
        <w:pStyle w:val="BodyText"/>
        <w:tabs>
          <w:tab w:val="clear" w:pos="709"/>
        </w:tabs>
      </w:pPr>
      <w:r>
        <w:rPr>
          <w:rFonts w:ascii="ZWAdobeF" w:hAnsi="ZWAdobeF" w:cs="ZWAdobeF"/>
          <w:color w:val="auto"/>
          <w:sz w:val="2"/>
          <w:szCs w:val="2"/>
        </w:rPr>
        <w:t>411B</w:t>
      </w:r>
      <w:r w:rsidR="0049638A">
        <w:rPr>
          <w:rFonts w:ascii="ZWAdobeF" w:hAnsi="ZWAdobeF" w:cs="ZWAdobeF"/>
          <w:color w:val="auto"/>
          <w:sz w:val="2"/>
          <w:szCs w:val="2"/>
        </w:rPr>
        <w:t>411B</w:t>
      </w:r>
      <w:r w:rsidR="00D629FA">
        <w:rPr>
          <w:rFonts w:ascii="ZWAdobeF" w:hAnsi="ZWAdobeF" w:cs="ZWAdobeF"/>
          <w:color w:val="auto"/>
          <w:sz w:val="2"/>
          <w:szCs w:val="2"/>
        </w:rPr>
        <w:t>411B</w:t>
      </w:r>
      <w:r w:rsidR="00376B14">
        <w:t>P</w:t>
      </w:r>
      <w:r w:rsidR="00653EA8">
        <w:t xml:space="preserve">arties </w:t>
      </w:r>
      <w:r w:rsidR="00376B14">
        <w:t>appeal rights</w:t>
      </w:r>
      <w:r w:rsidR="00653EA8">
        <w:t xml:space="preserve"> against a certification decision has been considered twice by Ontario law reform bodies. In 1982, the OLRC recommended a statutory right to appeal certification, because it was unclear whether it was an interlocutory decision.</w:t>
      </w:r>
      <w:r w:rsidR="00D629FA">
        <w:rPr>
          <w:rFonts w:ascii="ZWAdobeF" w:hAnsi="ZWAdobeF" w:cs="ZWAdobeF"/>
          <w:color w:val="auto"/>
          <w:sz w:val="2"/>
          <w:szCs w:val="2"/>
        </w:rPr>
        <w:t>675F</w:t>
      </w:r>
      <w:r w:rsidR="007A330E">
        <w:rPr>
          <w:rFonts w:ascii="ZWAdobeF" w:hAnsi="ZWAdobeF" w:cs="ZWAdobeF"/>
          <w:color w:val="auto"/>
          <w:sz w:val="2"/>
          <w:szCs w:val="2"/>
        </w:rPr>
        <w:t>675F</w:t>
      </w:r>
      <w:r w:rsidR="00317AE4">
        <w:rPr>
          <w:rFonts w:ascii="ZWAdobeF" w:hAnsi="ZWAdobeF" w:cs="ZWAdobeF"/>
          <w:color w:val="auto"/>
          <w:sz w:val="2"/>
          <w:szCs w:val="2"/>
        </w:rPr>
        <w:t>675F</w:t>
      </w:r>
      <w:r w:rsidR="00653EA8">
        <w:rPr>
          <w:rStyle w:val="FootnoteReference"/>
        </w:rPr>
        <w:footnoteReference w:id="677"/>
      </w:r>
      <w:r w:rsidR="00653EA8">
        <w:t xml:space="preserve"> The OLRC considered there should be a right of appeal from a certification decision because there are potentially serious consequences in not granting certification.</w:t>
      </w:r>
      <w:r w:rsidR="00D629FA">
        <w:rPr>
          <w:rFonts w:ascii="ZWAdobeF" w:hAnsi="ZWAdobeF" w:cs="ZWAdobeF"/>
          <w:color w:val="auto"/>
          <w:sz w:val="2"/>
          <w:szCs w:val="2"/>
        </w:rPr>
        <w:t>676F</w:t>
      </w:r>
      <w:r w:rsidR="007A330E">
        <w:rPr>
          <w:rFonts w:ascii="ZWAdobeF" w:hAnsi="ZWAdobeF" w:cs="ZWAdobeF"/>
          <w:color w:val="auto"/>
          <w:sz w:val="2"/>
          <w:szCs w:val="2"/>
        </w:rPr>
        <w:t>676F</w:t>
      </w:r>
      <w:r w:rsidR="00317AE4">
        <w:rPr>
          <w:rFonts w:ascii="ZWAdobeF" w:hAnsi="ZWAdobeF" w:cs="ZWAdobeF"/>
          <w:color w:val="auto"/>
          <w:sz w:val="2"/>
          <w:szCs w:val="2"/>
        </w:rPr>
        <w:t>676F</w:t>
      </w:r>
      <w:r w:rsidR="00653EA8">
        <w:rPr>
          <w:rStyle w:val="FootnoteReference"/>
        </w:rPr>
        <w:footnoteReference w:id="678"/>
      </w:r>
      <w:r w:rsidR="00653EA8">
        <w:t xml:space="preserve"> The OLRC’s recommendations were not enacted exactly: while the </w:t>
      </w:r>
      <w:r w:rsidR="003B24D2">
        <w:t>representative</w:t>
      </w:r>
      <w:r w:rsidR="00653EA8">
        <w:t xml:space="preserve"> plaintiff was given a direct right of appeal, the defendant required leave. This asymmetrical appeal right was unique in Canadian common law jurisdictions.</w:t>
      </w:r>
      <w:r w:rsidR="00D629FA">
        <w:rPr>
          <w:rFonts w:ascii="ZWAdobeF" w:hAnsi="ZWAdobeF" w:cs="ZWAdobeF"/>
          <w:color w:val="auto"/>
          <w:sz w:val="2"/>
          <w:szCs w:val="2"/>
        </w:rPr>
        <w:t>677F</w:t>
      </w:r>
      <w:r w:rsidR="007A330E">
        <w:rPr>
          <w:rFonts w:ascii="ZWAdobeF" w:hAnsi="ZWAdobeF" w:cs="ZWAdobeF"/>
          <w:color w:val="auto"/>
          <w:sz w:val="2"/>
          <w:szCs w:val="2"/>
        </w:rPr>
        <w:t>677F</w:t>
      </w:r>
      <w:r w:rsidR="00317AE4">
        <w:rPr>
          <w:rFonts w:ascii="ZWAdobeF" w:hAnsi="ZWAdobeF" w:cs="ZWAdobeF"/>
          <w:color w:val="auto"/>
          <w:sz w:val="2"/>
          <w:szCs w:val="2"/>
        </w:rPr>
        <w:t>677F</w:t>
      </w:r>
      <w:r w:rsidR="00653EA8">
        <w:rPr>
          <w:rStyle w:val="FootnoteReference"/>
        </w:rPr>
        <w:footnoteReference w:id="679"/>
      </w:r>
      <w:r w:rsidR="00653EA8">
        <w:t xml:space="preserve"> </w:t>
      </w:r>
    </w:p>
    <w:p w14:paraId="33278A7C" w14:textId="587AD382" w:rsidR="00653EA8" w:rsidRDefault="00BD5C95" w:rsidP="005B10E9">
      <w:pPr>
        <w:pStyle w:val="BodyText"/>
        <w:tabs>
          <w:tab w:val="clear" w:pos="709"/>
        </w:tabs>
      </w:pPr>
      <w:r>
        <w:rPr>
          <w:rFonts w:ascii="ZWAdobeF" w:hAnsi="ZWAdobeF" w:cs="ZWAdobeF"/>
          <w:color w:val="auto"/>
          <w:sz w:val="2"/>
          <w:szCs w:val="2"/>
        </w:rPr>
        <w:t>412B</w:t>
      </w:r>
      <w:r w:rsidR="0049638A">
        <w:rPr>
          <w:rFonts w:ascii="ZWAdobeF" w:hAnsi="ZWAdobeF" w:cs="ZWAdobeF"/>
          <w:color w:val="auto"/>
          <w:sz w:val="2"/>
          <w:szCs w:val="2"/>
        </w:rPr>
        <w:t>412B</w:t>
      </w:r>
      <w:r w:rsidR="00D629FA">
        <w:rPr>
          <w:rFonts w:ascii="ZWAdobeF" w:hAnsi="ZWAdobeF" w:cs="ZWAdobeF"/>
          <w:color w:val="auto"/>
          <w:sz w:val="2"/>
          <w:szCs w:val="2"/>
        </w:rPr>
        <w:t>412B</w:t>
      </w:r>
      <w:r w:rsidR="00653EA8">
        <w:t>In 2019 the Law Commission of Ontario (LCO) reconsidered the appeal rights from a certification decision.</w:t>
      </w:r>
      <w:r w:rsidR="00D629FA">
        <w:rPr>
          <w:rFonts w:ascii="ZWAdobeF" w:hAnsi="ZWAdobeF" w:cs="ZWAdobeF"/>
          <w:color w:val="auto"/>
          <w:sz w:val="2"/>
          <w:szCs w:val="2"/>
        </w:rPr>
        <w:t>678F</w:t>
      </w:r>
      <w:r w:rsidR="007A330E">
        <w:rPr>
          <w:rFonts w:ascii="ZWAdobeF" w:hAnsi="ZWAdobeF" w:cs="ZWAdobeF"/>
          <w:color w:val="auto"/>
          <w:sz w:val="2"/>
          <w:szCs w:val="2"/>
        </w:rPr>
        <w:t>678F</w:t>
      </w:r>
      <w:r w:rsidR="00317AE4">
        <w:rPr>
          <w:rFonts w:ascii="ZWAdobeF" w:hAnsi="ZWAdobeF" w:cs="ZWAdobeF"/>
          <w:color w:val="auto"/>
          <w:sz w:val="2"/>
          <w:szCs w:val="2"/>
        </w:rPr>
        <w:t>678F</w:t>
      </w:r>
      <w:r w:rsidR="00653EA8">
        <w:rPr>
          <w:rStyle w:val="FootnoteReference"/>
        </w:rPr>
        <w:footnoteReference w:id="680"/>
      </w:r>
      <w:r w:rsidR="00653EA8">
        <w:t xml:space="preserve"> The LCO did not see a principled reason for </w:t>
      </w:r>
      <w:r w:rsidR="00863DB8">
        <w:t>the</w:t>
      </w:r>
      <w:r w:rsidR="00653EA8">
        <w:t xml:space="preserve"> asymmetrical appeal rights, saying there was “no question certification is important to both plaintiffs and defendants”.</w:t>
      </w:r>
      <w:r w:rsidR="00D629FA">
        <w:rPr>
          <w:rFonts w:ascii="ZWAdobeF" w:hAnsi="ZWAdobeF" w:cs="ZWAdobeF"/>
          <w:color w:val="auto"/>
          <w:sz w:val="2"/>
          <w:szCs w:val="2"/>
        </w:rPr>
        <w:t>679F</w:t>
      </w:r>
      <w:r w:rsidR="007A330E">
        <w:rPr>
          <w:rFonts w:ascii="ZWAdobeF" w:hAnsi="ZWAdobeF" w:cs="ZWAdobeF"/>
          <w:color w:val="auto"/>
          <w:sz w:val="2"/>
          <w:szCs w:val="2"/>
        </w:rPr>
        <w:t>679F</w:t>
      </w:r>
      <w:r w:rsidR="00317AE4">
        <w:rPr>
          <w:rFonts w:ascii="ZWAdobeF" w:hAnsi="ZWAdobeF" w:cs="ZWAdobeF"/>
          <w:color w:val="auto"/>
          <w:sz w:val="2"/>
          <w:szCs w:val="2"/>
        </w:rPr>
        <w:t>679F</w:t>
      </w:r>
      <w:r w:rsidR="00653EA8">
        <w:rPr>
          <w:rStyle w:val="FootnoteReference"/>
        </w:rPr>
        <w:footnoteReference w:id="681"/>
      </w:r>
      <w:r w:rsidR="00653EA8">
        <w:t xml:space="preserve"> It considered a direct appeal right was appropriate because the interests of the parties at certification are significant.</w:t>
      </w:r>
      <w:r w:rsidR="00D629FA">
        <w:rPr>
          <w:rFonts w:ascii="ZWAdobeF" w:hAnsi="ZWAdobeF" w:cs="ZWAdobeF"/>
          <w:color w:val="auto"/>
          <w:sz w:val="2"/>
          <w:szCs w:val="2"/>
        </w:rPr>
        <w:t>680F</w:t>
      </w:r>
      <w:r w:rsidR="007A330E">
        <w:rPr>
          <w:rFonts w:ascii="ZWAdobeF" w:hAnsi="ZWAdobeF" w:cs="ZWAdobeF"/>
          <w:color w:val="auto"/>
          <w:sz w:val="2"/>
          <w:szCs w:val="2"/>
        </w:rPr>
        <w:t>680F</w:t>
      </w:r>
      <w:r w:rsidR="00317AE4">
        <w:rPr>
          <w:rFonts w:ascii="ZWAdobeF" w:hAnsi="ZWAdobeF" w:cs="ZWAdobeF"/>
          <w:color w:val="auto"/>
          <w:sz w:val="2"/>
          <w:szCs w:val="2"/>
        </w:rPr>
        <w:t>680F</w:t>
      </w:r>
      <w:r w:rsidR="00653EA8">
        <w:rPr>
          <w:rStyle w:val="FootnoteReference"/>
        </w:rPr>
        <w:footnoteReference w:id="682"/>
      </w:r>
      <w:r w:rsidR="00653EA8">
        <w:t xml:space="preserve"> Further, requiring leave would “impede access to justice, add delay and expense, and be inefficient”.</w:t>
      </w:r>
      <w:r w:rsidR="00D629FA">
        <w:rPr>
          <w:rFonts w:ascii="ZWAdobeF" w:hAnsi="ZWAdobeF" w:cs="ZWAdobeF"/>
          <w:color w:val="auto"/>
          <w:sz w:val="2"/>
          <w:szCs w:val="2"/>
        </w:rPr>
        <w:t>681F</w:t>
      </w:r>
      <w:r w:rsidR="007A330E">
        <w:rPr>
          <w:rFonts w:ascii="ZWAdobeF" w:hAnsi="ZWAdobeF" w:cs="ZWAdobeF"/>
          <w:color w:val="auto"/>
          <w:sz w:val="2"/>
          <w:szCs w:val="2"/>
        </w:rPr>
        <w:t>681F</w:t>
      </w:r>
      <w:r w:rsidR="00317AE4">
        <w:rPr>
          <w:rFonts w:ascii="ZWAdobeF" w:hAnsi="ZWAdobeF" w:cs="ZWAdobeF"/>
          <w:color w:val="auto"/>
          <w:sz w:val="2"/>
          <w:szCs w:val="2"/>
        </w:rPr>
        <w:t>681F</w:t>
      </w:r>
      <w:r w:rsidR="00653EA8">
        <w:rPr>
          <w:rStyle w:val="FootnoteReference"/>
        </w:rPr>
        <w:footnoteReference w:id="683"/>
      </w:r>
      <w:r w:rsidR="00653EA8">
        <w:t xml:space="preserve"> This recommendation was accepted by the Government and the appeal provision was amended in 2020.</w:t>
      </w:r>
      <w:r w:rsidR="00D629FA">
        <w:rPr>
          <w:rFonts w:ascii="ZWAdobeF" w:hAnsi="ZWAdobeF" w:cs="ZWAdobeF"/>
          <w:color w:val="auto"/>
          <w:sz w:val="2"/>
          <w:szCs w:val="2"/>
        </w:rPr>
        <w:t>682F</w:t>
      </w:r>
      <w:r w:rsidR="007A330E">
        <w:rPr>
          <w:rFonts w:ascii="ZWAdobeF" w:hAnsi="ZWAdobeF" w:cs="ZWAdobeF"/>
          <w:color w:val="auto"/>
          <w:sz w:val="2"/>
          <w:szCs w:val="2"/>
        </w:rPr>
        <w:t>682F</w:t>
      </w:r>
      <w:r w:rsidR="00317AE4">
        <w:rPr>
          <w:rFonts w:ascii="ZWAdobeF" w:hAnsi="ZWAdobeF" w:cs="ZWAdobeF"/>
          <w:color w:val="auto"/>
          <w:sz w:val="2"/>
          <w:szCs w:val="2"/>
        </w:rPr>
        <w:t>682F</w:t>
      </w:r>
      <w:r w:rsidR="00653EA8">
        <w:rPr>
          <w:rStyle w:val="FootnoteReference"/>
        </w:rPr>
        <w:footnoteReference w:id="684"/>
      </w:r>
    </w:p>
    <w:p w14:paraId="0EF8922A" w14:textId="12C816E7" w:rsidR="00653EA8" w:rsidRDefault="00BD5C95" w:rsidP="005B10E9">
      <w:pPr>
        <w:pStyle w:val="BodyText"/>
        <w:tabs>
          <w:tab w:val="clear" w:pos="709"/>
        </w:tabs>
      </w:pPr>
      <w:r>
        <w:rPr>
          <w:rFonts w:ascii="ZWAdobeF" w:hAnsi="ZWAdobeF" w:cs="ZWAdobeF"/>
          <w:color w:val="auto"/>
          <w:sz w:val="2"/>
          <w:szCs w:val="2"/>
        </w:rPr>
        <w:t>413B</w:t>
      </w:r>
      <w:r w:rsidR="0049638A">
        <w:rPr>
          <w:rFonts w:ascii="ZWAdobeF" w:hAnsi="ZWAdobeF" w:cs="ZWAdobeF"/>
          <w:color w:val="auto"/>
          <w:sz w:val="2"/>
          <w:szCs w:val="2"/>
        </w:rPr>
        <w:t>413B</w:t>
      </w:r>
      <w:r w:rsidR="00D629FA">
        <w:rPr>
          <w:rFonts w:ascii="ZWAdobeF" w:hAnsi="ZWAdobeF" w:cs="ZWAdobeF"/>
          <w:color w:val="auto"/>
          <w:sz w:val="2"/>
          <w:szCs w:val="2"/>
        </w:rPr>
        <w:t>413B</w:t>
      </w:r>
      <w:r w:rsidR="00653EA8">
        <w:t>Practice in other jurisdictions varies. Jurisdictions that allow for appeals against certification decisions as of right include British Columbia, Alberta and the Canadian Federal Court,</w:t>
      </w:r>
      <w:r w:rsidR="00D629FA">
        <w:rPr>
          <w:rFonts w:ascii="ZWAdobeF" w:hAnsi="ZWAdobeF" w:cs="ZWAdobeF"/>
          <w:color w:val="auto"/>
          <w:sz w:val="2"/>
          <w:szCs w:val="2"/>
        </w:rPr>
        <w:t>683F</w:t>
      </w:r>
      <w:r w:rsidR="007A330E">
        <w:rPr>
          <w:rFonts w:ascii="ZWAdobeF" w:hAnsi="ZWAdobeF" w:cs="ZWAdobeF"/>
          <w:color w:val="auto"/>
          <w:sz w:val="2"/>
          <w:szCs w:val="2"/>
        </w:rPr>
        <w:t>683F</w:t>
      </w:r>
      <w:r w:rsidR="00317AE4">
        <w:rPr>
          <w:rFonts w:ascii="ZWAdobeF" w:hAnsi="ZWAdobeF" w:cs="ZWAdobeF"/>
          <w:color w:val="auto"/>
          <w:sz w:val="2"/>
          <w:szCs w:val="2"/>
        </w:rPr>
        <w:t>683F</w:t>
      </w:r>
      <w:r w:rsidR="00653EA8">
        <w:rPr>
          <w:rStyle w:val="FootnoteReference"/>
        </w:rPr>
        <w:footnoteReference w:id="685"/>
      </w:r>
      <w:r w:rsidR="00653EA8">
        <w:t xml:space="preserve"> the United States,</w:t>
      </w:r>
      <w:r w:rsidR="00D629FA">
        <w:rPr>
          <w:rFonts w:ascii="ZWAdobeF" w:hAnsi="ZWAdobeF" w:cs="ZWAdobeF"/>
          <w:color w:val="auto"/>
          <w:sz w:val="2"/>
          <w:szCs w:val="2"/>
        </w:rPr>
        <w:t>684F</w:t>
      </w:r>
      <w:r w:rsidR="007A330E">
        <w:rPr>
          <w:rFonts w:ascii="ZWAdobeF" w:hAnsi="ZWAdobeF" w:cs="ZWAdobeF"/>
          <w:color w:val="auto"/>
          <w:sz w:val="2"/>
          <w:szCs w:val="2"/>
        </w:rPr>
        <w:t>684F</w:t>
      </w:r>
      <w:r w:rsidR="00317AE4">
        <w:rPr>
          <w:rFonts w:ascii="ZWAdobeF" w:hAnsi="ZWAdobeF" w:cs="ZWAdobeF"/>
          <w:color w:val="auto"/>
          <w:sz w:val="2"/>
          <w:szCs w:val="2"/>
        </w:rPr>
        <w:t>684F</w:t>
      </w:r>
      <w:r w:rsidR="00653EA8">
        <w:rPr>
          <w:rStyle w:val="FootnoteReference"/>
        </w:rPr>
        <w:footnoteReference w:id="686"/>
      </w:r>
      <w:r w:rsidR="00653EA8" w:rsidRPr="004868CF">
        <w:t xml:space="preserve"> </w:t>
      </w:r>
      <w:r w:rsidR="00653EA8">
        <w:t xml:space="preserve">and the United Kingdom Competition Appeal </w:t>
      </w:r>
      <w:r w:rsidR="00653EA8">
        <w:lastRenderedPageBreak/>
        <w:t>Tribunal.</w:t>
      </w:r>
      <w:r w:rsidR="00D629FA">
        <w:rPr>
          <w:rFonts w:ascii="ZWAdobeF" w:hAnsi="ZWAdobeF" w:cs="ZWAdobeF"/>
          <w:color w:val="auto"/>
          <w:sz w:val="2"/>
          <w:szCs w:val="2"/>
        </w:rPr>
        <w:t>685F</w:t>
      </w:r>
      <w:r w:rsidR="007A330E">
        <w:rPr>
          <w:rFonts w:ascii="ZWAdobeF" w:hAnsi="ZWAdobeF" w:cs="ZWAdobeF"/>
          <w:color w:val="auto"/>
          <w:sz w:val="2"/>
          <w:szCs w:val="2"/>
        </w:rPr>
        <w:t>685F</w:t>
      </w:r>
      <w:r w:rsidR="00317AE4">
        <w:rPr>
          <w:rFonts w:ascii="ZWAdobeF" w:hAnsi="ZWAdobeF" w:cs="ZWAdobeF"/>
          <w:color w:val="auto"/>
          <w:sz w:val="2"/>
          <w:szCs w:val="2"/>
        </w:rPr>
        <w:t>685F</w:t>
      </w:r>
      <w:r w:rsidR="00653EA8">
        <w:rPr>
          <w:rStyle w:val="FootnoteReference"/>
        </w:rPr>
        <w:footnoteReference w:id="687"/>
      </w:r>
      <w:r w:rsidR="00653EA8">
        <w:t xml:space="preserve"> The Federal Court of Australia allows an appeal against a decision to decertify a class action with leave.</w:t>
      </w:r>
      <w:r w:rsidR="00D629FA">
        <w:rPr>
          <w:rFonts w:ascii="ZWAdobeF" w:hAnsi="ZWAdobeF" w:cs="ZWAdobeF"/>
          <w:color w:val="auto"/>
          <w:sz w:val="2"/>
          <w:szCs w:val="2"/>
        </w:rPr>
        <w:t>686F</w:t>
      </w:r>
      <w:r w:rsidR="007A330E">
        <w:rPr>
          <w:rFonts w:ascii="ZWAdobeF" w:hAnsi="ZWAdobeF" w:cs="ZWAdobeF"/>
          <w:color w:val="auto"/>
          <w:sz w:val="2"/>
          <w:szCs w:val="2"/>
        </w:rPr>
        <w:t>686F</w:t>
      </w:r>
      <w:r w:rsidR="00317AE4">
        <w:rPr>
          <w:rFonts w:ascii="ZWAdobeF" w:hAnsi="ZWAdobeF" w:cs="ZWAdobeF"/>
          <w:color w:val="auto"/>
          <w:sz w:val="2"/>
          <w:szCs w:val="2"/>
        </w:rPr>
        <w:t>686F</w:t>
      </w:r>
      <w:r w:rsidR="00653EA8">
        <w:rPr>
          <w:rStyle w:val="FootnoteReference"/>
        </w:rPr>
        <w:footnoteReference w:id="688"/>
      </w:r>
    </w:p>
    <w:p w14:paraId="710C03EF" w14:textId="658F45FF" w:rsidR="00653EA8" w:rsidRDefault="00BD5C95" w:rsidP="005B10E9">
      <w:pPr>
        <w:pStyle w:val="BodyText"/>
        <w:tabs>
          <w:tab w:val="num" w:pos="709"/>
        </w:tabs>
      </w:pPr>
      <w:r>
        <w:rPr>
          <w:rFonts w:ascii="ZWAdobeF" w:hAnsi="ZWAdobeF" w:cs="ZWAdobeF"/>
          <w:color w:val="auto"/>
          <w:sz w:val="2"/>
          <w:szCs w:val="2"/>
        </w:rPr>
        <w:t>414B</w:t>
      </w:r>
      <w:r w:rsidR="0049638A">
        <w:rPr>
          <w:rFonts w:ascii="ZWAdobeF" w:hAnsi="ZWAdobeF" w:cs="ZWAdobeF"/>
          <w:color w:val="auto"/>
          <w:sz w:val="2"/>
          <w:szCs w:val="2"/>
        </w:rPr>
        <w:t>414B</w:t>
      </w:r>
      <w:r w:rsidR="00D629FA">
        <w:rPr>
          <w:rFonts w:ascii="ZWAdobeF" w:hAnsi="ZWAdobeF" w:cs="ZWAdobeF"/>
          <w:color w:val="auto"/>
          <w:sz w:val="2"/>
          <w:szCs w:val="2"/>
        </w:rPr>
        <w:t>414B</w:t>
      </w:r>
      <w:r w:rsidR="00653EA8">
        <w:t>Several other Canadian class action</w:t>
      </w:r>
      <w:r w:rsidR="00805C83">
        <w:t>s</w:t>
      </w:r>
      <w:r w:rsidR="00653EA8">
        <w:t xml:space="preserve"> regimes require leave to appeal a certification decision (Saskatchewan, Nova Scotia, Newfoundland, New Brunswick and Manitoba).</w:t>
      </w:r>
      <w:r w:rsidR="00D629FA">
        <w:rPr>
          <w:rFonts w:ascii="ZWAdobeF" w:hAnsi="ZWAdobeF" w:cs="ZWAdobeF"/>
          <w:color w:val="auto"/>
          <w:sz w:val="2"/>
          <w:szCs w:val="2"/>
        </w:rPr>
        <w:t>687F</w:t>
      </w:r>
      <w:r w:rsidR="007A330E">
        <w:rPr>
          <w:rFonts w:ascii="ZWAdobeF" w:hAnsi="ZWAdobeF" w:cs="ZWAdobeF"/>
          <w:color w:val="auto"/>
          <w:sz w:val="2"/>
          <w:szCs w:val="2"/>
        </w:rPr>
        <w:t>687F</w:t>
      </w:r>
      <w:r w:rsidR="00317AE4">
        <w:rPr>
          <w:rFonts w:ascii="ZWAdobeF" w:hAnsi="ZWAdobeF" w:cs="ZWAdobeF"/>
          <w:color w:val="auto"/>
          <w:sz w:val="2"/>
          <w:szCs w:val="2"/>
        </w:rPr>
        <w:t>687F</w:t>
      </w:r>
      <w:r w:rsidR="00653EA8">
        <w:rPr>
          <w:rStyle w:val="FootnoteReference"/>
        </w:rPr>
        <w:footnoteReference w:id="689"/>
      </w:r>
      <w:r w:rsidR="00653EA8">
        <w:t xml:space="preserve"> We note that, under Rules Committee’s 2009 draft Class Actions Bill, the parties would also have required leave to appeal a certification decision in Aotearoa New Zealand.</w:t>
      </w:r>
      <w:r w:rsidR="00D629FA">
        <w:rPr>
          <w:rFonts w:ascii="ZWAdobeF" w:hAnsi="ZWAdobeF" w:cs="ZWAdobeF"/>
          <w:color w:val="auto"/>
          <w:sz w:val="2"/>
          <w:szCs w:val="2"/>
        </w:rPr>
        <w:t>688F</w:t>
      </w:r>
      <w:r w:rsidR="007A330E">
        <w:rPr>
          <w:rFonts w:ascii="ZWAdobeF" w:hAnsi="ZWAdobeF" w:cs="ZWAdobeF"/>
          <w:color w:val="auto"/>
          <w:sz w:val="2"/>
          <w:szCs w:val="2"/>
        </w:rPr>
        <w:t>688F</w:t>
      </w:r>
      <w:r w:rsidR="00317AE4">
        <w:rPr>
          <w:rFonts w:ascii="ZWAdobeF" w:hAnsi="ZWAdobeF" w:cs="ZWAdobeF"/>
          <w:color w:val="auto"/>
          <w:sz w:val="2"/>
          <w:szCs w:val="2"/>
        </w:rPr>
        <w:t>688F</w:t>
      </w:r>
      <w:r w:rsidR="00653EA8">
        <w:rPr>
          <w:rStyle w:val="FootnoteReference"/>
        </w:rPr>
        <w:footnoteReference w:id="690"/>
      </w:r>
    </w:p>
    <w:p w14:paraId="74FFEE3E" w14:textId="6A0CB103" w:rsidR="00653EA8" w:rsidRDefault="00BD5C95" w:rsidP="005B10E9">
      <w:pPr>
        <w:pStyle w:val="BodyText"/>
        <w:tabs>
          <w:tab w:val="clear" w:pos="709"/>
        </w:tabs>
      </w:pPr>
      <w:r>
        <w:rPr>
          <w:rFonts w:ascii="ZWAdobeF" w:hAnsi="ZWAdobeF" w:cs="ZWAdobeF"/>
          <w:color w:val="auto"/>
          <w:sz w:val="2"/>
          <w:szCs w:val="2"/>
        </w:rPr>
        <w:t>415B</w:t>
      </w:r>
      <w:r w:rsidR="0049638A">
        <w:rPr>
          <w:rFonts w:ascii="ZWAdobeF" w:hAnsi="ZWAdobeF" w:cs="ZWAdobeF"/>
          <w:color w:val="auto"/>
          <w:sz w:val="2"/>
          <w:szCs w:val="2"/>
        </w:rPr>
        <w:t>415B</w:t>
      </w:r>
      <w:r w:rsidR="00D629FA">
        <w:rPr>
          <w:rFonts w:ascii="ZWAdobeF" w:hAnsi="ZWAdobeF" w:cs="ZWAdobeF"/>
          <w:color w:val="auto"/>
          <w:sz w:val="2"/>
          <w:szCs w:val="2"/>
        </w:rPr>
        <w:t>415B</w:t>
      </w:r>
      <w:r w:rsidR="00653EA8">
        <w:t>Our</w:t>
      </w:r>
      <w:r w:rsidR="00653EA8" w:rsidDel="00AC43FA">
        <w:t xml:space="preserve"> </w:t>
      </w:r>
      <w:r w:rsidR="00653EA8">
        <w:t>view is that the plaintiff and defendant should be able to appeal a certification decision as of right. The implications of a certification decision will be significant. For example, the representative plaintiff and class members may be unable, practically, to proceed further with their claims if certification is denied. As well, if certification is approved, the defendant will likely face a large and complex claim.</w:t>
      </w:r>
    </w:p>
    <w:p w14:paraId="1963BBA2" w14:textId="77777777" w:rsidR="00653EA8" w:rsidRDefault="00653EA8" w:rsidP="00DB0961">
      <w:pPr>
        <w:pStyle w:val="Heading3"/>
      </w:pPr>
      <w:r>
        <w:t>Parties’ appeal rights against a court’s decision on settlement</w:t>
      </w:r>
    </w:p>
    <w:p w14:paraId="2221FA1D" w14:textId="55EC6C89" w:rsidR="00653EA8" w:rsidRDefault="00BD5C95" w:rsidP="005B10E9">
      <w:pPr>
        <w:pStyle w:val="BodyText"/>
        <w:tabs>
          <w:tab w:val="num" w:pos="709"/>
        </w:tabs>
      </w:pPr>
      <w:r>
        <w:rPr>
          <w:rFonts w:ascii="ZWAdobeF" w:hAnsi="ZWAdobeF" w:cs="ZWAdobeF"/>
          <w:color w:val="auto"/>
          <w:sz w:val="2"/>
          <w:szCs w:val="2"/>
        </w:rPr>
        <w:t>416B</w:t>
      </w:r>
      <w:r w:rsidR="0049638A">
        <w:rPr>
          <w:rFonts w:ascii="ZWAdobeF" w:hAnsi="ZWAdobeF" w:cs="ZWAdobeF"/>
          <w:color w:val="auto"/>
          <w:sz w:val="2"/>
          <w:szCs w:val="2"/>
        </w:rPr>
        <w:t>416B</w:t>
      </w:r>
      <w:r w:rsidR="00D629FA">
        <w:rPr>
          <w:rFonts w:ascii="ZWAdobeF" w:hAnsi="ZWAdobeF" w:cs="ZWAdobeF"/>
          <w:color w:val="auto"/>
          <w:sz w:val="2"/>
          <w:szCs w:val="2"/>
        </w:rPr>
        <w:t>416B</w:t>
      </w:r>
      <w:r w:rsidR="00653EA8">
        <w:t>As we discuss in Chapter 6, we consider a class action should only be settled with court approval. This raises the question of whether any appeal rights should follow the court’s decision of whether to approve a settlement.</w:t>
      </w:r>
    </w:p>
    <w:p w14:paraId="0C84F039" w14:textId="447D2BF7" w:rsidR="00653EA8" w:rsidRDefault="00BD5C95" w:rsidP="005B10E9">
      <w:pPr>
        <w:pStyle w:val="BodyText"/>
        <w:tabs>
          <w:tab w:val="num" w:pos="709"/>
        </w:tabs>
      </w:pPr>
      <w:r>
        <w:rPr>
          <w:rFonts w:ascii="ZWAdobeF" w:hAnsi="ZWAdobeF" w:cs="ZWAdobeF"/>
          <w:color w:val="auto"/>
          <w:sz w:val="2"/>
          <w:szCs w:val="2"/>
        </w:rPr>
        <w:t>417B</w:t>
      </w:r>
      <w:r w:rsidR="0049638A">
        <w:rPr>
          <w:rFonts w:ascii="ZWAdobeF" w:hAnsi="ZWAdobeF" w:cs="ZWAdobeF"/>
          <w:color w:val="auto"/>
          <w:sz w:val="2"/>
          <w:szCs w:val="2"/>
        </w:rPr>
        <w:t>417B</w:t>
      </w:r>
      <w:r w:rsidR="00D629FA">
        <w:rPr>
          <w:rFonts w:ascii="ZWAdobeF" w:hAnsi="ZWAdobeF" w:cs="ZWAdobeF"/>
          <w:color w:val="auto"/>
          <w:sz w:val="2"/>
          <w:szCs w:val="2"/>
        </w:rPr>
        <w:t>417B</w:t>
      </w:r>
      <w:r w:rsidR="00653EA8">
        <w:t xml:space="preserve">Our comparator jurisdictions do not expressly provide an appeal right against a </w:t>
      </w:r>
      <w:r w:rsidR="00AC43FA">
        <w:t xml:space="preserve">decision on whether to approve </w:t>
      </w:r>
      <w:r w:rsidR="00653EA8">
        <w:t>settlement in their class actions regimes. However, appeal rights against a court’s decision on settlement are covered by general statutes conferring appellate jurisdiction.</w:t>
      </w:r>
      <w:r w:rsidR="00D629FA">
        <w:rPr>
          <w:rFonts w:ascii="ZWAdobeF" w:hAnsi="ZWAdobeF" w:cs="ZWAdobeF"/>
          <w:color w:val="auto"/>
          <w:sz w:val="2"/>
          <w:szCs w:val="2"/>
        </w:rPr>
        <w:t>689F</w:t>
      </w:r>
      <w:r w:rsidR="007A330E">
        <w:rPr>
          <w:rFonts w:ascii="ZWAdobeF" w:hAnsi="ZWAdobeF" w:cs="ZWAdobeF"/>
          <w:color w:val="auto"/>
          <w:sz w:val="2"/>
          <w:szCs w:val="2"/>
        </w:rPr>
        <w:t>689F</w:t>
      </w:r>
      <w:r w:rsidR="00317AE4">
        <w:rPr>
          <w:rFonts w:ascii="ZWAdobeF" w:hAnsi="ZWAdobeF" w:cs="ZWAdobeF"/>
          <w:color w:val="auto"/>
          <w:sz w:val="2"/>
          <w:szCs w:val="2"/>
        </w:rPr>
        <w:t>689F</w:t>
      </w:r>
      <w:r w:rsidR="00653EA8">
        <w:rPr>
          <w:rStyle w:val="FootnoteReference"/>
        </w:rPr>
        <w:footnoteReference w:id="691"/>
      </w:r>
      <w:r w:rsidR="00653EA8">
        <w:t xml:space="preserve"> </w:t>
      </w:r>
    </w:p>
    <w:p w14:paraId="63006B55" w14:textId="110C84E4" w:rsidR="00653EA8" w:rsidRDefault="00BD5C95" w:rsidP="005B10E9">
      <w:pPr>
        <w:pStyle w:val="BodyText"/>
        <w:tabs>
          <w:tab w:val="num" w:pos="709"/>
        </w:tabs>
      </w:pPr>
      <w:r>
        <w:rPr>
          <w:rFonts w:ascii="ZWAdobeF" w:hAnsi="ZWAdobeF" w:cs="ZWAdobeF"/>
          <w:color w:val="auto"/>
          <w:sz w:val="2"/>
          <w:szCs w:val="2"/>
        </w:rPr>
        <w:t>418B</w:t>
      </w:r>
      <w:r w:rsidR="0049638A">
        <w:rPr>
          <w:rFonts w:ascii="ZWAdobeF" w:hAnsi="ZWAdobeF" w:cs="ZWAdobeF"/>
          <w:color w:val="auto"/>
          <w:sz w:val="2"/>
          <w:szCs w:val="2"/>
        </w:rPr>
        <w:t>418B</w:t>
      </w:r>
      <w:r w:rsidR="00D629FA">
        <w:rPr>
          <w:rFonts w:ascii="ZWAdobeF" w:hAnsi="ZWAdobeF" w:cs="ZWAdobeF"/>
          <w:color w:val="auto"/>
          <w:sz w:val="2"/>
          <w:szCs w:val="2"/>
        </w:rPr>
        <w:t>418B</w:t>
      </w:r>
      <w:r w:rsidR="00653EA8">
        <w:t>Our view is that the parties should have the right to appeal a court’s decision declining to approve a settlement as this decision will have a significant impact for the parties.</w:t>
      </w:r>
      <w:r w:rsidR="00653EA8">
        <w:rPr>
          <w:rFonts w:eastAsiaTheme="minorEastAsia"/>
        </w:rPr>
        <w:t xml:space="preserve"> </w:t>
      </w:r>
      <w:r w:rsidR="00653EA8">
        <w:t xml:space="preserve">However, we consider this appeal should require leave. As we explain in </w:t>
      </w:r>
      <w:r w:rsidR="002D02CE">
        <w:t>Chapter 6</w:t>
      </w:r>
      <w:r w:rsidR="00653EA8">
        <w:t>, where a court declines to approve a settlement, it may indicate the areas of the settlement that have caused it to decline approval. Therefore, an alternative to appealing would be to renegotiate the settlement to address these matters and submit a</w:t>
      </w:r>
      <w:r w:rsidR="00A04E10">
        <w:t>n amended</w:t>
      </w:r>
      <w:r w:rsidR="00653EA8">
        <w:t xml:space="preserve"> </w:t>
      </w:r>
      <w:r w:rsidR="002D02CE">
        <w:t xml:space="preserve">settlement </w:t>
      </w:r>
      <w:r w:rsidR="00653EA8">
        <w:t>for court approval. However,</w:t>
      </w:r>
      <w:r w:rsidR="00653EA8" w:rsidDel="00A513E3">
        <w:t xml:space="preserve"> </w:t>
      </w:r>
      <w:r w:rsidR="00653EA8">
        <w:t>if there is an appealable error of fact or law in the decision,</w:t>
      </w:r>
      <w:r w:rsidR="00D629FA">
        <w:rPr>
          <w:rFonts w:ascii="ZWAdobeF" w:hAnsi="ZWAdobeF" w:cs="ZWAdobeF"/>
          <w:color w:val="auto"/>
          <w:sz w:val="2"/>
          <w:szCs w:val="2"/>
        </w:rPr>
        <w:t>690F</w:t>
      </w:r>
      <w:r w:rsidR="007A330E">
        <w:rPr>
          <w:rFonts w:ascii="ZWAdobeF" w:hAnsi="ZWAdobeF" w:cs="ZWAdobeF"/>
          <w:color w:val="auto"/>
          <w:sz w:val="2"/>
          <w:szCs w:val="2"/>
        </w:rPr>
        <w:t>690F</w:t>
      </w:r>
      <w:r w:rsidR="00317AE4">
        <w:rPr>
          <w:rFonts w:ascii="ZWAdobeF" w:hAnsi="ZWAdobeF" w:cs="ZWAdobeF"/>
          <w:color w:val="auto"/>
          <w:sz w:val="2"/>
          <w:szCs w:val="2"/>
        </w:rPr>
        <w:t>690F</w:t>
      </w:r>
      <w:r w:rsidR="00653EA8">
        <w:rPr>
          <w:rStyle w:val="FootnoteReference"/>
        </w:rPr>
        <w:footnoteReference w:id="692"/>
      </w:r>
      <w:r w:rsidR="00653EA8">
        <w:t xml:space="preserve"> </w:t>
      </w:r>
      <w:r w:rsidR="00653EA8">
        <w:lastRenderedPageBreak/>
        <w:t xml:space="preserve">a party should be able to seek leave to appeal the decision and not have to renegotiate the settlement. The leave requirement would also protect class member interests by preventing unnecessary appeals. </w:t>
      </w:r>
    </w:p>
    <w:p w14:paraId="222297AA" w14:textId="48A8093D" w:rsidR="00653EA8" w:rsidRDefault="00BD5C95" w:rsidP="005B10E9">
      <w:pPr>
        <w:pStyle w:val="BodyText"/>
        <w:tabs>
          <w:tab w:val="num" w:pos="709"/>
        </w:tabs>
      </w:pPr>
      <w:r>
        <w:rPr>
          <w:rFonts w:ascii="ZWAdobeF" w:hAnsi="ZWAdobeF" w:cs="ZWAdobeF"/>
          <w:color w:val="auto"/>
          <w:sz w:val="2"/>
          <w:szCs w:val="2"/>
        </w:rPr>
        <w:t>419B</w:t>
      </w:r>
      <w:r w:rsidR="0049638A">
        <w:rPr>
          <w:rFonts w:ascii="ZWAdobeF" w:hAnsi="ZWAdobeF" w:cs="ZWAdobeF"/>
          <w:color w:val="auto"/>
          <w:sz w:val="2"/>
          <w:szCs w:val="2"/>
        </w:rPr>
        <w:t>419B</w:t>
      </w:r>
      <w:r w:rsidR="00D629FA">
        <w:rPr>
          <w:rFonts w:ascii="ZWAdobeF" w:hAnsi="ZWAdobeF" w:cs="ZWAdobeF"/>
          <w:color w:val="auto"/>
          <w:sz w:val="2"/>
          <w:szCs w:val="2"/>
        </w:rPr>
        <w:t>419B</w:t>
      </w:r>
      <w:r w:rsidR="00653EA8">
        <w:t xml:space="preserve">As we have proposed that an application to approve a settlement is made by both parties, we do not envisage a situation would arise where a party would seek to appeal a decision to approve a settlement. </w:t>
      </w:r>
    </w:p>
    <w:p w14:paraId="49C73071" w14:textId="23C02DFE" w:rsidR="00CA1981" w:rsidRDefault="00416FCA" w:rsidP="00CA1981">
      <w:pPr>
        <w:pStyle w:val="BodyText"/>
        <w:numPr>
          <w:ilvl w:val="0"/>
          <w:numId w:val="0"/>
        </w:numPr>
        <w:tabs>
          <w:tab w:val="clear" w:pos="709"/>
        </w:tabs>
        <w:ind w:left="709"/>
      </w:pPr>
      <w:r>
        <w:rPr>
          <w:noProof/>
        </w:rPr>
        <mc:AlternateContent>
          <mc:Choice Requires="wpg">
            <w:drawing>
              <wp:anchor distT="0" distB="0" distL="114300" distR="114300" simplePos="0" relativeHeight="251655266" behindDoc="1" locked="0" layoutInCell="1" allowOverlap="1" wp14:anchorId="1EB11CE7" wp14:editId="0C1738B6">
                <wp:simplePos x="0" y="0"/>
                <wp:positionH relativeFrom="column">
                  <wp:posOffset>-1833</wp:posOffset>
                </wp:positionH>
                <wp:positionV relativeFrom="paragraph">
                  <wp:posOffset>-24</wp:posOffset>
                </wp:positionV>
                <wp:extent cx="5760085" cy="1423346"/>
                <wp:effectExtent l="0" t="0" r="0" b="5715"/>
                <wp:wrapNone/>
                <wp:docPr id="764517963" name="Group 764517963"/>
                <wp:cNvGraphicFramePr/>
                <a:graphic xmlns:a="http://schemas.openxmlformats.org/drawingml/2006/main">
                  <a:graphicData uri="http://schemas.microsoft.com/office/word/2010/wordprocessingGroup">
                    <wpg:wgp>
                      <wpg:cNvGrpSpPr/>
                      <wpg:grpSpPr>
                        <a:xfrm>
                          <a:off x="0" y="0"/>
                          <a:ext cx="5760085" cy="1423346"/>
                          <a:chOff x="0" y="62865"/>
                          <a:chExt cx="5760085" cy="1423491"/>
                        </a:xfrm>
                      </wpg:grpSpPr>
                      <wps:wsp>
                        <wps:cNvPr id="76451796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E5A437" w14:textId="77777777" w:rsidR="00416FCA" w:rsidRDefault="00416FCA" w:rsidP="00416FCA">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65" name="Group 53"/>
                        <wpg:cNvGrpSpPr>
                          <a:grpSpLocks/>
                        </wpg:cNvGrpSpPr>
                        <wpg:grpSpPr bwMode="auto">
                          <a:xfrm>
                            <a:off x="0" y="316263"/>
                            <a:ext cx="5760085" cy="1170093"/>
                            <a:chOff x="1837" y="1792"/>
                            <a:chExt cx="9302" cy="12639"/>
                          </a:xfrm>
                        </wpg:grpSpPr>
                        <wps:wsp>
                          <wps:cNvPr id="764517966" name="Freeform 54"/>
                          <wps:cNvSpPr>
                            <a:spLocks/>
                          </wps:cNvSpPr>
                          <wps:spPr bwMode="auto">
                            <a:xfrm>
                              <a:off x="1837" y="1792"/>
                              <a:ext cx="9302" cy="1263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67" name="Group 764517967"/>
                        <wpg:cNvGrpSpPr/>
                        <wpg:grpSpPr>
                          <a:xfrm>
                            <a:off x="0" y="494036"/>
                            <a:ext cx="1443794" cy="252000"/>
                            <a:chOff x="-15880" y="0"/>
                            <a:chExt cx="1444379" cy="252068"/>
                          </a:xfrm>
                        </wpg:grpSpPr>
                        <wps:wsp>
                          <wps:cNvPr id="17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D9CDFD" w14:textId="0E85DB62" w:rsidR="00416FCA" w:rsidRPr="00E700FF" w:rsidRDefault="00416FCA" w:rsidP="00416FCA">
                                <w:pPr>
                                  <w:pStyle w:val="BoxTitle"/>
                                  <w:spacing w:before="0" w:beforeAutospacing="0"/>
                                </w:pPr>
                                <w:r w:rsidRPr="001C1B37">
                                  <w:t>Q</w:t>
                                </w:r>
                                <w:r>
                                  <w:t>33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EB11CE7" id="Group 764517963" o:spid="_x0000_s1430" style="position:absolute;left:0;text-align:left;margin-left:-.15pt;margin-top:0;width:453.55pt;height:112.05pt;z-index:-251661214;mso-height-relative:margin" coordorigin=",628" coordsize="57600,1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">
                <v:shape id="_x0000_s143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9E5A437" w14:textId="77777777" w:rsidR="00416FCA" w:rsidRDefault="00416FCA" w:rsidP="00416FCA">
                        <w:pPr>
                          <w:pStyle w:val="BoxTitle"/>
                          <w:spacing w:before="0" w:beforeAutospacing="0"/>
                        </w:pPr>
                        <w:r w:rsidRPr="007F6876">
                          <w:t>QUESTION</w:t>
                        </w:r>
                      </w:p>
                    </w:txbxContent>
                  </v:textbox>
                </v:shape>
                <v:group id="Group 53" o:spid="_x0000_s1432" style="position:absolute;top:3162;width:57600;height:11701" coordorigin="1837,1792" coordsize="9302,1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">
                  <v:shape id="Freeform 54" o:spid="_x0000_s1433" style="position:absolute;left:1837;top:1792;width:9302;height:1263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" path="m,l9354,r,7809l,7809,,e" fillcolor="#edf2ea" stroked="f">
                    <v:path arrowok="t" o:connecttype="custom" o:connectlocs="0,1619;9302,1619;9302,14258;0,14258;0,1619" o:connectangles="0,0,0,0,0"/>
                  </v:shape>
                </v:group>
                <v:group id="Group 764517967" o:spid="_x0000_s143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">
                  <v:shape id="Freeform 58" o:spid="_x0000_s143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" path="m,l1815,e" filled="f" strokecolor="#72ab6a" strokeweight=".5pt">
                    <v:path arrowok="t" o:connecttype="custom" o:connectlocs="0,0;1073495,0" o:connectangles="0,0"/>
                  </v:shape>
                  <v:shape id="Freeform 66" o:spid="_x0000_s143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9D9CDFD" w14:textId="0E85DB62" w:rsidR="00416FCA" w:rsidRPr="00E700FF" w:rsidRDefault="00416FCA" w:rsidP="00416FCA">
                          <w:pPr>
                            <w:pStyle w:val="BoxTitle"/>
                            <w:spacing w:before="0" w:beforeAutospacing="0"/>
                          </w:pPr>
                          <w:r w:rsidRPr="001C1B37">
                            <w:t>Q</w:t>
                          </w:r>
                          <w:r>
                            <w:t>33</w:t>
                          </w:r>
                        </w:p>
                      </w:txbxContent>
                    </v:textbox>
                  </v:shape>
                </v:group>
              </v:group>
            </w:pict>
          </mc:Fallback>
        </mc:AlternateContent>
      </w:r>
    </w:p>
    <w:p w14:paraId="59E6B847" w14:textId="77777777" w:rsidR="008B44DD" w:rsidRDefault="008B44DD" w:rsidP="00CA1981">
      <w:pPr>
        <w:pStyle w:val="BodyText"/>
        <w:numPr>
          <w:ilvl w:val="0"/>
          <w:numId w:val="0"/>
        </w:numPr>
        <w:tabs>
          <w:tab w:val="clear" w:pos="709"/>
        </w:tabs>
        <w:ind w:left="709"/>
      </w:pPr>
    </w:p>
    <w:p w14:paraId="4384E16C" w14:textId="44032B7C" w:rsidR="000C3670" w:rsidRPr="008B44DD" w:rsidRDefault="00BD5C95" w:rsidP="00416FCA">
      <w:pPr>
        <w:pStyle w:val="QuestionBox"/>
      </w:pPr>
      <w:r>
        <w:rPr>
          <w:rFonts w:ascii="ZWAdobeF" w:hAnsi="ZWAdobeF" w:cs="ZWAdobeF"/>
          <w:color w:val="auto"/>
          <w:sz w:val="2"/>
          <w:szCs w:val="2"/>
        </w:rPr>
        <w:t>1434B</w:t>
      </w:r>
      <w:r w:rsidR="0049638A">
        <w:rPr>
          <w:rFonts w:ascii="ZWAdobeF" w:hAnsi="ZWAdobeF" w:cs="ZWAdobeF"/>
          <w:color w:val="auto"/>
          <w:sz w:val="2"/>
          <w:szCs w:val="2"/>
        </w:rPr>
        <w:t>1434B</w:t>
      </w:r>
      <w:r w:rsidR="00D629FA">
        <w:rPr>
          <w:rFonts w:ascii="ZWAdobeF" w:hAnsi="ZWAdobeF" w:cs="ZWAdobeF"/>
          <w:color w:val="auto"/>
          <w:sz w:val="2"/>
          <w:szCs w:val="2"/>
        </w:rPr>
        <w:t>1434B</w:t>
      </w:r>
      <w:r w:rsidR="000C3670" w:rsidRPr="008B44DD">
        <w:t>Do you agree that parties to a class action proceeding should be able to appeal:</w:t>
      </w:r>
    </w:p>
    <w:p w14:paraId="5BC8D43C" w14:textId="0DEFCFCA" w:rsidR="000C3670" w:rsidRPr="008B44DD" w:rsidRDefault="00BD5C95" w:rsidP="00B73434">
      <w:pPr>
        <w:pStyle w:val="Questionabc"/>
        <w:numPr>
          <w:ilvl w:val="0"/>
          <w:numId w:val="89"/>
        </w:numPr>
        <w:ind w:left="1418" w:hanging="425"/>
      </w:pPr>
      <w:r>
        <w:rPr>
          <w:rFonts w:ascii="ZWAdobeF" w:hAnsi="ZWAdobeF" w:cs="ZWAdobeF"/>
          <w:color w:val="auto"/>
          <w:sz w:val="2"/>
          <w:szCs w:val="2"/>
        </w:rPr>
        <w:t>1317B</w:t>
      </w:r>
      <w:r w:rsidR="0049638A">
        <w:rPr>
          <w:rFonts w:ascii="ZWAdobeF" w:hAnsi="ZWAdobeF" w:cs="ZWAdobeF"/>
          <w:color w:val="auto"/>
          <w:sz w:val="2"/>
          <w:szCs w:val="2"/>
        </w:rPr>
        <w:t>1317B</w:t>
      </w:r>
      <w:r w:rsidR="00D629FA">
        <w:rPr>
          <w:rFonts w:ascii="ZWAdobeF" w:hAnsi="ZWAdobeF" w:cs="ZWAdobeF"/>
          <w:color w:val="auto"/>
          <w:sz w:val="2"/>
          <w:szCs w:val="2"/>
        </w:rPr>
        <w:t>1317B</w:t>
      </w:r>
      <w:r w:rsidR="000C3670" w:rsidRPr="008B44DD">
        <w:t>A decision on certification as of right?</w:t>
      </w:r>
    </w:p>
    <w:p w14:paraId="4282E022" w14:textId="4A432BB0" w:rsidR="000C3670" w:rsidRDefault="00BD5C95" w:rsidP="00B73434">
      <w:pPr>
        <w:pStyle w:val="Questionabc"/>
        <w:numPr>
          <w:ilvl w:val="0"/>
          <w:numId w:val="89"/>
        </w:numPr>
        <w:ind w:left="1418" w:hanging="425"/>
      </w:pPr>
      <w:r>
        <w:rPr>
          <w:rFonts w:ascii="ZWAdobeF" w:hAnsi="ZWAdobeF" w:cs="ZWAdobeF"/>
          <w:color w:val="auto"/>
          <w:sz w:val="2"/>
          <w:szCs w:val="2"/>
        </w:rPr>
        <w:t>1318B</w:t>
      </w:r>
      <w:r w:rsidR="0049638A">
        <w:rPr>
          <w:rFonts w:ascii="ZWAdobeF" w:hAnsi="ZWAdobeF" w:cs="ZWAdobeF"/>
          <w:color w:val="auto"/>
          <w:sz w:val="2"/>
          <w:szCs w:val="2"/>
        </w:rPr>
        <w:t>1318B</w:t>
      </w:r>
      <w:r w:rsidR="00D629FA">
        <w:rPr>
          <w:rFonts w:ascii="ZWAdobeF" w:hAnsi="ZWAdobeF" w:cs="ZWAdobeF"/>
          <w:color w:val="auto"/>
          <w:sz w:val="2"/>
          <w:szCs w:val="2"/>
        </w:rPr>
        <w:t>1318B</w:t>
      </w:r>
      <w:r w:rsidR="000C3670" w:rsidRPr="008B44DD">
        <w:t xml:space="preserve">A decision on settlement approval with leave of the </w:t>
      </w:r>
      <w:r w:rsidR="007272B6" w:rsidRPr="008B44DD">
        <w:t>High C</w:t>
      </w:r>
      <w:r w:rsidR="000C3670" w:rsidRPr="008B44DD">
        <w:t>ourt?</w:t>
      </w:r>
    </w:p>
    <w:p w14:paraId="121AB80D" w14:textId="77777777" w:rsidR="003609DF" w:rsidRDefault="003609DF" w:rsidP="00CA1981">
      <w:pPr>
        <w:pStyle w:val="BodyText"/>
        <w:numPr>
          <w:ilvl w:val="0"/>
          <w:numId w:val="0"/>
        </w:numPr>
        <w:tabs>
          <w:tab w:val="clear" w:pos="709"/>
        </w:tabs>
        <w:ind w:left="709"/>
      </w:pPr>
    </w:p>
    <w:p w14:paraId="24210AEF" w14:textId="14F5F5C6" w:rsidR="00653EA8" w:rsidRDefault="00653EA8" w:rsidP="00DB0961">
      <w:pPr>
        <w:pStyle w:val="Heading3"/>
      </w:pPr>
      <w:r>
        <w:t xml:space="preserve">Class member appeal rights </w:t>
      </w:r>
    </w:p>
    <w:p w14:paraId="22AD32D1" w14:textId="2852D05C" w:rsidR="00653EA8" w:rsidRDefault="00BD5C95" w:rsidP="00B73434">
      <w:pPr>
        <w:pStyle w:val="BodyText"/>
        <w:numPr>
          <w:ilvl w:val="1"/>
          <w:numId w:val="76"/>
        </w:numPr>
      </w:pPr>
      <w:r>
        <w:rPr>
          <w:rFonts w:ascii="ZWAdobeF" w:hAnsi="ZWAdobeF" w:cs="ZWAdobeF"/>
          <w:color w:val="auto"/>
          <w:sz w:val="2"/>
          <w:szCs w:val="2"/>
        </w:rPr>
        <w:t>420B</w:t>
      </w:r>
      <w:r w:rsidR="0049638A">
        <w:rPr>
          <w:rFonts w:ascii="ZWAdobeF" w:hAnsi="ZWAdobeF" w:cs="ZWAdobeF"/>
          <w:color w:val="auto"/>
          <w:sz w:val="2"/>
          <w:szCs w:val="2"/>
        </w:rPr>
        <w:t>420B</w:t>
      </w:r>
      <w:r w:rsidR="00D629FA">
        <w:rPr>
          <w:rFonts w:ascii="ZWAdobeF" w:hAnsi="ZWAdobeF" w:cs="ZWAdobeF"/>
          <w:color w:val="auto"/>
          <w:sz w:val="2"/>
          <w:szCs w:val="2"/>
        </w:rPr>
        <w:t>420B</w:t>
      </w:r>
      <w:r w:rsidR="00653EA8">
        <w:t>As class members are not parties to the proceedings, it is not clear whether they would be entitled under general law to appeal decisions.</w:t>
      </w:r>
      <w:r w:rsidR="00D629FA">
        <w:rPr>
          <w:rFonts w:ascii="ZWAdobeF" w:hAnsi="ZWAdobeF" w:cs="ZWAdobeF"/>
          <w:color w:val="auto"/>
          <w:sz w:val="2"/>
          <w:szCs w:val="2"/>
        </w:rPr>
        <w:t>691F</w:t>
      </w:r>
      <w:r w:rsidR="007A330E">
        <w:rPr>
          <w:rFonts w:ascii="ZWAdobeF" w:hAnsi="ZWAdobeF" w:cs="ZWAdobeF"/>
          <w:color w:val="auto"/>
          <w:sz w:val="2"/>
          <w:szCs w:val="2"/>
        </w:rPr>
        <w:t>691F</w:t>
      </w:r>
      <w:r w:rsidR="00317AE4">
        <w:rPr>
          <w:rFonts w:ascii="ZWAdobeF" w:hAnsi="ZWAdobeF" w:cs="ZWAdobeF"/>
          <w:color w:val="auto"/>
          <w:sz w:val="2"/>
          <w:szCs w:val="2"/>
        </w:rPr>
        <w:t>691F</w:t>
      </w:r>
      <w:r w:rsidR="00653EA8">
        <w:rPr>
          <w:rStyle w:val="FootnoteReference"/>
        </w:rPr>
        <w:footnoteReference w:id="693"/>
      </w:r>
      <w:r w:rsidR="00653EA8">
        <w:t xml:space="preserve"> Therefore, we think any class member rights of appeal should be expressly provided for in statute. </w:t>
      </w:r>
    </w:p>
    <w:p w14:paraId="6983340B" w14:textId="0C100F60" w:rsidR="00653EA8" w:rsidRDefault="00BD5C95" w:rsidP="005B10E9">
      <w:pPr>
        <w:pStyle w:val="BodyText"/>
        <w:tabs>
          <w:tab w:val="num" w:pos="709"/>
        </w:tabs>
      </w:pPr>
      <w:r>
        <w:rPr>
          <w:rFonts w:ascii="ZWAdobeF" w:hAnsi="ZWAdobeF" w:cs="ZWAdobeF"/>
          <w:color w:val="auto"/>
          <w:sz w:val="2"/>
          <w:szCs w:val="2"/>
        </w:rPr>
        <w:t>421B</w:t>
      </w:r>
      <w:r w:rsidR="0049638A">
        <w:rPr>
          <w:rFonts w:ascii="ZWAdobeF" w:hAnsi="ZWAdobeF" w:cs="ZWAdobeF"/>
          <w:color w:val="auto"/>
          <w:sz w:val="2"/>
          <w:szCs w:val="2"/>
        </w:rPr>
        <w:t>421B</w:t>
      </w:r>
      <w:r w:rsidR="00D629FA">
        <w:rPr>
          <w:rFonts w:ascii="ZWAdobeF" w:hAnsi="ZWAdobeF" w:cs="ZWAdobeF"/>
          <w:color w:val="auto"/>
          <w:sz w:val="2"/>
          <w:szCs w:val="2"/>
        </w:rPr>
        <w:t>421B</w:t>
      </w:r>
      <w:r w:rsidR="00B16C40">
        <w:t>Some</w:t>
      </w:r>
      <w:r w:rsidR="00844185">
        <w:t xml:space="preserve"> </w:t>
      </w:r>
      <w:r w:rsidR="00653EA8">
        <w:t>jurisdictions allow class members to appeal a decision in specified circumstances. In the Federal Court of Australia, if the representative plaintiff does not appeal, a class member may bring an appeal against aspects of the judgment that relate to common issues.</w:t>
      </w:r>
      <w:r w:rsidR="00D629FA">
        <w:rPr>
          <w:rFonts w:ascii="ZWAdobeF" w:hAnsi="ZWAdobeF" w:cs="ZWAdobeF"/>
          <w:color w:val="auto"/>
          <w:sz w:val="2"/>
          <w:szCs w:val="2"/>
        </w:rPr>
        <w:t>692F</w:t>
      </w:r>
      <w:r w:rsidR="007A330E">
        <w:rPr>
          <w:rFonts w:ascii="ZWAdobeF" w:hAnsi="ZWAdobeF" w:cs="ZWAdobeF"/>
          <w:color w:val="auto"/>
          <w:sz w:val="2"/>
          <w:szCs w:val="2"/>
        </w:rPr>
        <w:t>692F</w:t>
      </w:r>
      <w:r w:rsidR="00317AE4">
        <w:rPr>
          <w:rFonts w:ascii="ZWAdobeF" w:hAnsi="ZWAdobeF" w:cs="ZWAdobeF"/>
          <w:color w:val="auto"/>
          <w:sz w:val="2"/>
          <w:szCs w:val="2"/>
        </w:rPr>
        <w:t>692F</w:t>
      </w:r>
      <w:r w:rsidR="00653EA8">
        <w:rPr>
          <w:rStyle w:val="FootnoteReference"/>
        </w:rPr>
        <w:footnoteReference w:id="694"/>
      </w:r>
    </w:p>
    <w:p w14:paraId="69708C12" w14:textId="51364DCB" w:rsidR="00653EA8" w:rsidRDefault="00BD5C95" w:rsidP="005B10E9">
      <w:pPr>
        <w:pStyle w:val="BodyText"/>
      </w:pPr>
      <w:r>
        <w:rPr>
          <w:rFonts w:ascii="ZWAdobeF" w:hAnsi="ZWAdobeF" w:cs="ZWAdobeF"/>
          <w:color w:val="auto"/>
          <w:sz w:val="2"/>
          <w:szCs w:val="2"/>
        </w:rPr>
        <w:t>422B</w:t>
      </w:r>
      <w:r w:rsidR="0049638A">
        <w:rPr>
          <w:rFonts w:ascii="ZWAdobeF" w:hAnsi="ZWAdobeF" w:cs="ZWAdobeF"/>
          <w:color w:val="auto"/>
          <w:sz w:val="2"/>
          <w:szCs w:val="2"/>
        </w:rPr>
        <w:t>422B</w:t>
      </w:r>
      <w:r w:rsidR="00D629FA">
        <w:rPr>
          <w:rFonts w:ascii="ZWAdobeF" w:hAnsi="ZWAdobeF" w:cs="ZWAdobeF"/>
          <w:color w:val="auto"/>
          <w:sz w:val="2"/>
          <w:szCs w:val="2"/>
        </w:rPr>
        <w:t>422B</w:t>
      </w:r>
      <w:r w:rsidR="00653EA8">
        <w:t>Similarly, in Ontario a class member may appeal a certification decision if the representative plaintiff does not appeal or abandons the appeal.</w:t>
      </w:r>
      <w:r w:rsidR="00D629FA">
        <w:rPr>
          <w:rFonts w:ascii="ZWAdobeF" w:hAnsi="ZWAdobeF" w:cs="ZWAdobeF"/>
          <w:color w:val="auto"/>
          <w:sz w:val="2"/>
          <w:szCs w:val="2"/>
        </w:rPr>
        <w:t>693F</w:t>
      </w:r>
      <w:r w:rsidR="007A330E">
        <w:rPr>
          <w:rFonts w:ascii="ZWAdobeF" w:hAnsi="ZWAdobeF" w:cs="ZWAdobeF"/>
          <w:color w:val="auto"/>
          <w:sz w:val="2"/>
          <w:szCs w:val="2"/>
        </w:rPr>
        <w:t>693F</w:t>
      </w:r>
      <w:r w:rsidR="00317AE4">
        <w:rPr>
          <w:rFonts w:ascii="ZWAdobeF" w:hAnsi="ZWAdobeF" w:cs="ZWAdobeF"/>
          <w:color w:val="auto"/>
          <w:sz w:val="2"/>
          <w:szCs w:val="2"/>
        </w:rPr>
        <w:t>693F</w:t>
      </w:r>
      <w:r w:rsidR="00653EA8">
        <w:rPr>
          <w:rStyle w:val="FootnoteReference"/>
        </w:rPr>
        <w:footnoteReference w:id="695"/>
      </w:r>
      <w:r w:rsidR="00653EA8">
        <w:t xml:space="preserve"> A class member may also appeal a judgment on common issues or aggregate assessment of monetary relief if the representative plaintiff does not appeal or abandons the appeal.</w:t>
      </w:r>
      <w:r w:rsidR="00D629FA">
        <w:rPr>
          <w:rFonts w:ascii="ZWAdobeF" w:hAnsi="ZWAdobeF" w:cs="ZWAdobeF"/>
          <w:color w:val="auto"/>
          <w:sz w:val="2"/>
          <w:szCs w:val="2"/>
        </w:rPr>
        <w:t>694F</w:t>
      </w:r>
      <w:r w:rsidR="007A330E">
        <w:rPr>
          <w:rFonts w:ascii="ZWAdobeF" w:hAnsi="ZWAdobeF" w:cs="ZWAdobeF"/>
          <w:color w:val="auto"/>
          <w:sz w:val="2"/>
          <w:szCs w:val="2"/>
        </w:rPr>
        <w:t>694F</w:t>
      </w:r>
      <w:r w:rsidR="00317AE4">
        <w:rPr>
          <w:rFonts w:ascii="ZWAdobeF" w:hAnsi="ZWAdobeF" w:cs="ZWAdobeF"/>
          <w:color w:val="auto"/>
          <w:sz w:val="2"/>
          <w:szCs w:val="2"/>
        </w:rPr>
        <w:t>694F</w:t>
      </w:r>
      <w:r w:rsidR="00653EA8">
        <w:rPr>
          <w:rStyle w:val="FootnoteReference"/>
        </w:rPr>
        <w:footnoteReference w:id="696"/>
      </w:r>
      <w:r w:rsidR="00653EA8">
        <w:t xml:space="preserve"> In such appeals, the class member applies to the court to act as the representative plaintiff for the </w:t>
      </w:r>
      <w:r w:rsidR="00653EA8">
        <w:lastRenderedPageBreak/>
        <w:t>purposes of the appeal.</w:t>
      </w:r>
      <w:r w:rsidR="00D629FA">
        <w:rPr>
          <w:rFonts w:ascii="ZWAdobeF" w:hAnsi="ZWAdobeF" w:cs="ZWAdobeF"/>
          <w:color w:val="auto"/>
          <w:sz w:val="2"/>
          <w:szCs w:val="2"/>
        </w:rPr>
        <w:t>695F</w:t>
      </w:r>
      <w:r w:rsidR="007A330E">
        <w:rPr>
          <w:rFonts w:ascii="ZWAdobeF" w:hAnsi="ZWAdobeF" w:cs="ZWAdobeF"/>
          <w:color w:val="auto"/>
          <w:sz w:val="2"/>
          <w:szCs w:val="2"/>
        </w:rPr>
        <w:t>695F</w:t>
      </w:r>
      <w:r w:rsidR="00317AE4">
        <w:rPr>
          <w:rFonts w:ascii="ZWAdobeF" w:hAnsi="ZWAdobeF" w:cs="ZWAdobeF"/>
          <w:color w:val="auto"/>
          <w:sz w:val="2"/>
          <w:szCs w:val="2"/>
        </w:rPr>
        <w:t>695F</w:t>
      </w:r>
      <w:r w:rsidR="00653EA8">
        <w:rPr>
          <w:rStyle w:val="FootnoteReference"/>
        </w:rPr>
        <w:footnoteReference w:id="697"/>
      </w:r>
      <w:r w:rsidR="00653EA8">
        <w:t xml:space="preserve"> The other Canadian common law provinces have similar provisions.</w:t>
      </w:r>
      <w:r w:rsidR="00D629FA">
        <w:rPr>
          <w:rFonts w:ascii="ZWAdobeF" w:hAnsi="ZWAdobeF" w:cs="ZWAdobeF"/>
          <w:color w:val="auto"/>
          <w:sz w:val="2"/>
          <w:szCs w:val="2"/>
        </w:rPr>
        <w:t>696F</w:t>
      </w:r>
      <w:r w:rsidR="007A330E">
        <w:rPr>
          <w:rFonts w:ascii="ZWAdobeF" w:hAnsi="ZWAdobeF" w:cs="ZWAdobeF"/>
          <w:color w:val="auto"/>
          <w:sz w:val="2"/>
          <w:szCs w:val="2"/>
        </w:rPr>
        <w:t>696F</w:t>
      </w:r>
      <w:r w:rsidR="00317AE4">
        <w:rPr>
          <w:rFonts w:ascii="ZWAdobeF" w:hAnsi="ZWAdobeF" w:cs="ZWAdobeF"/>
          <w:color w:val="auto"/>
          <w:sz w:val="2"/>
          <w:szCs w:val="2"/>
        </w:rPr>
        <w:t>696F</w:t>
      </w:r>
      <w:r w:rsidR="00653EA8">
        <w:rPr>
          <w:rStyle w:val="FootnoteReference"/>
        </w:rPr>
        <w:footnoteReference w:id="698"/>
      </w:r>
      <w:r w:rsidR="00653EA8">
        <w:t xml:space="preserve"> It appears that class member appeal rights are limited to those provided in statute. For example, some Canadian decisions have found class members do not have a right to appeal settlement.</w:t>
      </w:r>
      <w:r w:rsidR="00D629FA">
        <w:rPr>
          <w:rFonts w:ascii="ZWAdobeF" w:hAnsi="ZWAdobeF" w:cs="ZWAdobeF"/>
          <w:color w:val="auto"/>
          <w:sz w:val="2"/>
          <w:szCs w:val="2"/>
        </w:rPr>
        <w:t>697F</w:t>
      </w:r>
      <w:r w:rsidR="007A330E">
        <w:rPr>
          <w:rFonts w:ascii="ZWAdobeF" w:hAnsi="ZWAdobeF" w:cs="ZWAdobeF"/>
          <w:color w:val="auto"/>
          <w:sz w:val="2"/>
          <w:szCs w:val="2"/>
        </w:rPr>
        <w:t>697F</w:t>
      </w:r>
      <w:r w:rsidR="00317AE4">
        <w:rPr>
          <w:rFonts w:ascii="ZWAdobeF" w:hAnsi="ZWAdobeF" w:cs="ZWAdobeF"/>
          <w:color w:val="auto"/>
          <w:sz w:val="2"/>
          <w:szCs w:val="2"/>
        </w:rPr>
        <w:t>697F</w:t>
      </w:r>
      <w:r w:rsidR="00653EA8">
        <w:rPr>
          <w:rStyle w:val="FootnoteReference"/>
        </w:rPr>
        <w:footnoteReference w:id="699"/>
      </w:r>
    </w:p>
    <w:p w14:paraId="1DBA74F8" w14:textId="6F20636F" w:rsidR="00653EA8" w:rsidRDefault="00BD5C95" w:rsidP="005B10E9">
      <w:pPr>
        <w:pStyle w:val="BodyText"/>
      </w:pPr>
      <w:r>
        <w:rPr>
          <w:rFonts w:ascii="ZWAdobeF" w:hAnsi="ZWAdobeF" w:cs="ZWAdobeF"/>
          <w:color w:val="auto"/>
          <w:sz w:val="2"/>
          <w:szCs w:val="2"/>
        </w:rPr>
        <w:t>423B</w:t>
      </w:r>
      <w:r w:rsidR="0049638A">
        <w:rPr>
          <w:rFonts w:ascii="ZWAdobeF" w:hAnsi="ZWAdobeF" w:cs="ZWAdobeF"/>
          <w:color w:val="auto"/>
          <w:sz w:val="2"/>
          <w:szCs w:val="2"/>
        </w:rPr>
        <w:t>423B</w:t>
      </w:r>
      <w:r w:rsidR="00D629FA">
        <w:rPr>
          <w:rFonts w:ascii="ZWAdobeF" w:hAnsi="ZWAdobeF" w:cs="ZWAdobeF"/>
          <w:color w:val="auto"/>
          <w:sz w:val="2"/>
          <w:szCs w:val="2"/>
        </w:rPr>
        <w:t>423B</w:t>
      </w:r>
      <w:r w:rsidR="00653EA8">
        <w:t xml:space="preserve">In the United States, </w:t>
      </w:r>
      <w:r w:rsidR="00FC04A5">
        <w:t xml:space="preserve">if </w:t>
      </w:r>
      <w:r w:rsidR="0062128D">
        <w:t xml:space="preserve">a </w:t>
      </w:r>
      <w:r w:rsidR="00FC04A5">
        <w:t>class member formally intervene</w:t>
      </w:r>
      <w:r w:rsidR="0062128D">
        <w:t>s</w:t>
      </w:r>
      <w:r w:rsidR="00FC04A5">
        <w:t xml:space="preserve"> in a proceeding</w:t>
      </w:r>
      <w:r w:rsidR="0062128D">
        <w:t>,</w:t>
      </w:r>
      <w:r w:rsidR="00FC04A5">
        <w:t xml:space="preserve"> they</w:t>
      </w:r>
      <w:r w:rsidR="0062128D">
        <w:t xml:space="preserve"> </w:t>
      </w:r>
      <w:r w:rsidR="00FC04A5">
        <w:t>generally have a right of appeal</w:t>
      </w:r>
      <w:r w:rsidR="00653EA8">
        <w:t>. This is different to Aotearoa New Zealand, as interveners do not have appeal rights.</w:t>
      </w:r>
      <w:r w:rsidR="00D629FA">
        <w:rPr>
          <w:rFonts w:ascii="ZWAdobeF" w:hAnsi="ZWAdobeF" w:cs="ZWAdobeF"/>
          <w:color w:val="auto"/>
          <w:sz w:val="2"/>
          <w:szCs w:val="2"/>
        </w:rPr>
        <w:t>698F</w:t>
      </w:r>
      <w:r w:rsidR="007A330E">
        <w:rPr>
          <w:rFonts w:ascii="ZWAdobeF" w:hAnsi="ZWAdobeF" w:cs="ZWAdobeF"/>
          <w:color w:val="auto"/>
          <w:sz w:val="2"/>
          <w:szCs w:val="2"/>
        </w:rPr>
        <w:t>698F</w:t>
      </w:r>
      <w:r w:rsidR="00317AE4">
        <w:rPr>
          <w:rFonts w:ascii="ZWAdobeF" w:hAnsi="ZWAdobeF" w:cs="ZWAdobeF"/>
          <w:color w:val="auto"/>
          <w:sz w:val="2"/>
          <w:szCs w:val="2"/>
        </w:rPr>
        <w:t>698F</w:t>
      </w:r>
      <w:r w:rsidR="00653EA8">
        <w:rPr>
          <w:rStyle w:val="FootnoteReference"/>
        </w:rPr>
        <w:footnoteReference w:id="700"/>
      </w:r>
      <w:r w:rsidR="00653EA8">
        <w:t xml:space="preserve"> Class members can </w:t>
      </w:r>
      <w:r w:rsidR="00B16C40">
        <w:t xml:space="preserve">be </w:t>
      </w:r>
      <w:r w:rsidR="00653EA8">
        <w:t>permitted to intervene for the purposes of appealing a decision declining certification, if no appeal is brought by the representative plaintiff.</w:t>
      </w:r>
      <w:r w:rsidR="00D629FA">
        <w:rPr>
          <w:rFonts w:ascii="ZWAdobeF" w:hAnsi="ZWAdobeF" w:cs="ZWAdobeF"/>
          <w:color w:val="auto"/>
          <w:sz w:val="2"/>
          <w:szCs w:val="2"/>
        </w:rPr>
        <w:t>699F</w:t>
      </w:r>
      <w:r w:rsidR="007A330E">
        <w:rPr>
          <w:rFonts w:ascii="ZWAdobeF" w:hAnsi="ZWAdobeF" w:cs="ZWAdobeF"/>
          <w:color w:val="auto"/>
          <w:sz w:val="2"/>
          <w:szCs w:val="2"/>
        </w:rPr>
        <w:t>699F</w:t>
      </w:r>
      <w:r w:rsidR="00317AE4">
        <w:rPr>
          <w:rFonts w:ascii="ZWAdobeF" w:hAnsi="ZWAdobeF" w:cs="ZWAdobeF"/>
          <w:color w:val="auto"/>
          <w:sz w:val="2"/>
          <w:szCs w:val="2"/>
        </w:rPr>
        <w:t>699F</w:t>
      </w:r>
      <w:r w:rsidR="00653EA8">
        <w:rPr>
          <w:rStyle w:val="FootnoteReference"/>
        </w:rPr>
        <w:footnoteReference w:id="701"/>
      </w:r>
      <w:r w:rsidR="00653EA8">
        <w:t xml:space="preserve"> As well, if a class member intervenes in the hearing on the common issues, they may appeal the substantive judgment.</w:t>
      </w:r>
      <w:r w:rsidR="00D629FA">
        <w:rPr>
          <w:rFonts w:ascii="ZWAdobeF" w:hAnsi="ZWAdobeF" w:cs="ZWAdobeF"/>
          <w:color w:val="auto"/>
          <w:sz w:val="2"/>
          <w:szCs w:val="2"/>
        </w:rPr>
        <w:t>700F</w:t>
      </w:r>
      <w:r w:rsidR="007A330E">
        <w:rPr>
          <w:rFonts w:ascii="ZWAdobeF" w:hAnsi="ZWAdobeF" w:cs="ZWAdobeF"/>
          <w:color w:val="auto"/>
          <w:sz w:val="2"/>
          <w:szCs w:val="2"/>
        </w:rPr>
        <w:t>700F</w:t>
      </w:r>
      <w:r w:rsidR="00317AE4">
        <w:rPr>
          <w:rFonts w:ascii="ZWAdobeF" w:hAnsi="ZWAdobeF" w:cs="ZWAdobeF"/>
          <w:color w:val="auto"/>
          <w:sz w:val="2"/>
          <w:szCs w:val="2"/>
        </w:rPr>
        <w:t>700F</w:t>
      </w:r>
      <w:r w:rsidR="00653EA8">
        <w:rPr>
          <w:rStyle w:val="FootnoteReference"/>
        </w:rPr>
        <w:footnoteReference w:id="702"/>
      </w:r>
      <w:r w:rsidR="00653EA8">
        <w:t xml:space="preserve"> Appeal rights against settlement do not require formal intervention. Class members can appeal against decisions approving settlement provided they objected during the settlement hearing.</w:t>
      </w:r>
      <w:r w:rsidR="00D629FA">
        <w:rPr>
          <w:rFonts w:ascii="ZWAdobeF" w:hAnsi="ZWAdobeF" w:cs="ZWAdobeF"/>
          <w:color w:val="auto"/>
          <w:sz w:val="2"/>
          <w:szCs w:val="2"/>
        </w:rPr>
        <w:t>701F</w:t>
      </w:r>
      <w:r w:rsidR="007A330E">
        <w:rPr>
          <w:rFonts w:ascii="ZWAdobeF" w:hAnsi="ZWAdobeF" w:cs="ZWAdobeF"/>
          <w:color w:val="auto"/>
          <w:sz w:val="2"/>
          <w:szCs w:val="2"/>
        </w:rPr>
        <w:t>701F</w:t>
      </w:r>
      <w:r w:rsidR="00317AE4">
        <w:rPr>
          <w:rFonts w:ascii="ZWAdobeF" w:hAnsi="ZWAdobeF" w:cs="ZWAdobeF"/>
          <w:color w:val="auto"/>
          <w:sz w:val="2"/>
          <w:szCs w:val="2"/>
        </w:rPr>
        <w:t>701F</w:t>
      </w:r>
      <w:r w:rsidR="00653EA8">
        <w:rPr>
          <w:rStyle w:val="FootnoteReference"/>
        </w:rPr>
        <w:footnoteReference w:id="703"/>
      </w:r>
      <w:r w:rsidR="00653EA8">
        <w:t xml:space="preserve"> Commentary explains that the majority of appeals in class actions are brought by class members against settlement.</w:t>
      </w:r>
      <w:r w:rsidR="00D629FA">
        <w:rPr>
          <w:rFonts w:ascii="ZWAdobeF" w:hAnsi="ZWAdobeF" w:cs="ZWAdobeF"/>
          <w:color w:val="auto"/>
          <w:sz w:val="2"/>
          <w:szCs w:val="2"/>
        </w:rPr>
        <w:t>702F</w:t>
      </w:r>
      <w:r w:rsidR="007A330E">
        <w:rPr>
          <w:rFonts w:ascii="ZWAdobeF" w:hAnsi="ZWAdobeF" w:cs="ZWAdobeF"/>
          <w:color w:val="auto"/>
          <w:sz w:val="2"/>
          <w:szCs w:val="2"/>
        </w:rPr>
        <w:t>702F</w:t>
      </w:r>
      <w:r w:rsidR="00317AE4">
        <w:rPr>
          <w:rFonts w:ascii="ZWAdobeF" w:hAnsi="ZWAdobeF" w:cs="ZWAdobeF"/>
          <w:color w:val="auto"/>
          <w:sz w:val="2"/>
          <w:szCs w:val="2"/>
        </w:rPr>
        <w:t>702F</w:t>
      </w:r>
      <w:r w:rsidR="00653EA8">
        <w:rPr>
          <w:rStyle w:val="FootnoteReference"/>
        </w:rPr>
        <w:footnoteReference w:id="704"/>
      </w:r>
      <w:r w:rsidR="00653EA8">
        <w:t xml:space="preserve"> </w:t>
      </w:r>
    </w:p>
    <w:p w14:paraId="15260D30" w14:textId="3B6F632B" w:rsidR="00653EA8" w:rsidRDefault="00BD5C95" w:rsidP="005B10E9">
      <w:pPr>
        <w:pStyle w:val="BodyText"/>
        <w:tabs>
          <w:tab w:val="num" w:pos="709"/>
        </w:tabs>
      </w:pPr>
      <w:r>
        <w:rPr>
          <w:rFonts w:ascii="ZWAdobeF" w:hAnsi="ZWAdobeF" w:cs="ZWAdobeF"/>
          <w:color w:val="auto"/>
          <w:sz w:val="2"/>
          <w:szCs w:val="2"/>
        </w:rPr>
        <w:t>424B</w:t>
      </w:r>
      <w:r w:rsidR="0049638A">
        <w:rPr>
          <w:rFonts w:ascii="ZWAdobeF" w:hAnsi="ZWAdobeF" w:cs="ZWAdobeF"/>
          <w:color w:val="auto"/>
          <w:sz w:val="2"/>
          <w:szCs w:val="2"/>
        </w:rPr>
        <w:t>424B</w:t>
      </w:r>
      <w:r w:rsidR="00D629FA">
        <w:rPr>
          <w:rFonts w:ascii="ZWAdobeF" w:hAnsi="ZWAdobeF" w:cs="ZWAdobeF"/>
          <w:color w:val="auto"/>
          <w:sz w:val="2"/>
          <w:szCs w:val="2"/>
        </w:rPr>
        <w:t>424B</w:t>
      </w:r>
      <w:r w:rsidR="00653EA8">
        <w:t xml:space="preserve">We consider class members should be able to appeal the substantive judgment on the common issues if the representative plaintiff does not appeal or abandons an appeal. As discussed earlier in this chapter, the substantive judgment on the common issues is binding on class members. We therefore consider it is appropriate for them to have the ability to appeal if the representative plaintiff does not. </w:t>
      </w:r>
    </w:p>
    <w:p w14:paraId="6FD49BAA" w14:textId="0B9A59B0" w:rsidR="00653EA8" w:rsidRDefault="00BD5C95" w:rsidP="005B10E9">
      <w:pPr>
        <w:pStyle w:val="BodyText"/>
        <w:tabs>
          <w:tab w:val="clear" w:pos="709"/>
        </w:tabs>
      </w:pPr>
      <w:r>
        <w:rPr>
          <w:rFonts w:ascii="ZWAdobeF" w:hAnsi="ZWAdobeF" w:cs="ZWAdobeF"/>
          <w:color w:val="auto"/>
          <w:sz w:val="2"/>
          <w:szCs w:val="2"/>
        </w:rPr>
        <w:t>425B</w:t>
      </w:r>
      <w:r w:rsidR="0049638A">
        <w:rPr>
          <w:rFonts w:ascii="ZWAdobeF" w:hAnsi="ZWAdobeF" w:cs="ZWAdobeF"/>
          <w:color w:val="auto"/>
          <w:sz w:val="2"/>
          <w:szCs w:val="2"/>
        </w:rPr>
        <w:t>425B</w:t>
      </w:r>
      <w:r w:rsidR="00D629FA">
        <w:rPr>
          <w:rFonts w:ascii="ZWAdobeF" w:hAnsi="ZWAdobeF" w:cs="ZWAdobeF"/>
          <w:color w:val="auto"/>
          <w:sz w:val="2"/>
          <w:szCs w:val="2"/>
        </w:rPr>
        <w:t>425B</w:t>
      </w:r>
      <w:r w:rsidR="003B00C8">
        <w:t xml:space="preserve">In our view, class members should require leave to appeal the decision on common issues. </w:t>
      </w:r>
      <w:r w:rsidR="00653EA8">
        <w:t xml:space="preserve">This would enable the court to decline leave to appeal where there appear insufficient grounds for it or it is improperly motivated. This will help to protect the parties (and other class members) from unnecessary appeals and reduce delay. We also think the class member should be required to apply to the court to act as the representative plaintiff for the purposes of the appeal (and the court would need to consider their suitability for the role in terms of the test we propose in Chapter 1, adapted to the circumstances of an appeal). Given an appeal would be binding on all class members, we think it is important </w:t>
      </w:r>
      <w:r w:rsidR="00653EA8">
        <w:lastRenderedPageBreak/>
        <w:t>the class member acts in a representative capacity. This will</w:t>
      </w:r>
      <w:r w:rsidR="001113D5">
        <w:t xml:space="preserve"> also</w:t>
      </w:r>
      <w:r w:rsidR="00653EA8">
        <w:t xml:space="preserve"> prevent simultaneous appeals being brought by different class members.</w:t>
      </w:r>
    </w:p>
    <w:p w14:paraId="4A64AF8F" w14:textId="1F048621" w:rsidR="00653EA8" w:rsidRDefault="00BD5C95" w:rsidP="005B10E9">
      <w:pPr>
        <w:pStyle w:val="BodyText"/>
        <w:tabs>
          <w:tab w:val="clear" w:pos="709"/>
        </w:tabs>
      </w:pPr>
      <w:r>
        <w:rPr>
          <w:rFonts w:ascii="ZWAdobeF" w:hAnsi="ZWAdobeF" w:cs="ZWAdobeF"/>
          <w:color w:val="auto"/>
          <w:sz w:val="2"/>
          <w:szCs w:val="2"/>
        </w:rPr>
        <w:t>426B</w:t>
      </w:r>
      <w:r w:rsidR="0049638A">
        <w:rPr>
          <w:rFonts w:ascii="ZWAdobeF" w:hAnsi="ZWAdobeF" w:cs="ZWAdobeF"/>
          <w:color w:val="auto"/>
          <w:sz w:val="2"/>
          <w:szCs w:val="2"/>
        </w:rPr>
        <w:t>426B</w:t>
      </w:r>
      <w:r w:rsidR="00D629FA">
        <w:rPr>
          <w:rFonts w:ascii="ZWAdobeF" w:hAnsi="ZWAdobeF" w:cs="ZWAdobeF"/>
          <w:color w:val="auto"/>
          <w:sz w:val="2"/>
          <w:szCs w:val="2"/>
        </w:rPr>
        <w:t>426B</w:t>
      </w:r>
      <w:r w:rsidR="00653EA8">
        <w:t>However, we do not consider class member</w:t>
      </w:r>
      <w:r w:rsidR="001113D5">
        <w:t>s</w:t>
      </w:r>
      <w:r w:rsidR="00653EA8">
        <w:t xml:space="preserve"> should be able to appeal a decision on certification or settlement approval. We acknowledge that class members can appeal a certification decision in Canada and (to an extent) in the United States. </w:t>
      </w:r>
      <w:r w:rsidR="001113D5">
        <w:t>However, i</w:t>
      </w:r>
      <w:r w:rsidR="00653EA8">
        <w:t xml:space="preserve">n practice we are unsure when it would be appropriate for a class member to appeal a certification decision. For example, if certification was declined because the representative plaintiff was unsuitable, it may be more appropriate to bring a further </w:t>
      </w:r>
      <w:r w:rsidR="009670A9">
        <w:t xml:space="preserve">certification </w:t>
      </w:r>
      <w:r w:rsidR="00653EA8">
        <w:t>application with a different representative plaintiff. Similarly, it does not seem appropriate to allow a class member to appeal a successful certification decision when the class member could simply opt out of the proceeding</w:t>
      </w:r>
      <w:r w:rsidR="004E506C">
        <w:t xml:space="preserve"> (or decide not to opt in)</w:t>
      </w:r>
      <w:r w:rsidR="00653EA8">
        <w:t xml:space="preserve">. One scenario where it might be appropriate for a class member to appeal is if the representative plaintiff abandons an appeal against a decision to decline certification. However, we think this scenario would be better managed by a power to substitute the representative plaintiff rather than an expanded right of appeal. </w:t>
      </w:r>
    </w:p>
    <w:p w14:paraId="13AFE2E2" w14:textId="12609A1A" w:rsidR="00653EA8" w:rsidRDefault="00BD5C95" w:rsidP="005B10E9">
      <w:pPr>
        <w:pStyle w:val="BodyText"/>
        <w:tabs>
          <w:tab w:val="clear" w:pos="709"/>
        </w:tabs>
      </w:pPr>
      <w:r>
        <w:rPr>
          <w:rFonts w:ascii="ZWAdobeF" w:hAnsi="ZWAdobeF" w:cs="ZWAdobeF"/>
          <w:color w:val="auto"/>
          <w:sz w:val="2"/>
          <w:szCs w:val="2"/>
        </w:rPr>
        <w:t>427B</w:t>
      </w:r>
      <w:r w:rsidR="0049638A">
        <w:rPr>
          <w:rFonts w:ascii="ZWAdobeF" w:hAnsi="ZWAdobeF" w:cs="ZWAdobeF"/>
          <w:color w:val="auto"/>
          <w:sz w:val="2"/>
          <w:szCs w:val="2"/>
        </w:rPr>
        <w:t>427B</w:t>
      </w:r>
      <w:r w:rsidR="00D629FA">
        <w:rPr>
          <w:rFonts w:ascii="ZWAdobeF" w:hAnsi="ZWAdobeF" w:cs="ZWAdobeF"/>
          <w:color w:val="auto"/>
          <w:sz w:val="2"/>
          <w:szCs w:val="2"/>
        </w:rPr>
        <w:t>427B</w:t>
      </w:r>
      <w:r w:rsidR="00653EA8">
        <w:t xml:space="preserve">We do not think that class members should be able to appeal a court’s decision to approve a settlement, given the delay this would cause for parties wanting to proceed with an approved settlement. We acknowledge it is very unlikely the representative plaintiff or defendant will appeal, given they will have proposed the settlement to the court. However, as discussed in Chapter 6, we propose that class members should be able to file an objection to a proposed settlement and opt out of any approved settlement. Further, we propose that the court can only approve a settlement if satisfied that it is fair, reasonable and in the interests of the class as a whole. If these measures are </w:t>
      </w:r>
      <w:r w:rsidR="00BF7EF2">
        <w:t>implemented,</w:t>
      </w:r>
      <w:r w:rsidR="00653EA8">
        <w:t xml:space="preserve"> they should sufficiently safeguard the interests of class members during the settlement approval process.  </w:t>
      </w:r>
    </w:p>
    <w:p w14:paraId="3DD5013A" w14:textId="69910C67" w:rsidR="009B37CB" w:rsidRDefault="00C06B37" w:rsidP="009B37CB">
      <w:pPr>
        <w:pStyle w:val="QuestionBox"/>
      </w:pPr>
      <w:r>
        <w:rPr>
          <w:noProof/>
        </w:rPr>
        <mc:AlternateContent>
          <mc:Choice Requires="wpg">
            <w:drawing>
              <wp:anchor distT="0" distB="0" distL="114300" distR="114300" simplePos="0" relativeHeight="251652173" behindDoc="1" locked="0" layoutInCell="1" allowOverlap="1" wp14:anchorId="7C95AA6C" wp14:editId="71E75363">
                <wp:simplePos x="0" y="0"/>
                <wp:positionH relativeFrom="column">
                  <wp:posOffset>-3810</wp:posOffset>
                </wp:positionH>
                <wp:positionV relativeFrom="paragraph">
                  <wp:posOffset>3810</wp:posOffset>
                </wp:positionV>
                <wp:extent cx="5760085" cy="1914516"/>
                <wp:effectExtent l="0" t="0" r="0" b="0"/>
                <wp:wrapNone/>
                <wp:docPr id="764518338" name="Group 764518338"/>
                <wp:cNvGraphicFramePr/>
                <a:graphic xmlns:a="http://schemas.openxmlformats.org/drawingml/2006/main">
                  <a:graphicData uri="http://schemas.microsoft.com/office/word/2010/wordprocessingGroup">
                    <wpg:wgp>
                      <wpg:cNvGrpSpPr/>
                      <wpg:grpSpPr>
                        <a:xfrm>
                          <a:off x="0" y="0"/>
                          <a:ext cx="5760085" cy="1914516"/>
                          <a:chOff x="0" y="0"/>
                          <a:chExt cx="5760085" cy="1914516"/>
                        </a:xfrm>
                      </wpg:grpSpPr>
                      <wpg:grpSp>
                        <wpg:cNvPr id="345" name="Group 345"/>
                        <wpg:cNvGrpSpPr/>
                        <wpg:grpSpPr>
                          <a:xfrm>
                            <a:off x="0" y="0"/>
                            <a:ext cx="5760085" cy="1914516"/>
                            <a:chOff x="0" y="62865"/>
                            <a:chExt cx="5760085" cy="1914710"/>
                          </a:xfrm>
                        </wpg:grpSpPr>
                        <wps:wsp>
                          <wps:cNvPr id="34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D0AB04" w14:textId="77777777" w:rsidR="00A55F53" w:rsidRDefault="00A55F53" w:rsidP="00DB0961">
                                <w:pPr>
                                  <w:pStyle w:val="BoxTitle"/>
                                  <w:spacing w:before="0" w:beforeAutospacing="0"/>
                                </w:pPr>
                                <w:r w:rsidRPr="007F6876">
                                  <w:t>QUESTION</w:t>
                                </w:r>
                              </w:p>
                            </w:txbxContent>
                          </wps:txbx>
                          <wps:bodyPr rot="0" vert="horz" wrap="square" lIns="91440" tIns="0" rIns="0" bIns="45720" anchor="ctr" anchorCtr="0" upright="1">
                            <a:noAutofit/>
                          </wps:bodyPr>
                        </wps:wsp>
                        <wpg:grpSp>
                          <wpg:cNvPr id="352" name="Group 53"/>
                          <wpg:cNvGrpSpPr>
                            <a:grpSpLocks/>
                          </wpg:cNvGrpSpPr>
                          <wpg:grpSpPr bwMode="auto">
                            <a:xfrm>
                              <a:off x="0" y="316263"/>
                              <a:ext cx="5760085" cy="1661312"/>
                              <a:chOff x="1837" y="1792"/>
                              <a:chExt cx="9302" cy="17945"/>
                            </a:xfrm>
                          </wpg:grpSpPr>
                          <wps:wsp>
                            <wps:cNvPr id="353" name="Freeform 54"/>
                            <wps:cNvSpPr>
                              <a:spLocks/>
                            </wps:cNvSpPr>
                            <wps:spPr bwMode="auto">
                              <a:xfrm>
                                <a:off x="1837" y="1792"/>
                                <a:ext cx="9302" cy="1794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54"/>
                          <wpg:cNvGrpSpPr/>
                          <wpg:grpSpPr>
                            <a:xfrm>
                              <a:off x="0" y="494036"/>
                              <a:ext cx="1443794" cy="252000"/>
                              <a:chOff x="-15880" y="0"/>
                              <a:chExt cx="1444379" cy="252068"/>
                            </a:xfrm>
                          </wpg:grpSpPr>
                          <wps:wsp>
                            <wps:cNvPr id="355"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3D59E0" w14:textId="5EF3C810" w:rsidR="00A55F53" w:rsidRPr="00E700FF" w:rsidRDefault="00A55F53" w:rsidP="00DB0961">
                                  <w:pPr>
                                    <w:pStyle w:val="BoxTitle"/>
                                    <w:spacing w:before="0" w:beforeAutospacing="0"/>
                                  </w:pPr>
                                  <w:r w:rsidRPr="001C1B37">
                                    <w:t>Q</w:t>
                                  </w:r>
                                  <w:r>
                                    <w:t>3</w:t>
                                  </w:r>
                                  <w:r w:rsidR="00416FCA">
                                    <w:t>4</w:t>
                                  </w:r>
                                </w:p>
                              </w:txbxContent>
                            </wps:txbx>
                            <wps:bodyPr rot="0" vert="horz" wrap="square" lIns="54000" tIns="82800" rIns="91440" bIns="45720" anchor="ctr" anchorCtr="0" upright="1">
                              <a:noAutofit/>
                            </wps:bodyPr>
                          </wps:wsp>
                        </wpg:grpSp>
                      </wpg:grpSp>
                      <wpg:grpSp>
                        <wpg:cNvPr id="379" name="Group 379"/>
                        <wpg:cNvGrpSpPr/>
                        <wpg:grpSpPr>
                          <a:xfrm>
                            <a:off x="0" y="1123950"/>
                            <a:ext cx="1443794" cy="252000"/>
                            <a:chOff x="-15880" y="0"/>
                            <a:chExt cx="1444379" cy="252068"/>
                          </a:xfrm>
                        </wpg:grpSpPr>
                        <wps:wsp>
                          <wps:cNvPr id="38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B78EC2" w14:textId="783E481B" w:rsidR="00A55F53" w:rsidRPr="00E700FF" w:rsidRDefault="00A55F53" w:rsidP="00C06B37">
                                <w:pPr>
                                  <w:pStyle w:val="BoxTitle"/>
                                  <w:spacing w:before="0" w:beforeAutospacing="0"/>
                                </w:pPr>
                                <w:r w:rsidRPr="001C1B37">
                                  <w:t>Q</w:t>
                                </w:r>
                                <w:r>
                                  <w:t>3</w:t>
                                </w:r>
                                <w:r w:rsidR="00416FCA">
                                  <w:t>5</w:t>
                                </w:r>
                              </w:p>
                            </w:txbxContent>
                          </wps:txbx>
                          <wps:bodyPr rot="0" vert="horz" wrap="square" lIns="54000" tIns="82800" rIns="91440" bIns="45720" anchor="ctr" anchorCtr="0" upright="1">
                            <a:noAutofit/>
                          </wps:bodyPr>
                        </wps:wsp>
                      </wpg:grpSp>
                    </wpg:wgp>
                  </a:graphicData>
                </a:graphic>
              </wp:anchor>
            </w:drawing>
          </mc:Choice>
          <mc:Fallback>
            <w:pict>
              <v:group w14:anchorId="7C95AA6C" id="Group 764518338" o:spid="_x0000_s1437" style="position:absolute;left:0;text-align:left;margin-left:-.3pt;margin-top:.3pt;width:453.55pt;height:150.75pt;z-index:-251664307" coordsize="5760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">
                <v:group id="Group 345" o:spid="_x0000_s1438" style="position:absolute;width:57600;height:19145" coordorigin=",628" coordsize="57600,1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_x0000_s143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2D0AB04" w14:textId="77777777" w:rsidR="00A55F53" w:rsidRDefault="00A55F53" w:rsidP="00DB0961">
                          <w:pPr>
                            <w:pStyle w:val="BoxTitle"/>
                            <w:spacing w:before="0" w:beforeAutospacing="0"/>
                          </w:pPr>
                          <w:r w:rsidRPr="007F6876">
                            <w:t>QUESTION</w:t>
                          </w:r>
                        </w:p>
                      </w:txbxContent>
                    </v:textbox>
                  </v:shape>
                  <v:group id="Group 53" o:spid="_x0000_s1440" style="position:absolute;top:3162;width:57600;height:16613" coordorigin="1837,1792" coordsize="930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54" o:spid="_x0000_s1441" style="position:absolute;left:1837;top:1792;width:9302;height:1794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" path="m,l9354,r,7809l,7809,,e" fillcolor="#edf2ea" stroked="f">
                      <v:path arrowok="t" o:connecttype="custom" o:connectlocs="0,2298;9302,2298;9302,20243;0,20243;0,2298" o:connectangles="0,0,0,0,0"/>
                    </v:shape>
                  </v:group>
                  <v:group id="Group 354" o:spid="_x0000_s144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8" o:spid="_x0000_s1443"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" path="m,l1815,e" filled="f" strokecolor="#72ab6a" strokeweight=".5pt">
                      <v:path arrowok="t" o:connecttype="custom" o:connectlocs="0,0;1073495,0" o:connectangles="0,0"/>
                    </v:shape>
                    <v:shape id="Freeform 66" o:spid="_x0000_s144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A3D59E0" w14:textId="5EF3C810" w:rsidR="00A55F53" w:rsidRPr="00E700FF" w:rsidRDefault="00A55F53" w:rsidP="00DB0961">
                            <w:pPr>
                              <w:pStyle w:val="BoxTitle"/>
                              <w:spacing w:before="0" w:beforeAutospacing="0"/>
                            </w:pPr>
                            <w:r w:rsidRPr="001C1B37">
                              <w:t>Q</w:t>
                            </w:r>
                            <w:r>
                              <w:t>3</w:t>
                            </w:r>
                            <w:r w:rsidR="00416FCA">
                              <w:t>4</w:t>
                            </w:r>
                          </w:p>
                        </w:txbxContent>
                      </v:textbox>
                    </v:shape>
                  </v:group>
                </v:group>
                <v:group id="Group 379" o:spid="_x0000_s1445" style="position:absolute;top:11239;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58" o:spid="_x0000_s144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" path="m,l1815,e" filled="f" strokecolor="#72ab6a" strokeweight=".5pt">
                    <v:path arrowok="t" o:connecttype="custom" o:connectlocs="0,0;1073495,0" o:connectangles="0,0"/>
                  </v:shape>
                  <v:shape id="Freeform 66" o:spid="_x0000_s144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AB78EC2" w14:textId="783E481B" w:rsidR="00A55F53" w:rsidRPr="00E700FF" w:rsidRDefault="00A55F53" w:rsidP="00C06B37">
                          <w:pPr>
                            <w:pStyle w:val="BoxTitle"/>
                            <w:spacing w:before="0" w:beforeAutospacing="0"/>
                          </w:pPr>
                          <w:r w:rsidRPr="001C1B37">
                            <w:t>Q</w:t>
                          </w:r>
                          <w:r>
                            <w:t>3</w:t>
                          </w:r>
                          <w:r w:rsidR="00416FCA">
                            <w:t>5</w:t>
                          </w:r>
                        </w:p>
                      </w:txbxContent>
                    </v:textbox>
                  </v:shape>
                </v:group>
              </v:group>
            </w:pict>
          </mc:Fallback>
        </mc:AlternateContent>
      </w:r>
    </w:p>
    <w:p w14:paraId="318246EE" w14:textId="77777777" w:rsidR="009B37CB" w:rsidRDefault="009B37CB" w:rsidP="009B37CB">
      <w:pPr>
        <w:pStyle w:val="QuestionBox"/>
      </w:pPr>
    </w:p>
    <w:p w14:paraId="5D9FBB16" w14:textId="6B57623C" w:rsidR="00653EA8" w:rsidRDefault="00BD5C95" w:rsidP="009B37CB">
      <w:pPr>
        <w:pStyle w:val="QuestionBox"/>
      </w:pPr>
      <w:r>
        <w:rPr>
          <w:rFonts w:ascii="ZWAdobeF" w:hAnsi="ZWAdobeF" w:cs="ZWAdobeF"/>
          <w:color w:val="auto"/>
          <w:sz w:val="2"/>
          <w:szCs w:val="2"/>
        </w:rPr>
        <w:t>1435B</w:t>
      </w:r>
      <w:r w:rsidR="0049638A">
        <w:rPr>
          <w:rFonts w:ascii="ZWAdobeF" w:hAnsi="ZWAdobeF" w:cs="ZWAdobeF"/>
          <w:color w:val="auto"/>
          <w:sz w:val="2"/>
          <w:szCs w:val="2"/>
        </w:rPr>
        <w:t>1435B</w:t>
      </w:r>
      <w:r w:rsidR="00D629FA">
        <w:rPr>
          <w:rFonts w:ascii="ZWAdobeF" w:hAnsi="ZWAdobeF" w:cs="ZWAdobeF"/>
          <w:color w:val="auto"/>
          <w:sz w:val="2"/>
          <w:szCs w:val="2"/>
        </w:rPr>
        <w:t>1435B</w:t>
      </w:r>
      <w:r w:rsidR="00653EA8">
        <w:t xml:space="preserve">Do you agree that class members should be able to appeal a substantive judgment on the common issues with leave of the High Court? </w:t>
      </w:r>
    </w:p>
    <w:p w14:paraId="745BBBC2" w14:textId="0FBE5907" w:rsidR="009B37CB" w:rsidRDefault="009B37CB" w:rsidP="009B37CB">
      <w:pPr>
        <w:pStyle w:val="QuestionBox"/>
      </w:pPr>
    </w:p>
    <w:p w14:paraId="53D923AB" w14:textId="742C8781" w:rsidR="00653EA8" w:rsidRDefault="00BD5C95" w:rsidP="009B37CB">
      <w:pPr>
        <w:pStyle w:val="QuestionBox"/>
      </w:pPr>
      <w:r>
        <w:rPr>
          <w:rFonts w:ascii="ZWAdobeF" w:hAnsi="ZWAdobeF" w:cs="ZWAdobeF"/>
          <w:color w:val="auto"/>
          <w:sz w:val="2"/>
          <w:szCs w:val="2"/>
        </w:rPr>
        <w:t>1436B</w:t>
      </w:r>
      <w:r w:rsidR="0049638A">
        <w:rPr>
          <w:rFonts w:ascii="ZWAdobeF" w:hAnsi="ZWAdobeF" w:cs="ZWAdobeF"/>
          <w:color w:val="auto"/>
          <w:sz w:val="2"/>
          <w:szCs w:val="2"/>
        </w:rPr>
        <w:t>1436B</w:t>
      </w:r>
      <w:r w:rsidR="00D629FA">
        <w:rPr>
          <w:rFonts w:ascii="ZWAdobeF" w:hAnsi="ZWAdobeF" w:cs="ZWAdobeF"/>
          <w:color w:val="auto"/>
          <w:sz w:val="2"/>
          <w:szCs w:val="2"/>
        </w:rPr>
        <w:t>1436B</w:t>
      </w:r>
      <w:r w:rsidR="00653EA8">
        <w:t>Do you think there are any other decisions in a class action that class members should be able to appeal, with or without leave?</w:t>
      </w:r>
    </w:p>
    <w:p w14:paraId="4E816C60" w14:textId="5627884C" w:rsidR="009B37CB" w:rsidRDefault="009B37CB" w:rsidP="009B37CB">
      <w:pPr>
        <w:pStyle w:val="QuestionBox"/>
      </w:pPr>
    </w:p>
    <w:p w14:paraId="45A4BB41" w14:textId="4EC33544" w:rsidR="009B37CB" w:rsidRDefault="00DB0961" w:rsidP="009B37CB">
      <w:pPr>
        <w:pStyle w:val="QuestionBox"/>
      </w:pPr>
      <w:r w:rsidRPr="00D37FCE">
        <w:rPr>
          <w:rFonts w:eastAsiaTheme="minorHAnsi"/>
          <w:noProof/>
          <w:lang w:eastAsia="en-NZ"/>
        </w:rPr>
        <mc:AlternateContent>
          <mc:Choice Requires="wpg">
            <w:drawing>
              <wp:anchor distT="0" distB="0" distL="114300" distR="114300" simplePos="0" relativeHeight="251651087" behindDoc="1" locked="0" layoutInCell="1" allowOverlap="1" wp14:anchorId="7F52F46E" wp14:editId="527702C9">
                <wp:simplePos x="0" y="0"/>
                <wp:positionH relativeFrom="page">
                  <wp:posOffset>1080135</wp:posOffset>
                </wp:positionH>
                <wp:positionV relativeFrom="paragraph">
                  <wp:posOffset>777036</wp:posOffset>
                </wp:positionV>
                <wp:extent cx="2411730" cy="1270"/>
                <wp:effectExtent l="0" t="19050" r="26670" b="17780"/>
                <wp:wrapNone/>
                <wp:docPr id="76451825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76451825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BC380" id="Group 135" o:spid="_x0000_s1026" style="position:absolute;margin-left:85.05pt;margin-top:61.2pt;width:189.9pt;height:.1pt;z-index:-25166539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p w14:paraId="1E7F2B57" w14:textId="341CC520" w:rsidR="00431739" w:rsidRDefault="00431739" w:rsidP="001E6553">
      <w:pPr>
        <w:pStyle w:val="BodyText"/>
        <w:numPr>
          <w:ilvl w:val="0"/>
          <w:numId w:val="0"/>
        </w:numPr>
        <w:ind w:left="709"/>
        <w:rPr>
          <w:noProof/>
        </w:rPr>
        <w:sectPr w:rsidR="00431739" w:rsidSect="00FD6721">
          <w:headerReference w:type="default" r:id="rId42"/>
          <w:footnotePr>
            <w:numRestart w:val="eachSect"/>
          </w:footnotePr>
          <w:type w:val="nextColumn"/>
          <w:pgSz w:w="11907" w:h="16840" w:code="9"/>
          <w:pgMar w:top="1134" w:right="1134" w:bottom="1134" w:left="1701" w:header="499" w:footer="46" w:gutter="0"/>
          <w:cols w:space="720"/>
        </w:sectPr>
      </w:pPr>
    </w:p>
    <w:p w14:paraId="30F80D51" w14:textId="2D24B47A" w:rsidR="0080502C" w:rsidRPr="00D37FCE" w:rsidRDefault="00BD5C95" w:rsidP="002D5B0A">
      <w:pPr>
        <w:pStyle w:val="HEADING2topchapter-notinTOC"/>
        <w:rPr>
          <w:sz w:val="21"/>
          <w:szCs w:val="21"/>
        </w:rPr>
      </w:pPr>
      <w:bookmarkStart w:id="92" w:name="_Hlk66107232"/>
      <w:r>
        <w:rPr>
          <w:rFonts w:ascii="ZWAdobeF" w:hAnsi="ZWAdobeF" w:cs="ZWAdobeF"/>
          <w:b w:val="0"/>
          <w:color w:val="auto"/>
          <w:sz w:val="2"/>
          <w:szCs w:val="2"/>
        </w:rPr>
        <w:lastRenderedPageBreak/>
        <w:t>941B</w:t>
      </w:r>
      <w:r w:rsidR="0049638A">
        <w:rPr>
          <w:rFonts w:ascii="ZWAdobeF" w:hAnsi="ZWAdobeF" w:cs="ZWAdobeF"/>
          <w:b w:val="0"/>
          <w:color w:val="auto"/>
          <w:sz w:val="2"/>
          <w:szCs w:val="2"/>
        </w:rPr>
        <w:t>941B</w:t>
      </w:r>
      <w:r w:rsidR="00D629FA">
        <w:rPr>
          <w:rFonts w:ascii="ZWAdobeF" w:hAnsi="ZWAdobeF" w:cs="ZWAdobeF"/>
          <w:b w:val="0"/>
          <w:color w:val="auto"/>
          <w:sz w:val="2"/>
          <w:szCs w:val="2"/>
        </w:rPr>
        <w:t>941B</w:t>
      </w:r>
      <w:r w:rsidR="0080502C" w:rsidRPr="00D37FCE">
        <w:t>CHAPTER</w:t>
      </w:r>
      <w:r w:rsidR="0080502C" w:rsidRPr="00D37FCE">
        <w:rPr>
          <w:sz w:val="21"/>
          <w:szCs w:val="21"/>
        </w:rPr>
        <w:t xml:space="preserve"> </w:t>
      </w:r>
      <w:r w:rsidR="002D5B0A" w:rsidRPr="00D37FCE">
        <w:rPr>
          <w:sz w:val="21"/>
          <w:szCs w:val="21"/>
        </w:rPr>
        <w:t>6</w:t>
      </w:r>
    </w:p>
    <w:p w14:paraId="3723ABC7" w14:textId="77777777" w:rsidR="0080502C" w:rsidRPr="00D37FCE" w:rsidRDefault="0080502C" w:rsidP="0080502C">
      <w:pPr>
        <w:spacing w:line="200" w:lineRule="exact"/>
        <w:rPr>
          <w:szCs w:val="20"/>
        </w:rPr>
      </w:pPr>
      <w:r w:rsidRPr="00D37FCE">
        <w:rPr>
          <w:noProof/>
          <w:lang w:eastAsia="en-NZ"/>
        </w:rPr>
        <mc:AlternateContent>
          <mc:Choice Requires="wpg">
            <w:drawing>
              <wp:anchor distT="0" distB="0" distL="114300" distR="114300" simplePos="0" relativeHeight="251651076" behindDoc="1" locked="0" layoutInCell="1" allowOverlap="1" wp14:anchorId="185F9275" wp14:editId="3AB2C2BE">
                <wp:simplePos x="0" y="0"/>
                <wp:positionH relativeFrom="page">
                  <wp:posOffset>1076653</wp:posOffset>
                </wp:positionH>
                <wp:positionV relativeFrom="paragraph">
                  <wp:posOffset>53975</wp:posOffset>
                </wp:positionV>
                <wp:extent cx="1332230" cy="1270"/>
                <wp:effectExtent l="0" t="19050" r="1270" b="1778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DBE0C" id="Group 45" o:spid="_x0000_s1026" style="position:absolute;margin-left:84.8pt;margin-top:4.25pt;width:104.9pt;height:.1pt;z-index:-25166540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ngAgMAAPw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" path="m,l2098,e" filled="f" strokecolor="#73ab6e" strokeweight="3pt">
                  <v:path arrowok="t" o:connecttype="custom" o:connectlocs="0,0;2098,0" o:connectangles="0,0"/>
                </v:shape>
                <w10:wrap anchorx="page"/>
              </v:group>
            </w:pict>
          </mc:Fallback>
        </mc:AlternateContent>
      </w:r>
    </w:p>
    <w:p w14:paraId="6E81B27A" w14:textId="31C93BC6" w:rsidR="0080502C" w:rsidRPr="00D37FCE" w:rsidRDefault="005C50F9" w:rsidP="0018109C">
      <w:pPr>
        <w:pStyle w:val="Heading1"/>
        <w:rPr>
          <w:rFonts w:eastAsia="Cordia New"/>
        </w:rPr>
      </w:pPr>
      <w:bookmarkStart w:id="93" w:name="_Toc83895459"/>
      <w:r w:rsidRPr="00D37FCE">
        <w:rPr>
          <w:color w:val="FFFFFF" w:themeColor="background1"/>
          <w:sz w:val="2"/>
          <w:szCs w:val="2"/>
        </w:rPr>
        <w:t xml:space="preserve">6 </w:t>
      </w:r>
      <w:r w:rsidR="001F030B">
        <w:rPr>
          <w:rFonts w:eastAsia="Metropolis Black"/>
        </w:rPr>
        <w:t>Settlement of a class action</w:t>
      </w:r>
      <w:bookmarkEnd w:id="93"/>
    </w:p>
    <w:p w14:paraId="00A8F393" w14:textId="77777777" w:rsidR="0080502C" w:rsidRPr="00D37FCE" w:rsidRDefault="0080502C" w:rsidP="0080502C">
      <w:pPr>
        <w:spacing w:line="200" w:lineRule="exact"/>
        <w:rPr>
          <w:szCs w:val="20"/>
        </w:rPr>
      </w:pPr>
      <w:r w:rsidRPr="00D37FCE">
        <w:rPr>
          <w:noProof/>
          <w:lang w:eastAsia="en-NZ"/>
        </w:rPr>
        <mc:AlternateContent>
          <mc:Choice Requires="wpg">
            <w:drawing>
              <wp:anchor distT="0" distB="0" distL="114300" distR="114300" simplePos="0" relativeHeight="251651085" behindDoc="1" locked="0" layoutInCell="1" allowOverlap="1" wp14:anchorId="136A0CD9" wp14:editId="76E5D82C">
                <wp:simplePos x="0" y="0"/>
                <wp:positionH relativeFrom="page">
                  <wp:posOffset>1087427</wp:posOffset>
                </wp:positionH>
                <wp:positionV relativeFrom="paragraph">
                  <wp:posOffset>71755</wp:posOffset>
                </wp:positionV>
                <wp:extent cx="1332230" cy="1270"/>
                <wp:effectExtent l="0" t="19050" r="1270" b="1778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7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ED715" id="Group 60" o:spid="_x0000_s1026" style="position:absolute;margin-left:85.6pt;margin-top:5.65pt;width:104.9pt;height:.1pt;z-index:-25166539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BAMAAP0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" path="m,l2098,e" filled="f" strokecolor="#73ab6e" strokeweight="3pt">
                  <v:path arrowok="t" o:connecttype="custom" o:connectlocs="0,0;2098,0" o:connectangles="0,0"/>
                </v:shape>
                <w10:wrap anchorx="page"/>
              </v:group>
            </w:pict>
          </mc:Fallback>
        </mc:AlternateContent>
      </w:r>
    </w:p>
    <w:p w14:paraId="6C950E9D" w14:textId="77777777" w:rsidR="00773BD0" w:rsidRPr="00D37FCE" w:rsidRDefault="00D50640" w:rsidP="00E8403D">
      <w:pPr>
        <w:pStyle w:val="BodyTextalphalist"/>
      </w:pPr>
      <w:bookmarkStart w:id="94" w:name="_Toc531954850"/>
      <w:r w:rsidRPr="00D37FCE">
        <w:rPr>
          <w:rFonts w:eastAsia="Metropolis"/>
          <w:noProof/>
        </w:rPr>
        <mc:AlternateContent>
          <mc:Choice Requires="wpg">
            <w:drawing>
              <wp:anchor distT="0" distB="0" distL="114300" distR="114300" simplePos="0" relativeHeight="251652174" behindDoc="1" locked="0" layoutInCell="1" allowOverlap="1" wp14:anchorId="2F17BF4F" wp14:editId="6AA3186D">
                <wp:simplePos x="0" y="0"/>
                <wp:positionH relativeFrom="column">
                  <wp:posOffset>5715</wp:posOffset>
                </wp:positionH>
                <wp:positionV relativeFrom="paragraph">
                  <wp:posOffset>264160</wp:posOffset>
                </wp:positionV>
                <wp:extent cx="5792470" cy="2390793"/>
                <wp:effectExtent l="0" t="0" r="0" b="9525"/>
                <wp:wrapNone/>
                <wp:docPr id="764518310" name="Group 764518310"/>
                <wp:cNvGraphicFramePr/>
                <a:graphic xmlns:a="http://schemas.openxmlformats.org/drawingml/2006/main">
                  <a:graphicData uri="http://schemas.microsoft.com/office/word/2010/wordprocessingGroup">
                    <wpg:wgp>
                      <wpg:cNvGrpSpPr/>
                      <wpg:grpSpPr>
                        <a:xfrm>
                          <a:off x="0" y="0"/>
                          <a:ext cx="5792470" cy="2390793"/>
                          <a:chOff x="0" y="-4768"/>
                          <a:chExt cx="5793105" cy="2393070"/>
                        </a:xfrm>
                      </wpg:grpSpPr>
                      <wpg:grpSp>
                        <wpg:cNvPr id="764518311" name="Group 53"/>
                        <wpg:cNvGrpSpPr>
                          <a:grpSpLocks/>
                        </wpg:cNvGrpSpPr>
                        <wpg:grpSpPr bwMode="auto">
                          <a:xfrm>
                            <a:off x="0" y="314368"/>
                            <a:ext cx="5793105" cy="2073934"/>
                            <a:chOff x="1837" y="1793"/>
                            <a:chExt cx="9354" cy="22392"/>
                          </a:xfrm>
                        </wpg:grpSpPr>
                        <wps:wsp>
                          <wps:cNvPr id="764518312" name="Freeform 54"/>
                          <wps:cNvSpPr>
                            <a:spLocks/>
                          </wps:cNvSpPr>
                          <wps:spPr bwMode="auto">
                            <a:xfrm>
                              <a:off x="1837" y="1793"/>
                              <a:ext cx="9354" cy="2239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313"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CC61C1" w14:textId="43B01E9E" w:rsidR="00A55F53" w:rsidRDefault="00A55F53" w:rsidP="000562F9">
                              <w:pPr>
                                <w:pStyle w:val="BoxTitle"/>
                              </w:pPr>
                              <w:r>
                                <w:t>INTRODUCTION</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2F17BF4F" id="Group 764518310" o:spid="_x0000_s1448" style="position:absolute;left:0;text-align:left;margin-left:.45pt;margin-top:20.8pt;width:456.1pt;height:188.25pt;z-index:-251664306;mso-height-relative:margin" coordorigin=",-47" coordsize="57931,2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">
                <v:group id="Group 53" o:spid="_x0000_s1449" style="position:absolute;top:3143;width:57931;height:20740" coordorigin="1837,1793" coordsize="9354,2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">
                  <v:shape id="Freeform 54" o:spid="_x0000_s1450" style="position:absolute;left:1837;top:1793;width:9354;height:2239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" path="m,l9354,r,7809l,7809,,e" fillcolor="#edf2ea" stroked="f">
                    <v:path arrowok="t" o:connecttype="custom" o:connectlocs="0,2867;9354,2867;9354,25259;0,25259;0,2867" o:connectangles="0,0,0,0,0"/>
                  </v:shape>
                </v:group>
                <v:shape id="_x0000_s1451"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51CC61C1" w14:textId="43B01E9E" w:rsidR="00A55F53" w:rsidRDefault="00A55F53" w:rsidP="000562F9">
                        <w:pPr>
                          <w:pStyle w:val="BoxTitle"/>
                        </w:pPr>
                        <w:r>
                          <w:t>INTRODUCTION</w:t>
                        </w:r>
                      </w:p>
                    </w:txbxContent>
                  </v:textbox>
                </v:shape>
              </v:group>
            </w:pict>
          </mc:Fallback>
        </mc:AlternateContent>
      </w:r>
    </w:p>
    <w:p w14:paraId="2D5E906D" w14:textId="77777777" w:rsidR="00773BD0" w:rsidRPr="00D37FCE" w:rsidRDefault="00773BD0" w:rsidP="00E8403D">
      <w:pPr>
        <w:pStyle w:val="BodyTextalphalist"/>
      </w:pPr>
    </w:p>
    <w:p w14:paraId="1FD7807D" w14:textId="77777777" w:rsidR="00D50640" w:rsidRPr="00D37FCE" w:rsidRDefault="00D50640" w:rsidP="00D50640">
      <w:pPr>
        <w:pStyle w:val="QuestionBox"/>
        <w:tabs>
          <w:tab w:val="clear" w:pos="709"/>
        </w:tabs>
        <w:ind w:left="709"/>
      </w:pPr>
    </w:p>
    <w:p w14:paraId="4003600D" w14:textId="5CA47B8D" w:rsidR="00B57651" w:rsidRDefault="00BD5C95" w:rsidP="002A46AD">
      <w:pPr>
        <w:pStyle w:val="QuestionBox"/>
        <w:tabs>
          <w:tab w:val="clear" w:pos="709"/>
        </w:tabs>
        <w:ind w:left="0" w:firstLine="426"/>
      </w:pPr>
      <w:r>
        <w:rPr>
          <w:rFonts w:ascii="ZWAdobeF" w:hAnsi="ZWAdobeF" w:cs="ZWAdobeF"/>
          <w:color w:val="auto"/>
          <w:sz w:val="2"/>
          <w:szCs w:val="2"/>
        </w:rPr>
        <w:t>1437B</w:t>
      </w:r>
      <w:r w:rsidR="0049638A">
        <w:rPr>
          <w:rFonts w:ascii="ZWAdobeF" w:hAnsi="ZWAdobeF" w:cs="ZWAdobeF"/>
          <w:color w:val="auto"/>
          <w:sz w:val="2"/>
          <w:szCs w:val="2"/>
        </w:rPr>
        <w:t>1437B</w:t>
      </w:r>
      <w:r w:rsidR="00D629FA">
        <w:rPr>
          <w:rFonts w:ascii="ZWAdobeF" w:hAnsi="ZWAdobeF" w:cs="ZWAdobeF"/>
          <w:color w:val="auto"/>
          <w:sz w:val="2"/>
          <w:szCs w:val="2"/>
        </w:rPr>
        <w:t>1437B</w:t>
      </w:r>
      <w:r w:rsidR="00B57651">
        <w:t>In this chapter, we discuss:</w:t>
      </w:r>
    </w:p>
    <w:p w14:paraId="5C88B5A0" w14:textId="604F48B0" w:rsidR="00B57651" w:rsidRDefault="00BD5C95" w:rsidP="003E2524">
      <w:pPr>
        <w:pStyle w:val="QuestionBox"/>
        <w:numPr>
          <w:ilvl w:val="0"/>
          <w:numId w:val="22"/>
        </w:numPr>
        <w:tabs>
          <w:tab w:val="clear" w:pos="709"/>
        </w:tabs>
        <w:ind w:left="709" w:hanging="283"/>
      </w:pPr>
      <w:r>
        <w:rPr>
          <w:rFonts w:ascii="ZWAdobeF" w:hAnsi="ZWAdobeF" w:cs="ZWAdobeF"/>
          <w:color w:val="auto"/>
          <w:sz w:val="2"/>
          <w:szCs w:val="2"/>
        </w:rPr>
        <w:t>1438B</w:t>
      </w:r>
      <w:r w:rsidR="0049638A">
        <w:rPr>
          <w:rFonts w:ascii="ZWAdobeF" w:hAnsi="ZWAdobeF" w:cs="ZWAdobeF"/>
          <w:color w:val="auto"/>
          <w:sz w:val="2"/>
          <w:szCs w:val="2"/>
        </w:rPr>
        <w:t>1438B</w:t>
      </w:r>
      <w:r w:rsidR="00D629FA">
        <w:rPr>
          <w:rFonts w:ascii="ZWAdobeF" w:hAnsi="ZWAdobeF" w:cs="ZWAdobeF"/>
          <w:color w:val="auto"/>
          <w:sz w:val="2"/>
          <w:szCs w:val="2"/>
        </w:rPr>
        <w:t>1438B</w:t>
      </w:r>
      <w:r w:rsidR="00273E25">
        <w:t xml:space="preserve">Court </w:t>
      </w:r>
      <w:r w:rsidR="00B57651">
        <w:t>approval of class action</w:t>
      </w:r>
      <w:r w:rsidR="00392A75">
        <w:t>s</w:t>
      </w:r>
      <w:r w:rsidR="00B57651">
        <w:t xml:space="preserve"> settlements.  </w:t>
      </w:r>
    </w:p>
    <w:p w14:paraId="03ACB257" w14:textId="2335C18F" w:rsidR="00B57651" w:rsidRDefault="00BD5C95" w:rsidP="003E2524">
      <w:pPr>
        <w:pStyle w:val="QuestionBox"/>
        <w:numPr>
          <w:ilvl w:val="0"/>
          <w:numId w:val="22"/>
        </w:numPr>
        <w:tabs>
          <w:tab w:val="clear" w:pos="709"/>
        </w:tabs>
        <w:ind w:left="709" w:hanging="283"/>
      </w:pPr>
      <w:r>
        <w:rPr>
          <w:rFonts w:ascii="ZWAdobeF" w:hAnsi="ZWAdobeF" w:cs="ZWAdobeF"/>
          <w:color w:val="auto"/>
          <w:sz w:val="2"/>
          <w:szCs w:val="2"/>
        </w:rPr>
        <w:t>1439B</w:t>
      </w:r>
      <w:r w:rsidR="0049638A">
        <w:rPr>
          <w:rFonts w:ascii="ZWAdobeF" w:hAnsi="ZWAdobeF" w:cs="ZWAdobeF"/>
          <w:color w:val="auto"/>
          <w:sz w:val="2"/>
          <w:szCs w:val="2"/>
        </w:rPr>
        <w:t>1439B</w:t>
      </w:r>
      <w:r w:rsidR="00D629FA">
        <w:rPr>
          <w:rFonts w:ascii="ZWAdobeF" w:hAnsi="ZWAdobeF" w:cs="ZWAdobeF"/>
          <w:color w:val="auto"/>
          <w:sz w:val="2"/>
          <w:szCs w:val="2"/>
        </w:rPr>
        <w:t>1439B</w:t>
      </w:r>
      <w:r w:rsidR="00B57651">
        <w:t>The process for court approval of a settlement.</w:t>
      </w:r>
    </w:p>
    <w:p w14:paraId="134266B6" w14:textId="665342C7" w:rsidR="00B57651" w:rsidRDefault="00BD5C95" w:rsidP="003E2524">
      <w:pPr>
        <w:pStyle w:val="QuestionBox"/>
        <w:numPr>
          <w:ilvl w:val="0"/>
          <w:numId w:val="22"/>
        </w:numPr>
        <w:tabs>
          <w:tab w:val="clear" w:pos="709"/>
        </w:tabs>
        <w:ind w:left="709" w:hanging="283"/>
      </w:pPr>
      <w:r>
        <w:rPr>
          <w:rFonts w:ascii="ZWAdobeF" w:hAnsi="ZWAdobeF" w:cs="ZWAdobeF"/>
          <w:color w:val="auto"/>
          <w:sz w:val="2"/>
          <w:szCs w:val="2"/>
        </w:rPr>
        <w:t>1440B</w:t>
      </w:r>
      <w:r w:rsidR="0049638A">
        <w:rPr>
          <w:rFonts w:ascii="ZWAdobeF" w:hAnsi="ZWAdobeF" w:cs="ZWAdobeF"/>
          <w:color w:val="auto"/>
          <w:sz w:val="2"/>
          <w:szCs w:val="2"/>
        </w:rPr>
        <w:t>1440B</w:t>
      </w:r>
      <w:r w:rsidR="00D629FA">
        <w:rPr>
          <w:rFonts w:ascii="ZWAdobeF" w:hAnsi="ZWAdobeF" w:cs="ZWAdobeF"/>
          <w:color w:val="auto"/>
          <w:sz w:val="2"/>
          <w:szCs w:val="2"/>
        </w:rPr>
        <w:t>1440B</w:t>
      </w:r>
      <w:r w:rsidR="00B57651">
        <w:t xml:space="preserve">The test the court should apply when deciding whether to approve a settlement. </w:t>
      </w:r>
    </w:p>
    <w:p w14:paraId="756B02F2" w14:textId="1CBBA91B" w:rsidR="00B57651" w:rsidRDefault="00BD5C95" w:rsidP="003E2524">
      <w:pPr>
        <w:pStyle w:val="QuestionBox"/>
        <w:numPr>
          <w:ilvl w:val="0"/>
          <w:numId w:val="22"/>
        </w:numPr>
        <w:tabs>
          <w:tab w:val="clear" w:pos="709"/>
        </w:tabs>
        <w:ind w:left="709" w:hanging="283"/>
      </w:pPr>
      <w:r>
        <w:rPr>
          <w:rFonts w:ascii="ZWAdobeF" w:hAnsi="ZWAdobeF" w:cs="ZWAdobeF"/>
          <w:color w:val="auto"/>
          <w:sz w:val="2"/>
          <w:szCs w:val="2"/>
        </w:rPr>
        <w:t>1441B</w:t>
      </w:r>
      <w:r w:rsidR="0049638A">
        <w:rPr>
          <w:rFonts w:ascii="ZWAdobeF" w:hAnsi="ZWAdobeF" w:cs="ZWAdobeF"/>
          <w:color w:val="auto"/>
          <w:sz w:val="2"/>
          <w:szCs w:val="2"/>
        </w:rPr>
        <w:t>1441B</w:t>
      </w:r>
      <w:r w:rsidR="00D629FA">
        <w:rPr>
          <w:rFonts w:ascii="ZWAdobeF" w:hAnsi="ZWAdobeF" w:cs="ZWAdobeF"/>
          <w:color w:val="auto"/>
          <w:sz w:val="2"/>
          <w:szCs w:val="2"/>
        </w:rPr>
        <w:t>1441B</w:t>
      </w:r>
      <w:r w:rsidR="00B57651">
        <w:t xml:space="preserve">Finalising the class for settlement.  </w:t>
      </w:r>
    </w:p>
    <w:p w14:paraId="255CEBE9" w14:textId="48A5D3D0" w:rsidR="00B57651" w:rsidRDefault="00BD5C95" w:rsidP="003E2524">
      <w:pPr>
        <w:pStyle w:val="QuestionBox"/>
        <w:numPr>
          <w:ilvl w:val="0"/>
          <w:numId w:val="22"/>
        </w:numPr>
        <w:tabs>
          <w:tab w:val="clear" w:pos="709"/>
        </w:tabs>
        <w:ind w:left="709" w:hanging="283"/>
      </w:pPr>
      <w:r>
        <w:rPr>
          <w:rFonts w:ascii="ZWAdobeF" w:hAnsi="ZWAdobeF" w:cs="ZWAdobeF"/>
          <w:color w:val="auto"/>
          <w:sz w:val="2"/>
          <w:szCs w:val="2"/>
        </w:rPr>
        <w:t>1442B</w:t>
      </w:r>
      <w:r w:rsidR="0049638A">
        <w:rPr>
          <w:rFonts w:ascii="ZWAdobeF" w:hAnsi="ZWAdobeF" w:cs="ZWAdobeF"/>
          <w:color w:val="auto"/>
          <w:sz w:val="2"/>
          <w:szCs w:val="2"/>
        </w:rPr>
        <w:t>1442B</w:t>
      </w:r>
      <w:r w:rsidR="00D629FA">
        <w:rPr>
          <w:rFonts w:ascii="ZWAdobeF" w:hAnsi="ZWAdobeF" w:cs="ZWAdobeF"/>
          <w:color w:val="auto"/>
          <w:sz w:val="2"/>
          <w:szCs w:val="2"/>
        </w:rPr>
        <w:t>1442B</w:t>
      </w:r>
      <w:r w:rsidR="00B57651">
        <w:t xml:space="preserve">Settlement distribution and administration. </w:t>
      </w:r>
    </w:p>
    <w:p w14:paraId="486E9BA0" w14:textId="77777777" w:rsidR="00773BD0" w:rsidRDefault="00773BD0" w:rsidP="00773BD0">
      <w:pPr>
        <w:pStyle w:val="ListBullet"/>
        <w:numPr>
          <w:ilvl w:val="0"/>
          <w:numId w:val="0"/>
        </w:numPr>
        <w:ind w:left="1134"/>
      </w:pPr>
    </w:p>
    <w:p w14:paraId="498776BE" w14:textId="0044E3E9" w:rsidR="00DD0F04" w:rsidRDefault="00751335" w:rsidP="00DD0F04">
      <w:pPr>
        <w:pStyle w:val="Heading2"/>
      </w:pPr>
      <w:bookmarkStart w:id="95" w:name="_Toc83895460"/>
      <w:bookmarkEnd w:id="92"/>
      <w:bookmarkEnd w:id="94"/>
      <w:r>
        <w:t xml:space="preserve">Court </w:t>
      </w:r>
      <w:r w:rsidR="00DD0F04">
        <w:t xml:space="preserve">approval of </w:t>
      </w:r>
      <w:r w:rsidR="0038036D">
        <w:t>s</w:t>
      </w:r>
      <w:r w:rsidR="00C90074">
        <w:t xml:space="preserve">ettlements in </w:t>
      </w:r>
      <w:r w:rsidR="002B71AB">
        <w:t>c</w:t>
      </w:r>
      <w:r w:rsidR="00DD0F04">
        <w:t xml:space="preserve">lass </w:t>
      </w:r>
      <w:r w:rsidR="002B71AB">
        <w:t>a</w:t>
      </w:r>
      <w:r w:rsidR="00DD0F04">
        <w:t>ction</w:t>
      </w:r>
      <w:r w:rsidR="00392A75">
        <w:t>s</w:t>
      </w:r>
      <w:bookmarkEnd w:id="95"/>
      <w:r w:rsidR="00DD0F04">
        <w:t xml:space="preserve"> </w:t>
      </w:r>
    </w:p>
    <w:p w14:paraId="0BB3816C" w14:textId="77777777" w:rsidR="00DD0F04" w:rsidRPr="00DD0F04" w:rsidRDefault="00DD0F04" w:rsidP="00B73434">
      <w:pPr>
        <w:pStyle w:val="ListParagraph"/>
        <w:numPr>
          <w:ilvl w:val="0"/>
          <w:numId w:val="52"/>
        </w:numPr>
        <w:tabs>
          <w:tab w:val="left" w:pos="709"/>
        </w:tabs>
        <w:spacing w:before="80"/>
        <w:contextualSpacing w:val="0"/>
        <w:jc w:val="both"/>
        <w:rPr>
          <w:vanish/>
          <w:color w:val="000000" w:themeColor="text1"/>
          <w:sz w:val="20"/>
        </w:rPr>
      </w:pPr>
    </w:p>
    <w:p w14:paraId="239A3D22" w14:textId="48938B24" w:rsidR="00751335" w:rsidRDefault="00BD5C95" w:rsidP="00751335">
      <w:pPr>
        <w:pStyle w:val="BodyText"/>
      </w:pPr>
      <w:r>
        <w:rPr>
          <w:rFonts w:ascii="ZWAdobeF" w:hAnsi="ZWAdobeF" w:cs="ZWAdobeF"/>
          <w:color w:val="auto"/>
          <w:sz w:val="2"/>
          <w:szCs w:val="2"/>
        </w:rPr>
        <w:t>428B</w:t>
      </w:r>
      <w:r w:rsidR="0049638A">
        <w:rPr>
          <w:rFonts w:ascii="ZWAdobeF" w:hAnsi="ZWAdobeF" w:cs="ZWAdobeF"/>
          <w:color w:val="auto"/>
          <w:sz w:val="2"/>
          <w:szCs w:val="2"/>
        </w:rPr>
        <w:t>428B</w:t>
      </w:r>
      <w:r w:rsidR="00D629FA">
        <w:rPr>
          <w:rFonts w:ascii="ZWAdobeF" w:hAnsi="ZWAdobeF" w:cs="ZWAdobeF"/>
          <w:color w:val="auto"/>
          <w:sz w:val="2"/>
          <w:szCs w:val="2"/>
        </w:rPr>
        <w:t>428B</w:t>
      </w:r>
      <w:r w:rsidR="00751335">
        <w:t xml:space="preserve">Class actions are often resolved through a settlement negotiated between the </w:t>
      </w:r>
      <w:r w:rsidR="001113D5">
        <w:t xml:space="preserve">representative </w:t>
      </w:r>
      <w:r w:rsidR="00751335">
        <w:t>plaintiff and defendant.</w:t>
      </w:r>
      <w:r w:rsidR="00D629FA">
        <w:rPr>
          <w:rFonts w:ascii="ZWAdobeF" w:hAnsi="ZWAdobeF" w:cs="ZWAdobeF"/>
          <w:color w:val="auto"/>
          <w:sz w:val="2"/>
          <w:szCs w:val="2"/>
        </w:rPr>
        <w:t>703F</w:t>
      </w:r>
      <w:r w:rsidR="007A330E">
        <w:rPr>
          <w:rFonts w:ascii="ZWAdobeF" w:hAnsi="ZWAdobeF" w:cs="ZWAdobeF"/>
          <w:color w:val="auto"/>
          <w:sz w:val="2"/>
          <w:szCs w:val="2"/>
        </w:rPr>
        <w:t>703F</w:t>
      </w:r>
      <w:r w:rsidR="00317AE4">
        <w:rPr>
          <w:rFonts w:ascii="ZWAdobeF" w:hAnsi="ZWAdobeF" w:cs="ZWAdobeF"/>
          <w:color w:val="auto"/>
          <w:sz w:val="2"/>
          <w:szCs w:val="2"/>
        </w:rPr>
        <w:t>703F</w:t>
      </w:r>
      <w:r w:rsidR="00751335">
        <w:rPr>
          <w:rStyle w:val="FootnoteReference"/>
        </w:rPr>
        <w:footnoteReference w:id="705"/>
      </w:r>
      <w:r w:rsidR="00751335">
        <w:t xml:space="preserve"> The high transaction costs of class actions and the litigation risks for both parties may mean that both a </w:t>
      </w:r>
      <w:r w:rsidR="001113D5">
        <w:t xml:space="preserve">representative </w:t>
      </w:r>
      <w:r w:rsidR="00751335">
        <w:t xml:space="preserve">plaintiff and defendant prefer to reach a settlement rather than allowing the litigation to continue. </w:t>
      </w:r>
    </w:p>
    <w:p w14:paraId="6CE330EF" w14:textId="43FD37BC" w:rsidR="00DD0F04" w:rsidRDefault="00BD5C95" w:rsidP="00B73434">
      <w:pPr>
        <w:pStyle w:val="BodyText"/>
        <w:numPr>
          <w:ilvl w:val="1"/>
          <w:numId w:val="52"/>
        </w:numPr>
        <w:tabs>
          <w:tab w:val="num" w:pos="1425"/>
        </w:tabs>
        <w:ind w:hanging="709"/>
      </w:pPr>
      <w:r>
        <w:rPr>
          <w:rFonts w:ascii="ZWAdobeF" w:hAnsi="ZWAdobeF" w:cs="ZWAdobeF"/>
          <w:color w:val="auto"/>
          <w:sz w:val="2"/>
          <w:szCs w:val="2"/>
        </w:rPr>
        <w:t>429B</w:t>
      </w:r>
      <w:r w:rsidR="0049638A">
        <w:rPr>
          <w:rFonts w:ascii="ZWAdobeF" w:hAnsi="ZWAdobeF" w:cs="ZWAdobeF"/>
          <w:color w:val="auto"/>
          <w:sz w:val="2"/>
          <w:szCs w:val="2"/>
        </w:rPr>
        <w:t>429B</w:t>
      </w:r>
      <w:r w:rsidR="00D629FA">
        <w:rPr>
          <w:rFonts w:ascii="ZWAdobeF" w:hAnsi="ZWAdobeF" w:cs="ZWAdobeF"/>
          <w:color w:val="auto"/>
          <w:sz w:val="2"/>
          <w:szCs w:val="2"/>
        </w:rPr>
        <w:t>429B</w:t>
      </w:r>
      <w:r w:rsidR="00DD0F04">
        <w:t xml:space="preserve">In our main comparator jurisdictions, </w:t>
      </w:r>
      <w:r w:rsidR="00273E25">
        <w:t xml:space="preserve">court </w:t>
      </w:r>
      <w:r w:rsidR="00DD0F04">
        <w:t>approval of a class action settlement is required.</w:t>
      </w:r>
      <w:r w:rsidR="00D629FA">
        <w:rPr>
          <w:rFonts w:ascii="ZWAdobeF" w:hAnsi="ZWAdobeF" w:cs="ZWAdobeF"/>
          <w:color w:val="auto"/>
          <w:sz w:val="2"/>
          <w:szCs w:val="2"/>
        </w:rPr>
        <w:t>704F</w:t>
      </w:r>
      <w:r w:rsidR="007A330E">
        <w:rPr>
          <w:rFonts w:ascii="ZWAdobeF" w:hAnsi="ZWAdobeF" w:cs="ZWAdobeF"/>
          <w:color w:val="auto"/>
          <w:sz w:val="2"/>
          <w:szCs w:val="2"/>
        </w:rPr>
        <w:t>704F</w:t>
      </w:r>
      <w:r w:rsidR="00317AE4">
        <w:rPr>
          <w:rFonts w:ascii="ZWAdobeF" w:hAnsi="ZWAdobeF" w:cs="ZWAdobeF"/>
          <w:color w:val="auto"/>
          <w:sz w:val="2"/>
          <w:szCs w:val="2"/>
        </w:rPr>
        <w:t>704F</w:t>
      </w:r>
      <w:r w:rsidR="00DD0F04">
        <w:rPr>
          <w:rStyle w:val="FootnoteReference"/>
        </w:rPr>
        <w:footnoteReference w:id="706"/>
      </w:r>
      <w:r w:rsidR="00DD0F04">
        <w:t xml:space="preserve"> This is one of the key features that sets class actions apart from other civil litigation.</w:t>
      </w:r>
      <w:r w:rsidR="00D629FA">
        <w:rPr>
          <w:rFonts w:ascii="ZWAdobeF" w:hAnsi="ZWAdobeF" w:cs="ZWAdobeF"/>
          <w:color w:val="auto"/>
          <w:sz w:val="2"/>
          <w:szCs w:val="2"/>
        </w:rPr>
        <w:t>705F</w:t>
      </w:r>
      <w:r w:rsidR="007A330E">
        <w:rPr>
          <w:rFonts w:ascii="ZWAdobeF" w:hAnsi="ZWAdobeF" w:cs="ZWAdobeF"/>
          <w:color w:val="auto"/>
          <w:sz w:val="2"/>
          <w:szCs w:val="2"/>
        </w:rPr>
        <w:t>705F</w:t>
      </w:r>
      <w:r w:rsidR="00317AE4">
        <w:rPr>
          <w:rFonts w:ascii="ZWAdobeF" w:hAnsi="ZWAdobeF" w:cs="ZWAdobeF"/>
          <w:color w:val="auto"/>
          <w:sz w:val="2"/>
          <w:szCs w:val="2"/>
        </w:rPr>
        <w:t>705F</w:t>
      </w:r>
      <w:r w:rsidR="00DD0F04">
        <w:rPr>
          <w:rStyle w:val="FootnoteReference"/>
        </w:rPr>
        <w:footnoteReference w:id="707"/>
      </w:r>
      <w:r w:rsidR="00DD0F04">
        <w:t xml:space="preserve"> </w:t>
      </w:r>
    </w:p>
    <w:p w14:paraId="62D93FD3" w14:textId="64D599B5" w:rsidR="00DD0F04" w:rsidRDefault="00BD5C95" w:rsidP="00B73434">
      <w:pPr>
        <w:pStyle w:val="BodyText"/>
        <w:numPr>
          <w:ilvl w:val="1"/>
          <w:numId w:val="52"/>
        </w:numPr>
        <w:ind w:hanging="709"/>
      </w:pPr>
      <w:r>
        <w:rPr>
          <w:rFonts w:ascii="ZWAdobeF" w:hAnsi="ZWAdobeF" w:cs="ZWAdobeF"/>
          <w:color w:val="auto"/>
          <w:sz w:val="2"/>
          <w:szCs w:val="2"/>
        </w:rPr>
        <w:t>430B</w:t>
      </w:r>
      <w:r w:rsidR="0049638A">
        <w:rPr>
          <w:rFonts w:ascii="ZWAdobeF" w:hAnsi="ZWAdobeF" w:cs="ZWAdobeF"/>
          <w:color w:val="auto"/>
          <w:sz w:val="2"/>
          <w:szCs w:val="2"/>
        </w:rPr>
        <w:t>430B</w:t>
      </w:r>
      <w:r w:rsidR="00D629FA">
        <w:rPr>
          <w:rFonts w:ascii="ZWAdobeF" w:hAnsi="ZWAdobeF" w:cs="ZWAdobeF"/>
          <w:color w:val="auto"/>
          <w:sz w:val="2"/>
          <w:szCs w:val="2"/>
        </w:rPr>
        <w:t>430B</w:t>
      </w:r>
      <w:r w:rsidR="00DD0F04">
        <w:t xml:space="preserve">Courts </w:t>
      </w:r>
      <w:r w:rsidR="00DD0F04" w:rsidRPr="00843884">
        <w:t>have</w:t>
      </w:r>
      <w:r w:rsidR="00DD0F04">
        <w:t xml:space="preserve"> an important supervisory role to ensure that the interests of class members are protected, and settlement is a stage where class member interests require particular protection. One reason is that there is an ‘adversarial void’ because both the plaintiff and the defendant are advocating for the settlement to be approved. Another reason is the </w:t>
      </w:r>
      <w:r w:rsidR="00DD0F04">
        <w:lastRenderedPageBreak/>
        <w:t xml:space="preserve">risk of conflicts of interest arising at settlement because the representative plaintiff and litigation funder </w:t>
      </w:r>
      <w:r w:rsidR="00DD0F04" w:rsidRPr="00D63C5D">
        <w:t>may</w:t>
      </w:r>
      <w:r w:rsidR="00DD0F04">
        <w:t xml:space="preserve"> financially benefit from any settlement, and this could be at the expense of class members</w:t>
      </w:r>
      <w:r w:rsidR="00DD0F04" w:rsidRPr="00D63C5D">
        <w:t>, who do not usually have a role in settlement negotiations. For example, there is a risk of a representative plaintiff agreeing to settle class members’ claims cheaply in return for their own claim being settled for a higher amount.</w:t>
      </w:r>
      <w:r w:rsidR="00DD0F04">
        <w:t xml:space="preserve"> Or a litigation funder could apply pressure to settle a class action at a substantial discount because it needs the funds to commit to another case in its portfolio. It is therefore important that courts scrutinise proposed settlements to ensure the terms are fair to class members. </w:t>
      </w:r>
    </w:p>
    <w:p w14:paraId="43727D5C" w14:textId="7EF3DBAD" w:rsidR="00DD0F04" w:rsidRDefault="00BD5C95" w:rsidP="00B73434">
      <w:pPr>
        <w:pStyle w:val="BodyText"/>
        <w:numPr>
          <w:ilvl w:val="1"/>
          <w:numId w:val="52"/>
        </w:numPr>
        <w:tabs>
          <w:tab w:val="left" w:pos="709"/>
        </w:tabs>
        <w:ind w:hanging="709"/>
      </w:pPr>
      <w:r>
        <w:rPr>
          <w:rFonts w:ascii="ZWAdobeF" w:hAnsi="ZWAdobeF" w:cs="ZWAdobeF"/>
          <w:color w:val="auto"/>
          <w:sz w:val="2"/>
          <w:szCs w:val="2"/>
        </w:rPr>
        <w:t>431B</w:t>
      </w:r>
      <w:r w:rsidR="0049638A">
        <w:rPr>
          <w:rFonts w:ascii="ZWAdobeF" w:hAnsi="ZWAdobeF" w:cs="ZWAdobeF"/>
          <w:color w:val="auto"/>
          <w:sz w:val="2"/>
          <w:szCs w:val="2"/>
        </w:rPr>
        <w:t>431B</w:t>
      </w:r>
      <w:r w:rsidR="00D629FA">
        <w:rPr>
          <w:rFonts w:ascii="ZWAdobeF" w:hAnsi="ZWAdobeF" w:cs="ZWAdobeF"/>
          <w:color w:val="auto"/>
          <w:sz w:val="2"/>
          <w:szCs w:val="2"/>
        </w:rPr>
        <w:t>431B</w:t>
      </w:r>
      <w:r w:rsidR="00DD0F04">
        <w:t>Recognising these concerns, the Supreme Court has said that courts have the power to approve settlements in representative actions under HCR 4.24.</w:t>
      </w:r>
      <w:r w:rsidR="00D629FA">
        <w:rPr>
          <w:rFonts w:ascii="ZWAdobeF" w:hAnsi="ZWAdobeF" w:cs="ZWAdobeF"/>
          <w:color w:val="auto"/>
          <w:sz w:val="2"/>
          <w:szCs w:val="2"/>
        </w:rPr>
        <w:t>706F</w:t>
      </w:r>
      <w:r w:rsidR="007A330E">
        <w:rPr>
          <w:rFonts w:ascii="ZWAdobeF" w:hAnsi="ZWAdobeF" w:cs="ZWAdobeF"/>
          <w:color w:val="auto"/>
          <w:sz w:val="2"/>
          <w:szCs w:val="2"/>
        </w:rPr>
        <w:t>706F</w:t>
      </w:r>
      <w:r w:rsidR="00317AE4">
        <w:rPr>
          <w:rFonts w:ascii="ZWAdobeF" w:hAnsi="ZWAdobeF" w:cs="ZWAdobeF"/>
          <w:color w:val="auto"/>
          <w:sz w:val="2"/>
          <w:szCs w:val="2"/>
        </w:rPr>
        <w:t>706F</w:t>
      </w:r>
      <w:r w:rsidR="00DD0F04">
        <w:rPr>
          <w:rStyle w:val="FootnoteReference"/>
        </w:rPr>
        <w:footnoteReference w:id="708"/>
      </w:r>
      <w:r w:rsidR="00DD0F04">
        <w:t xml:space="preserve"> In </w:t>
      </w:r>
      <w:r w:rsidR="00DD0F04" w:rsidRPr="4DA17586">
        <w:rPr>
          <w:i/>
          <w:iCs/>
        </w:rPr>
        <w:t xml:space="preserve">Southern Response v Ross, </w:t>
      </w:r>
      <w:r w:rsidR="00DD0F04">
        <w:t xml:space="preserve">the Court said that </w:t>
      </w:r>
      <w:bookmarkStart w:id="96" w:name="_Hlk57102375"/>
      <w:r w:rsidR="00DD0F04">
        <w:t>court approval to settle or discontinue a proceeding should be a condition of granting leave to bring a representative action on an opt-out basis. The court should also consider whether this should be a requirement of granting leave to bring an opt-in representative action.</w:t>
      </w:r>
      <w:r w:rsidR="00D629FA">
        <w:rPr>
          <w:rFonts w:ascii="ZWAdobeF" w:hAnsi="ZWAdobeF" w:cs="ZWAdobeF"/>
          <w:color w:val="auto"/>
          <w:sz w:val="2"/>
          <w:szCs w:val="2"/>
        </w:rPr>
        <w:t>707F</w:t>
      </w:r>
      <w:r w:rsidR="007A330E">
        <w:rPr>
          <w:rFonts w:ascii="ZWAdobeF" w:hAnsi="ZWAdobeF" w:cs="ZWAdobeF"/>
          <w:color w:val="auto"/>
          <w:sz w:val="2"/>
          <w:szCs w:val="2"/>
        </w:rPr>
        <w:t>707F</w:t>
      </w:r>
      <w:r w:rsidR="00317AE4">
        <w:rPr>
          <w:rFonts w:ascii="ZWAdobeF" w:hAnsi="ZWAdobeF" w:cs="ZWAdobeF"/>
          <w:color w:val="auto"/>
          <w:sz w:val="2"/>
          <w:szCs w:val="2"/>
        </w:rPr>
        <w:t>707F</w:t>
      </w:r>
      <w:r w:rsidR="00DD0F04">
        <w:rPr>
          <w:rStyle w:val="FootnoteReference"/>
        </w:rPr>
        <w:footnoteReference w:id="709"/>
      </w:r>
      <w:r w:rsidR="00DD0F04">
        <w:t xml:space="preserve"> The Court said that when approving a settlement, courts could consider the extent to which a settlement prejudices individual </w:t>
      </w:r>
      <w:r w:rsidR="00912A8C">
        <w:t xml:space="preserve">group </w:t>
      </w:r>
      <w:r w:rsidR="00DD0F04">
        <w:t>members and could draw on the assistance of independent experts.</w:t>
      </w:r>
      <w:r w:rsidR="00D629FA">
        <w:rPr>
          <w:rFonts w:ascii="ZWAdobeF" w:hAnsi="ZWAdobeF" w:cs="ZWAdobeF"/>
          <w:color w:val="auto"/>
          <w:sz w:val="2"/>
          <w:szCs w:val="2"/>
        </w:rPr>
        <w:t>708F</w:t>
      </w:r>
      <w:r w:rsidR="007A330E">
        <w:rPr>
          <w:rFonts w:ascii="ZWAdobeF" w:hAnsi="ZWAdobeF" w:cs="ZWAdobeF"/>
          <w:color w:val="auto"/>
          <w:sz w:val="2"/>
          <w:szCs w:val="2"/>
        </w:rPr>
        <w:t>708F</w:t>
      </w:r>
      <w:r w:rsidR="00317AE4">
        <w:rPr>
          <w:rFonts w:ascii="ZWAdobeF" w:hAnsi="ZWAdobeF" w:cs="ZWAdobeF"/>
          <w:color w:val="auto"/>
          <w:sz w:val="2"/>
          <w:szCs w:val="2"/>
        </w:rPr>
        <w:t>708F</w:t>
      </w:r>
      <w:r w:rsidR="00DD0F04">
        <w:rPr>
          <w:rStyle w:val="FootnoteReference"/>
        </w:rPr>
        <w:footnoteReference w:id="710"/>
      </w:r>
      <w:r w:rsidR="00DD0F04">
        <w:t xml:space="preserve"> </w:t>
      </w:r>
      <w:bookmarkEnd w:id="96"/>
      <w:r w:rsidR="00DD0F04">
        <w:t>There are several examples of the High Court having approved settlements of representative actions.</w:t>
      </w:r>
      <w:r w:rsidR="00D629FA">
        <w:rPr>
          <w:rFonts w:ascii="ZWAdobeF" w:hAnsi="ZWAdobeF" w:cs="ZWAdobeF"/>
          <w:color w:val="auto"/>
          <w:sz w:val="2"/>
          <w:szCs w:val="2"/>
        </w:rPr>
        <w:t>709F</w:t>
      </w:r>
      <w:r w:rsidR="007A330E">
        <w:rPr>
          <w:rFonts w:ascii="ZWAdobeF" w:hAnsi="ZWAdobeF" w:cs="ZWAdobeF"/>
          <w:color w:val="auto"/>
          <w:sz w:val="2"/>
          <w:szCs w:val="2"/>
        </w:rPr>
        <w:t>709F</w:t>
      </w:r>
      <w:r w:rsidR="00317AE4">
        <w:rPr>
          <w:rFonts w:ascii="ZWAdobeF" w:hAnsi="ZWAdobeF" w:cs="ZWAdobeF"/>
          <w:color w:val="auto"/>
          <w:sz w:val="2"/>
          <w:szCs w:val="2"/>
        </w:rPr>
        <w:t>709F</w:t>
      </w:r>
      <w:r w:rsidR="00DD0F04">
        <w:rPr>
          <w:rStyle w:val="FootnoteReference"/>
        </w:rPr>
        <w:footnoteReference w:id="711"/>
      </w:r>
    </w:p>
    <w:p w14:paraId="1A4007FE" w14:textId="1371BFD2" w:rsidR="00DD0F04" w:rsidRPr="005C1946" w:rsidRDefault="00D72005" w:rsidP="002A46AD">
      <w:pPr>
        <w:pStyle w:val="Heading3"/>
      </w:pPr>
      <w:r>
        <w:t xml:space="preserve">Court </w:t>
      </w:r>
      <w:r w:rsidR="00DD0F04">
        <w:t xml:space="preserve">approval of </w:t>
      </w:r>
      <w:r w:rsidR="00491F8C">
        <w:t>settlements in</w:t>
      </w:r>
      <w:r w:rsidR="00DD0F04">
        <w:t xml:space="preserve"> opt-in and opt-out </w:t>
      </w:r>
      <w:r w:rsidR="00D042D2">
        <w:t xml:space="preserve">class actions </w:t>
      </w:r>
    </w:p>
    <w:p w14:paraId="257F5F63" w14:textId="6C3F7D65" w:rsidR="00DD0F04" w:rsidRDefault="00BD5C95" w:rsidP="00B73434">
      <w:pPr>
        <w:pStyle w:val="BodyText"/>
        <w:numPr>
          <w:ilvl w:val="1"/>
          <w:numId w:val="52"/>
        </w:numPr>
        <w:tabs>
          <w:tab w:val="left" w:pos="709"/>
        </w:tabs>
        <w:ind w:hanging="709"/>
      </w:pPr>
      <w:r>
        <w:rPr>
          <w:rFonts w:ascii="ZWAdobeF" w:hAnsi="ZWAdobeF" w:cs="ZWAdobeF"/>
          <w:color w:val="auto"/>
          <w:sz w:val="2"/>
          <w:szCs w:val="2"/>
        </w:rPr>
        <w:t>432B</w:t>
      </w:r>
      <w:r w:rsidR="0049638A">
        <w:rPr>
          <w:rFonts w:ascii="ZWAdobeF" w:hAnsi="ZWAdobeF" w:cs="ZWAdobeF"/>
          <w:color w:val="auto"/>
          <w:sz w:val="2"/>
          <w:szCs w:val="2"/>
        </w:rPr>
        <w:t>432B</w:t>
      </w:r>
      <w:r w:rsidR="00D629FA">
        <w:rPr>
          <w:rFonts w:ascii="ZWAdobeF" w:hAnsi="ZWAdobeF" w:cs="ZWAdobeF"/>
          <w:color w:val="auto"/>
          <w:sz w:val="2"/>
          <w:szCs w:val="2"/>
        </w:rPr>
        <w:t>432B</w:t>
      </w:r>
      <w:r w:rsidR="00D72005">
        <w:t>Court</w:t>
      </w:r>
      <w:r w:rsidR="00DD0F04">
        <w:t xml:space="preserve"> approval of a settlement is particularly important in opt-out </w:t>
      </w:r>
      <w:r w:rsidR="00D042D2">
        <w:t>class actions</w:t>
      </w:r>
      <w:r w:rsidR="00DD0F04">
        <w:t xml:space="preserve"> because of the risk that some class members will not be aware of the class action or the proposed settlement. In an opt-in proceeding, all class members have actively consented to being part of the class action and can be kept updated of any developments. In the United Kingdom Competition Appeal Tribunal, where both opt-in and opt-out proceedings are possible, judicial approval of settlements in opt-in proceedings is not required.</w:t>
      </w:r>
      <w:r w:rsidR="00D629FA">
        <w:rPr>
          <w:rFonts w:ascii="ZWAdobeF" w:hAnsi="ZWAdobeF" w:cs="ZWAdobeF"/>
          <w:color w:val="auto"/>
          <w:sz w:val="2"/>
          <w:szCs w:val="2"/>
        </w:rPr>
        <w:t>710F</w:t>
      </w:r>
      <w:r w:rsidR="007A330E">
        <w:rPr>
          <w:rFonts w:ascii="ZWAdobeF" w:hAnsi="ZWAdobeF" w:cs="ZWAdobeF"/>
          <w:color w:val="auto"/>
          <w:sz w:val="2"/>
          <w:szCs w:val="2"/>
        </w:rPr>
        <w:t>710F</w:t>
      </w:r>
      <w:r w:rsidR="00317AE4">
        <w:rPr>
          <w:rFonts w:ascii="ZWAdobeF" w:hAnsi="ZWAdobeF" w:cs="ZWAdobeF"/>
          <w:color w:val="auto"/>
          <w:sz w:val="2"/>
          <w:szCs w:val="2"/>
        </w:rPr>
        <w:t>710F</w:t>
      </w:r>
      <w:r w:rsidR="00DD0F04">
        <w:rPr>
          <w:rStyle w:val="FootnoteReference"/>
        </w:rPr>
        <w:footnoteReference w:id="712"/>
      </w:r>
    </w:p>
    <w:p w14:paraId="227B10B7" w14:textId="5ABA8E24" w:rsidR="00DD0F04" w:rsidRDefault="00BD5C95" w:rsidP="00B73434">
      <w:pPr>
        <w:pStyle w:val="BodyText"/>
        <w:numPr>
          <w:ilvl w:val="1"/>
          <w:numId w:val="52"/>
        </w:numPr>
        <w:tabs>
          <w:tab w:val="left" w:pos="709"/>
        </w:tabs>
        <w:ind w:hanging="709"/>
      </w:pPr>
      <w:r>
        <w:rPr>
          <w:rFonts w:ascii="ZWAdobeF" w:hAnsi="ZWAdobeF" w:cs="ZWAdobeF"/>
          <w:color w:val="auto"/>
          <w:sz w:val="2"/>
          <w:szCs w:val="2"/>
        </w:rPr>
        <w:t>433B</w:t>
      </w:r>
      <w:r w:rsidR="0049638A">
        <w:rPr>
          <w:rFonts w:ascii="ZWAdobeF" w:hAnsi="ZWAdobeF" w:cs="ZWAdobeF"/>
          <w:color w:val="auto"/>
          <w:sz w:val="2"/>
          <w:szCs w:val="2"/>
        </w:rPr>
        <w:t>433B</w:t>
      </w:r>
      <w:r w:rsidR="00D629FA">
        <w:rPr>
          <w:rFonts w:ascii="ZWAdobeF" w:hAnsi="ZWAdobeF" w:cs="ZWAdobeF"/>
          <w:color w:val="auto"/>
          <w:sz w:val="2"/>
          <w:szCs w:val="2"/>
        </w:rPr>
        <w:t>433B</w:t>
      </w:r>
      <w:r w:rsidR="00DD0F04">
        <w:t>While the case for judicial approval of settlements is strongest in opt-out class actions, there are good reasons for requiring judicial approval in opt-in class actions as well. The court still has an important supervisory role to ensure that the interests of class members are protected. Class members do not have the status of parties and may have little contact with the lawyers acting for the class and no role in settlement negotiations. The adversarial void and risk of conflicts of interest</w:t>
      </w:r>
      <w:r w:rsidR="00DD0F04" w:rsidRPr="008E6AEC">
        <w:t xml:space="preserve"> </w:t>
      </w:r>
      <w:r w:rsidR="00DD0F04">
        <w:t xml:space="preserve">at settlement are still present. For these reasons, we consider that judicial approval of a settlement should be required in both </w:t>
      </w:r>
      <w:r w:rsidR="00DD0F04">
        <w:lastRenderedPageBreak/>
        <w:t xml:space="preserve">opt-in and opt-out class actions. This is reflected in our draft provision which requires </w:t>
      </w:r>
      <w:r w:rsidR="00416FCA">
        <w:rPr>
          <w:noProof/>
        </w:rPr>
        <mc:AlternateContent>
          <mc:Choice Requires="wpg">
            <w:drawing>
              <wp:anchor distT="0" distB="0" distL="114300" distR="114300" simplePos="0" relativeHeight="251652175" behindDoc="1" locked="0" layoutInCell="1" allowOverlap="1" wp14:anchorId="66C468C9" wp14:editId="0DED04F6">
                <wp:simplePos x="0" y="0"/>
                <wp:positionH relativeFrom="column">
                  <wp:posOffset>53028</wp:posOffset>
                </wp:positionH>
                <wp:positionV relativeFrom="paragraph">
                  <wp:posOffset>455136</wp:posOffset>
                </wp:positionV>
                <wp:extent cx="5760085" cy="1063625"/>
                <wp:effectExtent l="0" t="0" r="0" b="3175"/>
                <wp:wrapNone/>
                <wp:docPr id="56" name="Group 56"/>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5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98A137" w14:textId="77777777" w:rsidR="00A55F53" w:rsidRDefault="00A55F53" w:rsidP="00881EAF">
                              <w:pPr>
                                <w:pStyle w:val="BoxTitle"/>
                                <w:spacing w:before="0" w:beforeAutospacing="0"/>
                              </w:pPr>
                              <w:r w:rsidRPr="007F6876">
                                <w:t>QUESTION</w:t>
                              </w:r>
                            </w:p>
                          </w:txbxContent>
                        </wps:txbx>
                        <wps:bodyPr rot="0" vert="horz" wrap="square" lIns="91440" tIns="0" rIns="0" bIns="45720" anchor="ctr" anchorCtr="0" upright="1">
                          <a:noAutofit/>
                        </wps:bodyPr>
                      </wps:wsp>
                      <wpg:grpSp>
                        <wpg:cNvPr id="59" name="Group 53"/>
                        <wpg:cNvGrpSpPr>
                          <a:grpSpLocks/>
                        </wpg:cNvGrpSpPr>
                        <wpg:grpSpPr bwMode="auto">
                          <a:xfrm>
                            <a:off x="0" y="316263"/>
                            <a:ext cx="5760085" cy="810335"/>
                            <a:chOff x="1837" y="1792"/>
                            <a:chExt cx="9302" cy="8753"/>
                          </a:xfrm>
                        </wpg:grpSpPr>
                        <wps:wsp>
                          <wps:cNvPr id="61"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2"/>
                        <wpg:cNvGrpSpPr/>
                        <wpg:grpSpPr>
                          <a:xfrm>
                            <a:off x="0" y="494036"/>
                            <a:ext cx="1443794" cy="252000"/>
                            <a:chOff x="-15880" y="0"/>
                            <a:chExt cx="1444379" cy="252068"/>
                          </a:xfrm>
                        </wpg:grpSpPr>
                        <wps:wsp>
                          <wps:cNvPr id="6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795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6D915F" w14:textId="091863C1" w:rsidR="00A55F53" w:rsidRPr="00E700FF" w:rsidRDefault="00A55F53" w:rsidP="00881EAF">
                                <w:pPr>
                                  <w:pStyle w:val="BoxTitle"/>
                                  <w:spacing w:before="0" w:beforeAutospacing="0"/>
                                </w:pPr>
                                <w:r w:rsidRPr="001C1B37">
                                  <w:t>Q</w:t>
                                </w:r>
                                <w:r>
                                  <w:t>3</w:t>
                                </w:r>
                                <w:r w:rsidR="00416FCA">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6C468C9" id="Group 56" o:spid="_x0000_s1452" style="position:absolute;left:0;text-align:left;margin-left:4.2pt;margin-top:35.85pt;width:453.55pt;height:83.75pt;z-index:-251664305;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">
                <v:shape id="_x0000_s145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898A137" w14:textId="77777777" w:rsidR="00A55F53" w:rsidRDefault="00A55F53" w:rsidP="00881EAF">
                        <w:pPr>
                          <w:pStyle w:val="BoxTitle"/>
                          <w:spacing w:before="0" w:beforeAutospacing="0"/>
                        </w:pPr>
                        <w:r w:rsidRPr="007F6876">
                          <w:t>QUESTION</w:t>
                        </w:r>
                      </w:p>
                    </w:txbxContent>
                  </v:textbox>
                </v:shape>
                <v:group id="Group 53" o:spid="_x0000_s1454"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4" o:spid="_x0000_s1455"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" path="m,l9354,r,7809l,7809,,e" fillcolor="#edf2ea" stroked="f">
                    <v:path arrowok="t" o:connecttype="custom" o:connectlocs="0,1121;9302,1121;9302,9874;0,9874;0,1121" o:connectangles="0,0,0,0,0"/>
                  </v:shape>
                </v:group>
                <v:group id="Group 62" o:spid="_x0000_s145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8" o:spid="_x0000_s145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" path="m,l1815,e" filled="f" strokecolor="#72ab6a" strokeweight=".5pt">
                    <v:path arrowok="t" o:connecttype="custom" o:connectlocs="0,0;1073495,0" o:connectangles="0,0"/>
                  </v:shape>
                  <v:shape id="Freeform 66" o:spid="_x0000_s145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26D915F" w14:textId="091863C1" w:rsidR="00A55F53" w:rsidRPr="00E700FF" w:rsidRDefault="00A55F53" w:rsidP="00881EAF">
                          <w:pPr>
                            <w:pStyle w:val="BoxTitle"/>
                            <w:spacing w:before="0" w:beforeAutospacing="0"/>
                          </w:pPr>
                          <w:r w:rsidRPr="001C1B37">
                            <w:t>Q</w:t>
                          </w:r>
                          <w:r>
                            <w:t>3</w:t>
                          </w:r>
                          <w:r w:rsidR="00416FCA">
                            <w:t>6</w:t>
                          </w:r>
                        </w:p>
                      </w:txbxContent>
                    </v:textbox>
                  </v:shape>
                </v:group>
              </v:group>
            </w:pict>
          </mc:Fallback>
        </mc:AlternateContent>
      </w:r>
      <w:r w:rsidR="00DD0F04">
        <w:t>court approval of a settlement of a class action proceeding.</w:t>
      </w:r>
      <w:r w:rsidR="00D629FA">
        <w:rPr>
          <w:rFonts w:ascii="ZWAdobeF" w:hAnsi="ZWAdobeF" w:cs="ZWAdobeF"/>
          <w:color w:val="auto"/>
          <w:sz w:val="2"/>
          <w:szCs w:val="2"/>
        </w:rPr>
        <w:t>711F</w:t>
      </w:r>
      <w:r w:rsidR="007A330E">
        <w:rPr>
          <w:rFonts w:ascii="ZWAdobeF" w:hAnsi="ZWAdobeF" w:cs="ZWAdobeF"/>
          <w:color w:val="auto"/>
          <w:sz w:val="2"/>
          <w:szCs w:val="2"/>
        </w:rPr>
        <w:t>711F</w:t>
      </w:r>
      <w:r w:rsidR="00317AE4">
        <w:rPr>
          <w:rFonts w:ascii="ZWAdobeF" w:hAnsi="ZWAdobeF" w:cs="ZWAdobeF"/>
          <w:color w:val="auto"/>
          <w:sz w:val="2"/>
          <w:szCs w:val="2"/>
        </w:rPr>
        <w:t>711F</w:t>
      </w:r>
      <w:r w:rsidR="00DD0F04">
        <w:rPr>
          <w:rStyle w:val="FootnoteReference"/>
        </w:rPr>
        <w:footnoteReference w:id="713"/>
      </w:r>
      <w:r w:rsidR="00DD0F04">
        <w:t xml:space="preserve">   </w:t>
      </w:r>
    </w:p>
    <w:p w14:paraId="2DE21752" w14:textId="3A18C3C3" w:rsidR="00932B1B" w:rsidRDefault="00932B1B" w:rsidP="00416FCA">
      <w:pPr>
        <w:pStyle w:val="QuestionBox"/>
        <w:ind w:left="0"/>
      </w:pPr>
    </w:p>
    <w:p w14:paraId="448E0AFC" w14:textId="3BE43389" w:rsidR="00932B1B" w:rsidRDefault="00932B1B" w:rsidP="00E850ED">
      <w:pPr>
        <w:pStyle w:val="QuestionBox"/>
      </w:pPr>
    </w:p>
    <w:p w14:paraId="663CF559" w14:textId="2469D4B6" w:rsidR="00DD0F04" w:rsidRDefault="00BD5C95" w:rsidP="00E850ED">
      <w:pPr>
        <w:pStyle w:val="QuestionBox"/>
      </w:pPr>
      <w:r>
        <w:rPr>
          <w:rFonts w:ascii="ZWAdobeF" w:hAnsi="ZWAdobeF" w:cs="ZWAdobeF"/>
          <w:color w:val="auto"/>
          <w:sz w:val="2"/>
          <w:szCs w:val="2"/>
        </w:rPr>
        <w:t>1443B</w:t>
      </w:r>
      <w:r w:rsidR="0049638A">
        <w:rPr>
          <w:rFonts w:ascii="ZWAdobeF" w:hAnsi="ZWAdobeF" w:cs="ZWAdobeF"/>
          <w:color w:val="auto"/>
          <w:sz w:val="2"/>
          <w:szCs w:val="2"/>
        </w:rPr>
        <w:t>1443B</w:t>
      </w:r>
      <w:r w:rsidR="00D629FA">
        <w:rPr>
          <w:rFonts w:ascii="ZWAdobeF" w:hAnsi="ZWAdobeF" w:cs="ZWAdobeF"/>
          <w:color w:val="auto"/>
          <w:sz w:val="2"/>
          <w:szCs w:val="2"/>
        </w:rPr>
        <w:t>1443B</w:t>
      </w:r>
      <w:r w:rsidR="00DD0F04">
        <w:t>Should the court be required to approve class action settlements in both opt-in and opt-out proceedings?</w:t>
      </w:r>
    </w:p>
    <w:p w14:paraId="27E25D0F" w14:textId="77777777" w:rsidR="00932B1B" w:rsidRDefault="00932B1B" w:rsidP="00E850ED">
      <w:pPr>
        <w:pStyle w:val="QuestionBox"/>
      </w:pPr>
    </w:p>
    <w:p w14:paraId="4B9D525D" w14:textId="13730362" w:rsidR="00DD0F04" w:rsidRDefault="00A10FA8" w:rsidP="00802E67">
      <w:pPr>
        <w:pStyle w:val="Heading3"/>
      </w:pPr>
      <w:r>
        <w:t xml:space="preserve">Court </w:t>
      </w:r>
      <w:r w:rsidR="00DD0F04">
        <w:t>approval prior to certification</w:t>
      </w:r>
    </w:p>
    <w:p w14:paraId="6D6D9D5D" w14:textId="10B2BD45" w:rsidR="00DD0F04" w:rsidRDefault="00BD5C95" w:rsidP="00B73434">
      <w:pPr>
        <w:pStyle w:val="BodyText"/>
        <w:numPr>
          <w:ilvl w:val="1"/>
          <w:numId w:val="52"/>
        </w:numPr>
        <w:tabs>
          <w:tab w:val="left" w:pos="709"/>
        </w:tabs>
        <w:ind w:hanging="709"/>
      </w:pPr>
      <w:r>
        <w:rPr>
          <w:rFonts w:ascii="ZWAdobeF" w:hAnsi="ZWAdobeF" w:cs="ZWAdobeF"/>
          <w:color w:val="auto"/>
          <w:sz w:val="2"/>
          <w:szCs w:val="2"/>
        </w:rPr>
        <w:t>434B</w:t>
      </w:r>
      <w:r w:rsidR="0049638A">
        <w:rPr>
          <w:rFonts w:ascii="ZWAdobeF" w:hAnsi="ZWAdobeF" w:cs="ZWAdobeF"/>
          <w:color w:val="auto"/>
          <w:sz w:val="2"/>
          <w:szCs w:val="2"/>
        </w:rPr>
        <w:t>434B</w:t>
      </w:r>
      <w:r w:rsidR="00D629FA">
        <w:rPr>
          <w:rFonts w:ascii="ZWAdobeF" w:hAnsi="ZWAdobeF" w:cs="ZWAdobeF"/>
          <w:color w:val="auto"/>
          <w:sz w:val="2"/>
          <w:szCs w:val="2"/>
        </w:rPr>
        <w:t>434B</w:t>
      </w:r>
      <w:r w:rsidR="00DD0F04">
        <w:t xml:space="preserve">In some cases, the </w:t>
      </w:r>
      <w:r w:rsidR="00491F8C">
        <w:t>representative</w:t>
      </w:r>
      <w:r w:rsidR="00DD0F04">
        <w:t xml:space="preserve"> plaintiff and defendant may reach a settlement prior to certification. This raises the issue of whether court approval of such a settlement should be required. In both the United States and the United Kingdom Competition Appeal Tribunal there is a process for approving settlements reached prior to certification, which we discuss </w:t>
      </w:r>
      <w:r w:rsidR="00243410">
        <w:t xml:space="preserve">later </w:t>
      </w:r>
      <w:r w:rsidR="00DD0F04">
        <w:t>in this chapter. Some of the Canadian regimes specifically require court approval in a “proceeding that is subject to an application for certification”.</w:t>
      </w:r>
      <w:r w:rsidR="00D629FA">
        <w:rPr>
          <w:rFonts w:ascii="ZWAdobeF" w:hAnsi="ZWAdobeF" w:cs="ZWAdobeF"/>
          <w:color w:val="auto"/>
          <w:sz w:val="2"/>
          <w:szCs w:val="2"/>
        </w:rPr>
        <w:t>712F</w:t>
      </w:r>
      <w:r w:rsidR="007A330E">
        <w:rPr>
          <w:rFonts w:ascii="ZWAdobeF" w:hAnsi="ZWAdobeF" w:cs="ZWAdobeF"/>
          <w:color w:val="auto"/>
          <w:sz w:val="2"/>
          <w:szCs w:val="2"/>
        </w:rPr>
        <w:t>712F</w:t>
      </w:r>
      <w:r w:rsidR="00317AE4">
        <w:rPr>
          <w:rFonts w:ascii="ZWAdobeF" w:hAnsi="ZWAdobeF" w:cs="ZWAdobeF"/>
          <w:color w:val="auto"/>
          <w:sz w:val="2"/>
          <w:szCs w:val="2"/>
        </w:rPr>
        <w:t>712F</w:t>
      </w:r>
      <w:r w:rsidR="00DD0F04">
        <w:rPr>
          <w:rStyle w:val="FootnoteReference"/>
        </w:rPr>
        <w:footnoteReference w:id="714"/>
      </w:r>
      <w:r w:rsidR="00DD0F04">
        <w:t xml:space="preserve"> However, other provinces do not use this wording and commentary suggests it may be possible to settle a class action prior to certification without court approval in those jurisdictions.</w:t>
      </w:r>
      <w:r w:rsidR="00D629FA">
        <w:rPr>
          <w:rFonts w:ascii="ZWAdobeF" w:hAnsi="ZWAdobeF" w:cs="ZWAdobeF"/>
          <w:color w:val="auto"/>
          <w:sz w:val="2"/>
          <w:szCs w:val="2"/>
        </w:rPr>
        <w:t>713F</w:t>
      </w:r>
      <w:r w:rsidR="007A330E">
        <w:rPr>
          <w:rFonts w:ascii="ZWAdobeF" w:hAnsi="ZWAdobeF" w:cs="ZWAdobeF"/>
          <w:color w:val="auto"/>
          <w:sz w:val="2"/>
          <w:szCs w:val="2"/>
        </w:rPr>
        <w:t>713F</w:t>
      </w:r>
      <w:r w:rsidR="00317AE4">
        <w:rPr>
          <w:rFonts w:ascii="ZWAdobeF" w:hAnsi="ZWAdobeF" w:cs="ZWAdobeF"/>
          <w:color w:val="auto"/>
          <w:sz w:val="2"/>
          <w:szCs w:val="2"/>
        </w:rPr>
        <w:t>713F</w:t>
      </w:r>
      <w:r w:rsidR="00DD0F04">
        <w:rPr>
          <w:rStyle w:val="FootnoteReference"/>
        </w:rPr>
        <w:footnoteReference w:id="715"/>
      </w:r>
    </w:p>
    <w:p w14:paraId="213AE1FD" w14:textId="2921975C" w:rsidR="00DD0F04" w:rsidRDefault="00BD5C95" w:rsidP="00B73434">
      <w:pPr>
        <w:pStyle w:val="BodyText"/>
        <w:numPr>
          <w:ilvl w:val="1"/>
          <w:numId w:val="52"/>
        </w:numPr>
        <w:tabs>
          <w:tab w:val="left" w:pos="709"/>
        </w:tabs>
        <w:ind w:hanging="709"/>
      </w:pPr>
      <w:r>
        <w:rPr>
          <w:rFonts w:ascii="ZWAdobeF" w:hAnsi="ZWAdobeF" w:cs="ZWAdobeF"/>
          <w:color w:val="auto"/>
          <w:sz w:val="2"/>
          <w:szCs w:val="2"/>
        </w:rPr>
        <w:t>435B</w:t>
      </w:r>
      <w:r w:rsidR="0049638A">
        <w:rPr>
          <w:rFonts w:ascii="ZWAdobeF" w:hAnsi="ZWAdobeF" w:cs="ZWAdobeF"/>
          <w:color w:val="auto"/>
          <w:sz w:val="2"/>
          <w:szCs w:val="2"/>
        </w:rPr>
        <w:t>435B</w:t>
      </w:r>
      <w:r w:rsidR="00D629FA">
        <w:rPr>
          <w:rFonts w:ascii="ZWAdobeF" w:hAnsi="ZWAdobeF" w:cs="ZWAdobeF"/>
          <w:color w:val="auto"/>
          <w:sz w:val="2"/>
          <w:szCs w:val="2"/>
        </w:rPr>
        <w:t>435B</w:t>
      </w:r>
      <w:r w:rsidR="000F50C6">
        <w:t>We think the concerns outlined in [</w:t>
      </w:r>
      <w:r w:rsidR="002E0000">
        <w:t xml:space="preserve">6.3] can equally apply to settlements reached prior to certification and so </w:t>
      </w:r>
      <w:r w:rsidR="00DD0F04">
        <w:t xml:space="preserve">we think the court should also be required to approve the settlement </w:t>
      </w:r>
      <w:r w:rsidR="00923A99">
        <w:t>in such cases</w:t>
      </w:r>
      <w:r w:rsidR="00DD0F04">
        <w:t>. Later in this chapter we set out a process for certifying a class for the purposes of settlement.</w:t>
      </w:r>
    </w:p>
    <w:p w14:paraId="6E46D815" w14:textId="7CDB05A3" w:rsidR="00DD0F04" w:rsidRDefault="00933835" w:rsidP="00802E67">
      <w:pPr>
        <w:pStyle w:val="Heading3"/>
      </w:pPr>
      <w:r>
        <w:t xml:space="preserve">Court </w:t>
      </w:r>
      <w:r w:rsidR="00DD0F04">
        <w:t xml:space="preserve">approval of discontinuance </w:t>
      </w:r>
    </w:p>
    <w:p w14:paraId="2EDC9272" w14:textId="722F34ED" w:rsidR="00DD0F04" w:rsidRDefault="00BD5C95" w:rsidP="00B73434">
      <w:pPr>
        <w:pStyle w:val="BodyText"/>
        <w:numPr>
          <w:ilvl w:val="1"/>
          <w:numId w:val="52"/>
        </w:numPr>
        <w:tabs>
          <w:tab w:val="left" w:pos="709"/>
        </w:tabs>
        <w:ind w:hanging="709"/>
      </w:pPr>
      <w:r>
        <w:rPr>
          <w:rFonts w:ascii="ZWAdobeF" w:hAnsi="ZWAdobeF" w:cs="ZWAdobeF"/>
          <w:color w:val="auto"/>
          <w:sz w:val="2"/>
          <w:szCs w:val="2"/>
        </w:rPr>
        <w:t>436B</w:t>
      </w:r>
      <w:r w:rsidR="0049638A">
        <w:rPr>
          <w:rFonts w:ascii="ZWAdobeF" w:hAnsi="ZWAdobeF" w:cs="ZWAdobeF"/>
          <w:color w:val="auto"/>
          <w:sz w:val="2"/>
          <w:szCs w:val="2"/>
        </w:rPr>
        <w:t>436B</w:t>
      </w:r>
      <w:r w:rsidR="00D629FA">
        <w:rPr>
          <w:rFonts w:ascii="ZWAdobeF" w:hAnsi="ZWAdobeF" w:cs="ZWAdobeF"/>
          <w:color w:val="auto"/>
          <w:sz w:val="2"/>
          <w:szCs w:val="2"/>
        </w:rPr>
        <w:t>436B</w:t>
      </w:r>
      <w:r w:rsidR="00DD0F04">
        <w:t>Both Australian and Canadian class action</w:t>
      </w:r>
      <w:r w:rsidR="00BA3EA0">
        <w:t>s</w:t>
      </w:r>
      <w:r w:rsidR="00DD0F04">
        <w:t xml:space="preserve"> statutes require court approval to discontinue a class action.</w:t>
      </w:r>
      <w:r w:rsidR="00D629FA">
        <w:rPr>
          <w:rFonts w:ascii="ZWAdobeF" w:hAnsi="ZWAdobeF" w:cs="ZWAdobeF"/>
          <w:color w:val="auto"/>
          <w:sz w:val="2"/>
          <w:szCs w:val="2"/>
        </w:rPr>
        <w:t>714F</w:t>
      </w:r>
      <w:r w:rsidR="007A330E">
        <w:rPr>
          <w:rFonts w:ascii="ZWAdobeF" w:hAnsi="ZWAdobeF" w:cs="ZWAdobeF"/>
          <w:color w:val="auto"/>
          <w:sz w:val="2"/>
          <w:szCs w:val="2"/>
        </w:rPr>
        <w:t>714F</w:t>
      </w:r>
      <w:r w:rsidR="00317AE4">
        <w:rPr>
          <w:rFonts w:ascii="ZWAdobeF" w:hAnsi="ZWAdobeF" w:cs="ZWAdobeF"/>
          <w:color w:val="auto"/>
          <w:sz w:val="2"/>
          <w:szCs w:val="2"/>
        </w:rPr>
        <w:t>714F</w:t>
      </w:r>
      <w:r w:rsidR="00DD0F04">
        <w:rPr>
          <w:rStyle w:val="FootnoteReference"/>
        </w:rPr>
        <w:footnoteReference w:id="716"/>
      </w:r>
      <w:r w:rsidR="00DD0F04">
        <w:t xml:space="preserve"> In Aotearoa New Zealand, the Supreme Court has said that court approval to discontinue proceedings should be a condition of giving leave to bring a representative proceeding, at least in opt-out proceedings.</w:t>
      </w:r>
      <w:r w:rsidR="00D629FA">
        <w:rPr>
          <w:rFonts w:ascii="ZWAdobeF" w:hAnsi="ZWAdobeF" w:cs="ZWAdobeF"/>
          <w:color w:val="auto"/>
          <w:sz w:val="2"/>
          <w:szCs w:val="2"/>
        </w:rPr>
        <w:t>715F</w:t>
      </w:r>
      <w:r w:rsidR="007A330E">
        <w:rPr>
          <w:rFonts w:ascii="ZWAdobeF" w:hAnsi="ZWAdobeF" w:cs="ZWAdobeF"/>
          <w:color w:val="auto"/>
          <w:sz w:val="2"/>
          <w:szCs w:val="2"/>
        </w:rPr>
        <w:t>715F</w:t>
      </w:r>
      <w:r w:rsidR="00317AE4">
        <w:rPr>
          <w:rFonts w:ascii="ZWAdobeF" w:hAnsi="ZWAdobeF" w:cs="ZWAdobeF"/>
          <w:color w:val="auto"/>
          <w:sz w:val="2"/>
          <w:szCs w:val="2"/>
        </w:rPr>
        <w:t>715F</w:t>
      </w:r>
      <w:r w:rsidR="00DD0F04">
        <w:rPr>
          <w:rStyle w:val="FootnoteReference"/>
        </w:rPr>
        <w:footnoteReference w:id="717"/>
      </w:r>
    </w:p>
    <w:p w14:paraId="5EEAD9C8" w14:textId="180E5293" w:rsidR="00DD0F04" w:rsidRDefault="00BD5C95" w:rsidP="00B73434">
      <w:pPr>
        <w:pStyle w:val="BodyText"/>
        <w:numPr>
          <w:ilvl w:val="1"/>
          <w:numId w:val="52"/>
        </w:numPr>
        <w:tabs>
          <w:tab w:val="left" w:pos="709"/>
        </w:tabs>
        <w:ind w:hanging="709"/>
      </w:pPr>
      <w:r>
        <w:rPr>
          <w:rFonts w:ascii="ZWAdobeF" w:hAnsi="ZWAdobeF" w:cs="ZWAdobeF"/>
          <w:color w:val="auto"/>
          <w:sz w:val="2"/>
          <w:szCs w:val="2"/>
        </w:rPr>
        <w:t>437B</w:t>
      </w:r>
      <w:r w:rsidR="0049638A">
        <w:rPr>
          <w:rFonts w:ascii="ZWAdobeF" w:hAnsi="ZWAdobeF" w:cs="ZWAdobeF"/>
          <w:color w:val="auto"/>
          <w:sz w:val="2"/>
          <w:szCs w:val="2"/>
        </w:rPr>
        <w:t>437B</w:t>
      </w:r>
      <w:r w:rsidR="00D629FA">
        <w:rPr>
          <w:rFonts w:ascii="ZWAdobeF" w:hAnsi="ZWAdobeF" w:cs="ZWAdobeF"/>
          <w:color w:val="auto"/>
          <w:sz w:val="2"/>
          <w:szCs w:val="2"/>
        </w:rPr>
        <w:t>437B</w:t>
      </w:r>
      <w:r w:rsidR="00DD0F04">
        <w:t>We consider that court approval should be required to discontinue both opt-in and opt-out class actions as this will bring the proceeding to an end for class members. As our draft settlement provisions include detailed procedures for court approval of settlements that will not be applicable to discontinuance, we think it would be preferable to have a separate provision requiring court approval to discontinue a class action.</w:t>
      </w:r>
      <w:r w:rsidR="00D629FA">
        <w:rPr>
          <w:rFonts w:ascii="ZWAdobeF" w:hAnsi="ZWAdobeF" w:cs="ZWAdobeF"/>
          <w:color w:val="auto"/>
          <w:sz w:val="2"/>
          <w:szCs w:val="2"/>
        </w:rPr>
        <w:t>716F</w:t>
      </w:r>
      <w:r w:rsidR="007A330E">
        <w:rPr>
          <w:rFonts w:ascii="ZWAdobeF" w:hAnsi="ZWAdobeF" w:cs="ZWAdobeF"/>
          <w:color w:val="auto"/>
          <w:sz w:val="2"/>
          <w:szCs w:val="2"/>
        </w:rPr>
        <w:t>716F</w:t>
      </w:r>
      <w:r w:rsidR="00317AE4">
        <w:rPr>
          <w:rFonts w:ascii="ZWAdobeF" w:hAnsi="ZWAdobeF" w:cs="ZWAdobeF"/>
          <w:color w:val="auto"/>
          <w:sz w:val="2"/>
          <w:szCs w:val="2"/>
        </w:rPr>
        <w:t>716F</w:t>
      </w:r>
      <w:r w:rsidR="00DD0F04">
        <w:rPr>
          <w:rStyle w:val="FootnoteReference"/>
        </w:rPr>
        <w:footnoteReference w:id="718"/>
      </w:r>
      <w:r w:rsidR="00DD0F04">
        <w:t xml:space="preserve"> </w:t>
      </w:r>
    </w:p>
    <w:p w14:paraId="2BA64CBA" w14:textId="25DA5782" w:rsidR="00416FCA" w:rsidRDefault="00416FCA">
      <w:pPr>
        <w:widowControl w:val="0"/>
        <w:spacing w:after="200" w:line="276" w:lineRule="auto"/>
        <w:rPr>
          <w:color w:val="000000" w:themeColor="text1"/>
        </w:rPr>
      </w:pPr>
      <w:r>
        <w:br w:type="page"/>
      </w:r>
    </w:p>
    <w:p w14:paraId="1C16E9DC" w14:textId="4C97F91A" w:rsidR="00E82C4F" w:rsidRDefault="00E82C4F" w:rsidP="00E82C4F">
      <w:pPr>
        <w:pStyle w:val="QuestionBox"/>
      </w:pPr>
      <w:r>
        <w:rPr>
          <w:noProof/>
        </w:rPr>
        <w:lastRenderedPageBreak/>
        <mc:AlternateContent>
          <mc:Choice Requires="wpg">
            <w:drawing>
              <wp:anchor distT="0" distB="0" distL="114300" distR="114300" simplePos="0" relativeHeight="251652176" behindDoc="1" locked="0" layoutInCell="1" allowOverlap="1" wp14:anchorId="7D3C2598" wp14:editId="58E41267">
                <wp:simplePos x="0" y="0"/>
                <wp:positionH relativeFrom="column">
                  <wp:posOffset>-1833</wp:posOffset>
                </wp:positionH>
                <wp:positionV relativeFrom="paragraph">
                  <wp:posOffset>-4098</wp:posOffset>
                </wp:positionV>
                <wp:extent cx="5760085" cy="940231"/>
                <wp:effectExtent l="0" t="0" r="0" b="0"/>
                <wp:wrapNone/>
                <wp:docPr id="764517968" name="Group 764517968"/>
                <wp:cNvGraphicFramePr/>
                <a:graphic xmlns:a="http://schemas.openxmlformats.org/drawingml/2006/main">
                  <a:graphicData uri="http://schemas.microsoft.com/office/word/2010/wordprocessingGroup">
                    <wpg:wgp>
                      <wpg:cNvGrpSpPr/>
                      <wpg:grpSpPr>
                        <a:xfrm>
                          <a:off x="0" y="0"/>
                          <a:ext cx="5760085" cy="940231"/>
                          <a:chOff x="0" y="62865"/>
                          <a:chExt cx="5760085" cy="940326"/>
                        </a:xfrm>
                      </wpg:grpSpPr>
                      <wps:wsp>
                        <wps:cNvPr id="76451797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45F891" w14:textId="77777777" w:rsidR="00A55F53" w:rsidRDefault="00A55F53" w:rsidP="00E82C4F">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77" name="Group 53"/>
                        <wpg:cNvGrpSpPr>
                          <a:grpSpLocks/>
                        </wpg:cNvGrpSpPr>
                        <wpg:grpSpPr bwMode="auto">
                          <a:xfrm>
                            <a:off x="0" y="316170"/>
                            <a:ext cx="5760085" cy="687021"/>
                            <a:chOff x="1837" y="1791"/>
                            <a:chExt cx="9302" cy="7421"/>
                          </a:xfrm>
                        </wpg:grpSpPr>
                        <wps:wsp>
                          <wps:cNvPr id="764517978" name="Freeform 54"/>
                          <wps:cNvSpPr>
                            <a:spLocks/>
                          </wps:cNvSpPr>
                          <wps:spPr bwMode="auto">
                            <a:xfrm>
                              <a:off x="1837" y="1791"/>
                              <a:ext cx="9302" cy="742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79" name="Group 764517979"/>
                        <wpg:cNvGrpSpPr/>
                        <wpg:grpSpPr>
                          <a:xfrm>
                            <a:off x="0" y="494036"/>
                            <a:ext cx="1443794" cy="252000"/>
                            <a:chOff x="-15880" y="0"/>
                            <a:chExt cx="1444379" cy="252068"/>
                          </a:xfrm>
                        </wpg:grpSpPr>
                        <wps:wsp>
                          <wps:cNvPr id="764517980"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798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4EDC8E" w14:textId="19008F15" w:rsidR="00A55F53" w:rsidRPr="00E700FF" w:rsidRDefault="00A55F53" w:rsidP="00E82C4F">
                                <w:pPr>
                                  <w:pStyle w:val="BoxTitle"/>
                                  <w:spacing w:before="0" w:beforeAutospacing="0"/>
                                </w:pPr>
                                <w:r w:rsidRPr="001C1B37">
                                  <w:t>Q</w:t>
                                </w:r>
                                <w:r>
                                  <w:t>37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D3C2598" id="Group 764517968" o:spid="_x0000_s1459" style="position:absolute;left:0;text-align:left;margin-left:-.15pt;margin-top:-.3pt;width:453.55pt;height:74.05pt;z-index:-251664304;mso-height-relative:margin" coordorigin=",628" coordsize="57600,9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">
                <v:shape id="_x0000_s146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145F891" w14:textId="77777777" w:rsidR="00A55F53" w:rsidRDefault="00A55F53" w:rsidP="00E82C4F">
                        <w:pPr>
                          <w:pStyle w:val="BoxTitle"/>
                          <w:spacing w:before="0" w:beforeAutospacing="0"/>
                        </w:pPr>
                        <w:r w:rsidRPr="007F6876">
                          <w:t>QUESTION</w:t>
                        </w:r>
                      </w:p>
                    </w:txbxContent>
                  </v:textbox>
                </v:shape>
                <v:group id="Group 53" o:spid="_x0000_s1461" style="position:absolute;top:3161;width:57600;height:6870" coordorigin="1837,1791" coordsize="9302,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">
                  <v:shape id="Freeform 54" o:spid="_x0000_s1462" style="position:absolute;left:1837;top:1791;width:9302;height:742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" path="m,l9354,r,7809l,7809,,e" fillcolor="#edf2ea" stroked="f">
                    <v:path arrowok="t" o:connecttype="custom" o:connectlocs="0,950;9302,950;9302,8371;0,8371;0,950" o:connectangles="0,0,0,0,0"/>
                  </v:shape>
                </v:group>
                <v:group id="Group 764517979" o:spid="_x0000_s146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">
                  <v:shape id="Freeform 58" o:spid="_x0000_s146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" path="m,l1815,e" filled="f" strokecolor="#72ab6a" strokeweight=".5pt">
                    <v:path arrowok="t" o:connecttype="custom" o:connectlocs="0,0;1073495,0" o:connectangles="0,0"/>
                  </v:shape>
                  <v:shape id="Freeform 66" o:spid="_x0000_s146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54EDC8E" w14:textId="19008F15" w:rsidR="00A55F53" w:rsidRPr="00E700FF" w:rsidRDefault="00A55F53" w:rsidP="00E82C4F">
                          <w:pPr>
                            <w:pStyle w:val="BoxTitle"/>
                            <w:spacing w:before="0" w:beforeAutospacing="0"/>
                          </w:pPr>
                          <w:r w:rsidRPr="001C1B37">
                            <w:t>Q</w:t>
                          </w:r>
                          <w:r>
                            <w:t>37</w:t>
                          </w:r>
                        </w:p>
                      </w:txbxContent>
                    </v:textbox>
                  </v:shape>
                </v:group>
              </v:group>
            </w:pict>
          </mc:Fallback>
        </mc:AlternateContent>
      </w:r>
    </w:p>
    <w:p w14:paraId="143646C7" w14:textId="77777777" w:rsidR="00E82C4F" w:rsidRDefault="00E82C4F" w:rsidP="00E82C4F">
      <w:pPr>
        <w:pStyle w:val="QuestionBox"/>
      </w:pPr>
    </w:p>
    <w:p w14:paraId="405C24AC" w14:textId="7DD2A2C4" w:rsidR="00C6247A" w:rsidRDefault="00BD5C95" w:rsidP="00E82C4F">
      <w:pPr>
        <w:pStyle w:val="QuestionBox"/>
      </w:pPr>
      <w:r>
        <w:rPr>
          <w:rFonts w:ascii="ZWAdobeF" w:hAnsi="ZWAdobeF" w:cs="ZWAdobeF"/>
          <w:color w:val="auto"/>
          <w:sz w:val="2"/>
          <w:szCs w:val="2"/>
        </w:rPr>
        <w:t>1444B</w:t>
      </w:r>
      <w:r w:rsidR="0049638A">
        <w:rPr>
          <w:rFonts w:ascii="ZWAdobeF" w:hAnsi="ZWAdobeF" w:cs="ZWAdobeF"/>
          <w:color w:val="auto"/>
          <w:sz w:val="2"/>
          <w:szCs w:val="2"/>
        </w:rPr>
        <w:t>1444B</w:t>
      </w:r>
      <w:r w:rsidR="00D629FA">
        <w:rPr>
          <w:rFonts w:ascii="ZWAdobeF" w:hAnsi="ZWAdobeF" w:cs="ZWAdobeF"/>
          <w:color w:val="auto"/>
          <w:sz w:val="2"/>
          <w:szCs w:val="2"/>
        </w:rPr>
        <w:t>1444B</w:t>
      </w:r>
      <w:r w:rsidR="00DD0F04">
        <w:t xml:space="preserve">Should the court be required to approve the discontinuance of a class action? </w:t>
      </w:r>
    </w:p>
    <w:p w14:paraId="5507538B" w14:textId="77777777" w:rsidR="00C6247A" w:rsidRDefault="00C6247A" w:rsidP="00E82C4F">
      <w:pPr>
        <w:pStyle w:val="QuestionBox"/>
      </w:pPr>
    </w:p>
    <w:p w14:paraId="275083D5" w14:textId="4D70FFBC" w:rsidR="00DD0F04" w:rsidRDefault="00DD0F04" w:rsidP="004975F3">
      <w:pPr>
        <w:pStyle w:val="Heading2"/>
      </w:pPr>
      <w:bookmarkStart w:id="98" w:name="_Toc83895461"/>
      <w:r>
        <w:t>Process for court approval of settlement</w:t>
      </w:r>
      <w:bookmarkEnd w:id="98"/>
      <w:r>
        <w:t xml:space="preserve"> </w:t>
      </w:r>
    </w:p>
    <w:p w14:paraId="56DE4CC8" w14:textId="42D735E9" w:rsidR="00DD0F04" w:rsidRDefault="00BD5C95" w:rsidP="00932DB9">
      <w:pPr>
        <w:pStyle w:val="BodyText"/>
        <w:tabs>
          <w:tab w:val="num" w:pos="709"/>
        </w:tabs>
      </w:pPr>
      <w:r>
        <w:rPr>
          <w:rFonts w:ascii="ZWAdobeF" w:hAnsi="ZWAdobeF" w:cs="ZWAdobeF"/>
          <w:color w:val="auto"/>
          <w:sz w:val="2"/>
          <w:szCs w:val="2"/>
        </w:rPr>
        <w:t>438B</w:t>
      </w:r>
      <w:r w:rsidR="0049638A">
        <w:rPr>
          <w:rFonts w:ascii="ZWAdobeF" w:hAnsi="ZWAdobeF" w:cs="ZWAdobeF"/>
          <w:color w:val="auto"/>
          <w:sz w:val="2"/>
          <w:szCs w:val="2"/>
        </w:rPr>
        <w:t>438B</w:t>
      </w:r>
      <w:r w:rsidR="00D629FA">
        <w:rPr>
          <w:rFonts w:ascii="ZWAdobeF" w:hAnsi="ZWAdobeF" w:cs="ZWAdobeF"/>
          <w:color w:val="auto"/>
          <w:sz w:val="2"/>
          <w:szCs w:val="2"/>
        </w:rPr>
        <w:t>438B</w:t>
      </w:r>
      <w:r w:rsidR="00DD0F04">
        <w:t>In our comparator jurisdictions, the process for court approval of a settlement generally involves the parties filing an application for approval of the settlement and a hearing for the court to determine whether the court should approve the settlement. This hearing is sometimes known as a ‘fairness hearing’. The United States also has a preliminary approval stage, where the court decides whether notice of the proposed settlement should be given to the class.</w:t>
      </w:r>
      <w:r w:rsidR="00D629FA">
        <w:rPr>
          <w:rFonts w:ascii="ZWAdobeF" w:hAnsi="ZWAdobeF" w:cs="ZWAdobeF"/>
          <w:color w:val="auto"/>
          <w:sz w:val="2"/>
          <w:szCs w:val="2"/>
        </w:rPr>
        <w:t>717F</w:t>
      </w:r>
      <w:r w:rsidR="007A330E">
        <w:rPr>
          <w:rFonts w:ascii="ZWAdobeF" w:hAnsi="ZWAdobeF" w:cs="ZWAdobeF"/>
          <w:color w:val="auto"/>
          <w:sz w:val="2"/>
          <w:szCs w:val="2"/>
        </w:rPr>
        <w:t>717F</w:t>
      </w:r>
      <w:r w:rsidR="00317AE4">
        <w:rPr>
          <w:rFonts w:ascii="ZWAdobeF" w:hAnsi="ZWAdobeF" w:cs="ZWAdobeF"/>
          <w:color w:val="auto"/>
          <w:sz w:val="2"/>
          <w:szCs w:val="2"/>
        </w:rPr>
        <w:t>717F</w:t>
      </w:r>
      <w:r w:rsidR="00DD0F04">
        <w:rPr>
          <w:rStyle w:val="FootnoteReference"/>
        </w:rPr>
        <w:footnoteReference w:id="719"/>
      </w:r>
      <w:r w:rsidR="00DD0F04">
        <w:t xml:space="preserve"> Courts will sometimes hold a preliminary approval hearing, but this is not always required.</w:t>
      </w:r>
      <w:r w:rsidR="00D629FA">
        <w:rPr>
          <w:rFonts w:ascii="ZWAdobeF" w:hAnsi="ZWAdobeF" w:cs="ZWAdobeF"/>
          <w:color w:val="auto"/>
          <w:sz w:val="2"/>
          <w:szCs w:val="2"/>
        </w:rPr>
        <w:t>718F</w:t>
      </w:r>
      <w:r w:rsidR="007A330E">
        <w:rPr>
          <w:rFonts w:ascii="ZWAdobeF" w:hAnsi="ZWAdobeF" w:cs="ZWAdobeF"/>
          <w:color w:val="auto"/>
          <w:sz w:val="2"/>
          <w:szCs w:val="2"/>
        </w:rPr>
        <w:t>718F</w:t>
      </w:r>
      <w:r w:rsidR="00317AE4">
        <w:rPr>
          <w:rFonts w:ascii="ZWAdobeF" w:hAnsi="ZWAdobeF" w:cs="ZWAdobeF"/>
          <w:color w:val="auto"/>
          <w:sz w:val="2"/>
          <w:szCs w:val="2"/>
        </w:rPr>
        <w:t>718F</w:t>
      </w:r>
      <w:r w:rsidR="00DD0F04">
        <w:rPr>
          <w:rStyle w:val="FootnoteReference"/>
        </w:rPr>
        <w:footnoteReference w:id="720"/>
      </w:r>
    </w:p>
    <w:p w14:paraId="29347CA9" w14:textId="553BFC31" w:rsidR="00DD0F04" w:rsidRDefault="00BD5C95" w:rsidP="00932DB9">
      <w:pPr>
        <w:pStyle w:val="BodyText"/>
        <w:tabs>
          <w:tab w:val="num" w:pos="709"/>
        </w:tabs>
      </w:pPr>
      <w:r>
        <w:rPr>
          <w:rFonts w:ascii="ZWAdobeF" w:hAnsi="ZWAdobeF" w:cs="ZWAdobeF"/>
          <w:color w:val="auto"/>
          <w:sz w:val="2"/>
          <w:szCs w:val="2"/>
        </w:rPr>
        <w:t>439B</w:t>
      </w:r>
      <w:r w:rsidR="0049638A">
        <w:rPr>
          <w:rFonts w:ascii="ZWAdobeF" w:hAnsi="ZWAdobeF" w:cs="ZWAdobeF"/>
          <w:color w:val="auto"/>
          <w:sz w:val="2"/>
          <w:szCs w:val="2"/>
        </w:rPr>
        <w:t>439B</w:t>
      </w:r>
      <w:r w:rsidR="00D629FA">
        <w:rPr>
          <w:rFonts w:ascii="ZWAdobeF" w:hAnsi="ZWAdobeF" w:cs="ZWAdobeF"/>
          <w:color w:val="auto"/>
          <w:sz w:val="2"/>
          <w:szCs w:val="2"/>
        </w:rPr>
        <w:t>439B</w:t>
      </w:r>
      <w:r w:rsidR="00DD0F04">
        <w:t>Our proposed approach is that the parties would file an application to have the settlement approved and the court would usually hold a hearing to decide whether to approve it.</w:t>
      </w:r>
      <w:r w:rsidR="00D629FA">
        <w:rPr>
          <w:rFonts w:ascii="ZWAdobeF" w:hAnsi="ZWAdobeF" w:cs="ZWAdobeF"/>
          <w:color w:val="auto"/>
          <w:sz w:val="2"/>
          <w:szCs w:val="2"/>
        </w:rPr>
        <w:t>719F</w:t>
      </w:r>
      <w:r w:rsidR="007A330E">
        <w:rPr>
          <w:rFonts w:ascii="ZWAdobeF" w:hAnsi="ZWAdobeF" w:cs="ZWAdobeF"/>
          <w:color w:val="auto"/>
          <w:sz w:val="2"/>
          <w:szCs w:val="2"/>
        </w:rPr>
        <w:t>719F</w:t>
      </w:r>
      <w:r w:rsidR="00317AE4">
        <w:rPr>
          <w:rFonts w:ascii="ZWAdobeF" w:hAnsi="ZWAdobeF" w:cs="ZWAdobeF"/>
          <w:color w:val="auto"/>
          <w:sz w:val="2"/>
          <w:szCs w:val="2"/>
        </w:rPr>
        <w:t>719F</w:t>
      </w:r>
      <w:r w:rsidR="00DD0F04">
        <w:rPr>
          <w:rStyle w:val="FootnoteReference"/>
        </w:rPr>
        <w:footnoteReference w:id="721"/>
      </w:r>
      <w:r w:rsidR="00DD0F04">
        <w:t xml:space="preserve"> We do not think a preliminary approval stage is necessary, although it may be necessary to hold a hearing to consider certification for the purposes of settlement, as we discuss later in this chapter. </w:t>
      </w:r>
    </w:p>
    <w:p w14:paraId="5D9F175D" w14:textId="2DFE16BC" w:rsidR="00DD0F04" w:rsidRDefault="00BD5C95" w:rsidP="00B73434">
      <w:pPr>
        <w:pStyle w:val="BodyText"/>
        <w:numPr>
          <w:ilvl w:val="1"/>
          <w:numId w:val="52"/>
        </w:numPr>
        <w:ind w:hanging="709"/>
      </w:pPr>
      <w:r>
        <w:rPr>
          <w:rFonts w:ascii="ZWAdobeF" w:hAnsi="ZWAdobeF" w:cs="ZWAdobeF"/>
          <w:color w:val="auto"/>
          <w:sz w:val="2"/>
          <w:szCs w:val="2"/>
        </w:rPr>
        <w:t>440B</w:t>
      </w:r>
      <w:r w:rsidR="0049638A">
        <w:rPr>
          <w:rFonts w:ascii="ZWAdobeF" w:hAnsi="ZWAdobeF" w:cs="ZWAdobeF"/>
          <w:color w:val="auto"/>
          <w:sz w:val="2"/>
          <w:szCs w:val="2"/>
        </w:rPr>
        <w:t>440B</w:t>
      </w:r>
      <w:r w:rsidR="00D629FA">
        <w:rPr>
          <w:rFonts w:ascii="ZWAdobeF" w:hAnsi="ZWAdobeF" w:cs="ZWAdobeF"/>
          <w:color w:val="auto"/>
          <w:sz w:val="2"/>
          <w:szCs w:val="2"/>
        </w:rPr>
        <w:t>440B</w:t>
      </w:r>
      <w:r w:rsidR="00DD0F04">
        <w:t>In this section we consider and seek feedback on the following procedural issues:</w:t>
      </w:r>
    </w:p>
    <w:p w14:paraId="3B503EED" w14:textId="07CBBC29" w:rsidR="00DD0F04" w:rsidRDefault="00BD5C95" w:rsidP="00932DB9">
      <w:pPr>
        <w:pStyle w:val="BodyTextnonum"/>
        <w:numPr>
          <w:ilvl w:val="3"/>
          <w:numId w:val="14"/>
        </w:numPr>
      </w:pPr>
      <w:r>
        <w:rPr>
          <w:rFonts w:ascii="ZWAdobeF" w:hAnsi="ZWAdobeF" w:cs="ZWAdobeF"/>
          <w:color w:val="auto"/>
          <w:sz w:val="2"/>
          <w:szCs w:val="2"/>
        </w:rPr>
        <w:t>773B</w:t>
      </w:r>
      <w:r w:rsidR="0049638A">
        <w:rPr>
          <w:rFonts w:ascii="ZWAdobeF" w:hAnsi="ZWAdobeF" w:cs="ZWAdobeF"/>
          <w:color w:val="auto"/>
          <w:sz w:val="2"/>
          <w:szCs w:val="2"/>
        </w:rPr>
        <w:t>773B</w:t>
      </w:r>
      <w:r w:rsidR="00D629FA">
        <w:rPr>
          <w:rFonts w:ascii="ZWAdobeF" w:hAnsi="ZWAdobeF" w:cs="ZWAdobeF"/>
          <w:color w:val="auto"/>
          <w:sz w:val="2"/>
          <w:szCs w:val="2"/>
        </w:rPr>
        <w:t>773B</w:t>
      </w:r>
      <w:r w:rsidR="00DD0F04">
        <w:t xml:space="preserve">The contents of an application for settlement approval.  </w:t>
      </w:r>
    </w:p>
    <w:p w14:paraId="108AD268" w14:textId="0149D061" w:rsidR="00DD0F04" w:rsidRDefault="00BD5C95" w:rsidP="00932DB9">
      <w:pPr>
        <w:pStyle w:val="BodyTextnonum"/>
        <w:numPr>
          <w:ilvl w:val="3"/>
          <w:numId w:val="14"/>
        </w:numPr>
      </w:pPr>
      <w:r>
        <w:rPr>
          <w:rFonts w:ascii="ZWAdobeF" w:hAnsi="ZWAdobeF" w:cs="ZWAdobeF"/>
          <w:color w:val="auto"/>
          <w:sz w:val="2"/>
          <w:szCs w:val="2"/>
        </w:rPr>
        <w:t>774B</w:t>
      </w:r>
      <w:r w:rsidR="0049638A">
        <w:rPr>
          <w:rFonts w:ascii="ZWAdobeF" w:hAnsi="ZWAdobeF" w:cs="ZWAdobeF"/>
          <w:color w:val="auto"/>
          <w:sz w:val="2"/>
          <w:szCs w:val="2"/>
        </w:rPr>
        <w:t>774B</w:t>
      </w:r>
      <w:r w:rsidR="00D629FA">
        <w:rPr>
          <w:rFonts w:ascii="ZWAdobeF" w:hAnsi="ZWAdobeF" w:cs="ZWAdobeF"/>
          <w:color w:val="auto"/>
          <w:sz w:val="2"/>
          <w:szCs w:val="2"/>
        </w:rPr>
        <w:t>774B</w:t>
      </w:r>
      <w:r w:rsidR="00DD0F04" w:rsidRPr="00AC7BF5">
        <w:t xml:space="preserve">Giving notice to class members about the settlement.   </w:t>
      </w:r>
    </w:p>
    <w:p w14:paraId="38B69E1F" w14:textId="303BCD90" w:rsidR="00DD0F04" w:rsidRDefault="00BD5C95" w:rsidP="00932DB9">
      <w:pPr>
        <w:pStyle w:val="BodyTextnonum"/>
        <w:numPr>
          <w:ilvl w:val="3"/>
          <w:numId w:val="14"/>
        </w:numPr>
      </w:pPr>
      <w:r>
        <w:rPr>
          <w:rFonts w:ascii="ZWAdobeF" w:hAnsi="ZWAdobeF" w:cs="ZWAdobeF"/>
          <w:color w:val="auto"/>
          <w:sz w:val="2"/>
          <w:szCs w:val="2"/>
        </w:rPr>
        <w:t>775B</w:t>
      </w:r>
      <w:r w:rsidR="0049638A">
        <w:rPr>
          <w:rFonts w:ascii="ZWAdobeF" w:hAnsi="ZWAdobeF" w:cs="ZWAdobeF"/>
          <w:color w:val="auto"/>
          <w:sz w:val="2"/>
          <w:szCs w:val="2"/>
        </w:rPr>
        <w:t>775B</w:t>
      </w:r>
      <w:r w:rsidR="00D629FA">
        <w:rPr>
          <w:rFonts w:ascii="ZWAdobeF" w:hAnsi="ZWAdobeF" w:cs="ZWAdobeF"/>
          <w:color w:val="auto"/>
          <w:sz w:val="2"/>
          <w:szCs w:val="2"/>
        </w:rPr>
        <w:t>775B</w:t>
      </w:r>
      <w:r w:rsidR="00DD0F04">
        <w:t>Class members’ ability to object to a proposed settlement.</w:t>
      </w:r>
    </w:p>
    <w:p w14:paraId="50DCE9E5" w14:textId="35FC6F04" w:rsidR="00DD0F04" w:rsidRDefault="00BD5C95" w:rsidP="00932DB9">
      <w:pPr>
        <w:pStyle w:val="BodyTextnonum"/>
        <w:numPr>
          <w:ilvl w:val="3"/>
          <w:numId w:val="14"/>
        </w:numPr>
      </w:pPr>
      <w:r>
        <w:rPr>
          <w:rFonts w:ascii="ZWAdobeF" w:hAnsi="ZWAdobeF" w:cs="ZWAdobeF"/>
          <w:color w:val="auto"/>
          <w:sz w:val="2"/>
          <w:szCs w:val="2"/>
        </w:rPr>
        <w:t>776B</w:t>
      </w:r>
      <w:r w:rsidR="0049638A">
        <w:rPr>
          <w:rFonts w:ascii="ZWAdobeF" w:hAnsi="ZWAdobeF" w:cs="ZWAdobeF"/>
          <w:color w:val="auto"/>
          <w:sz w:val="2"/>
          <w:szCs w:val="2"/>
        </w:rPr>
        <w:t>776B</w:t>
      </w:r>
      <w:r w:rsidR="00D629FA">
        <w:rPr>
          <w:rFonts w:ascii="ZWAdobeF" w:hAnsi="ZWAdobeF" w:cs="ZWAdobeF"/>
          <w:color w:val="auto"/>
          <w:sz w:val="2"/>
          <w:szCs w:val="2"/>
        </w:rPr>
        <w:t>776B</w:t>
      </w:r>
      <w:r w:rsidR="00DD0F04">
        <w:t xml:space="preserve">Other participants in the settlement approval process. </w:t>
      </w:r>
    </w:p>
    <w:p w14:paraId="4605DFD7" w14:textId="2FFFE189" w:rsidR="00DD0F04" w:rsidRPr="00C9320D" w:rsidRDefault="00DD0F04" w:rsidP="00C9320D">
      <w:pPr>
        <w:pStyle w:val="Heading3"/>
        <w:rPr>
          <w:rStyle w:val="Strong"/>
          <w:rFonts w:ascii="Metropolis" w:hAnsi="Metropolis"/>
          <w:b/>
          <w:bCs w:val="0"/>
          <w:color w:val="73AB6E"/>
          <w:sz w:val="22"/>
        </w:rPr>
      </w:pPr>
      <w:r w:rsidRPr="00C9320D">
        <w:rPr>
          <w:rStyle w:val="Strong"/>
          <w:rFonts w:ascii="Metropolis" w:hAnsi="Metropolis"/>
          <w:b/>
          <w:bCs w:val="0"/>
          <w:color w:val="73AB6E"/>
          <w:sz w:val="22"/>
        </w:rPr>
        <w:t>Contents of an application for settlement approval</w:t>
      </w:r>
    </w:p>
    <w:p w14:paraId="6A69194A" w14:textId="7946C7C0" w:rsidR="00DD0F04" w:rsidRPr="00C9320D" w:rsidRDefault="00BD5C95" w:rsidP="00B73434">
      <w:pPr>
        <w:pStyle w:val="BodyText"/>
        <w:numPr>
          <w:ilvl w:val="1"/>
          <w:numId w:val="52"/>
        </w:numPr>
        <w:ind w:hanging="709"/>
        <w:rPr>
          <w:rStyle w:val="Strong"/>
          <w:b w:val="0"/>
          <w:bCs w:val="0"/>
        </w:rPr>
      </w:pPr>
      <w:r>
        <w:rPr>
          <w:rFonts w:ascii="ZWAdobeF" w:hAnsi="ZWAdobeF" w:cs="ZWAdobeF"/>
          <w:color w:val="auto"/>
          <w:sz w:val="2"/>
          <w:szCs w:val="2"/>
        </w:rPr>
        <w:t>441B</w:t>
      </w:r>
      <w:r w:rsidR="0049638A">
        <w:rPr>
          <w:rFonts w:ascii="ZWAdobeF" w:hAnsi="ZWAdobeF" w:cs="ZWAdobeF"/>
          <w:color w:val="auto"/>
          <w:sz w:val="2"/>
          <w:szCs w:val="2"/>
        </w:rPr>
        <w:t>441B</w:t>
      </w:r>
      <w:r w:rsidR="00D629FA">
        <w:rPr>
          <w:rFonts w:ascii="ZWAdobeF" w:hAnsi="ZWAdobeF" w:cs="ZWAdobeF"/>
          <w:color w:val="auto"/>
          <w:sz w:val="2"/>
          <w:szCs w:val="2"/>
        </w:rPr>
        <w:t>441B</w:t>
      </w:r>
      <w:r w:rsidR="00DD0F04" w:rsidRPr="00C9320D">
        <w:t>Under our proposed approach, the parties will need to file an application seeking approval of a settlement of a class action</w:t>
      </w:r>
      <w:r w:rsidR="00DD0F04" w:rsidRPr="00C9320D">
        <w:rPr>
          <w:rStyle w:val="Strong"/>
          <w:b w:val="0"/>
          <w:bCs w:val="0"/>
        </w:rPr>
        <w:t>.</w:t>
      </w:r>
      <w:r w:rsidR="00D629FA">
        <w:rPr>
          <w:rStyle w:val="Strong"/>
          <w:rFonts w:ascii="ZWAdobeF" w:hAnsi="ZWAdobeF" w:cs="ZWAdobeF"/>
          <w:b w:val="0"/>
          <w:bCs w:val="0"/>
          <w:color w:val="auto"/>
          <w:sz w:val="2"/>
          <w:szCs w:val="2"/>
        </w:rPr>
        <w:t>720F</w:t>
      </w:r>
      <w:r w:rsidR="007A330E">
        <w:rPr>
          <w:rStyle w:val="Strong"/>
          <w:rFonts w:ascii="ZWAdobeF" w:hAnsi="ZWAdobeF" w:cs="ZWAdobeF"/>
          <w:b w:val="0"/>
          <w:bCs w:val="0"/>
          <w:color w:val="auto"/>
          <w:sz w:val="2"/>
          <w:szCs w:val="2"/>
        </w:rPr>
        <w:t>720F</w:t>
      </w:r>
      <w:r w:rsidR="00317AE4">
        <w:rPr>
          <w:rStyle w:val="Strong"/>
          <w:rFonts w:ascii="ZWAdobeF" w:hAnsi="ZWAdobeF" w:cs="ZWAdobeF"/>
          <w:b w:val="0"/>
          <w:bCs w:val="0"/>
          <w:color w:val="auto"/>
          <w:sz w:val="2"/>
          <w:szCs w:val="2"/>
        </w:rPr>
        <w:t>720F</w:t>
      </w:r>
      <w:r w:rsidR="00DD0F04" w:rsidRPr="002B5AE7">
        <w:rPr>
          <w:rStyle w:val="FootnoteReference"/>
        </w:rPr>
        <w:footnoteReference w:id="722"/>
      </w:r>
      <w:r w:rsidR="00DD0F04" w:rsidRPr="00C9320D">
        <w:rPr>
          <w:rStyle w:val="Strong"/>
          <w:b w:val="0"/>
          <w:bCs w:val="0"/>
        </w:rPr>
        <w:t xml:space="preserve"> </w:t>
      </w:r>
    </w:p>
    <w:p w14:paraId="5CFC1215" w14:textId="20DF5DF5" w:rsidR="00DD0F04" w:rsidRPr="00D31273" w:rsidRDefault="00BD5C95" w:rsidP="00B73434">
      <w:pPr>
        <w:pStyle w:val="BodyText"/>
        <w:numPr>
          <w:ilvl w:val="1"/>
          <w:numId w:val="52"/>
        </w:numPr>
        <w:tabs>
          <w:tab w:val="left" w:pos="709"/>
        </w:tabs>
        <w:ind w:hanging="709"/>
        <w:rPr>
          <w:color w:val="0D0D0D" w:themeColor="text1" w:themeTint="F2"/>
        </w:rPr>
      </w:pPr>
      <w:r>
        <w:rPr>
          <w:rFonts w:ascii="ZWAdobeF" w:hAnsi="ZWAdobeF" w:cs="ZWAdobeF"/>
          <w:color w:val="auto"/>
          <w:sz w:val="2"/>
          <w:szCs w:val="2"/>
        </w:rPr>
        <w:t>442B</w:t>
      </w:r>
      <w:r w:rsidR="0049638A">
        <w:rPr>
          <w:rFonts w:ascii="ZWAdobeF" w:hAnsi="ZWAdobeF" w:cs="ZWAdobeF"/>
          <w:color w:val="auto"/>
          <w:sz w:val="2"/>
          <w:szCs w:val="2"/>
        </w:rPr>
        <w:t>442B</w:t>
      </w:r>
      <w:r w:rsidR="00D629FA">
        <w:rPr>
          <w:rFonts w:ascii="ZWAdobeF" w:hAnsi="ZWAdobeF" w:cs="ZWAdobeF"/>
          <w:color w:val="auto"/>
          <w:sz w:val="2"/>
          <w:szCs w:val="2"/>
        </w:rPr>
        <w:t>442B</w:t>
      </w:r>
      <w:r w:rsidR="00DD0F04" w:rsidRPr="00584795">
        <w:t>Some jurisdictions provide guidance on the material that must be filed in support of an application to approve a class action settlement. In Ontario, when a party makes an application for approval of a settlement, they must make “</w:t>
      </w:r>
      <w:bookmarkStart w:id="99" w:name="_Hlk83221157"/>
      <w:r w:rsidR="00DD0F04" w:rsidRPr="00584795">
        <w:t>full and frank disclosure of all material facts</w:t>
      </w:r>
      <w:bookmarkEnd w:id="99"/>
      <w:r w:rsidR="00DD0F04" w:rsidRPr="00584795">
        <w:t xml:space="preserve">” and there is a list of information that must be provided in affidavit </w:t>
      </w:r>
      <w:r w:rsidR="00DD0F04" w:rsidRPr="00584795">
        <w:lastRenderedPageBreak/>
        <w:t>evidence.</w:t>
      </w:r>
      <w:r w:rsidR="00D629FA">
        <w:rPr>
          <w:rFonts w:ascii="ZWAdobeF" w:hAnsi="ZWAdobeF" w:cs="ZWAdobeF"/>
          <w:color w:val="auto"/>
          <w:sz w:val="2"/>
          <w:szCs w:val="2"/>
        </w:rPr>
        <w:t>721F</w:t>
      </w:r>
      <w:r w:rsidR="007A330E">
        <w:rPr>
          <w:rFonts w:ascii="ZWAdobeF" w:hAnsi="ZWAdobeF" w:cs="ZWAdobeF"/>
          <w:color w:val="auto"/>
          <w:sz w:val="2"/>
          <w:szCs w:val="2"/>
        </w:rPr>
        <w:t>721F</w:t>
      </w:r>
      <w:r w:rsidR="00317AE4">
        <w:rPr>
          <w:rFonts w:ascii="ZWAdobeF" w:hAnsi="ZWAdobeF" w:cs="ZWAdobeF"/>
          <w:color w:val="auto"/>
          <w:sz w:val="2"/>
          <w:szCs w:val="2"/>
        </w:rPr>
        <w:t>721F</w:t>
      </w:r>
      <w:r w:rsidR="00DD0F04" w:rsidRPr="00D31273">
        <w:rPr>
          <w:rStyle w:val="FootnoteReference"/>
        </w:rPr>
        <w:footnoteReference w:id="723"/>
      </w:r>
      <w:r w:rsidR="00DD0F04" w:rsidRPr="00D31273">
        <w:t xml:space="preserve"> The United Kingdom Competition Appeal Tribunal also has a list of information that must be provided.</w:t>
      </w:r>
      <w:r w:rsidR="00D629FA">
        <w:rPr>
          <w:rFonts w:ascii="ZWAdobeF" w:hAnsi="ZWAdobeF" w:cs="ZWAdobeF"/>
          <w:color w:val="auto"/>
          <w:sz w:val="2"/>
          <w:szCs w:val="2"/>
        </w:rPr>
        <w:t>722F</w:t>
      </w:r>
      <w:r w:rsidR="007A330E">
        <w:rPr>
          <w:rFonts w:ascii="ZWAdobeF" w:hAnsi="ZWAdobeF" w:cs="ZWAdobeF"/>
          <w:color w:val="auto"/>
          <w:sz w:val="2"/>
          <w:szCs w:val="2"/>
        </w:rPr>
        <w:t>722F</w:t>
      </w:r>
      <w:r w:rsidR="00317AE4">
        <w:rPr>
          <w:rFonts w:ascii="ZWAdobeF" w:hAnsi="ZWAdobeF" w:cs="ZWAdobeF"/>
          <w:color w:val="auto"/>
          <w:sz w:val="2"/>
          <w:szCs w:val="2"/>
        </w:rPr>
        <w:t>722F</w:t>
      </w:r>
      <w:r w:rsidR="00DD0F04" w:rsidRPr="00D31273">
        <w:rPr>
          <w:rStyle w:val="FootnoteReference"/>
        </w:rPr>
        <w:footnoteReference w:id="724"/>
      </w:r>
      <w:r w:rsidR="00DD0F04" w:rsidRPr="00D31273">
        <w:t xml:space="preserve"> </w:t>
      </w:r>
    </w:p>
    <w:p w14:paraId="4D4EA68A" w14:textId="6CFA1A4B" w:rsidR="00DD0F04" w:rsidRPr="004967C0" w:rsidRDefault="00BD5C95" w:rsidP="00B73434">
      <w:pPr>
        <w:pStyle w:val="BodyText"/>
        <w:numPr>
          <w:ilvl w:val="1"/>
          <w:numId w:val="52"/>
        </w:numPr>
        <w:tabs>
          <w:tab w:val="left" w:pos="709"/>
        </w:tabs>
        <w:ind w:hanging="709"/>
        <w:rPr>
          <w:rStyle w:val="Strong"/>
          <w:b w:val="0"/>
          <w:bCs w:val="0"/>
        </w:rPr>
      </w:pPr>
      <w:r>
        <w:rPr>
          <w:rFonts w:ascii="ZWAdobeF" w:hAnsi="ZWAdobeF" w:cs="ZWAdobeF"/>
          <w:color w:val="auto"/>
          <w:sz w:val="2"/>
          <w:szCs w:val="2"/>
        </w:rPr>
        <w:t>443B</w:t>
      </w:r>
      <w:r w:rsidR="0049638A">
        <w:rPr>
          <w:rFonts w:ascii="ZWAdobeF" w:hAnsi="ZWAdobeF" w:cs="ZWAdobeF"/>
          <w:color w:val="auto"/>
          <w:sz w:val="2"/>
          <w:szCs w:val="2"/>
        </w:rPr>
        <w:t>443B</w:t>
      </w:r>
      <w:r w:rsidR="00D629FA">
        <w:rPr>
          <w:rFonts w:ascii="ZWAdobeF" w:hAnsi="ZWAdobeF" w:cs="ZWAdobeF"/>
          <w:color w:val="auto"/>
          <w:sz w:val="2"/>
          <w:szCs w:val="2"/>
        </w:rPr>
        <w:t>443B</w:t>
      </w:r>
      <w:r w:rsidR="00DD0F04" w:rsidRPr="00584795">
        <w:t>While the Australian statutes do not contain a list of requirements, the Federal Court and Supreme Court of Victoria class action</w:t>
      </w:r>
      <w:r w:rsidR="00012EB7">
        <w:t>s</w:t>
      </w:r>
      <w:r w:rsidR="00DD0F04" w:rsidRPr="00584795">
        <w:t xml:space="preserve"> practice notes set out matters that should be addressed in an application for settlement approval.</w:t>
      </w:r>
      <w:r w:rsidR="00D629FA">
        <w:rPr>
          <w:rFonts w:ascii="ZWAdobeF" w:hAnsi="ZWAdobeF" w:cs="ZWAdobeF"/>
          <w:color w:val="auto"/>
          <w:sz w:val="2"/>
          <w:szCs w:val="2"/>
        </w:rPr>
        <w:t>723F</w:t>
      </w:r>
      <w:r w:rsidR="007A330E">
        <w:rPr>
          <w:rFonts w:ascii="ZWAdobeF" w:hAnsi="ZWAdobeF" w:cs="ZWAdobeF"/>
          <w:color w:val="auto"/>
          <w:sz w:val="2"/>
          <w:szCs w:val="2"/>
        </w:rPr>
        <w:t>723F</w:t>
      </w:r>
      <w:r w:rsidR="00317AE4">
        <w:rPr>
          <w:rFonts w:ascii="ZWAdobeF" w:hAnsi="ZWAdobeF" w:cs="ZWAdobeF"/>
          <w:color w:val="auto"/>
          <w:sz w:val="2"/>
          <w:szCs w:val="2"/>
        </w:rPr>
        <w:t>723F</w:t>
      </w:r>
      <w:r w:rsidR="00DD0F04" w:rsidRPr="002C5F54">
        <w:rPr>
          <w:rStyle w:val="FootnoteReference"/>
        </w:rPr>
        <w:footnoteReference w:id="725"/>
      </w:r>
      <w:r w:rsidR="00DD0F04" w:rsidRPr="00D31273">
        <w:rPr>
          <w:rStyle w:val="Strong"/>
          <w:b w:val="0"/>
          <w:bCs w:val="0"/>
        </w:rPr>
        <w:t xml:space="preserve"> </w:t>
      </w:r>
      <w:r w:rsidR="00DD0F04" w:rsidRPr="00584795">
        <w:t>In the United States, the relevant rule simply refers to the requirement to provide the court with “information sufficient to enable it to determine whether to give notice of the proposal to the class”</w:t>
      </w:r>
      <w:r w:rsidR="00B26EAA">
        <w:t>,</w:t>
      </w:r>
      <w:r w:rsidR="00DD0F04" w:rsidRPr="00584795">
        <w:t xml:space="preserve"> although the accompanying Advisory Committee notes provide some guidance on the information that could be provided to the court.</w:t>
      </w:r>
      <w:r w:rsidR="00D629FA">
        <w:rPr>
          <w:rFonts w:ascii="ZWAdobeF" w:hAnsi="ZWAdobeF" w:cs="ZWAdobeF"/>
          <w:color w:val="auto"/>
          <w:sz w:val="2"/>
          <w:szCs w:val="2"/>
        </w:rPr>
        <w:t>724F</w:t>
      </w:r>
      <w:r w:rsidR="007A330E">
        <w:rPr>
          <w:rFonts w:ascii="ZWAdobeF" w:hAnsi="ZWAdobeF" w:cs="ZWAdobeF"/>
          <w:color w:val="auto"/>
          <w:sz w:val="2"/>
          <w:szCs w:val="2"/>
        </w:rPr>
        <w:t>724F</w:t>
      </w:r>
      <w:r w:rsidR="00317AE4">
        <w:rPr>
          <w:rFonts w:ascii="ZWAdobeF" w:hAnsi="ZWAdobeF" w:cs="ZWAdobeF"/>
          <w:color w:val="auto"/>
          <w:sz w:val="2"/>
          <w:szCs w:val="2"/>
        </w:rPr>
        <w:t>724F</w:t>
      </w:r>
      <w:r w:rsidR="00DD0F04">
        <w:rPr>
          <w:rStyle w:val="FootnoteReference"/>
        </w:rPr>
        <w:footnoteReference w:id="726"/>
      </w:r>
    </w:p>
    <w:p w14:paraId="5D57E016" w14:textId="0EE9A43A" w:rsidR="00DD0F04" w:rsidRDefault="00BD5C95" w:rsidP="00B73434">
      <w:pPr>
        <w:pStyle w:val="BodyText"/>
        <w:numPr>
          <w:ilvl w:val="1"/>
          <w:numId w:val="52"/>
        </w:numPr>
        <w:tabs>
          <w:tab w:val="left" w:pos="709"/>
        </w:tabs>
        <w:ind w:hanging="709"/>
        <w:rPr>
          <w:rStyle w:val="Strong"/>
          <w:b w:val="0"/>
          <w:bCs w:val="0"/>
        </w:rPr>
      </w:pPr>
      <w:r>
        <w:rPr>
          <w:rFonts w:ascii="ZWAdobeF" w:hAnsi="ZWAdobeF" w:cs="ZWAdobeF"/>
          <w:color w:val="auto"/>
          <w:sz w:val="2"/>
          <w:szCs w:val="2"/>
        </w:rPr>
        <w:t>444B</w:t>
      </w:r>
      <w:r w:rsidR="0049638A">
        <w:rPr>
          <w:rFonts w:ascii="ZWAdobeF" w:hAnsi="ZWAdobeF" w:cs="ZWAdobeF"/>
          <w:color w:val="auto"/>
          <w:sz w:val="2"/>
          <w:szCs w:val="2"/>
        </w:rPr>
        <w:t>444B</w:t>
      </w:r>
      <w:r w:rsidR="00D629FA">
        <w:rPr>
          <w:rFonts w:ascii="ZWAdobeF" w:hAnsi="ZWAdobeF" w:cs="ZWAdobeF"/>
          <w:color w:val="auto"/>
          <w:sz w:val="2"/>
          <w:szCs w:val="2"/>
        </w:rPr>
        <w:t>444B</w:t>
      </w:r>
      <w:r w:rsidR="00DD0F04" w:rsidRPr="00584795">
        <w:t>In our view, it would be desirable to provide some guidance on the information that should be included in an application. This will help to ensure the court has sufficient information to assess the proposed settlement. We have considered the information required in other jurisdictions. We suggest that, at minimum, information should be provided on</w:t>
      </w:r>
      <w:r w:rsidR="00DD0F04" w:rsidRPr="00D31273">
        <w:rPr>
          <w:rStyle w:val="Strong"/>
          <w:b w:val="0"/>
          <w:bCs w:val="0"/>
        </w:rPr>
        <w:t>:</w:t>
      </w:r>
    </w:p>
    <w:p w14:paraId="0F3C91AC" w14:textId="77777777" w:rsidR="00DD0F04" w:rsidRPr="00584795" w:rsidRDefault="00DD0F04" w:rsidP="00B73434">
      <w:pPr>
        <w:pStyle w:val="BodyTextnonum"/>
        <w:numPr>
          <w:ilvl w:val="3"/>
          <w:numId w:val="52"/>
        </w:numPr>
        <w:rPr>
          <w:rStyle w:val="Strong"/>
          <w:b w:val="0"/>
          <w:bCs w:val="0"/>
        </w:rPr>
      </w:pPr>
      <w:r w:rsidRPr="00584795">
        <w:rPr>
          <w:rStyle w:val="Strong"/>
          <w:b w:val="0"/>
          <w:bCs w:val="0"/>
        </w:rPr>
        <w:t>The terms of the proposed settlement.</w:t>
      </w:r>
    </w:p>
    <w:p w14:paraId="21AD399F" w14:textId="77777777" w:rsidR="00DD0F04" w:rsidRPr="00584795" w:rsidRDefault="00DD0F04" w:rsidP="00B73434">
      <w:pPr>
        <w:pStyle w:val="BodyTextnonum"/>
        <w:numPr>
          <w:ilvl w:val="3"/>
          <w:numId w:val="52"/>
        </w:numPr>
        <w:rPr>
          <w:rStyle w:val="Strong"/>
          <w:b w:val="0"/>
          <w:bCs w:val="0"/>
        </w:rPr>
      </w:pPr>
      <w:r w:rsidRPr="00584795">
        <w:rPr>
          <w:rStyle w:val="Strong"/>
          <w:b w:val="0"/>
          <w:bCs w:val="0"/>
        </w:rPr>
        <w:t xml:space="preserve">Any legal fees or litigation funding fees that would be deducted from the relief paid to class members.  </w:t>
      </w:r>
    </w:p>
    <w:p w14:paraId="0D883CD7" w14:textId="51CF8E67" w:rsidR="00DD0F04" w:rsidRPr="00584795" w:rsidRDefault="00BD5C95" w:rsidP="00B73434">
      <w:pPr>
        <w:pStyle w:val="BodyTextnonum"/>
        <w:numPr>
          <w:ilvl w:val="3"/>
          <w:numId w:val="52"/>
        </w:numPr>
        <w:rPr>
          <w:rStyle w:val="Strong"/>
          <w:b w:val="0"/>
          <w:bCs w:val="0"/>
        </w:rPr>
      </w:pPr>
      <w:r>
        <w:rPr>
          <w:rStyle w:val="Strong"/>
          <w:rFonts w:ascii="ZWAdobeF" w:hAnsi="ZWAdobeF" w:cs="ZWAdobeF"/>
          <w:b w:val="0"/>
          <w:bCs w:val="0"/>
          <w:color w:val="auto"/>
          <w:sz w:val="2"/>
          <w:szCs w:val="2"/>
        </w:rPr>
        <w:t>777B</w:t>
      </w:r>
      <w:r w:rsidR="0049638A">
        <w:rPr>
          <w:rStyle w:val="Strong"/>
          <w:rFonts w:ascii="ZWAdobeF" w:hAnsi="ZWAdobeF" w:cs="ZWAdobeF"/>
          <w:b w:val="0"/>
          <w:bCs w:val="0"/>
          <w:color w:val="auto"/>
          <w:sz w:val="2"/>
          <w:szCs w:val="2"/>
        </w:rPr>
        <w:t>777B</w:t>
      </w:r>
      <w:r w:rsidR="00D629FA">
        <w:rPr>
          <w:rStyle w:val="Strong"/>
          <w:rFonts w:ascii="ZWAdobeF" w:hAnsi="ZWAdobeF" w:cs="ZWAdobeF"/>
          <w:b w:val="0"/>
          <w:bCs w:val="0"/>
          <w:color w:val="auto"/>
          <w:sz w:val="2"/>
          <w:szCs w:val="2"/>
        </w:rPr>
        <w:t>777B</w:t>
      </w:r>
      <w:r w:rsidR="00DD0F04" w:rsidRPr="00584795">
        <w:rPr>
          <w:rStyle w:val="Strong"/>
          <w:b w:val="0"/>
          <w:bCs w:val="0"/>
        </w:rPr>
        <w:t>How the settlement meets the test for court approval of a class action settlement.</w:t>
      </w:r>
      <w:r w:rsidR="00D629FA">
        <w:rPr>
          <w:rStyle w:val="Strong"/>
          <w:rFonts w:ascii="ZWAdobeF" w:hAnsi="ZWAdobeF" w:cs="ZWAdobeF"/>
          <w:b w:val="0"/>
          <w:bCs w:val="0"/>
          <w:color w:val="auto"/>
          <w:sz w:val="2"/>
          <w:szCs w:val="2"/>
        </w:rPr>
        <w:t>725F</w:t>
      </w:r>
      <w:r w:rsidR="007A330E">
        <w:rPr>
          <w:rStyle w:val="Strong"/>
          <w:rFonts w:ascii="ZWAdobeF" w:hAnsi="ZWAdobeF" w:cs="ZWAdobeF"/>
          <w:b w:val="0"/>
          <w:bCs w:val="0"/>
          <w:color w:val="auto"/>
          <w:sz w:val="2"/>
          <w:szCs w:val="2"/>
        </w:rPr>
        <w:t>725F</w:t>
      </w:r>
      <w:r w:rsidR="00317AE4">
        <w:rPr>
          <w:rStyle w:val="Strong"/>
          <w:rFonts w:ascii="ZWAdobeF" w:hAnsi="ZWAdobeF" w:cs="ZWAdobeF"/>
          <w:b w:val="0"/>
          <w:bCs w:val="0"/>
          <w:color w:val="auto"/>
          <w:sz w:val="2"/>
          <w:szCs w:val="2"/>
        </w:rPr>
        <w:t>725F</w:t>
      </w:r>
      <w:r w:rsidR="00DD0F04" w:rsidRPr="009E5699">
        <w:rPr>
          <w:rStyle w:val="FootnoteReference"/>
        </w:rPr>
        <w:footnoteReference w:id="727"/>
      </w:r>
    </w:p>
    <w:p w14:paraId="3E92C0CC" w14:textId="15CB7A7E" w:rsidR="00DD0F04" w:rsidRPr="00584795" w:rsidRDefault="00DD0F04" w:rsidP="00B73434">
      <w:pPr>
        <w:pStyle w:val="BodyTextnonum"/>
        <w:numPr>
          <w:ilvl w:val="3"/>
          <w:numId w:val="52"/>
        </w:numPr>
        <w:rPr>
          <w:rStyle w:val="Strong"/>
          <w:b w:val="0"/>
          <w:bCs w:val="0"/>
        </w:rPr>
      </w:pPr>
      <w:r w:rsidRPr="00584795">
        <w:rPr>
          <w:rStyle w:val="Strong"/>
          <w:b w:val="0"/>
          <w:bCs w:val="0"/>
        </w:rPr>
        <w:t>The intended method of notifying class members of the</w:t>
      </w:r>
      <w:r w:rsidR="00094E29">
        <w:rPr>
          <w:rStyle w:val="Strong"/>
          <w:b w:val="0"/>
          <w:bCs w:val="0"/>
        </w:rPr>
        <w:t xml:space="preserve"> proposed</w:t>
      </w:r>
      <w:r w:rsidRPr="00584795">
        <w:rPr>
          <w:rStyle w:val="Strong"/>
          <w:b w:val="0"/>
          <w:bCs w:val="0"/>
        </w:rPr>
        <w:t xml:space="preserve"> settlement.  </w:t>
      </w:r>
    </w:p>
    <w:p w14:paraId="1EFB30E5" w14:textId="77777777" w:rsidR="00DD0F04" w:rsidRPr="00584795" w:rsidRDefault="00DD0F04" w:rsidP="00B73434">
      <w:pPr>
        <w:pStyle w:val="BodyTextnonum"/>
        <w:numPr>
          <w:ilvl w:val="3"/>
          <w:numId w:val="52"/>
        </w:numPr>
        <w:rPr>
          <w:rStyle w:val="Strong"/>
          <w:b w:val="0"/>
          <w:bCs w:val="0"/>
        </w:rPr>
      </w:pPr>
      <w:r w:rsidRPr="00584795">
        <w:rPr>
          <w:rStyle w:val="Strong"/>
          <w:b w:val="0"/>
          <w:bCs w:val="0"/>
        </w:rPr>
        <w:t>The likely cost and duration of the class action if the litigation continues.</w:t>
      </w:r>
    </w:p>
    <w:p w14:paraId="258F926A" w14:textId="77777777" w:rsidR="00DD0F04" w:rsidRPr="00584795" w:rsidRDefault="00DD0F04" w:rsidP="00B73434">
      <w:pPr>
        <w:pStyle w:val="BodyTextnonum"/>
        <w:numPr>
          <w:ilvl w:val="3"/>
          <w:numId w:val="52"/>
        </w:numPr>
        <w:rPr>
          <w:rStyle w:val="Strong"/>
          <w:b w:val="0"/>
          <w:bCs w:val="0"/>
        </w:rPr>
      </w:pPr>
      <w:r w:rsidRPr="00584795">
        <w:rPr>
          <w:rStyle w:val="Strong"/>
          <w:b w:val="0"/>
          <w:bCs w:val="0"/>
        </w:rPr>
        <w:t>Any risks associated with continuing with the litigation.</w:t>
      </w:r>
    </w:p>
    <w:p w14:paraId="0FF0C274" w14:textId="242F3FF9" w:rsidR="00DD0F04" w:rsidRPr="00584795" w:rsidRDefault="00DD0F04" w:rsidP="00B73434">
      <w:pPr>
        <w:pStyle w:val="BodyTextnonum"/>
        <w:numPr>
          <w:ilvl w:val="3"/>
          <w:numId w:val="52"/>
        </w:numPr>
        <w:rPr>
          <w:rStyle w:val="Strong"/>
          <w:b w:val="0"/>
          <w:bCs w:val="0"/>
        </w:rPr>
      </w:pPr>
      <w:r w:rsidRPr="00584795">
        <w:rPr>
          <w:rStyle w:val="Strong"/>
          <w:b w:val="0"/>
          <w:bCs w:val="0"/>
        </w:rPr>
        <w:t xml:space="preserve">The </w:t>
      </w:r>
      <w:r w:rsidR="00E41D5A">
        <w:rPr>
          <w:rStyle w:val="Strong"/>
          <w:b w:val="0"/>
          <w:bCs w:val="0"/>
        </w:rPr>
        <w:t xml:space="preserve">potential relief </w:t>
      </w:r>
      <w:r w:rsidRPr="00584795">
        <w:rPr>
          <w:rStyle w:val="Strong"/>
          <w:b w:val="0"/>
          <w:bCs w:val="0"/>
        </w:rPr>
        <w:t xml:space="preserve">that could be awarded if the case was successful.    </w:t>
      </w:r>
    </w:p>
    <w:p w14:paraId="22609CBB" w14:textId="77777777" w:rsidR="00DD0F04" w:rsidRPr="00584795" w:rsidRDefault="00DD0F04" w:rsidP="00B73434">
      <w:pPr>
        <w:pStyle w:val="BodyTextnonum"/>
        <w:numPr>
          <w:ilvl w:val="3"/>
          <w:numId w:val="52"/>
        </w:numPr>
        <w:rPr>
          <w:rStyle w:val="Strong"/>
          <w:b w:val="0"/>
          <w:bCs w:val="0"/>
        </w:rPr>
      </w:pPr>
      <w:r w:rsidRPr="00584795">
        <w:rPr>
          <w:rStyle w:val="Strong"/>
          <w:b w:val="0"/>
          <w:bCs w:val="0"/>
        </w:rPr>
        <w:t>The proposed method of settlement distribution and administration, including any</w:t>
      </w:r>
      <w:r>
        <w:rPr>
          <w:rStyle w:val="Strong"/>
        </w:rPr>
        <w:t xml:space="preserve"> </w:t>
      </w:r>
      <w:r w:rsidRPr="00584795">
        <w:rPr>
          <w:rStyle w:val="Strong"/>
          <w:b w:val="0"/>
          <w:bCs w:val="0"/>
        </w:rPr>
        <w:t xml:space="preserve">proposal for unclaimed damages. </w:t>
      </w:r>
    </w:p>
    <w:p w14:paraId="6F697B70" w14:textId="2296F9A2" w:rsidR="00DD0F04" w:rsidRPr="00D31273" w:rsidRDefault="00BD5C95" w:rsidP="00932DB9">
      <w:pPr>
        <w:pStyle w:val="BodyText"/>
        <w:tabs>
          <w:tab w:val="num" w:pos="709"/>
        </w:tabs>
        <w:ind w:hanging="596"/>
        <w:rPr>
          <w:rStyle w:val="Strong"/>
          <w:b w:val="0"/>
          <w:bCs w:val="0"/>
        </w:rPr>
      </w:pPr>
      <w:r>
        <w:rPr>
          <w:rFonts w:ascii="ZWAdobeF" w:hAnsi="ZWAdobeF" w:cs="ZWAdobeF"/>
          <w:color w:val="auto"/>
          <w:sz w:val="2"/>
          <w:szCs w:val="2"/>
        </w:rPr>
        <w:t>445B</w:t>
      </w:r>
      <w:r w:rsidR="0049638A">
        <w:rPr>
          <w:rFonts w:ascii="ZWAdobeF" w:hAnsi="ZWAdobeF" w:cs="ZWAdobeF"/>
          <w:color w:val="auto"/>
          <w:sz w:val="2"/>
          <w:szCs w:val="2"/>
        </w:rPr>
        <w:t>445B</w:t>
      </w:r>
      <w:r w:rsidR="00D629FA">
        <w:rPr>
          <w:rFonts w:ascii="ZWAdobeF" w:hAnsi="ZWAdobeF" w:cs="ZWAdobeF"/>
          <w:color w:val="auto"/>
          <w:sz w:val="2"/>
          <w:szCs w:val="2"/>
        </w:rPr>
        <w:t>445B</w:t>
      </w:r>
      <w:r w:rsidR="00DD0F04" w:rsidRPr="00DD7952">
        <w:t>We think this information will assist the court to</w:t>
      </w:r>
      <w:r w:rsidR="00FD44C4" w:rsidRPr="00DD7952">
        <w:t xml:space="preserve"> apply</w:t>
      </w:r>
      <w:r w:rsidR="00DD0F04" w:rsidRPr="00DD7952">
        <w:t xml:space="preserve"> the test we have proposed for approval of a settlement.</w:t>
      </w:r>
      <w:r w:rsidR="00D629FA">
        <w:rPr>
          <w:rFonts w:ascii="ZWAdobeF" w:hAnsi="ZWAdobeF" w:cs="ZWAdobeF"/>
          <w:color w:val="auto"/>
          <w:sz w:val="2"/>
          <w:szCs w:val="2"/>
        </w:rPr>
        <w:t>726F</w:t>
      </w:r>
      <w:r w:rsidR="007A330E">
        <w:rPr>
          <w:rFonts w:ascii="ZWAdobeF" w:hAnsi="ZWAdobeF" w:cs="ZWAdobeF"/>
          <w:color w:val="auto"/>
          <w:sz w:val="2"/>
          <w:szCs w:val="2"/>
        </w:rPr>
        <w:t>726F</w:t>
      </w:r>
      <w:r w:rsidR="00317AE4">
        <w:rPr>
          <w:rFonts w:ascii="ZWAdobeF" w:hAnsi="ZWAdobeF" w:cs="ZWAdobeF"/>
          <w:color w:val="auto"/>
          <w:sz w:val="2"/>
          <w:szCs w:val="2"/>
        </w:rPr>
        <w:t>726F</w:t>
      </w:r>
      <w:r w:rsidR="00DD0F04" w:rsidRPr="00591B03">
        <w:rPr>
          <w:rStyle w:val="FootnoteReference"/>
        </w:rPr>
        <w:footnoteReference w:id="728"/>
      </w:r>
      <w:r w:rsidR="00DD0F04" w:rsidRPr="00D31273">
        <w:rPr>
          <w:rStyle w:val="Strong"/>
          <w:b w:val="0"/>
          <w:bCs w:val="0"/>
        </w:rPr>
        <w:t xml:space="preserve"> </w:t>
      </w:r>
      <w:r w:rsidR="00DD0F04" w:rsidRPr="00DD7952">
        <w:t xml:space="preserve">While the application is made jointly by the representative plaintiff and defendant, we anticipate that the supporting information would primarily be provided by the representative plaintiff. It could include an affidavit by the representative plaintiff’s lawyer and any independent advice received on the settlement, such as an independent valuation or the advice of </w:t>
      </w:r>
      <w:r w:rsidR="001D7BE0" w:rsidRPr="00DD7952">
        <w:t>an</w:t>
      </w:r>
      <w:r w:rsidR="00DD0F04" w:rsidRPr="00DD7952">
        <w:t xml:space="preserve"> independent </w:t>
      </w:r>
      <w:r w:rsidR="001D7BE0" w:rsidRPr="00DD7952">
        <w:t>lawyer</w:t>
      </w:r>
      <w:r w:rsidR="00DD0F04" w:rsidRPr="00DD7952">
        <w:t>. We think it should be possible for each party to provide information to the court on a confidential basis where appropriate, particularly where it relates to the prospects of the litigation.</w:t>
      </w:r>
      <w:r w:rsidR="00DD0F04" w:rsidRPr="00D31273">
        <w:rPr>
          <w:rStyle w:val="Strong"/>
          <w:b w:val="0"/>
          <w:bCs w:val="0"/>
        </w:rPr>
        <w:t xml:space="preserve">   </w:t>
      </w:r>
    </w:p>
    <w:p w14:paraId="3CB158CC" w14:textId="19501AF7" w:rsidR="00DD0F04" w:rsidRPr="00D31273" w:rsidRDefault="00DD0F04" w:rsidP="00932DB9">
      <w:pPr>
        <w:pStyle w:val="BodyText"/>
        <w:tabs>
          <w:tab w:val="num" w:pos="709"/>
        </w:tabs>
        <w:ind w:hanging="596"/>
        <w:rPr>
          <w:rStyle w:val="Strong"/>
          <w:b w:val="0"/>
          <w:bCs w:val="0"/>
        </w:rPr>
      </w:pPr>
      <w:r w:rsidRPr="00D31273">
        <w:rPr>
          <w:rStyle w:val="Strong"/>
          <w:b w:val="0"/>
          <w:bCs w:val="0"/>
        </w:rPr>
        <w:t xml:space="preserve">We have not included our proposed requirements for an application for settlement approval in our draft </w:t>
      </w:r>
      <w:r w:rsidR="005F47A7">
        <w:rPr>
          <w:rStyle w:val="Strong"/>
          <w:b w:val="0"/>
          <w:bCs w:val="0"/>
        </w:rPr>
        <w:t>provisions</w:t>
      </w:r>
      <w:r w:rsidR="005F47A7" w:rsidRPr="00D31273">
        <w:rPr>
          <w:rStyle w:val="Strong"/>
          <w:b w:val="0"/>
          <w:bCs w:val="0"/>
        </w:rPr>
        <w:t xml:space="preserve"> </w:t>
      </w:r>
      <w:r w:rsidRPr="00D31273">
        <w:rPr>
          <w:rStyle w:val="Strong"/>
          <w:b w:val="0"/>
          <w:bCs w:val="0"/>
        </w:rPr>
        <w:t>as we think it would be more appropriate in the High Court Rules.</w:t>
      </w:r>
    </w:p>
    <w:p w14:paraId="79A0E4B0" w14:textId="67273A57" w:rsidR="00E82C4F" w:rsidRDefault="00E82C4F" w:rsidP="00E82C4F">
      <w:pPr>
        <w:pStyle w:val="QuestionBox"/>
        <w:rPr>
          <w:rStyle w:val="Strong"/>
          <w:b w:val="0"/>
          <w:bCs w:val="0"/>
        </w:rPr>
      </w:pPr>
      <w:r>
        <w:rPr>
          <w:noProof/>
        </w:rPr>
        <w:lastRenderedPageBreak/>
        <mc:AlternateContent>
          <mc:Choice Requires="wpg">
            <w:drawing>
              <wp:anchor distT="0" distB="0" distL="114300" distR="114300" simplePos="0" relativeHeight="251652177" behindDoc="1" locked="0" layoutInCell="1" allowOverlap="1" wp14:anchorId="66F61A9B" wp14:editId="40A2ECBC">
                <wp:simplePos x="0" y="0"/>
                <wp:positionH relativeFrom="column">
                  <wp:posOffset>0</wp:posOffset>
                </wp:positionH>
                <wp:positionV relativeFrom="paragraph">
                  <wp:posOffset>-635</wp:posOffset>
                </wp:positionV>
                <wp:extent cx="5760085" cy="1063625"/>
                <wp:effectExtent l="0" t="0" r="0" b="3175"/>
                <wp:wrapNone/>
                <wp:docPr id="764517982" name="Group 764517982"/>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76451798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B2E7E1" w14:textId="77777777" w:rsidR="00A55F53" w:rsidRDefault="00A55F53" w:rsidP="00E82C4F">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84" name="Group 53"/>
                        <wpg:cNvGrpSpPr>
                          <a:grpSpLocks/>
                        </wpg:cNvGrpSpPr>
                        <wpg:grpSpPr bwMode="auto">
                          <a:xfrm>
                            <a:off x="0" y="316263"/>
                            <a:ext cx="5760085" cy="810335"/>
                            <a:chOff x="1837" y="1792"/>
                            <a:chExt cx="9302" cy="8753"/>
                          </a:xfrm>
                        </wpg:grpSpPr>
                        <wps:wsp>
                          <wps:cNvPr id="764517985"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86" name="Group 764517986"/>
                        <wpg:cNvGrpSpPr/>
                        <wpg:grpSpPr>
                          <a:xfrm>
                            <a:off x="0" y="494036"/>
                            <a:ext cx="1443794" cy="252000"/>
                            <a:chOff x="-15880" y="0"/>
                            <a:chExt cx="1444379" cy="252068"/>
                          </a:xfrm>
                        </wpg:grpSpPr>
                        <wps:wsp>
                          <wps:cNvPr id="764517987"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798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3C6CEC" w14:textId="1AC9C060" w:rsidR="00A55F53" w:rsidRPr="00E700FF" w:rsidRDefault="00A55F53" w:rsidP="00E82C4F">
                                <w:pPr>
                                  <w:pStyle w:val="BoxTitle"/>
                                  <w:spacing w:before="0" w:beforeAutospacing="0"/>
                                </w:pPr>
                                <w:r w:rsidRPr="001C1B37">
                                  <w:t>Q</w:t>
                                </w:r>
                                <w:r>
                                  <w:t>38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6F61A9B" id="Group 764517982" o:spid="_x0000_s1466" style="position:absolute;left:0;text-align:left;margin-left:0;margin-top:-.05pt;width:453.55pt;height:83.75pt;z-index:-251664303;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">
                <v:shape id="_x0000_s146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3B2E7E1" w14:textId="77777777" w:rsidR="00A55F53" w:rsidRDefault="00A55F53" w:rsidP="00E82C4F">
                        <w:pPr>
                          <w:pStyle w:val="BoxTitle"/>
                          <w:spacing w:before="0" w:beforeAutospacing="0"/>
                        </w:pPr>
                        <w:r w:rsidRPr="007F6876">
                          <w:t>QUESTION</w:t>
                        </w:r>
                      </w:p>
                    </w:txbxContent>
                  </v:textbox>
                </v:shape>
                <v:group id="Group 53" o:spid="_x0000_s1468"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">
                  <v:shape id="Freeform 54" o:spid="_x0000_s1469"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" path="m,l9354,r,7809l,7809,,e" fillcolor="#edf2ea" stroked="f">
                    <v:path arrowok="t" o:connecttype="custom" o:connectlocs="0,1121;9302,1121;9302,9874;0,9874;0,1121" o:connectangles="0,0,0,0,0"/>
                  </v:shape>
                </v:group>
                <v:group id="Group 764517986" o:spid="_x0000_s147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">
                  <v:shape id="Freeform 58" o:spid="_x0000_s147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" path="m,l1815,e" filled="f" strokecolor="#72ab6a" strokeweight=".5pt">
                    <v:path arrowok="t" o:connecttype="custom" o:connectlocs="0,0;1073495,0" o:connectangles="0,0"/>
                  </v:shape>
                  <v:shape id="Freeform 66" o:spid="_x0000_s147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C3C6CEC" w14:textId="1AC9C060" w:rsidR="00A55F53" w:rsidRPr="00E700FF" w:rsidRDefault="00A55F53" w:rsidP="00E82C4F">
                          <w:pPr>
                            <w:pStyle w:val="BoxTitle"/>
                            <w:spacing w:before="0" w:beforeAutospacing="0"/>
                          </w:pPr>
                          <w:r w:rsidRPr="001C1B37">
                            <w:t>Q</w:t>
                          </w:r>
                          <w:r>
                            <w:t>38</w:t>
                          </w:r>
                        </w:p>
                      </w:txbxContent>
                    </v:textbox>
                  </v:shape>
                </v:group>
              </v:group>
            </w:pict>
          </mc:Fallback>
        </mc:AlternateContent>
      </w:r>
    </w:p>
    <w:p w14:paraId="305EC7D5" w14:textId="77777777" w:rsidR="00E82C4F" w:rsidRDefault="00E82C4F" w:rsidP="00E82C4F">
      <w:pPr>
        <w:pStyle w:val="QuestionBox"/>
        <w:rPr>
          <w:rStyle w:val="Strong"/>
          <w:b w:val="0"/>
          <w:bCs w:val="0"/>
        </w:rPr>
      </w:pPr>
    </w:p>
    <w:p w14:paraId="7AA84D2B" w14:textId="77777777" w:rsidR="00DD0F04" w:rsidRPr="002B0630" w:rsidRDefault="00DD0F04" w:rsidP="00E82C4F">
      <w:pPr>
        <w:pStyle w:val="QuestionBox"/>
        <w:rPr>
          <w:rStyle w:val="Strong"/>
          <w:b w:val="0"/>
          <w:bCs w:val="0"/>
        </w:rPr>
      </w:pPr>
      <w:r w:rsidRPr="00E82C4F">
        <w:rPr>
          <w:rStyle w:val="Strong"/>
          <w:b w:val="0"/>
          <w:bCs w:val="0"/>
        </w:rPr>
        <w:t xml:space="preserve">Do you agree with our list of the information that should be provided in support of an application to approve a class action settlement? </w:t>
      </w:r>
    </w:p>
    <w:p w14:paraId="0959C3A3" w14:textId="77777777" w:rsidR="00E82C4F" w:rsidRPr="00E82C4F" w:rsidRDefault="00E82C4F" w:rsidP="00E82C4F">
      <w:pPr>
        <w:pStyle w:val="QuestionBox"/>
        <w:rPr>
          <w:rStyle w:val="Strong"/>
          <w:b w:val="0"/>
          <w:bCs w:val="0"/>
        </w:rPr>
      </w:pPr>
    </w:p>
    <w:p w14:paraId="25A55A44" w14:textId="77777777" w:rsidR="00DD0F04" w:rsidRDefault="00DD0F04" w:rsidP="00AA5436">
      <w:pPr>
        <w:pStyle w:val="Heading3"/>
      </w:pPr>
      <w:r>
        <w:t>Notices to class members</w:t>
      </w:r>
    </w:p>
    <w:p w14:paraId="5384AF0E" w14:textId="4C3FE3E2" w:rsidR="00DD0F04" w:rsidRDefault="00BD5C95" w:rsidP="002A6579">
      <w:pPr>
        <w:pStyle w:val="BodyText"/>
        <w:numPr>
          <w:ilvl w:val="1"/>
          <w:numId w:val="52"/>
        </w:numPr>
        <w:ind w:hanging="709"/>
      </w:pPr>
      <w:r>
        <w:rPr>
          <w:rFonts w:ascii="ZWAdobeF" w:hAnsi="ZWAdobeF" w:cs="ZWAdobeF"/>
          <w:color w:val="auto"/>
          <w:sz w:val="2"/>
          <w:szCs w:val="2"/>
        </w:rPr>
        <w:t>446B</w:t>
      </w:r>
      <w:r w:rsidR="0049638A">
        <w:rPr>
          <w:rFonts w:ascii="ZWAdobeF" w:hAnsi="ZWAdobeF" w:cs="ZWAdobeF"/>
          <w:color w:val="auto"/>
          <w:sz w:val="2"/>
          <w:szCs w:val="2"/>
        </w:rPr>
        <w:t>446B</w:t>
      </w:r>
      <w:r w:rsidR="00D629FA">
        <w:rPr>
          <w:rFonts w:ascii="ZWAdobeF" w:hAnsi="ZWAdobeF" w:cs="ZWAdobeF"/>
          <w:color w:val="auto"/>
          <w:sz w:val="2"/>
          <w:szCs w:val="2"/>
        </w:rPr>
        <w:t>446B</w:t>
      </w:r>
      <w:r w:rsidR="00DD0F04">
        <w:t>In this section we discuss whether class members should be given notice of a proposed settlement and/or of any approved settlement, and what should be included in these notices.</w:t>
      </w:r>
    </w:p>
    <w:p w14:paraId="243C8973" w14:textId="77777777" w:rsidR="00DD0F04" w:rsidRDefault="00DD0F04" w:rsidP="00AA5436">
      <w:pPr>
        <w:pStyle w:val="Heading4"/>
      </w:pPr>
      <w:r>
        <w:t>When should notice be required?</w:t>
      </w:r>
    </w:p>
    <w:p w14:paraId="4171C0B1" w14:textId="5E2D2B35" w:rsidR="00DD0F04" w:rsidRDefault="00BD5C95" w:rsidP="00B73434">
      <w:pPr>
        <w:pStyle w:val="BodyText"/>
        <w:numPr>
          <w:ilvl w:val="1"/>
          <w:numId w:val="52"/>
        </w:numPr>
        <w:tabs>
          <w:tab w:val="left" w:pos="709"/>
        </w:tabs>
        <w:ind w:hanging="709"/>
      </w:pPr>
      <w:r>
        <w:rPr>
          <w:rFonts w:ascii="ZWAdobeF" w:hAnsi="ZWAdobeF" w:cs="ZWAdobeF"/>
          <w:color w:val="auto"/>
          <w:sz w:val="2"/>
          <w:szCs w:val="2"/>
        </w:rPr>
        <w:t>447B</w:t>
      </w:r>
      <w:r w:rsidR="0049638A">
        <w:rPr>
          <w:rFonts w:ascii="ZWAdobeF" w:hAnsi="ZWAdobeF" w:cs="ZWAdobeF"/>
          <w:color w:val="auto"/>
          <w:sz w:val="2"/>
          <w:szCs w:val="2"/>
        </w:rPr>
        <w:t>447B</w:t>
      </w:r>
      <w:r w:rsidR="00D629FA">
        <w:rPr>
          <w:rFonts w:ascii="ZWAdobeF" w:hAnsi="ZWAdobeF" w:cs="ZWAdobeF"/>
          <w:color w:val="auto"/>
          <w:sz w:val="2"/>
          <w:szCs w:val="2"/>
        </w:rPr>
        <w:t>447B</w:t>
      </w:r>
      <w:r w:rsidR="00DD0F04">
        <w:t>In the United States, class members must be given notice of a proposed settlement before the court can consider whether to give final approval.</w:t>
      </w:r>
      <w:r w:rsidR="00D629FA">
        <w:rPr>
          <w:rFonts w:ascii="ZWAdobeF" w:hAnsi="ZWAdobeF" w:cs="ZWAdobeF"/>
          <w:color w:val="auto"/>
          <w:sz w:val="2"/>
          <w:szCs w:val="2"/>
        </w:rPr>
        <w:t>727F</w:t>
      </w:r>
      <w:r w:rsidR="007A330E">
        <w:rPr>
          <w:rFonts w:ascii="ZWAdobeF" w:hAnsi="ZWAdobeF" w:cs="ZWAdobeF"/>
          <w:color w:val="auto"/>
          <w:sz w:val="2"/>
          <w:szCs w:val="2"/>
        </w:rPr>
        <w:t>727F</w:t>
      </w:r>
      <w:r w:rsidR="00317AE4">
        <w:rPr>
          <w:rFonts w:ascii="ZWAdobeF" w:hAnsi="ZWAdobeF" w:cs="ZWAdobeF"/>
          <w:color w:val="auto"/>
          <w:sz w:val="2"/>
          <w:szCs w:val="2"/>
        </w:rPr>
        <w:t>727F</w:t>
      </w:r>
      <w:r w:rsidR="00DD0F04">
        <w:rPr>
          <w:rStyle w:val="FootnoteReference"/>
        </w:rPr>
        <w:footnoteReference w:id="729"/>
      </w:r>
      <w:r w:rsidR="00DD0F04">
        <w:t xml:space="preserve"> Notice is also mandatory in the Canadian Federal Court, with a requirement to notify class members of an offer to settle a class action or an approved settlement.</w:t>
      </w:r>
      <w:r w:rsidR="00D629FA">
        <w:rPr>
          <w:rFonts w:ascii="ZWAdobeF" w:hAnsi="ZWAdobeF" w:cs="ZWAdobeF"/>
          <w:color w:val="auto"/>
          <w:sz w:val="2"/>
          <w:szCs w:val="2"/>
        </w:rPr>
        <w:t>728F</w:t>
      </w:r>
      <w:r w:rsidR="007A330E">
        <w:rPr>
          <w:rFonts w:ascii="ZWAdobeF" w:hAnsi="ZWAdobeF" w:cs="ZWAdobeF"/>
          <w:color w:val="auto"/>
          <w:sz w:val="2"/>
          <w:szCs w:val="2"/>
        </w:rPr>
        <w:t>728F</w:t>
      </w:r>
      <w:r w:rsidR="00317AE4">
        <w:rPr>
          <w:rFonts w:ascii="ZWAdobeF" w:hAnsi="ZWAdobeF" w:cs="ZWAdobeF"/>
          <w:color w:val="auto"/>
          <w:sz w:val="2"/>
          <w:szCs w:val="2"/>
        </w:rPr>
        <w:t>728F</w:t>
      </w:r>
      <w:r w:rsidR="00DD0F04">
        <w:rPr>
          <w:rStyle w:val="FootnoteReference"/>
        </w:rPr>
        <w:footnoteReference w:id="730"/>
      </w:r>
      <w:r w:rsidR="00DD0F04">
        <w:t xml:space="preserve">  </w:t>
      </w:r>
    </w:p>
    <w:p w14:paraId="43FA1DD1" w14:textId="73C6AC0F" w:rsidR="00DD0F04" w:rsidRDefault="00BD5C95" w:rsidP="00B73434">
      <w:pPr>
        <w:pStyle w:val="BodyText"/>
        <w:numPr>
          <w:ilvl w:val="1"/>
          <w:numId w:val="52"/>
        </w:numPr>
        <w:tabs>
          <w:tab w:val="left" w:pos="709"/>
        </w:tabs>
        <w:ind w:hanging="709"/>
      </w:pPr>
      <w:r>
        <w:rPr>
          <w:rFonts w:ascii="ZWAdobeF" w:hAnsi="ZWAdobeF" w:cs="ZWAdobeF"/>
          <w:color w:val="auto"/>
          <w:sz w:val="2"/>
          <w:szCs w:val="2"/>
        </w:rPr>
        <w:t>448B</w:t>
      </w:r>
      <w:r w:rsidR="0049638A">
        <w:rPr>
          <w:rFonts w:ascii="ZWAdobeF" w:hAnsi="ZWAdobeF" w:cs="ZWAdobeF"/>
          <w:color w:val="auto"/>
          <w:sz w:val="2"/>
          <w:szCs w:val="2"/>
        </w:rPr>
        <w:t>448B</w:t>
      </w:r>
      <w:r w:rsidR="00D629FA">
        <w:rPr>
          <w:rFonts w:ascii="ZWAdobeF" w:hAnsi="ZWAdobeF" w:cs="ZWAdobeF"/>
          <w:color w:val="auto"/>
          <w:sz w:val="2"/>
          <w:szCs w:val="2"/>
        </w:rPr>
        <w:t>448B</w:t>
      </w:r>
      <w:r w:rsidR="00DD0F04">
        <w:t>In other jurisdictions, the court has discretion as to whether notice must be given to class members. In Ontario, the court must consider whether class members should be given notice of a hearing to consider a proposed settlement.</w:t>
      </w:r>
      <w:r w:rsidR="00D629FA">
        <w:rPr>
          <w:rFonts w:ascii="ZWAdobeF" w:hAnsi="ZWAdobeF" w:cs="ZWAdobeF"/>
          <w:color w:val="auto"/>
          <w:sz w:val="2"/>
          <w:szCs w:val="2"/>
        </w:rPr>
        <w:t>729F</w:t>
      </w:r>
      <w:r w:rsidR="007A330E">
        <w:rPr>
          <w:rFonts w:ascii="ZWAdobeF" w:hAnsi="ZWAdobeF" w:cs="ZWAdobeF"/>
          <w:color w:val="auto"/>
          <w:sz w:val="2"/>
          <w:szCs w:val="2"/>
        </w:rPr>
        <w:t>729F</w:t>
      </w:r>
      <w:r w:rsidR="00317AE4">
        <w:rPr>
          <w:rFonts w:ascii="ZWAdobeF" w:hAnsi="ZWAdobeF" w:cs="ZWAdobeF"/>
          <w:color w:val="auto"/>
          <w:sz w:val="2"/>
          <w:szCs w:val="2"/>
        </w:rPr>
        <w:t>729F</w:t>
      </w:r>
      <w:r w:rsidR="00DD0F04">
        <w:rPr>
          <w:rStyle w:val="FootnoteReference"/>
        </w:rPr>
        <w:footnoteReference w:id="731"/>
      </w:r>
      <w:r w:rsidR="00DD0F04">
        <w:t xml:space="preserve"> If the court approves a settlement, it will also consider whether class members should be given notice of the approved settlement.</w:t>
      </w:r>
      <w:r w:rsidR="00D629FA">
        <w:rPr>
          <w:rFonts w:ascii="ZWAdobeF" w:hAnsi="ZWAdobeF" w:cs="ZWAdobeF"/>
          <w:color w:val="auto"/>
          <w:sz w:val="2"/>
          <w:szCs w:val="2"/>
        </w:rPr>
        <w:t>730F</w:t>
      </w:r>
      <w:r w:rsidR="007A330E">
        <w:rPr>
          <w:rFonts w:ascii="ZWAdobeF" w:hAnsi="ZWAdobeF" w:cs="ZWAdobeF"/>
          <w:color w:val="auto"/>
          <w:sz w:val="2"/>
          <w:szCs w:val="2"/>
        </w:rPr>
        <w:t>730F</w:t>
      </w:r>
      <w:r w:rsidR="00317AE4">
        <w:rPr>
          <w:rFonts w:ascii="ZWAdobeF" w:hAnsi="ZWAdobeF" w:cs="ZWAdobeF"/>
          <w:color w:val="auto"/>
          <w:sz w:val="2"/>
          <w:szCs w:val="2"/>
        </w:rPr>
        <w:t>730F</w:t>
      </w:r>
      <w:r w:rsidR="00DD0F04">
        <w:rPr>
          <w:rStyle w:val="FootnoteReference"/>
        </w:rPr>
        <w:footnoteReference w:id="732"/>
      </w:r>
      <w:r w:rsidR="00DD0F04">
        <w:t xml:space="preserve"> An application for settlement approval must include a plan for giving notice of the approved settlement, in the event the court orders this.</w:t>
      </w:r>
      <w:r w:rsidR="00D629FA">
        <w:rPr>
          <w:rFonts w:ascii="ZWAdobeF" w:hAnsi="ZWAdobeF" w:cs="ZWAdobeF"/>
          <w:color w:val="auto"/>
          <w:sz w:val="2"/>
          <w:szCs w:val="2"/>
        </w:rPr>
        <w:t>731F</w:t>
      </w:r>
      <w:r w:rsidR="007A330E">
        <w:rPr>
          <w:rFonts w:ascii="ZWAdobeF" w:hAnsi="ZWAdobeF" w:cs="ZWAdobeF"/>
          <w:color w:val="auto"/>
          <w:sz w:val="2"/>
          <w:szCs w:val="2"/>
        </w:rPr>
        <w:t>731F</w:t>
      </w:r>
      <w:r w:rsidR="00317AE4">
        <w:rPr>
          <w:rFonts w:ascii="ZWAdobeF" w:hAnsi="ZWAdobeF" w:cs="ZWAdobeF"/>
          <w:color w:val="auto"/>
          <w:sz w:val="2"/>
          <w:szCs w:val="2"/>
        </w:rPr>
        <w:t>731F</w:t>
      </w:r>
      <w:r w:rsidR="00DD0F04">
        <w:rPr>
          <w:rStyle w:val="FootnoteReference"/>
        </w:rPr>
        <w:footnoteReference w:id="733"/>
      </w:r>
      <w:r w:rsidR="00DD0F04">
        <w:t xml:space="preserve"> Other common law provinces only require the court to consider whether notice should be given of an approved settlement, not whether notice of a hearing to consider settlement should be given</w:t>
      </w:r>
      <w:r w:rsidR="00DD0F04" w:rsidRPr="005421C8">
        <w:t>.</w:t>
      </w:r>
      <w:r w:rsidR="00D629FA">
        <w:rPr>
          <w:rFonts w:ascii="ZWAdobeF" w:hAnsi="ZWAdobeF" w:cs="ZWAdobeF"/>
          <w:color w:val="auto"/>
          <w:sz w:val="2"/>
          <w:szCs w:val="2"/>
        </w:rPr>
        <w:t>732F</w:t>
      </w:r>
      <w:r w:rsidR="007A330E">
        <w:rPr>
          <w:rFonts w:ascii="ZWAdobeF" w:hAnsi="ZWAdobeF" w:cs="ZWAdobeF"/>
          <w:color w:val="auto"/>
          <w:sz w:val="2"/>
          <w:szCs w:val="2"/>
        </w:rPr>
        <w:t>732F</w:t>
      </w:r>
      <w:r w:rsidR="00317AE4">
        <w:rPr>
          <w:rFonts w:ascii="ZWAdobeF" w:hAnsi="ZWAdobeF" w:cs="ZWAdobeF"/>
          <w:color w:val="auto"/>
          <w:sz w:val="2"/>
          <w:szCs w:val="2"/>
        </w:rPr>
        <w:t>732F</w:t>
      </w:r>
      <w:r w:rsidR="00DD0F04" w:rsidRPr="005421C8">
        <w:rPr>
          <w:rStyle w:val="FootnoteReference"/>
        </w:rPr>
        <w:footnoteReference w:id="734"/>
      </w:r>
      <w:r w:rsidR="00DD0F04" w:rsidRPr="005421C8">
        <w:t xml:space="preserve"> H</w:t>
      </w:r>
      <w:r w:rsidR="00DD0F04">
        <w:t>owever, notice could be ordered under general provisions in these provinces.</w:t>
      </w:r>
    </w:p>
    <w:p w14:paraId="6D56BAC2" w14:textId="2FE7AF40" w:rsidR="00DD0F04" w:rsidRDefault="00BD5C95" w:rsidP="00B73434">
      <w:pPr>
        <w:pStyle w:val="BodyText"/>
        <w:numPr>
          <w:ilvl w:val="1"/>
          <w:numId w:val="52"/>
        </w:numPr>
        <w:tabs>
          <w:tab w:val="left" w:pos="709"/>
        </w:tabs>
        <w:ind w:hanging="709"/>
      </w:pPr>
      <w:r>
        <w:rPr>
          <w:rFonts w:ascii="ZWAdobeF" w:hAnsi="ZWAdobeF" w:cs="ZWAdobeF"/>
          <w:color w:val="auto"/>
          <w:sz w:val="2"/>
          <w:szCs w:val="2"/>
        </w:rPr>
        <w:t>449B</w:t>
      </w:r>
      <w:r w:rsidR="0049638A">
        <w:rPr>
          <w:rFonts w:ascii="ZWAdobeF" w:hAnsi="ZWAdobeF" w:cs="ZWAdobeF"/>
          <w:color w:val="auto"/>
          <w:sz w:val="2"/>
          <w:szCs w:val="2"/>
        </w:rPr>
        <w:t>449B</w:t>
      </w:r>
      <w:r w:rsidR="00D629FA">
        <w:rPr>
          <w:rFonts w:ascii="ZWAdobeF" w:hAnsi="ZWAdobeF" w:cs="ZWAdobeF"/>
          <w:color w:val="auto"/>
          <w:sz w:val="2"/>
          <w:szCs w:val="2"/>
        </w:rPr>
        <w:t>449B</w:t>
      </w:r>
      <w:r w:rsidR="00DD0F04">
        <w:t>While notice of a proposed settlement will normally be necessary in Australia, a court can order that notice is not required where it considers it just.</w:t>
      </w:r>
      <w:r w:rsidR="00D629FA">
        <w:rPr>
          <w:rFonts w:ascii="ZWAdobeF" w:hAnsi="ZWAdobeF" w:cs="ZWAdobeF"/>
          <w:color w:val="auto"/>
          <w:sz w:val="2"/>
          <w:szCs w:val="2"/>
        </w:rPr>
        <w:t>733F</w:t>
      </w:r>
      <w:r w:rsidR="007A330E">
        <w:rPr>
          <w:rFonts w:ascii="ZWAdobeF" w:hAnsi="ZWAdobeF" w:cs="ZWAdobeF"/>
          <w:color w:val="auto"/>
          <w:sz w:val="2"/>
          <w:szCs w:val="2"/>
        </w:rPr>
        <w:t>733F</w:t>
      </w:r>
      <w:r w:rsidR="00317AE4">
        <w:rPr>
          <w:rFonts w:ascii="ZWAdobeF" w:hAnsi="ZWAdobeF" w:cs="ZWAdobeF"/>
          <w:color w:val="auto"/>
          <w:sz w:val="2"/>
          <w:szCs w:val="2"/>
        </w:rPr>
        <w:t>733F</w:t>
      </w:r>
      <w:r w:rsidR="00DD0F04">
        <w:rPr>
          <w:rStyle w:val="FootnoteReference"/>
        </w:rPr>
        <w:footnoteReference w:id="735"/>
      </w:r>
      <w:r w:rsidR="00DD0F04">
        <w:t xml:space="preserve"> It appears relatively unusual for a court to order that notice of a proposed settlement is not required.</w:t>
      </w:r>
      <w:r w:rsidR="00D629FA">
        <w:rPr>
          <w:rFonts w:ascii="ZWAdobeF" w:hAnsi="ZWAdobeF" w:cs="ZWAdobeF"/>
          <w:color w:val="auto"/>
          <w:sz w:val="2"/>
          <w:szCs w:val="2"/>
        </w:rPr>
        <w:t>734F</w:t>
      </w:r>
      <w:r w:rsidR="007A330E">
        <w:rPr>
          <w:rFonts w:ascii="ZWAdobeF" w:hAnsi="ZWAdobeF" w:cs="ZWAdobeF"/>
          <w:color w:val="auto"/>
          <w:sz w:val="2"/>
          <w:szCs w:val="2"/>
        </w:rPr>
        <w:t>734F</w:t>
      </w:r>
      <w:r w:rsidR="00317AE4">
        <w:rPr>
          <w:rFonts w:ascii="ZWAdobeF" w:hAnsi="ZWAdobeF" w:cs="ZWAdobeF"/>
          <w:color w:val="auto"/>
          <w:sz w:val="2"/>
          <w:szCs w:val="2"/>
        </w:rPr>
        <w:t>734F</w:t>
      </w:r>
      <w:r w:rsidR="00DD0F04">
        <w:rPr>
          <w:rStyle w:val="FootnoteReference"/>
        </w:rPr>
        <w:footnoteReference w:id="736"/>
      </w:r>
      <w:r w:rsidR="00DD0F04">
        <w:t xml:space="preserve"> The United Kingdom Competition Appeal Tribunal will usually order notice of a proposed settlement </w:t>
      </w:r>
      <w:r w:rsidR="00DD0F04">
        <w:lastRenderedPageBreak/>
        <w:t>so that class members have an opportunity to support or oppose the settlement, although it does have discretion as to whether to order notice.</w:t>
      </w:r>
      <w:r w:rsidR="00D629FA">
        <w:rPr>
          <w:rFonts w:ascii="ZWAdobeF" w:hAnsi="ZWAdobeF" w:cs="ZWAdobeF"/>
          <w:color w:val="auto"/>
          <w:sz w:val="2"/>
          <w:szCs w:val="2"/>
        </w:rPr>
        <w:t>735F</w:t>
      </w:r>
      <w:r w:rsidR="007A330E">
        <w:rPr>
          <w:rFonts w:ascii="ZWAdobeF" w:hAnsi="ZWAdobeF" w:cs="ZWAdobeF"/>
          <w:color w:val="auto"/>
          <w:sz w:val="2"/>
          <w:szCs w:val="2"/>
        </w:rPr>
        <w:t>735F</w:t>
      </w:r>
      <w:r w:rsidR="00317AE4">
        <w:rPr>
          <w:rFonts w:ascii="ZWAdobeF" w:hAnsi="ZWAdobeF" w:cs="ZWAdobeF"/>
          <w:color w:val="auto"/>
          <w:sz w:val="2"/>
          <w:szCs w:val="2"/>
        </w:rPr>
        <w:t>735F</w:t>
      </w:r>
      <w:r w:rsidR="00DD0F04">
        <w:rPr>
          <w:rStyle w:val="FootnoteReference"/>
        </w:rPr>
        <w:footnoteReference w:id="737"/>
      </w:r>
      <w:r w:rsidR="00DD0F04">
        <w:t xml:space="preserve"> </w:t>
      </w:r>
    </w:p>
    <w:p w14:paraId="33478A88" w14:textId="663AE511"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450B</w:t>
      </w:r>
      <w:r w:rsidR="0049638A">
        <w:rPr>
          <w:rFonts w:ascii="ZWAdobeF" w:hAnsi="ZWAdobeF" w:cs="ZWAdobeF"/>
          <w:color w:val="auto"/>
          <w:sz w:val="2"/>
          <w:szCs w:val="2"/>
        </w:rPr>
        <w:t>450B</w:t>
      </w:r>
      <w:r w:rsidR="00D629FA">
        <w:rPr>
          <w:rFonts w:ascii="ZWAdobeF" w:hAnsi="ZWAdobeF" w:cs="ZWAdobeF"/>
          <w:color w:val="auto"/>
          <w:sz w:val="2"/>
          <w:szCs w:val="2"/>
        </w:rPr>
        <w:t>450B</w:t>
      </w:r>
      <w:r w:rsidR="00DD0F04">
        <w:t>We consider that class members should be given notice of a proposed settlement.</w:t>
      </w:r>
      <w:r w:rsidR="00D629FA">
        <w:rPr>
          <w:rFonts w:ascii="ZWAdobeF" w:hAnsi="ZWAdobeF" w:cs="ZWAdobeF"/>
          <w:color w:val="auto"/>
          <w:sz w:val="2"/>
          <w:szCs w:val="2"/>
        </w:rPr>
        <w:t>736F</w:t>
      </w:r>
      <w:r w:rsidR="007A330E">
        <w:rPr>
          <w:rFonts w:ascii="ZWAdobeF" w:hAnsi="ZWAdobeF" w:cs="ZWAdobeF"/>
          <w:color w:val="auto"/>
          <w:sz w:val="2"/>
          <w:szCs w:val="2"/>
        </w:rPr>
        <w:t>736F</w:t>
      </w:r>
      <w:r w:rsidR="00317AE4">
        <w:rPr>
          <w:rFonts w:ascii="ZWAdobeF" w:hAnsi="ZWAdobeF" w:cs="ZWAdobeF"/>
          <w:color w:val="auto"/>
          <w:sz w:val="2"/>
          <w:szCs w:val="2"/>
        </w:rPr>
        <w:t>736F</w:t>
      </w:r>
      <w:r w:rsidR="00DD0F04">
        <w:rPr>
          <w:rStyle w:val="FootnoteReference"/>
        </w:rPr>
        <w:footnoteReference w:id="738"/>
      </w:r>
      <w:r w:rsidR="00DD0F04">
        <w:t xml:space="preserve"> Class members’ legal rights will be affected by the settlement and so they should have an opportunity to consider the proposed terms of the settlement and express any objection or support for the proposal. </w:t>
      </w:r>
    </w:p>
    <w:p w14:paraId="5A9A462B" w14:textId="7C72AD91"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451B</w:t>
      </w:r>
      <w:r w:rsidR="0049638A">
        <w:rPr>
          <w:rFonts w:ascii="ZWAdobeF" w:hAnsi="ZWAdobeF" w:cs="ZWAdobeF"/>
          <w:color w:val="auto"/>
          <w:sz w:val="2"/>
          <w:szCs w:val="2"/>
        </w:rPr>
        <w:t>451B</w:t>
      </w:r>
      <w:r w:rsidR="00D629FA">
        <w:rPr>
          <w:rFonts w:ascii="ZWAdobeF" w:hAnsi="ZWAdobeF" w:cs="ZWAdobeF"/>
          <w:color w:val="auto"/>
          <w:sz w:val="2"/>
          <w:szCs w:val="2"/>
        </w:rPr>
        <w:t>451B</w:t>
      </w:r>
      <w:r w:rsidR="00DD0F04">
        <w:t>Later in this chapter, we propose that class members should have the right to opt out of a settlement once it has been approved. Because of this, we think that class members should also be given a notice explaining that a class action settlement has been approved and their rights to opt out of the settlement.</w:t>
      </w:r>
      <w:r w:rsidR="00D629FA">
        <w:rPr>
          <w:rFonts w:ascii="ZWAdobeF" w:hAnsi="ZWAdobeF" w:cs="ZWAdobeF"/>
          <w:color w:val="auto"/>
          <w:sz w:val="2"/>
          <w:szCs w:val="2"/>
        </w:rPr>
        <w:t>737F</w:t>
      </w:r>
      <w:r w:rsidR="007A330E">
        <w:rPr>
          <w:rFonts w:ascii="ZWAdobeF" w:hAnsi="ZWAdobeF" w:cs="ZWAdobeF"/>
          <w:color w:val="auto"/>
          <w:sz w:val="2"/>
          <w:szCs w:val="2"/>
        </w:rPr>
        <w:t>737F</w:t>
      </w:r>
      <w:r w:rsidR="00317AE4">
        <w:rPr>
          <w:rFonts w:ascii="ZWAdobeF" w:hAnsi="ZWAdobeF" w:cs="ZWAdobeF"/>
          <w:color w:val="auto"/>
          <w:sz w:val="2"/>
          <w:szCs w:val="2"/>
        </w:rPr>
        <w:t>737F</w:t>
      </w:r>
      <w:r w:rsidR="00DD0F04">
        <w:rPr>
          <w:rStyle w:val="FootnoteReference"/>
        </w:rPr>
        <w:footnoteReference w:id="739"/>
      </w:r>
      <w:r w:rsidR="00DD0F04">
        <w:t xml:space="preserve"> The notice of approved settlement should also provide information on the process for submitting a claim to receive payment from a settlement (if this is required).</w:t>
      </w:r>
    </w:p>
    <w:p w14:paraId="7B350924" w14:textId="0A6FB084" w:rsidR="00E82C4F" w:rsidRDefault="00E82C4F" w:rsidP="00E82C4F">
      <w:pPr>
        <w:pStyle w:val="QuestionBox"/>
      </w:pPr>
      <w:r>
        <w:rPr>
          <w:noProof/>
        </w:rPr>
        <mc:AlternateContent>
          <mc:Choice Requires="wpg">
            <w:drawing>
              <wp:anchor distT="0" distB="0" distL="114300" distR="114300" simplePos="0" relativeHeight="251652178" behindDoc="1" locked="0" layoutInCell="1" allowOverlap="1" wp14:anchorId="79D35D6A" wp14:editId="4560B0AD">
                <wp:simplePos x="0" y="0"/>
                <wp:positionH relativeFrom="column">
                  <wp:posOffset>1754</wp:posOffset>
                </wp:positionH>
                <wp:positionV relativeFrom="paragraph">
                  <wp:posOffset>415</wp:posOffset>
                </wp:positionV>
                <wp:extent cx="5760085" cy="1412331"/>
                <wp:effectExtent l="0" t="0" r="0" b="0"/>
                <wp:wrapNone/>
                <wp:docPr id="764517989" name="Group 764517989"/>
                <wp:cNvGraphicFramePr/>
                <a:graphic xmlns:a="http://schemas.openxmlformats.org/drawingml/2006/main">
                  <a:graphicData uri="http://schemas.microsoft.com/office/word/2010/wordprocessingGroup">
                    <wpg:wgp>
                      <wpg:cNvGrpSpPr/>
                      <wpg:grpSpPr>
                        <a:xfrm>
                          <a:off x="0" y="0"/>
                          <a:ext cx="5760085" cy="1412331"/>
                          <a:chOff x="0" y="62865"/>
                          <a:chExt cx="5760085" cy="1412474"/>
                        </a:xfrm>
                      </wpg:grpSpPr>
                      <wps:wsp>
                        <wps:cNvPr id="76451799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75948F" w14:textId="77777777" w:rsidR="00A55F53" w:rsidRDefault="00A55F53" w:rsidP="00E82C4F">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91" name="Group 53"/>
                        <wpg:cNvGrpSpPr>
                          <a:grpSpLocks/>
                        </wpg:cNvGrpSpPr>
                        <wpg:grpSpPr bwMode="auto">
                          <a:xfrm>
                            <a:off x="0" y="316263"/>
                            <a:ext cx="5760085" cy="1159076"/>
                            <a:chOff x="1837" y="1792"/>
                            <a:chExt cx="9302" cy="12520"/>
                          </a:xfrm>
                        </wpg:grpSpPr>
                        <wps:wsp>
                          <wps:cNvPr id="764517992" name="Freeform 54"/>
                          <wps:cNvSpPr>
                            <a:spLocks/>
                          </wps:cNvSpPr>
                          <wps:spPr bwMode="auto">
                            <a:xfrm>
                              <a:off x="1837" y="1792"/>
                              <a:ext cx="9302" cy="1252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7993" name="Group 764517993"/>
                        <wpg:cNvGrpSpPr/>
                        <wpg:grpSpPr>
                          <a:xfrm>
                            <a:off x="0" y="494036"/>
                            <a:ext cx="1443794" cy="252000"/>
                            <a:chOff x="-15880" y="0"/>
                            <a:chExt cx="1444379" cy="252068"/>
                          </a:xfrm>
                        </wpg:grpSpPr>
                        <wps:wsp>
                          <wps:cNvPr id="764517994"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799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4A6D44" w14:textId="03961713" w:rsidR="00A55F53" w:rsidRPr="00E700FF" w:rsidRDefault="00A55F53" w:rsidP="00E82C4F">
                                <w:pPr>
                                  <w:pStyle w:val="BoxTitle"/>
                                  <w:spacing w:before="0" w:beforeAutospacing="0"/>
                                </w:pPr>
                                <w:r w:rsidRPr="001C1B37">
                                  <w:t>Q</w:t>
                                </w:r>
                                <w:r>
                                  <w:t>39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9D35D6A" id="Group 764517989" o:spid="_x0000_s1473" style="position:absolute;left:0;text-align:left;margin-left:.15pt;margin-top:.05pt;width:453.55pt;height:111.2pt;z-index:-251664302;mso-height-relative:margin" coordorigin=",628" coordsize="57600,1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">
                <v:shape id="_x0000_s147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275948F" w14:textId="77777777" w:rsidR="00A55F53" w:rsidRDefault="00A55F53" w:rsidP="00E82C4F">
                        <w:pPr>
                          <w:pStyle w:val="BoxTitle"/>
                          <w:spacing w:before="0" w:beforeAutospacing="0"/>
                        </w:pPr>
                        <w:r w:rsidRPr="007F6876">
                          <w:t>QUESTION</w:t>
                        </w:r>
                      </w:p>
                    </w:txbxContent>
                  </v:textbox>
                </v:shape>
                <v:group id="Group 53" o:spid="_x0000_s1475" style="position:absolute;top:3162;width:57600;height:11591" coordorigin="1837,1792" coordsize="9302,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">
                  <v:shape id="Freeform 54" o:spid="_x0000_s1476" style="position:absolute;left:1837;top:1792;width:9302;height:1252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" path="m,l9354,r,7809l,7809,,e" fillcolor="#edf2ea" stroked="f">
                    <v:path arrowok="t" o:connecttype="custom" o:connectlocs="0,1603;9302,1603;9302,14123;0,14123;0,1603" o:connectangles="0,0,0,0,0"/>
                  </v:shape>
                </v:group>
                <v:group id="Group 764517993" o:spid="_x0000_s147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">
                  <v:shape id="Freeform 58" o:spid="_x0000_s147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" path="m,l1815,e" filled="f" strokecolor="#72ab6a" strokeweight=".5pt">
                    <v:path arrowok="t" o:connecttype="custom" o:connectlocs="0,0;1073495,0" o:connectangles="0,0"/>
                  </v:shape>
                  <v:shape id="Freeform 66" o:spid="_x0000_s147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94A6D44" w14:textId="03961713" w:rsidR="00A55F53" w:rsidRPr="00E700FF" w:rsidRDefault="00A55F53" w:rsidP="00E82C4F">
                          <w:pPr>
                            <w:pStyle w:val="BoxTitle"/>
                            <w:spacing w:before="0" w:beforeAutospacing="0"/>
                          </w:pPr>
                          <w:r w:rsidRPr="001C1B37">
                            <w:t>Q</w:t>
                          </w:r>
                          <w:r>
                            <w:t>39</w:t>
                          </w:r>
                        </w:p>
                      </w:txbxContent>
                    </v:textbox>
                  </v:shape>
                </v:group>
              </v:group>
            </w:pict>
          </mc:Fallback>
        </mc:AlternateContent>
      </w:r>
    </w:p>
    <w:p w14:paraId="45753044" w14:textId="77777777" w:rsidR="00E82C4F" w:rsidRDefault="00E82C4F" w:rsidP="00E82C4F">
      <w:pPr>
        <w:pStyle w:val="QuestionBox"/>
      </w:pPr>
    </w:p>
    <w:p w14:paraId="6B82B363" w14:textId="7940A274" w:rsidR="00DD0F04" w:rsidRDefault="00BD5C95" w:rsidP="00E82C4F">
      <w:pPr>
        <w:pStyle w:val="QuestionBox"/>
      </w:pPr>
      <w:r>
        <w:rPr>
          <w:rFonts w:ascii="ZWAdobeF" w:hAnsi="ZWAdobeF" w:cs="ZWAdobeF"/>
          <w:color w:val="auto"/>
          <w:sz w:val="2"/>
          <w:szCs w:val="2"/>
        </w:rPr>
        <w:t>1445B</w:t>
      </w:r>
      <w:r w:rsidR="0049638A">
        <w:rPr>
          <w:rFonts w:ascii="ZWAdobeF" w:hAnsi="ZWAdobeF" w:cs="ZWAdobeF"/>
          <w:color w:val="auto"/>
          <w:sz w:val="2"/>
          <w:szCs w:val="2"/>
        </w:rPr>
        <w:t>1445B</w:t>
      </w:r>
      <w:r w:rsidR="00D629FA">
        <w:rPr>
          <w:rFonts w:ascii="ZWAdobeF" w:hAnsi="ZWAdobeF" w:cs="ZWAdobeF"/>
          <w:color w:val="auto"/>
          <w:sz w:val="2"/>
          <w:szCs w:val="2"/>
        </w:rPr>
        <w:t>1445B</w:t>
      </w:r>
      <w:r w:rsidR="00DD0F04">
        <w:t>Should there be a requirement to give notice to class members of:</w:t>
      </w:r>
    </w:p>
    <w:p w14:paraId="1028E005" w14:textId="3741FAD6" w:rsidR="00DD0F04" w:rsidRDefault="00BD5C95" w:rsidP="00B73434">
      <w:pPr>
        <w:pStyle w:val="Questionabc"/>
        <w:numPr>
          <w:ilvl w:val="0"/>
          <w:numId w:val="86"/>
        </w:numPr>
        <w:ind w:left="1418" w:hanging="425"/>
      </w:pPr>
      <w:r>
        <w:rPr>
          <w:rFonts w:ascii="ZWAdobeF" w:hAnsi="ZWAdobeF" w:cs="ZWAdobeF"/>
          <w:color w:val="auto"/>
          <w:sz w:val="2"/>
          <w:szCs w:val="2"/>
        </w:rPr>
        <w:t>1319B</w:t>
      </w:r>
      <w:r w:rsidR="0049638A">
        <w:rPr>
          <w:rFonts w:ascii="ZWAdobeF" w:hAnsi="ZWAdobeF" w:cs="ZWAdobeF"/>
          <w:color w:val="auto"/>
          <w:sz w:val="2"/>
          <w:szCs w:val="2"/>
        </w:rPr>
        <w:t>1319B</w:t>
      </w:r>
      <w:r w:rsidR="00D629FA">
        <w:rPr>
          <w:rFonts w:ascii="ZWAdobeF" w:hAnsi="ZWAdobeF" w:cs="ZWAdobeF"/>
          <w:color w:val="auto"/>
          <w:sz w:val="2"/>
          <w:szCs w:val="2"/>
        </w:rPr>
        <w:t>1319B</w:t>
      </w:r>
      <w:r w:rsidR="00DD0F04">
        <w:t xml:space="preserve">A proposed class action settlement? </w:t>
      </w:r>
    </w:p>
    <w:p w14:paraId="0B26C775" w14:textId="49009ADD" w:rsidR="00DD0F04" w:rsidRDefault="00BD5C95" w:rsidP="00B73434">
      <w:pPr>
        <w:pStyle w:val="Questionabc"/>
        <w:numPr>
          <w:ilvl w:val="0"/>
          <w:numId w:val="86"/>
        </w:numPr>
        <w:ind w:left="1418" w:hanging="425"/>
      </w:pPr>
      <w:r>
        <w:rPr>
          <w:rFonts w:ascii="ZWAdobeF" w:hAnsi="ZWAdobeF" w:cs="ZWAdobeF"/>
          <w:color w:val="auto"/>
          <w:sz w:val="2"/>
          <w:szCs w:val="2"/>
        </w:rPr>
        <w:t>1320B</w:t>
      </w:r>
      <w:r w:rsidR="0049638A">
        <w:rPr>
          <w:rFonts w:ascii="ZWAdobeF" w:hAnsi="ZWAdobeF" w:cs="ZWAdobeF"/>
          <w:color w:val="auto"/>
          <w:sz w:val="2"/>
          <w:szCs w:val="2"/>
        </w:rPr>
        <w:t>1320B</w:t>
      </w:r>
      <w:r w:rsidR="00D629FA">
        <w:rPr>
          <w:rFonts w:ascii="ZWAdobeF" w:hAnsi="ZWAdobeF" w:cs="ZWAdobeF"/>
          <w:color w:val="auto"/>
          <w:sz w:val="2"/>
          <w:szCs w:val="2"/>
        </w:rPr>
        <w:t>1320B</w:t>
      </w:r>
      <w:r w:rsidR="00DD0F04">
        <w:t xml:space="preserve">An approved class action settlement?   </w:t>
      </w:r>
    </w:p>
    <w:p w14:paraId="3DDEBC1B" w14:textId="77777777" w:rsidR="00E82C4F" w:rsidRDefault="00E82C4F" w:rsidP="00E82C4F">
      <w:pPr>
        <w:pStyle w:val="QuestionBox"/>
      </w:pPr>
    </w:p>
    <w:p w14:paraId="69BE8A59" w14:textId="77777777" w:rsidR="00DD0F04" w:rsidRDefault="00DD0F04" w:rsidP="00AA5436">
      <w:pPr>
        <w:pStyle w:val="Heading4"/>
      </w:pPr>
      <w:r>
        <w:t xml:space="preserve">Contents of settlement notices </w:t>
      </w:r>
    </w:p>
    <w:p w14:paraId="4DCE7709" w14:textId="536E7B95"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452B</w:t>
      </w:r>
      <w:r w:rsidR="0049638A">
        <w:rPr>
          <w:rFonts w:ascii="ZWAdobeF" w:hAnsi="ZWAdobeF" w:cs="ZWAdobeF"/>
          <w:color w:val="auto"/>
          <w:sz w:val="2"/>
          <w:szCs w:val="2"/>
        </w:rPr>
        <w:t>452B</w:t>
      </w:r>
      <w:r w:rsidR="00D629FA">
        <w:rPr>
          <w:rFonts w:ascii="ZWAdobeF" w:hAnsi="ZWAdobeF" w:cs="ZWAdobeF"/>
          <w:color w:val="auto"/>
          <w:sz w:val="2"/>
          <w:szCs w:val="2"/>
        </w:rPr>
        <w:t>452B</w:t>
      </w:r>
      <w:r w:rsidR="00DD0F04">
        <w:t>Some jurisdictions provide guidance on the matters that should be included in a settlement notice to class members. In Ontario, the court must consider whether the notice of a settlement hearing should include a statement of the purpose of the hearing and the process for objecting to the approval of the settlement.</w:t>
      </w:r>
      <w:r w:rsidR="00D629FA">
        <w:rPr>
          <w:rFonts w:ascii="ZWAdobeF" w:hAnsi="ZWAdobeF" w:cs="ZWAdobeF"/>
          <w:color w:val="auto"/>
          <w:sz w:val="2"/>
          <w:szCs w:val="2"/>
        </w:rPr>
        <w:t>738F</w:t>
      </w:r>
      <w:r w:rsidR="007A330E">
        <w:rPr>
          <w:rFonts w:ascii="ZWAdobeF" w:hAnsi="ZWAdobeF" w:cs="ZWAdobeF"/>
          <w:color w:val="auto"/>
          <w:sz w:val="2"/>
          <w:szCs w:val="2"/>
        </w:rPr>
        <w:t>738F</w:t>
      </w:r>
      <w:r w:rsidR="00317AE4">
        <w:rPr>
          <w:rFonts w:ascii="ZWAdobeF" w:hAnsi="ZWAdobeF" w:cs="ZWAdobeF"/>
          <w:color w:val="auto"/>
          <w:sz w:val="2"/>
          <w:szCs w:val="2"/>
        </w:rPr>
        <w:t>738F</w:t>
      </w:r>
      <w:r w:rsidR="00DD0F04">
        <w:rPr>
          <w:rStyle w:val="FootnoteReference"/>
        </w:rPr>
        <w:footnoteReference w:id="740"/>
      </w:r>
      <w:r w:rsidR="00DD0F04">
        <w:t xml:space="preserve"> If the court orders notice of an approved settlement, it will consider whether the notice should include an account of the conduct of the proceeding, a statement of the result of the proceeding and a description of any plan for distributing settlement funds.</w:t>
      </w:r>
      <w:r w:rsidR="00D629FA">
        <w:rPr>
          <w:rFonts w:ascii="ZWAdobeF" w:hAnsi="ZWAdobeF" w:cs="ZWAdobeF"/>
          <w:color w:val="auto"/>
          <w:sz w:val="2"/>
          <w:szCs w:val="2"/>
        </w:rPr>
        <w:t>739F</w:t>
      </w:r>
      <w:r w:rsidR="007A330E">
        <w:rPr>
          <w:rFonts w:ascii="ZWAdobeF" w:hAnsi="ZWAdobeF" w:cs="ZWAdobeF"/>
          <w:color w:val="auto"/>
          <w:sz w:val="2"/>
          <w:szCs w:val="2"/>
        </w:rPr>
        <w:t>739F</w:t>
      </w:r>
      <w:r w:rsidR="00317AE4">
        <w:rPr>
          <w:rFonts w:ascii="ZWAdobeF" w:hAnsi="ZWAdobeF" w:cs="ZWAdobeF"/>
          <w:color w:val="auto"/>
          <w:sz w:val="2"/>
          <w:szCs w:val="2"/>
        </w:rPr>
        <w:t>739F</w:t>
      </w:r>
      <w:r w:rsidR="00DD0F04">
        <w:rPr>
          <w:rStyle w:val="FootnoteReference"/>
        </w:rPr>
        <w:footnoteReference w:id="741"/>
      </w:r>
      <w:r w:rsidR="00DD0F04">
        <w:t xml:space="preserve"> Guidance on the content of settlement notices is also provided in a Judicial Protocol on multi-jurisdictional class actions.</w:t>
      </w:r>
      <w:r w:rsidR="00D629FA">
        <w:rPr>
          <w:rFonts w:ascii="ZWAdobeF" w:hAnsi="ZWAdobeF" w:cs="ZWAdobeF"/>
          <w:color w:val="auto"/>
          <w:sz w:val="2"/>
          <w:szCs w:val="2"/>
        </w:rPr>
        <w:t>740F</w:t>
      </w:r>
      <w:r w:rsidR="007A330E">
        <w:rPr>
          <w:rFonts w:ascii="ZWAdobeF" w:hAnsi="ZWAdobeF" w:cs="ZWAdobeF"/>
          <w:color w:val="auto"/>
          <w:sz w:val="2"/>
          <w:szCs w:val="2"/>
        </w:rPr>
        <w:t>740F</w:t>
      </w:r>
      <w:r w:rsidR="00317AE4">
        <w:rPr>
          <w:rFonts w:ascii="ZWAdobeF" w:hAnsi="ZWAdobeF" w:cs="ZWAdobeF"/>
          <w:color w:val="auto"/>
          <w:sz w:val="2"/>
          <w:szCs w:val="2"/>
        </w:rPr>
        <w:t>740F</w:t>
      </w:r>
      <w:r w:rsidR="00DD0F04">
        <w:rPr>
          <w:rStyle w:val="FootnoteReference"/>
        </w:rPr>
        <w:footnoteReference w:id="742"/>
      </w:r>
    </w:p>
    <w:p w14:paraId="04B97408" w14:textId="5087D8EC"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453B</w:t>
      </w:r>
      <w:r w:rsidR="0049638A">
        <w:rPr>
          <w:rFonts w:ascii="ZWAdobeF" w:hAnsi="ZWAdobeF" w:cs="ZWAdobeF"/>
          <w:color w:val="auto"/>
          <w:sz w:val="2"/>
          <w:szCs w:val="2"/>
        </w:rPr>
        <w:t>453B</w:t>
      </w:r>
      <w:r w:rsidR="00D629FA">
        <w:rPr>
          <w:rFonts w:ascii="ZWAdobeF" w:hAnsi="ZWAdobeF" w:cs="ZWAdobeF"/>
          <w:color w:val="auto"/>
          <w:sz w:val="2"/>
          <w:szCs w:val="2"/>
        </w:rPr>
        <w:t>453B</w:t>
      </w:r>
      <w:r w:rsidR="00DD0F04">
        <w:t xml:space="preserve">The Federal Court of Australia and Supreme Court of Victoria class actions practice notes contain detailed lists of matters that should be included in a notice of a proposed </w:t>
      </w:r>
      <w:r w:rsidR="00DD0F04">
        <w:lastRenderedPageBreak/>
        <w:t>settlement.</w:t>
      </w:r>
      <w:r w:rsidR="00D629FA">
        <w:rPr>
          <w:rFonts w:ascii="ZWAdobeF" w:hAnsi="ZWAdobeF" w:cs="ZWAdobeF"/>
          <w:color w:val="auto"/>
          <w:sz w:val="2"/>
          <w:szCs w:val="2"/>
        </w:rPr>
        <w:t>741F</w:t>
      </w:r>
      <w:r w:rsidR="007A330E">
        <w:rPr>
          <w:rFonts w:ascii="ZWAdobeF" w:hAnsi="ZWAdobeF" w:cs="ZWAdobeF"/>
          <w:color w:val="auto"/>
          <w:sz w:val="2"/>
          <w:szCs w:val="2"/>
        </w:rPr>
        <w:t>741F</w:t>
      </w:r>
      <w:r w:rsidR="00317AE4">
        <w:rPr>
          <w:rFonts w:ascii="ZWAdobeF" w:hAnsi="ZWAdobeF" w:cs="ZWAdobeF"/>
          <w:color w:val="auto"/>
          <w:sz w:val="2"/>
          <w:szCs w:val="2"/>
        </w:rPr>
        <w:t>741F</w:t>
      </w:r>
      <w:r w:rsidR="00DD0F04">
        <w:rPr>
          <w:rStyle w:val="FootnoteReference"/>
        </w:rPr>
        <w:footnoteReference w:id="743"/>
      </w:r>
      <w:r w:rsidR="00DD0F04">
        <w:t xml:space="preserve"> These include: a summary of the terms of the proposed settlement, who will benefit from the settlement, how to obtain a copy of the settlement agreement, an explanation of the approval process, how to communicate any objection or support of the settlement, the steps required to participate in the settlement (if required) and how to opt out of the settlement (if possible). </w:t>
      </w:r>
    </w:p>
    <w:p w14:paraId="59A50FA0" w14:textId="0699AEC1"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454B</w:t>
      </w:r>
      <w:r w:rsidR="0049638A">
        <w:rPr>
          <w:rFonts w:ascii="ZWAdobeF" w:hAnsi="ZWAdobeF" w:cs="ZWAdobeF"/>
          <w:color w:val="auto"/>
          <w:sz w:val="2"/>
          <w:szCs w:val="2"/>
        </w:rPr>
        <w:t>454B</w:t>
      </w:r>
      <w:r w:rsidR="00D629FA">
        <w:rPr>
          <w:rFonts w:ascii="ZWAdobeF" w:hAnsi="ZWAdobeF" w:cs="ZWAdobeF"/>
          <w:color w:val="auto"/>
          <w:sz w:val="2"/>
          <w:szCs w:val="2"/>
        </w:rPr>
        <w:t>454B</w:t>
      </w:r>
      <w:r w:rsidR="00DD0F04">
        <w:t>The United States and the United Kingdom Competition Appeal Tribunal do not provide guidance on the contents of proposed settlement notices in their class action rules.</w:t>
      </w:r>
      <w:r w:rsidR="00D629FA">
        <w:rPr>
          <w:rFonts w:ascii="ZWAdobeF" w:hAnsi="ZWAdobeF" w:cs="ZWAdobeF"/>
          <w:color w:val="auto"/>
          <w:sz w:val="2"/>
          <w:szCs w:val="2"/>
        </w:rPr>
        <w:t>742F</w:t>
      </w:r>
      <w:r w:rsidR="007A330E">
        <w:rPr>
          <w:rFonts w:ascii="ZWAdobeF" w:hAnsi="ZWAdobeF" w:cs="ZWAdobeF"/>
          <w:color w:val="auto"/>
          <w:sz w:val="2"/>
          <w:szCs w:val="2"/>
        </w:rPr>
        <w:t>742F</w:t>
      </w:r>
      <w:r w:rsidR="00317AE4">
        <w:rPr>
          <w:rFonts w:ascii="ZWAdobeF" w:hAnsi="ZWAdobeF" w:cs="ZWAdobeF"/>
          <w:color w:val="auto"/>
          <w:sz w:val="2"/>
          <w:szCs w:val="2"/>
        </w:rPr>
        <w:t>742F</w:t>
      </w:r>
      <w:r w:rsidR="00DD0F04">
        <w:rPr>
          <w:rStyle w:val="FootnoteReference"/>
        </w:rPr>
        <w:footnoteReference w:id="744"/>
      </w:r>
      <w:r w:rsidR="00DD0F04">
        <w:t xml:space="preserve"> </w:t>
      </w:r>
    </w:p>
    <w:p w14:paraId="2C555A39" w14:textId="486082BD"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455B</w:t>
      </w:r>
      <w:r w:rsidR="0049638A">
        <w:rPr>
          <w:rFonts w:ascii="ZWAdobeF" w:hAnsi="ZWAdobeF" w:cs="ZWAdobeF"/>
          <w:color w:val="auto"/>
          <w:sz w:val="2"/>
          <w:szCs w:val="2"/>
        </w:rPr>
        <w:t>455B</w:t>
      </w:r>
      <w:r w:rsidR="00D629FA">
        <w:rPr>
          <w:rFonts w:ascii="ZWAdobeF" w:hAnsi="ZWAdobeF" w:cs="ZWAdobeF"/>
          <w:color w:val="auto"/>
          <w:sz w:val="2"/>
          <w:szCs w:val="2"/>
        </w:rPr>
        <w:t>455B</w:t>
      </w:r>
      <w:r w:rsidR="00DD0F04">
        <w:t>We think it would be beneficial to provide some guidance on what should be included in a notice of proposed settlement. At minimum, we think this notice should include:</w:t>
      </w:r>
    </w:p>
    <w:p w14:paraId="6173022A" w14:textId="69F3C885" w:rsidR="00DD0F04" w:rsidRDefault="00BD5C95" w:rsidP="00932DB9">
      <w:pPr>
        <w:pStyle w:val="BodyTextnonum"/>
        <w:numPr>
          <w:ilvl w:val="3"/>
          <w:numId w:val="14"/>
        </w:numPr>
      </w:pPr>
      <w:r>
        <w:rPr>
          <w:rFonts w:ascii="ZWAdobeF" w:hAnsi="ZWAdobeF" w:cs="ZWAdobeF"/>
          <w:color w:val="auto"/>
          <w:sz w:val="2"/>
          <w:szCs w:val="2"/>
        </w:rPr>
        <w:t>778B</w:t>
      </w:r>
      <w:r w:rsidR="0049638A">
        <w:rPr>
          <w:rFonts w:ascii="ZWAdobeF" w:hAnsi="ZWAdobeF" w:cs="ZWAdobeF"/>
          <w:color w:val="auto"/>
          <w:sz w:val="2"/>
          <w:szCs w:val="2"/>
        </w:rPr>
        <w:t>778B</w:t>
      </w:r>
      <w:r w:rsidR="00D629FA">
        <w:rPr>
          <w:rFonts w:ascii="ZWAdobeF" w:hAnsi="ZWAdobeF" w:cs="ZWAdobeF"/>
          <w:color w:val="auto"/>
          <w:sz w:val="2"/>
          <w:szCs w:val="2"/>
        </w:rPr>
        <w:t>778B</w:t>
      </w:r>
      <w:r w:rsidR="00DD0F04">
        <w:t xml:space="preserve">A statement that class members have legal rights that may be affected by the proposed settlement. </w:t>
      </w:r>
    </w:p>
    <w:p w14:paraId="1426EDB6" w14:textId="19799FCA" w:rsidR="00DD0F04" w:rsidRDefault="00BD5C95" w:rsidP="00932DB9">
      <w:pPr>
        <w:pStyle w:val="BodyTextnonum"/>
        <w:numPr>
          <w:ilvl w:val="3"/>
          <w:numId w:val="14"/>
        </w:numPr>
      </w:pPr>
      <w:r>
        <w:rPr>
          <w:rFonts w:ascii="ZWAdobeF" w:hAnsi="ZWAdobeF" w:cs="ZWAdobeF"/>
          <w:color w:val="auto"/>
          <w:sz w:val="2"/>
          <w:szCs w:val="2"/>
        </w:rPr>
        <w:t>779B</w:t>
      </w:r>
      <w:r w:rsidR="0049638A">
        <w:rPr>
          <w:rFonts w:ascii="ZWAdobeF" w:hAnsi="ZWAdobeF" w:cs="ZWAdobeF"/>
          <w:color w:val="auto"/>
          <w:sz w:val="2"/>
          <w:szCs w:val="2"/>
        </w:rPr>
        <w:t>779B</w:t>
      </w:r>
      <w:r w:rsidR="00D629FA">
        <w:rPr>
          <w:rFonts w:ascii="ZWAdobeF" w:hAnsi="ZWAdobeF" w:cs="ZWAdobeF"/>
          <w:color w:val="auto"/>
          <w:sz w:val="2"/>
          <w:szCs w:val="2"/>
        </w:rPr>
        <w:t>779B</w:t>
      </w:r>
      <w:r w:rsidR="00DD0F04">
        <w:t xml:space="preserve">A brief description of the </w:t>
      </w:r>
      <w:r w:rsidR="00DE09BB">
        <w:t>class action</w:t>
      </w:r>
      <w:r w:rsidR="00DD0F04">
        <w:t>, including the legal basis for the claims, the remedies sought and the current stage of the litigation.</w:t>
      </w:r>
    </w:p>
    <w:p w14:paraId="347A1A89" w14:textId="0438FE1F" w:rsidR="00DD0F04" w:rsidRDefault="00BD5C95" w:rsidP="00932DB9">
      <w:pPr>
        <w:pStyle w:val="BodyTextnonum"/>
        <w:numPr>
          <w:ilvl w:val="3"/>
          <w:numId w:val="14"/>
        </w:numPr>
      </w:pPr>
      <w:r>
        <w:rPr>
          <w:rFonts w:ascii="ZWAdobeF" w:hAnsi="ZWAdobeF" w:cs="ZWAdobeF"/>
          <w:color w:val="auto"/>
          <w:sz w:val="2"/>
          <w:szCs w:val="2"/>
        </w:rPr>
        <w:t>780B</w:t>
      </w:r>
      <w:r w:rsidR="0049638A">
        <w:rPr>
          <w:rFonts w:ascii="ZWAdobeF" w:hAnsi="ZWAdobeF" w:cs="ZWAdobeF"/>
          <w:color w:val="auto"/>
          <w:sz w:val="2"/>
          <w:szCs w:val="2"/>
        </w:rPr>
        <w:t>780B</w:t>
      </w:r>
      <w:r w:rsidR="00D629FA">
        <w:rPr>
          <w:rFonts w:ascii="ZWAdobeF" w:hAnsi="ZWAdobeF" w:cs="ZWAdobeF"/>
          <w:color w:val="auto"/>
          <w:sz w:val="2"/>
          <w:szCs w:val="2"/>
        </w:rPr>
        <w:t>780B</w:t>
      </w:r>
      <w:r w:rsidR="00952035">
        <w:t xml:space="preserve">The class </w:t>
      </w:r>
      <w:r w:rsidR="00DD0F04">
        <w:t xml:space="preserve">description. </w:t>
      </w:r>
    </w:p>
    <w:p w14:paraId="4B58D52F" w14:textId="0F1DC5C6" w:rsidR="00DD0F04" w:rsidRDefault="00BD5C95" w:rsidP="00932DB9">
      <w:pPr>
        <w:pStyle w:val="BodyTextnonum"/>
        <w:numPr>
          <w:ilvl w:val="3"/>
          <w:numId w:val="14"/>
        </w:numPr>
      </w:pPr>
      <w:r>
        <w:rPr>
          <w:rFonts w:ascii="ZWAdobeF" w:hAnsi="ZWAdobeF" w:cs="ZWAdobeF"/>
          <w:color w:val="auto"/>
          <w:sz w:val="2"/>
          <w:szCs w:val="2"/>
        </w:rPr>
        <w:t>781B</w:t>
      </w:r>
      <w:r w:rsidR="0049638A">
        <w:rPr>
          <w:rFonts w:ascii="ZWAdobeF" w:hAnsi="ZWAdobeF" w:cs="ZWAdobeF"/>
          <w:color w:val="auto"/>
          <w:sz w:val="2"/>
          <w:szCs w:val="2"/>
        </w:rPr>
        <w:t>781B</w:t>
      </w:r>
      <w:r w:rsidR="00D629FA">
        <w:rPr>
          <w:rFonts w:ascii="ZWAdobeF" w:hAnsi="ZWAdobeF" w:cs="ZWAdobeF"/>
          <w:color w:val="auto"/>
          <w:sz w:val="2"/>
          <w:szCs w:val="2"/>
        </w:rPr>
        <w:t>781B</w:t>
      </w:r>
      <w:r w:rsidR="00DD0F04">
        <w:t xml:space="preserve">A summary of the terms of the proposed settlement, including information that will allow class members to estimate their individual entitlement. </w:t>
      </w:r>
    </w:p>
    <w:p w14:paraId="29F736A1" w14:textId="51E3115C" w:rsidR="00DD0F04" w:rsidRDefault="00BD5C95" w:rsidP="00932DB9">
      <w:pPr>
        <w:pStyle w:val="BodyTextnonum"/>
        <w:numPr>
          <w:ilvl w:val="3"/>
          <w:numId w:val="14"/>
        </w:numPr>
      </w:pPr>
      <w:r>
        <w:rPr>
          <w:rFonts w:ascii="ZWAdobeF" w:hAnsi="ZWAdobeF" w:cs="ZWAdobeF"/>
          <w:color w:val="auto"/>
          <w:sz w:val="2"/>
          <w:szCs w:val="2"/>
        </w:rPr>
        <w:t>782B</w:t>
      </w:r>
      <w:r w:rsidR="0049638A">
        <w:rPr>
          <w:rFonts w:ascii="ZWAdobeF" w:hAnsi="ZWAdobeF" w:cs="ZWAdobeF"/>
          <w:color w:val="auto"/>
          <w:sz w:val="2"/>
          <w:szCs w:val="2"/>
        </w:rPr>
        <w:t>782B</w:t>
      </w:r>
      <w:r w:rsidR="00D629FA">
        <w:rPr>
          <w:rFonts w:ascii="ZWAdobeF" w:hAnsi="ZWAdobeF" w:cs="ZWAdobeF"/>
          <w:color w:val="auto"/>
          <w:sz w:val="2"/>
          <w:szCs w:val="2"/>
        </w:rPr>
        <w:t>782B</w:t>
      </w:r>
      <w:r w:rsidR="00DD0F04">
        <w:t xml:space="preserve">Information as to any legal fees or litigation funding commission that will be deducted from payments to class members if the settlement is approved. </w:t>
      </w:r>
    </w:p>
    <w:p w14:paraId="0BF78E11" w14:textId="11C1C659" w:rsidR="00DD0F04" w:rsidRDefault="00BD5C95" w:rsidP="00932DB9">
      <w:pPr>
        <w:pStyle w:val="BodyTextnonum"/>
        <w:numPr>
          <w:ilvl w:val="3"/>
          <w:numId w:val="14"/>
        </w:numPr>
      </w:pPr>
      <w:r>
        <w:rPr>
          <w:rFonts w:ascii="ZWAdobeF" w:hAnsi="ZWAdobeF" w:cs="ZWAdobeF"/>
          <w:color w:val="auto"/>
          <w:sz w:val="2"/>
          <w:szCs w:val="2"/>
        </w:rPr>
        <w:t>783B</w:t>
      </w:r>
      <w:r w:rsidR="0049638A">
        <w:rPr>
          <w:rFonts w:ascii="ZWAdobeF" w:hAnsi="ZWAdobeF" w:cs="ZWAdobeF"/>
          <w:color w:val="auto"/>
          <w:sz w:val="2"/>
          <w:szCs w:val="2"/>
        </w:rPr>
        <w:t>783B</w:t>
      </w:r>
      <w:r w:rsidR="00D629FA">
        <w:rPr>
          <w:rFonts w:ascii="ZWAdobeF" w:hAnsi="ZWAdobeF" w:cs="ZWAdobeF"/>
          <w:color w:val="auto"/>
          <w:sz w:val="2"/>
          <w:szCs w:val="2"/>
        </w:rPr>
        <w:t>783B</w:t>
      </w:r>
      <w:r w:rsidR="00DD0F04">
        <w:t xml:space="preserve">An explanation of the settlement approval process, including the time and location of any hearing to consider the settlement. </w:t>
      </w:r>
    </w:p>
    <w:p w14:paraId="3311D1E8" w14:textId="50D1CD7F" w:rsidR="00DD0F04" w:rsidRDefault="00BD5C95" w:rsidP="00932DB9">
      <w:pPr>
        <w:pStyle w:val="BodyTextnonum"/>
        <w:numPr>
          <w:ilvl w:val="3"/>
          <w:numId w:val="14"/>
        </w:numPr>
      </w:pPr>
      <w:r>
        <w:rPr>
          <w:rFonts w:ascii="ZWAdobeF" w:hAnsi="ZWAdobeF" w:cs="ZWAdobeF"/>
          <w:color w:val="auto"/>
          <w:sz w:val="2"/>
          <w:szCs w:val="2"/>
        </w:rPr>
        <w:t>784B</w:t>
      </w:r>
      <w:r w:rsidR="0049638A">
        <w:rPr>
          <w:rFonts w:ascii="ZWAdobeF" w:hAnsi="ZWAdobeF" w:cs="ZWAdobeF"/>
          <w:color w:val="auto"/>
          <w:sz w:val="2"/>
          <w:szCs w:val="2"/>
        </w:rPr>
        <w:t>784B</w:t>
      </w:r>
      <w:r w:rsidR="00D629FA">
        <w:rPr>
          <w:rFonts w:ascii="ZWAdobeF" w:hAnsi="ZWAdobeF" w:cs="ZWAdobeF"/>
          <w:color w:val="auto"/>
          <w:sz w:val="2"/>
          <w:szCs w:val="2"/>
        </w:rPr>
        <w:t>784B</w:t>
      </w:r>
      <w:r w:rsidR="00DD0F04">
        <w:t>How a class member may express their opposition to, or support for, the settlement.</w:t>
      </w:r>
      <w:r w:rsidR="00D629FA">
        <w:rPr>
          <w:rFonts w:ascii="ZWAdobeF" w:hAnsi="ZWAdobeF" w:cs="ZWAdobeF"/>
          <w:color w:val="auto"/>
          <w:sz w:val="2"/>
          <w:szCs w:val="2"/>
        </w:rPr>
        <w:t>743F</w:t>
      </w:r>
      <w:r w:rsidR="007A330E">
        <w:rPr>
          <w:rFonts w:ascii="ZWAdobeF" w:hAnsi="ZWAdobeF" w:cs="ZWAdobeF"/>
          <w:color w:val="auto"/>
          <w:sz w:val="2"/>
          <w:szCs w:val="2"/>
        </w:rPr>
        <w:t>743F</w:t>
      </w:r>
      <w:r w:rsidR="00317AE4">
        <w:rPr>
          <w:rFonts w:ascii="ZWAdobeF" w:hAnsi="ZWAdobeF" w:cs="ZWAdobeF"/>
          <w:color w:val="auto"/>
          <w:sz w:val="2"/>
          <w:szCs w:val="2"/>
        </w:rPr>
        <w:t>743F</w:t>
      </w:r>
      <w:r w:rsidR="00DD0F04">
        <w:rPr>
          <w:rStyle w:val="FootnoteReference"/>
        </w:rPr>
        <w:footnoteReference w:id="745"/>
      </w:r>
    </w:p>
    <w:p w14:paraId="4DAE7FCE" w14:textId="632CDECD" w:rsidR="00DD0F04" w:rsidRDefault="00BD5C95" w:rsidP="00932DB9">
      <w:pPr>
        <w:pStyle w:val="BodyTextnonum"/>
        <w:numPr>
          <w:ilvl w:val="3"/>
          <w:numId w:val="14"/>
        </w:numPr>
      </w:pPr>
      <w:r>
        <w:rPr>
          <w:rFonts w:ascii="ZWAdobeF" w:hAnsi="ZWAdobeF" w:cs="ZWAdobeF"/>
          <w:color w:val="auto"/>
          <w:sz w:val="2"/>
          <w:szCs w:val="2"/>
        </w:rPr>
        <w:t>785B</w:t>
      </w:r>
      <w:r w:rsidR="0049638A">
        <w:rPr>
          <w:rFonts w:ascii="ZWAdobeF" w:hAnsi="ZWAdobeF" w:cs="ZWAdobeF"/>
          <w:color w:val="auto"/>
          <w:sz w:val="2"/>
          <w:szCs w:val="2"/>
        </w:rPr>
        <w:t>785B</w:t>
      </w:r>
      <w:r w:rsidR="00D629FA">
        <w:rPr>
          <w:rFonts w:ascii="ZWAdobeF" w:hAnsi="ZWAdobeF" w:cs="ZWAdobeF"/>
          <w:color w:val="auto"/>
          <w:sz w:val="2"/>
          <w:szCs w:val="2"/>
        </w:rPr>
        <w:t>785B</w:t>
      </w:r>
      <w:r w:rsidR="00DD0F04">
        <w:t xml:space="preserve">That if the settlement is approved, the court will set a date by which class members can opt out of the settlement. </w:t>
      </w:r>
    </w:p>
    <w:p w14:paraId="3A69E976" w14:textId="2B7C85FC" w:rsidR="00DD0F04" w:rsidRDefault="00BD5C95" w:rsidP="00932DB9">
      <w:pPr>
        <w:pStyle w:val="BodyTextnonum"/>
        <w:numPr>
          <w:ilvl w:val="3"/>
          <w:numId w:val="14"/>
        </w:numPr>
      </w:pPr>
      <w:r>
        <w:rPr>
          <w:rFonts w:ascii="ZWAdobeF" w:hAnsi="ZWAdobeF" w:cs="ZWAdobeF"/>
          <w:color w:val="auto"/>
          <w:sz w:val="2"/>
          <w:szCs w:val="2"/>
        </w:rPr>
        <w:t>786B</w:t>
      </w:r>
      <w:r w:rsidR="0049638A">
        <w:rPr>
          <w:rFonts w:ascii="ZWAdobeF" w:hAnsi="ZWAdobeF" w:cs="ZWAdobeF"/>
          <w:color w:val="auto"/>
          <w:sz w:val="2"/>
          <w:szCs w:val="2"/>
        </w:rPr>
        <w:t>786B</w:t>
      </w:r>
      <w:r w:rsidR="00D629FA">
        <w:rPr>
          <w:rFonts w:ascii="ZWAdobeF" w:hAnsi="ZWAdobeF" w:cs="ZWAdobeF"/>
          <w:color w:val="auto"/>
          <w:sz w:val="2"/>
          <w:szCs w:val="2"/>
        </w:rPr>
        <w:t>786B</w:t>
      </w:r>
      <w:r w:rsidR="00DD0F04">
        <w:t>How a class member may obtain further information about the settlement, including contact details for the representative plaintiff’s lawyer</w:t>
      </w:r>
      <w:r w:rsidR="00952035">
        <w:t xml:space="preserve"> or any counsel to assist that has been appointed</w:t>
      </w:r>
      <w:r w:rsidR="00DD0F04">
        <w:t>.</w:t>
      </w:r>
    </w:p>
    <w:p w14:paraId="0C2E35BA" w14:textId="54C883FE"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456B</w:t>
      </w:r>
      <w:r w:rsidR="0049638A">
        <w:rPr>
          <w:rFonts w:ascii="ZWAdobeF" w:hAnsi="ZWAdobeF" w:cs="ZWAdobeF"/>
          <w:color w:val="auto"/>
          <w:sz w:val="2"/>
          <w:szCs w:val="2"/>
        </w:rPr>
        <w:t>456B</w:t>
      </w:r>
      <w:r w:rsidR="00D629FA">
        <w:rPr>
          <w:rFonts w:ascii="ZWAdobeF" w:hAnsi="ZWAdobeF" w:cs="ZWAdobeF"/>
          <w:color w:val="auto"/>
          <w:sz w:val="2"/>
          <w:szCs w:val="2"/>
        </w:rPr>
        <w:t>456B</w:t>
      </w:r>
      <w:r w:rsidR="00DD0F04">
        <w:t>We also think it would be beneficial to provide guidance on the contents of a notice of approved settlement. We think the notice should include information on:</w:t>
      </w:r>
    </w:p>
    <w:p w14:paraId="63CFDC96" w14:textId="5A4644C1"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787B</w:t>
      </w:r>
      <w:r w:rsidR="0049638A">
        <w:rPr>
          <w:rFonts w:ascii="ZWAdobeF" w:hAnsi="ZWAdobeF" w:cs="ZWAdobeF"/>
          <w:color w:val="auto"/>
          <w:sz w:val="2"/>
          <w:szCs w:val="2"/>
        </w:rPr>
        <w:t>787B</w:t>
      </w:r>
      <w:r w:rsidR="00D629FA">
        <w:rPr>
          <w:rFonts w:ascii="ZWAdobeF" w:hAnsi="ZWAdobeF" w:cs="ZWAdobeF"/>
          <w:color w:val="auto"/>
          <w:sz w:val="2"/>
          <w:szCs w:val="2"/>
        </w:rPr>
        <w:t>787B</w:t>
      </w:r>
      <w:r w:rsidR="00DD0F04">
        <w:t>The court’s approval of a settlement which may affect their legal rights.</w:t>
      </w:r>
    </w:p>
    <w:p w14:paraId="384E534A" w14:textId="49B906CA"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lastRenderedPageBreak/>
        <w:t>788B</w:t>
      </w:r>
      <w:r w:rsidR="0049638A">
        <w:rPr>
          <w:rFonts w:ascii="ZWAdobeF" w:hAnsi="ZWAdobeF" w:cs="ZWAdobeF"/>
          <w:color w:val="auto"/>
          <w:sz w:val="2"/>
          <w:szCs w:val="2"/>
        </w:rPr>
        <w:t>788B</w:t>
      </w:r>
      <w:r w:rsidR="00D629FA">
        <w:rPr>
          <w:rFonts w:ascii="ZWAdobeF" w:hAnsi="ZWAdobeF" w:cs="ZWAdobeF"/>
          <w:color w:val="auto"/>
          <w:sz w:val="2"/>
          <w:szCs w:val="2"/>
        </w:rPr>
        <w:t>788B</w:t>
      </w:r>
      <w:r w:rsidR="00DD0F04">
        <w:t xml:space="preserve">How to obtain further information about the settlement, including the court’s judgment approving the settlement. </w:t>
      </w:r>
    </w:p>
    <w:p w14:paraId="2FDE0DD5" w14:textId="0B8007D4"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789B</w:t>
      </w:r>
      <w:r w:rsidR="0049638A">
        <w:rPr>
          <w:rFonts w:ascii="ZWAdobeF" w:hAnsi="ZWAdobeF" w:cs="ZWAdobeF"/>
          <w:color w:val="auto"/>
          <w:sz w:val="2"/>
          <w:szCs w:val="2"/>
        </w:rPr>
        <w:t>789B</w:t>
      </w:r>
      <w:r w:rsidR="00D629FA">
        <w:rPr>
          <w:rFonts w:ascii="ZWAdobeF" w:hAnsi="ZWAdobeF" w:cs="ZWAdobeF"/>
          <w:color w:val="auto"/>
          <w:sz w:val="2"/>
          <w:szCs w:val="2"/>
        </w:rPr>
        <w:t>789B</w:t>
      </w:r>
      <w:r w:rsidR="00DD0F04">
        <w:t xml:space="preserve">How a class member may opt out of the settlement, and the deadline for doing so. </w:t>
      </w:r>
    </w:p>
    <w:p w14:paraId="74C576F2" w14:textId="2F7A8D00"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790B</w:t>
      </w:r>
      <w:r w:rsidR="0049638A">
        <w:rPr>
          <w:rFonts w:ascii="ZWAdobeF" w:hAnsi="ZWAdobeF" w:cs="ZWAdobeF"/>
          <w:color w:val="auto"/>
          <w:sz w:val="2"/>
          <w:szCs w:val="2"/>
        </w:rPr>
        <w:t>790B</w:t>
      </w:r>
      <w:r w:rsidR="00D629FA">
        <w:rPr>
          <w:rFonts w:ascii="ZWAdobeF" w:hAnsi="ZWAdobeF" w:cs="ZWAdobeF"/>
          <w:color w:val="auto"/>
          <w:sz w:val="2"/>
          <w:szCs w:val="2"/>
        </w:rPr>
        <w:t>790B</w:t>
      </w:r>
      <w:r w:rsidR="00DD0F04">
        <w:t xml:space="preserve">The consequences of failing to opt out of the settlement. </w:t>
      </w:r>
    </w:p>
    <w:p w14:paraId="5671288F" w14:textId="4A7617C4"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791B</w:t>
      </w:r>
      <w:r w:rsidR="0049638A">
        <w:rPr>
          <w:rFonts w:ascii="ZWAdobeF" w:hAnsi="ZWAdobeF" w:cs="ZWAdobeF"/>
          <w:color w:val="auto"/>
          <w:sz w:val="2"/>
          <w:szCs w:val="2"/>
        </w:rPr>
        <w:t>791B</w:t>
      </w:r>
      <w:r w:rsidR="00D629FA">
        <w:rPr>
          <w:rFonts w:ascii="ZWAdobeF" w:hAnsi="ZWAdobeF" w:cs="ZWAdobeF"/>
          <w:color w:val="auto"/>
          <w:sz w:val="2"/>
          <w:szCs w:val="2"/>
        </w:rPr>
        <w:t>791B</w:t>
      </w:r>
      <w:r w:rsidR="00DD0F04">
        <w:t xml:space="preserve">Any steps a class member must take to submit a claim. </w:t>
      </w:r>
    </w:p>
    <w:p w14:paraId="4E2DDF86" w14:textId="6AC609E2"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792B</w:t>
      </w:r>
      <w:r w:rsidR="0049638A">
        <w:rPr>
          <w:rFonts w:ascii="ZWAdobeF" w:hAnsi="ZWAdobeF" w:cs="ZWAdobeF"/>
          <w:color w:val="auto"/>
          <w:sz w:val="2"/>
          <w:szCs w:val="2"/>
        </w:rPr>
        <w:t>792B</w:t>
      </w:r>
      <w:r w:rsidR="00D629FA">
        <w:rPr>
          <w:rFonts w:ascii="ZWAdobeF" w:hAnsi="ZWAdobeF" w:cs="ZWAdobeF"/>
          <w:color w:val="auto"/>
          <w:sz w:val="2"/>
          <w:szCs w:val="2"/>
        </w:rPr>
        <w:t>792B</w:t>
      </w:r>
      <w:r w:rsidR="00DD0F04">
        <w:t>Who has been appointed as the settlement administrator (if any) and how to contact them.</w:t>
      </w:r>
    </w:p>
    <w:p w14:paraId="50E4EEE5" w14:textId="77B80C8A"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457B</w:t>
      </w:r>
      <w:r w:rsidR="0049638A">
        <w:rPr>
          <w:rFonts w:ascii="ZWAdobeF" w:hAnsi="ZWAdobeF" w:cs="ZWAdobeF"/>
          <w:color w:val="auto"/>
          <w:sz w:val="2"/>
          <w:szCs w:val="2"/>
        </w:rPr>
        <w:t>457B</w:t>
      </w:r>
      <w:r w:rsidR="00D629FA">
        <w:rPr>
          <w:rFonts w:ascii="ZWAdobeF" w:hAnsi="ZWAdobeF" w:cs="ZWAdobeF"/>
          <w:color w:val="auto"/>
          <w:sz w:val="2"/>
          <w:szCs w:val="2"/>
        </w:rPr>
        <w:t>457B</w:t>
      </w:r>
      <w:r w:rsidR="00DD0F04">
        <w:t xml:space="preserve">Our draft </w:t>
      </w:r>
      <w:r w:rsidR="005F47A7">
        <w:t xml:space="preserve">provisions </w:t>
      </w:r>
      <w:r w:rsidR="00DD0F04">
        <w:t>do not include our proposed requirements for a notice of proposed settlement and a notice of approved settlement as we think these are best located in the High Court Rules. Consideration could be given to developing standard forms of a notice of proposed settlement and a notice of approved settlement, which could be added to the forms in Schedule 1 of the High Court Rules.</w:t>
      </w:r>
    </w:p>
    <w:p w14:paraId="561160B2" w14:textId="7B9E5DC6" w:rsidR="00E82C4F" w:rsidRDefault="00E82C4F" w:rsidP="00E82C4F">
      <w:pPr>
        <w:pStyle w:val="QuestionBox"/>
      </w:pPr>
      <w:r>
        <w:rPr>
          <w:noProof/>
        </w:rPr>
        <mc:AlternateContent>
          <mc:Choice Requires="wpg">
            <w:drawing>
              <wp:anchor distT="0" distB="0" distL="114300" distR="114300" simplePos="0" relativeHeight="251652179" behindDoc="1" locked="0" layoutInCell="1" allowOverlap="1" wp14:anchorId="05806148" wp14:editId="2966C885">
                <wp:simplePos x="0" y="0"/>
                <wp:positionH relativeFrom="column">
                  <wp:posOffset>-3810</wp:posOffset>
                </wp:positionH>
                <wp:positionV relativeFrom="paragraph">
                  <wp:posOffset>3810</wp:posOffset>
                </wp:positionV>
                <wp:extent cx="5760085" cy="1063625"/>
                <wp:effectExtent l="0" t="0" r="0" b="3175"/>
                <wp:wrapNone/>
                <wp:docPr id="764517996" name="Group 764517996"/>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76451799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D58E80" w14:textId="77777777" w:rsidR="00A55F53" w:rsidRDefault="00A55F53" w:rsidP="00E82C4F">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7998" name="Group 53"/>
                        <wpg:cNvGrpSpPr>
                          <a:grpSpLocks/>
                        </wpg:cNvGrpSpPr>
                        <wpg:grpSpPr bwMode="auto">
                          <a:xfrm>
                            <a:off x="0" y="316263"/>
                            <a:ext cx="5760085" cy="810335"/>
                            <a:chOff x="1837" y="1792"/>
                            <a:chExt cx="9302" cy="8753"/>
                          </a:xfrm>
                        </wpg:grpSpPr>
                        <wps:wsp>
                          <wps:cNvPr id="764517999"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00" name="Group 764518000"/>
                        <wpg:cNvGrpSpPr/>
                        <wpg:grpSpPr>
                          <a:xfrm>
                            <a:off x="0" y="494036"/>
                            <a:ext cx="1443794" cy="252000"/>
                            <a:chOff x="-15880" y="0"/>
                            <a:chExt cx="1444379" cy="252068"/>
                          </a:xfrm>
                        </wpg:grpSpPr>
                        <wps:wsp>
                          <wps:cNvPr id="764518001"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02" name="Freeform 66"/>
                          <wps:cNvSpPr>
                            <a:spLocks/>
                          </wps:cNvSpPr>
                          <wps:spPr bwMode="auto">
                            <a:xfrm>
                              <a:off x="-15880" y="0"/>
                              <a:ext cx="432175"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540682" w14:textId="6076C00B" w:rsidR="00A55F53" w:rsidRPr="00E700FF" w:rsidRDefault="00A55F53" w:rsidP="00E82C4F">
                                <w:pPr>
                                  <w:pStyle w:val="BoxTitle"/>
                                  <w:spacing w:before="0" w:beforeAutospacing="0"/>
                                </w:pPr>
                                <w:r w:rsidRPr="001C1B37">
                                  <w:t>Q</w:t>
                                </w:r>
                                <w:r>
                                  <w:t>40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5806148" id="Group 764517996" o:spid="_x0000_s1480" style="position:absolute;left:0;text-align:left;margin-left:-.3pt;margin-top:.3pt;width:453.55pt;height:83.75pt;z-index:-251664301;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">
                <v:shape id="_x0000_s148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ED58E80" w14:textId="77777777" w:rsidR="00A55F53" w:rsidRDefault="00A55F53" w:rsidP="00E82C4F">
                        <w:pPr>
                          <w:pStyle w:val="BoxTitle"/>
                          <w:spacing w:before="0" w:beforeAutospacing="0"/>
                        </w:pPr>
                        <w:r w:rsidRPr="007F6876">
                          <w:t>QUESTION</w:t>
                        </w:r>
                      </w:p>
                    </w:txbxContent>
                  </v:textbox>
                </v:shape>
                <v:group id="Group 53" o:spid="_x0000_s1482"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">
                  <v:shape id="Freeform 54" o:spid="_x0000_s1483"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" path="m,l9354,r,7809l,7809,,e" fillcolor="#edf2ea" stroked="f">
                    <v:path arrowok="t" o:connecttype="custom" o:connectlocs="0,1121;9302,1121;9302,9874;0,9874;0,1121" o:connectangles="0,0,0,0,0"/>
                  </v:shape>
                </v:group>
                <v:group id="Group 764518000" o:spid="_x0000_s148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">
                  <v:shape id="Freeform 58" o:spid="_x0000_s148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" path="m,l1815,e" filled="f" strokecolor="#72ab6a" strokeweight=".5pt">
                    <v:path arrowok="t" o:connecttype="custom" o:connectlocs="0,0;1073495,0" o:connectangles="0,0"/>
                  </v:shape>
                  <v:shape id="Freeform 66" o:spid="_x0000_s1486" style="position:absolute;left:-158;width:4320;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" adj="-11796480,,5400" path="m,470r642,l642,,,,,470e" fillcolor="#72ab6a" stroked="f">
                    <v:stroke joinstyle="round"/>
                    <v:formulas/>
                    <v:path arrowok="t" o:connecttype="custom" o:connectlocs="0,2317953;431503,2317953;431503,2065885;0,2065885;0,2317953" o:connectangles="0,0,0,0,0" textboxrect="0,0,643,470"/>
                    <v:textbox inset="1.5mm,2.3mm">
                      <w:txbxContent>
                        <w:p w14:paraId="70540682" w14:textId="6076C00B" w:rsidR="00A55F53" w:rsidRPr="00E700FF" w:rsidRDefault="00A55F53" w:rsidP="00E82C4F">
                          <w:pPr>
                            <w:pStyle w:val="BoxTitle"/>
                            <w:spacing w:before="0" w:beforeAutospacing="0"/>
                          </w:pPr>
                          <w:r w:rsidRPr="001C1B37">
                            <w:t>Q</w:t>
                          </w:r>
                          <w:r>
                            <w:t>40</w:t>
                          </w:r>
                        </w:p>
                      </w:txbxContent>
                    </v:textbox>
                  </v:shape>
                </v:group>
              </v:group>
            </w:pict>
          </mc:Fallback>
        </mc:AlternateContent>
      </w:r>
    </w:p>
    <w:p w14:paraId="5F9C00BF" w14:textId="77777777" w:rsidR="00E82C4F" w:rsidRDefault="00E82C4F" w:rsidP="00E82C4F">
      <w:pPr>
        <w:pStyle w:val="QuestionBox"/>
      </w:pPr>
    </w:p>
    <w:p w14:paraId="79ADB183" w14:textId="0CB0DA6C" w:rsidR="00DD0F04" w:rsidRDefault="00BD5C95" w:rsidP="00E82C4F">
      <w:pPr>
        <w:pStyle w:val="QuestionBox"/>
      </w:pPr>
      <w:r>
        <w:rPr>
          <w:rFonts w:ascii="ZWAdobeF" w:hAnsi="ZWAdobeF" w:cs="ZWAdobeF"/>
          <w:color w:val="auto"/>
          <w:sz w:val="2"/>
          <w:szCs w:val="2"/>
        </w:rPr>
        <w:t>1446B</w:t>
      </w:r>
      <w:r w:rsidR="0049638A">
        <w:rPr>
          <w:rFonts w:ascii="ZWAdobeF" w:hAnsi="ZWAdobeF" w:cs="ZWAdobeF"/>
          <w:color w:val="auto"/>
          <w:sz w:val="2"/>
          <w:szCs w:val="2"/>
        </w:rPr>
        <w:t>1446B</w:t>
      </w:r>
      <w:r w:rsidR="00D629FA">
        <w:rPr>
          <w:rFonts w:ascii="ZWAdobeF" w:hAnsi="ZWAdobeF" w:cs="ZWAdobeF"/>
          <w:color w:val="auto"/>
          <w:sz w:val="2"/>
          <w:szCs w:val="2"/>
        </w:rPr>
        <w:t>1446B</w:t>
      </w:r>
      <w:r w:rsidR="00DD0F04">
        <w:t xml:space="preserve">Do you agree with the information we propose should be contained in the notice of proposed settlement and the notice of approved settlement? </w:t>
      </w:r>
    </w:p>
    <w:p w14:paraId="25CFCA04" w14:textId="77777777" w:rsidR="00E82C4F" w:rsidRDefault="00E82C4F" w:rsidP="00E82C4F">
      <w:pPr>
        <w:pStyle w:val="QuestionBox"/>
      </w:pPr>
    </w:p>
    <w:p w14:paraId="177FE521" w14:textId="77777777" w:rsidR="00DD0F04" w:rsidRDefault="00DD0F04" w:rsidP="00AA5436">
      <w:pPr>
        <w:pStyle w:val="Heading3"/>
      </w:pPr>
      <w:r>
        <w:t xml:space="preserve">Class members’ objections </w:t>
      </w:r>
    </w:p>
    <w:p w14:paraId="2085E441" w14:textId="1BC5617F"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458B</w:t>
      </w:r>
      <w:r w:rsidR="0049638A">
        <w:rPr>
          <w:rFonts w:ascii="ZWAdobeF" w:hAnsi="ZWAdobeF" w:cs="ZWAdobeF"/>
          <w:color w:val="auto"/>
          <w:sz w:val="2"/>
          <w:szCs w:val="2"/>
        </w:rPr>
        <w:t>458B</w:t>
      </w:r>
      <w:r w:rsidR="00D629FA">
        <w:rPr>
          <w:rFonts w:ascii="ZWAdobeF" w:hAnsi="ZWAdobeF" w:cs="ZWAdobeF"/>
          <w:color w:val="auto"/>
          <w:sz w:val="2"/>
          <w:szCs w:val="2"/>
        </w:rPr>
        <w:t>458B</w:t>
      </w:r>
      <w:r w:rsidR="00DD0F04">
        <w:t>Our main comparator jurisdictions have a process by which class members may object to the proposed settlement</w:t>
      </w:r>
      <w:r w:rsidR="00147D86">
        <w:t>.</w:t>
      </w:r>
      <w:r w:rsidR="00D629FA">
        <w:rPr>
          <w:rFonts w:ascii="ZWAdobeF" w:hAnsi="ZWAdobeF" w:cs="ZWAdobeF"/>
          <w:color w:val="auto"/>
          <w:sz w:val="2"/>
          <w:szCs w:val="2"/>
        </w:rPr>
        <w:t>744F</w:t>
      </w:r>
      <w:r w:rsidR="007A330E">
        <w:rPr>
          <w:rFonts w:ascii="ZWAdobeF" w:hAnsi="ZWAdobeF" w:cs="ZWAdobeF"/>
          <w:color w:val="auto"/>
          <w:sz w:val="2"/>
          <w:szCs w:val="2"/>
        </w:rPr>
        <w:t>744F</w:t>
      </w:r>
      <w:r w:rsidR="00317AE4">
        <w:rPr>
          <w:rFonts w:ascii="ZWAdobeF" w:hAnsi="ZWAdobeF" w:cs="ZWAdobeF"/>
          <w:color w:val="auto"/>
          <w:sz w:val="2"/>
          <w:szCs w:val="2"/>
        </w:rPr>
        <w:t>744F</w:t>
      </w:r>
      <w:r w:rsidR="00DD0F04">
        <w:rPr>
          <w:rStyle w:val="FootnoteReference"/>
        </w:rPr>
        <w:footnoteReference w:id="746"/>
      </w:r>
      <w:r w:rsidR="00DD0F04">
        <w:t xml:space="preserve"> </w:t>
      </w:r>
    </w:p>
    <w:p w14:paraId="4B924D1B" w14:textId="549E35F1" w:rsidR="00DD0F04" w:rsidRDefault="00BD5C95" w:rsidP="00B73434">
      <w:pPr>
        <w:pStyle w:val="BodyText"/>
        <w:numPr>
          <w:ilvl w:val="1"/>
          <w:numId w:val="52"/>
        </w:numPr>
        <w:tabs>
          <w:tab w:val="left" w:pos="709"/>
        </w:tabs>
        <w:ind w:hanging="709"/>
      </w:pPr>
      <w:r>
        <w:rPr>
          <w:rFonts w:ascii="ZWAdobeF" w:hAnsi="ZWAdobeF" w:cs="ZWAdobeF"/>
          <w:color w:val="auto"/>
          <w:sz w:val="2"/>
          <w:szCs w:val="2"/>
        </w:rPr>
        <w:t>459B</w:t>
      </w:r>
      <w:r w:rsidR="0049638A">
        <w:rPr>
          <w:rFonts w:ascii="ZWAdobeF" w:hAnsi="ZWAdobeF" w:cs="ZWAdobeF"/>
          <w:color w:val="auto"/>
          <w:sz w:val="2"/>
          <w:szCs w:val="2"/>
        </w:rPr>
        <w:t>459B</w:t>
      </w:r>
      <w:r w:rsidR="00D629FA">
        <w:rPr>
          <w:rFonts w:ascii="ZWAdobeF" w:hAnsi="ZWAdobeF" w:cs="ZWAdobeF"/>
          <w:color w:val="auto"/>
          <w:sz w:val="2"/>
          <w:szCs w:val="2"/>
        </w:rPr>
        <w:t>459B</w:t>
      </w:r>
      <w:r w:rsidR="00DD0F04">
        <w:t xml:space="preserve">We think it is important to allow class members an opportunity to express any opposition to the settlement, given that they will be bound by its terms if the settlement is approved. The court may not otherwise be aware of these concerns, as both the representative plaintiff and defendant will be supporting the settlement. We envisage that objections would be made in writing and filed with the court. In appropriate cases, the court could grant leave for a class member to appear at the settlement approval hearing. </w:t>
      </w:r>
    </w:p>
    <w:p w14:paraId="46A4E730" w14:textId="7E3A0F3D" w:rsidR="00DD0F04" w:rsidRDefault="00BD5C95" w:rsidP="00B73434">
      <w:pPr>
        <w:pStyle w:val="BodyText"/>
        <w:numPr>
          <w:ilvl w:val="1"/>
          <w:numId w:val="52"/>
        </w:numPr>
        <w:tabs>
          <w:tab w:val="left" w:pos="709"/>
        </w:tabs>
        <w:ind w:hanging="709"/>
      </w:pPr>
      <w:r>
        <w:rPr>
          <w:rFonts w:ascii="ZWAdobeF" w:hAnsi="ZWAdobeF" w:cs="ZWAdobeF"/>
          <w:color w:val="auto"/>
          <w:sz w:val="2"/>
          <w:szCs w:val="2"/>
        </w:rPr>
        <w:t>460B</w:t>
      </w:r>
      <w:r w:rsidR="0049638A">
        <w:rPr>
          <w:rFonts w:ascii="ZWAdobeF" w:hAnsi="ZWAdobeF" w:cs="ZWAdobeF"/>
          <w:color w:val="auto"/>
          <w:sz w:val="2"/>
          <w:szCs w:val="2"/>
        </w:rPr>
        <w:t>460B</w:t>
      </w:r>
      <w:r w:rsidR="00D629FA">
        <w:rPr>
          <w:rFonts w:ascii="ZWAdobeF" w:hAnsi="ZWAdobeF" w:cs="ZWAdobeF"/>
          <w:color w:val="auto"/>
          <w:sz w:val="2"/>
          <w:szCs w:val="2"/>
        </w:rPr>
        <w:t>460B</w:t>
      </w:r>
      <w:r w:rsidR="00DD0F04">
        <w:t>Our draft legislation provides that the court must set a date for any objections to the settlement to be lodged by class members.</w:t>
      </w:r>
      <w:r w:rsidR="00D629FA">
        <w:rPr>
          <w:rFonts w:ascii="ZWAdobeF" w:hAnsi="ZWAdobeF" w:cs="ZWAdobeF"/>
          <w:color w:val="auto"/>
          <w:sz w:val="2"/>
          <w:szCs w:val="2"/>
        </w:rPr>
        <w:t>745F</w:t>
      </w:r>
      <w:r w:rsidR="007A330E">
        <w:rPr>
          <w:rFonts w:ascii="ZWAdobeF" w:hAnsi="ZWAdobeF" w:cs="ZWAdobeF"/>
          <w:color w:val="auto"/>
          <w:sz w:val="2"/>
          <w:szCs w:val="2"/>
        </w:rPr>
        <w:t>745F</w:t>
      </w:r>
      <w:r w:rsidR="00317AE4">
        <w:rPr>
          <w:rFonts w:ascii="ZWAdobeF" w:hAnsi="ZWAdobeF" w:cs="ZWAdobeF"/>
          <w:color w:val="auto"/>
          <w:sz w:val="2"/>
          <w:szCs w:val="2"/>
        </w:rPr>
        <w:t>745F</w:t>
      </w:r>
      <w:r w:rsidR="00DD0F04">
        <w:rPr>
          <w:rStyle w:val="FootnoteReference"/>
        </w:rPr>
        <w:footnoteReference w:id="747"/>
      </w:r>
      <w:r w:rsidR="00DD0F04">
        <w:t xml:space="preserve"> As we have explained above, we think the notice of proposed settlement should explain the process and deadline for objecting to a settlement.</w:t>
      </w:r>
    </w:p>
    <w:p w14:paraId="3F46093C" w14:textId="6C8D834F" w:rsidR="00DD0F04" w:rsidRDefault="00BD5C95" w:rsidP="00B73434">
      <w:pPr>
        <w:pStyle w:val="BodyText"/>
        <w:numPr>
          <w:ilvl w:val="1"/>
          <w:numId w:val="52"/>
        </w:numPr>
        <w:tabs>
          <w:tab w:val="left" w:pos="709"/>
        </w:tabs>
        <w:ind w:hanging="709"/>
      </w:pPr>
      <w:r>
        <w:rPr>
          <w:rFonts w:ascii="ZWAdobeF" w:hAnsi="ZWAdobeF" w:cs="ZWAdobeF"/>
          <w:color w:val="auto"/>
          <w:sz w:val="2"/>
          <w:szCs w:val="2"/>
        </w:rPr>
        <w:t>461B</w:t>
      </w:r>
      <w:r w:rsidR="0049638A">
        <w:rPr>
          <w:rFonts w:ascii="ZWAdobeF" w:hAnsi="ZWAdobeF" w:cs="ZWAdobeF"/>
          <w:color w:val="auto"/>
          <w:sz w:val="2"/>
          <w:szCs w:val="2"/>
        </w:rPr>
        <w:t>461B</w:t>
      </w:r>
      <w:r w:rsidR="00D629FA">
        <w:rPr>
          <w:rFonts w:ascii="ZWAdobeF" w:hAnsi="ZWAdobeF" w:cs="ZWAdobeF"/>
          <w:color w:val="auto"/>
          <w:sz w:val="2"/>
          <w:szCs w:val="2"/>
        </w:rPr>
        <w:t>461B</w:t>
      </w:r>
      <w:r w:rsidR="00DD0F04">
        <w:t>The experience of other jurisdictions indicates that class members face barriers to objecting to proposed settlements, such as a lack of legal assistance, difficulty in understanding the settlement agreement and the small value of individual claims, which may make it uneconomical to object.</w:t>
      </w:r>
      <w:r w:rsidR="00D629FA">
        <w:rPr>
          <w:rFonts w:ascii="ZWAdobeF" w:hAnsi="ZWAdobeF" w:cs="ZWAdobeF"/>
          <w:color w:val="auto"/>
          <w:sz w:val="2"/>
          <w:szCs w:val="2"/>
        </w:rPr>
        <w:t>746F</w:t>
      </w:r>
      <w:r w:rsidR="007A330E">
        <w:rPr>
          <w:rFonts w:ascii="ZWAdobeF" w:hAnsi="ZWAdobeF" w:cs="ZWAdobeF"/>
          <w:color w:val="auto"/>
          <w:sz w:val="2"/>
          <w:szCs w:val="2"/>
        </w:rPr>
        <w:t>746F</w:t>
      </w:r>
      <w:r w:rsidR="00317AE4">
        <w:rPr>
          <w:rFonts w:ascii="ZWAdobeF" w:hAnsi="ZWAdobeF" w:cs="ZWAdobeF"/>
          <w:color w:val="auto"/>
          <w:sz w:val="2"/>
          <w:szCs w:val="2"/>
        </w:rPr>
        <w:t>746F</w:t>
      </w:r>
      <w:r w:rsidR="00DD0F04">
        <w:rPr>
          <w:rStyle w:val="FootnoteReference"/>
        </w:rPr>
        <w:footnoteReference w:id="748"/>
      </w:r>
      <w:r w:rsidR="00DD0F04">
        <w:t xml:space="preserve"> In </w:t>
      </w:r>
      <w:r w:rsidR="00147D86">
        <w:t xml:space="preserve">Australia and </w:t>
      </w:r>
      <w:r w:rsidR="00DD0F04">
        <w:t xml:space="preserve">Canada, it appears to be rare for </w:t>
      </w:r>
      <w:r w:rsidR="00DD0F04">
        <w:lastRenderedPageBreak/>
        <w:t>a class member objection to result in the court declining to approve a settlement.</w:t>
      </w:r>
      <w:r w:rsidR="00D629FA">
        <w:rPr>
          <w:rFonts w:ascii="ZWAdobeF" w:hAnsi="ZWAdobeF" w:cs="ZWAdobeF"/>
          <w:color w:val="auto"/>
          <w:sz w:val="2"/>
          <w:szCs w:val="2"/>
        </w:rPr>
        <w:t>747F</w:t>
      </w:r>
      <w:r w:rsidR="007A330E">
        <w:rPr>
          <w:rFonts w:ascii="ZWAdobeF" w:hAnsi="ZWAdobeF" w:cs="ZWAdobeF"/>
          <w:color w:val="auto"/>
          <w:sz w:val="2"/>
          <w:szCs w:val="2"/>
        </w:rPr>
        <w:t>747F</w:t>
      </w:r>
      <w:r w:rsidR="00317AE4">
        <w:rPr>
          <w:rFonts w:ascii="ZWAdobeF" w:hAnsi="ZWAdobeF" w:cs="ZWAdobeF"/>
          <w:color w:val="auto"/>
          <w:sz w:val="2"/>
          <w:szCs w:val="2"/>
        </w:rPr>
        <w:t>747F</w:t>
      </w:r>
      <w:r w:rsidR="00DD0F04">
        <w:rPr>
          <w:rStyle w:val="FootnoteReference"/>
        </w:rPr>
        <w:footnoteReference w:id="749"/>
      </w:r>
      <w:r w:rsidR="00DD0F04">
        <w:t xml:space="preserve"> </w:t>
      </w:r>
      <w:r w:rsidR="000C7A68">
        <w:t xml:space="preserve">Ensuring </w:t>
      </w:r>
      <w:r w:rsidR="00D97C3A">
        <w:t xml:space="preserve">there are </w:t>
      </w:r>
      <w:r w:rsidR="000C7A68">
        <w:t>simple procedures for objecting may reduce these barriers</w:t>
      </w:r>
      <w:r w:rsidR="00661FD3">
        <w:t>. For example, t</w:t>
      </w:r>
      <w:r w:rsidR="00DD0F04">
        <w:t>he Victorian Law Reform Commission (VLRC) has noted that reducing the costs of objecting and ensuring clear and concise notices to class members are ways of alleviating obstacles to class member participation in the settlement approval process.</w:t>
      </w:r>
      <w:r w:rsidR="00D629FA">
        <w:rPr>
          <w:rFonts w:ascii="ZWAdobeF" w:hAnsi="ZWAdobeF" w:cs="ZWAdobeF"/>
          <w:color w:val="auto"/>
          <w:sz w:val="2"/>
          <w:szCs w:val="2"/>
        </w:rPr>
        <w:t>748F</w:t>
      </w:r>
      <w:r w:rsidR="007A330E">
        <w:rPr>
          <w:rFonts w:ascii="ZWAdobeF" w:hAnsi="ZWAdobeF" w:cs="ZWAdobeF"/>
          <w:color w:val="auto"/>
          <w:sz w:val="2"/>
          <w:szCs w:val="2"/>
        </w:rPr>
        <w:t>748F</w:t>
      </w:r>
      <w:r w:rsidR="00317AE4">
        <w:rPr>
          <w:rFonts w:ascii="ZWAdobeF" w:hAnsi="ZWAdobeF" w:cs="ZWAdobeF"/>
          <w:color w:val="auto"/>
          <w:sz w:val="2"/>
          <w:szCs w:val="2"/>
        </w:rPr>
        <w:t>748F</w:t>
      </w:r>
      <w:r w:rsidR="00DD0F04">
        <w:rPr>
          <w:rStyle w:val="FootnoteReference"/>
        </w:rPr>
        <w:footnoteReference w:id="750"/>
      </w:r>
      <w:r w:rsidR="00DD0F04">
        <w:t xml:space="preserve"> </w:t>
      </w:r>
      <w:r w:rsidR="00993F85">
        <w:t xml:space="preserve">It could be possible to have a standard form that a class member </w:t>
      </w:r>
      <w:r w:rsidR="00C278F9">
        <w:t xml:space="preserve">use to </w:t>
      </w:r>
      <w:r w:rsidR="00993F85">
        <w:t xml:space="preserve">record </w:t>
      </w:r>
      <w:r w:rsidR="006139DE">
        <w:t xml:space="preserve">their view on the </w:t>
      </w:r>
      <w:r w:rsidR="00C45B2A">
        <w:t xml:space="preserve">settlement and post or email to the court. </w:t>
      </w:r>
      <w:r w:rsidR="00DD0F04">
        <w:t xml:space="preserve">Providing legal assistance to class members can also assist. For example, the Class Action Clinic at Windsor Law School in </w:t>
      </w:r>
      <w:r w:rsidR="00416FCA">
        <w:rPr>
          <w:noProof/>
        </w:rPr>
        <mc:AlternateContent>
          <mc:Choice Requires="wpg">
            <w:drawing>
              <wp:anchor distT="0" distB="0" distL="114300" distR="114300" simplePos="0" relativeHeight="251652180" behindDoc="1" locked="0" layoutInCell="1" allowOverlap="1" wp14:anchorId="60A63CF1" wp14:editId="672770D4">
                <wp:simplePos x="0" y="0"/>
                <wp:positionH relativeFrom="column">
                  <wp:posOffset>5715</wp:posOffset>
                </wp:positionH>
                <wp:positionV relativeFrom="paragraph">
                  <wp:posOffset>1761790</wp:posOffset>
                </wp:positionV>
                <wp:extent cx="5760085" cy="952514"/>
                <wp:effectExtent l="0" t="0" r="0" b="0"/>
                <wp:wrapNone/>
                <wp:docPr id="764518003" name="Group 764518003"/>
                <wp:cNvGraphicFramePr/>
                <a:graphic xmlns:a="http://schemas.openxmlformats.org/drawingml/2006/main">
                  <a:graphicData uri="http://schemas.microsoft.com/office/word/2010/wordprocessingGroup">
                    <wpg:wgp>
                      <wpg:cNvGrpSpPr/>
                      <wpg:grpSpPr>
                        <a:xfrm>
                          <a:off x="0" y="0"/>
                          <a:ext cx="5760085" cy="952514"/>
                          <a:chOff x="0" y="62865"/>
                          <a:chExt cx="5760085" cy="952917"/>
                        </a:xfrm>
                      </wpg:grpSpPr>
                      <wps:wsp>
                        <wps:cNvPr id="76451800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80DA87" w14:textId="77777777" w:rsidR="00A55F53" w:rsidRDefault="00A55F53" w:rsidP="00316572">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05" name="Group 53"/>
                        <wpg:cNvGrpSpPr>
                          <a:grpSpLocks/>
                        </wpg:cNvGrpSpPr>
                        <wpg:grpSpPr bwMode="auto">
                          <a:xfrm>
                            <a:off x="0" y="316263"/>
                            <a:ext cx="5760085" cy="699519"/>
                            <a:chOff x="1837" y="1792"/>
                            <a:chExt cx="9302" cy="7556"/>
                          </a:xfrm>
                        </wpg:grpSpPr>
                        <wps:wsp>
                          <wps:cNvPr id="764518006" name="Freeform 54"/>
                          <wps:cNvSpPr>
                            <a:spLocks/>
                          </wps:cNvSpPr>
                          <wps:spPr bwMode="auto">
                            <a:xfrm>
                              <a:off x="1837" y="1792"/>
                              <a:ext cx="9302" cy="755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07" name="Group 764518007"/>
                        <wpg:cNvGrpSpPr/>
                        <wpg:grpSpPr>
                          <a:xfrm>
                            <a:off x="0" y="494036"/>
                            <a:ext cx="1443794" cy="252000"/>
                            <a:chOff x="-15880" y="0"/>
                            <a:chExt cx="1444379" cy="252068"/>
                          </a:xfrm>
                        </wpg:grpSpPr>
                        <wps:wsp>
                          <wps:cNvPr id="76451800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0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1ACDE3" w14:textId="50C7F0FC" w:rsidR="00A55F53" w:rsidRPr="00E700FF" w:rsidRDefault="00A55F53" w:rsidP="00316572">
                                <w:pPr>
                                  <w:pStyle w:val="BoxTitle"/>
                                  <w:spacing w:before="0" w:beforeAutospacing="0"/>
                                </w:pPr>
                                <w:r w:rsidRPr="001C1B37">
                                  <w:t>Q</w:t>
                                </w:r>
                                <w:r>
                                  <w:t>41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0A63CF1" id="Group 764518003" o:spid="_x0000_s1487" style="position:absolute;left:0;text-align:left;margin-left:.45pt;margin-top:138.7pt;width:453.55pt;height:75pt;z-index:-251664300;mso-height-relative:margin" coordorigin=",628" coordsize="57600,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">
                <v:shape id="_x0000_s148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C80DA87" w14:textId="77777777" w:rsidR="00A55F53" w:rsidRDefault="00A55F53" w:rsidP="00316572">
                        <w:pPr>
                          <w:pStyle w:val="BoxTitle"/>
                          <w:spacing w:before="0" w:beforeAutospacing="0"/>
                        </w:pPr>
                        <w:r w:rsidRPr="007F6876">
                          <w:t>QUESTION</w:t>
                        </w:r>
                      </w:p>
                    </w:txbxContent>
                  </v:textbox>
                </v:shape>
                <v:group id="Group 53" o:spid="_x0000_s1489" style="position:absolute;top:3162;width:57600;height:6995" coordorigin="1837,1792" coordsize="9302,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">
                  <v:shape id="Freeform 54" o:spid="_x0000_s1490" style="position:absolute;left:1837;top:1792;width:9302;height:755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" path="m,l9354,r,7809l,7809,,e" fillcolor="#edf2ea" stroked="f">
                    <v:path arrowok="t" o:connecttype="custom" o:connectlocs="0,968;9302,968;9302,8524;0,8524;0,968" o:connectangles="0,0,0,0,0"/>
                  </v:shape>
                </v:group>
                <v:group id="Group 764518007" o:spid="_x0000_s149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">
                  <v:shape id="Freeform 58" o:spid="_x0000_s149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" path="m,l1815,e" filled="f" strokecolor="#72ab6a" strokeweight=".5pt">
                    <v:path arrowok="t" o:connecttype="custom" o:connectlocs="0,0;1073495,0" o:connectangles="0,0"/>
                  </v:shape>
                  <v:shape id="Freeform 66" o:spid="_x0000_s149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31ACDE3" w14:textId="50C7F0FC" w:rsidR="00A55F53" w:rsidRPr="00E700FF" w:rsidRDefault="00A55F53" w:rsidP="00316572">
                          <w:pPr>
                            <w:pStyle w:val="BoxTitle"/>
                            <w:spacing w:before="0" w:beforeAutospacing="0"/>
                          </w:pPr>
                          <w:r w:rsidRPr="001C1B37">
                            <w:t>Q</w:t>
                          </w:r>
                          <w:r>
                            <w:t>41</w:t>
                          </w:r>
                        </w:p>
                      </w:txbxContent>
                    </v:textbox>
                  </v:shape>
                </v:group>
              </v:group>
            </w:pict>
          </mc:Fallback>
        </mc:AlternateContent>
      </w:r>
      <w:r w:rsidR="00DD0F04">
        <w:t>Ontario will represent objecting class members in appropriate cases.</w:t>
      </w:r>
      <w:r w:rsidR="00D629FA">
        <w:rPr>
          <w:rFonts w:ascii="ZWAdobeF" w:hAnsi="ZWAdobeF" w:cs="ZWAdobeF"/>
          <w:color w:val="auto"/>
          <w:sz w:val="2"/>
          <w:szCs w:val="2"/>
        </w:rPr>
        <w:t>749F</w:t>
      </w:r>
      <w:r w:rsidR="007A330E">
        <w:rPr>
          <w:rFonts w:ascii="ZWAdobeF" w:hAnsi="ZWAdobeF" w:cs="ZWAdobeF"/>
          <w:color w:val="auto"/>
          <w:sz w:val="2"/>
          <w:szCs w:val="2"/>
        </w:rPr>
        <w:t>749F</w:t>
      </w:r>
      <w:r w:rsidR="00317AE4">
        <w:rPr>
          <w:rFonts w:ascii="ZWAdobeF" w:hAnsi="ZWAdobeF" w:cs="ZWAdobeF"/>
          <w:color w:val="auto"/>
          <w:sz w:val="2"/>
          <w:szCs w:val="2"/>
        </w:rPr>
        <w:t>749F</w:t>
      </w:r>
      <w:r w:rsidR="00DD0F04">
        <w:rPr>
          <w:rStyle w:val="FootnoteReference"/>
        </w:rPr>
        <w:footnoteReference w:id="751"/>
      </w:r>
      <w:r w:rsidR="00DD0F04">
        <w:t xml:space="preserve">  </w:t>
      </w:r>
    </w:p>
    <w:p w14:paraId="5BBAF42C" w14:textId="4FF48D2D" w:rsidR="00316572" w:rsidRDefault="00316572" w:rsidP="00316572">
      <w:pPr>
        <w:pStyle w:val="QuestionBox"/>
      </w:pPr>
    </w:p>
    <w:p w14:paraId="700C21FD" w14:textId="5AC16831" w:rsidR="00316572" w:rsidRDefault="00316572" w:rsidP="00316572">
      <w:pPr>
        <w:pStyle w:val="QuestionBox"/>
      </w:pPr>
    </w:p>
    <w:p w14:paraId="7CDD12BE" w14:textId="3D2FF681" w:rsidR="00DD0F04" w:rsidRDefault="00BD5C95" w:rsidP="00316572">
      <w:pPr>
        <w:pStyle w:val="QuestionBox"/>
      </w:pPr>
      <w:r>
        <w:rPr>
          <w:rFonts w:ascii="ZWAdobeF" w:hAnsi="ZWAdobeF" w:cs="ZWAdobeF"/>
          <w:color w:val="auto"/>
          <w:sz w:val="2"/>
          <w:szCs w:val="2"/>
        </w:rPr>
        <w:t>1447B</w:t>
      </w:r>
      <w:r w:rsidR="0049638A">
        <w:rPr>
          <w:rFonts w:ascii="ZWAdobeF" w:hAnsi="ZWAdobeF" w:cs="ZWAdobeF"/>
          <w:color w:val="auto"/>
          <w:sz w:val="2"/>
          <w:szCs w:val="2"/>
        </w:rPr>
        <w:t>1447B</w:t>
      </w:r>
      <w:r w:rsidR="00D629FA">
        <w:rPr>
          <w:rFonts w:ascii="ZWAdobeF" w:hAnsi="ZWAdobeF" w:cs="ZWAdobeF"/>
          <w:color w:val="auto"/>
          <w:sz w:val="2"/>
          <w:szCs w:val="2"/>
        </w:rPr>
        <w:t>1447B</w:t>
      </w:r>
      <w:r w:rsidR="00DD0F04">
        <w:t xml:space="preserve">Should class members be given an opportunity to object to a proposed settlement? </w:t>
      </w:r>
    </w:p>
    <w:p w14:paraId="4824FBF5" w14:textId="2B09F8EF" w:rsidR="00DD0F04" w:rsidRDefault="00DD0F04" w:rsidP="00452738">
      <w:pPr>
        <w:pStyle w:val="BodyText"/>
        <w:numPr>
          <w:ilvl w:val="0"/>
          <w:numId w:val="0"/>
        </w:numPr>
        <w:ind w:left="426"/>
      </w:pPr>
    </w:p>
    <w:p w14:paraId="4DE2C670" w14:textId="26174A31" w:rsidR="00DD0F04" w:rsidRDefault="00DD0F04" w:rsidP="00452738">
      <w:pPr>
        <w:pStyle w:val="Heading3"/>
      </w:pPr>
      <w:r>
        <w:t xml:space="preserve">Other participants in settlement </w:t>
      </w:r>
      <w:r w:rsidR="00E418CE">
        <w:t xml:space="preserve">approval </w:t>
      </w:r>
      <w:r>
        <w:t xml:space="preserve">hearings </w:t>
      </w:r>
    </w:p>
    <w:p w14:paraId="0FE387C3" w14:textId="0BF3581A" w:rsidR="00DD0F04" w:rsidRDefault="00BD5C95" w:rsidP="00B73434">
      <w:pPr>
        <w:pStyle w:val="BodyText"/>
        <w:numPr>
          <w:ilvl w:val="1"/>
          <w:numId w:val="52"/>
        </w:numPr>
        <w:tabs>
          <w:tab w:val="left" w:pos="709"/>
        </w:tabs>
        <w:ind w:hanging="709"/>
      </w:pPr>
      <w:r>
        <w:rPr>
          <w:rFonts w:ascii="ZWAdobeF" w:hAnsi="ZWAdobeF" w:cs="ZWAdobeF"/>
          <w:color w:val="auto"/>
          <w:sz w:val="2"/>
          <w:szCs w:val="2"/>
        </w:rPr>
        <w:t>462B</w:t>
      </w:r>
      <w:r w:rsidR="0049638A">
        <w:rPr>
          <w:rFonts w:ascii="ZWAdobeF" w:hAnsi="ZWAdobeF" w:cs="ZWAdobeF"/>
          <w:color w:val="auto"/>
          <w:sz w:val="2"/>
          <w:szCs w:val="2"/>
        </w:rPr>
        <w:t>462B</w:t>
      </w:r>
      <w:r w:rsidR="00D629FA">
        <w:rPr>
          <w:rFonts w:ascii="ZWAdobeF" w:hAnsi="ZWAdobeF" w:cs="ZWAdobeF"/>
          <w:color w:val="auto"/>
          <w:sz w:val="2"/>
          <w:szCs w:val="2"/>
        </w:rPr>
        <w:t>462B</w:t>
      </w:r>
      <w:r w:rsidR="00DD0F04">
        <w:t xml:space="preserve">It may be appropriate to allow an independent lawyer or expert to make submissions on a proposed settlement, given the obstacles for class members wanting to object and the risk that the court will only hear from those favouring settlement. In </w:t>
      </w:r>
      <w:r w:rsidR="00DD0F04">
        <w:rPr>
          <w:i/>
          <w:iCs/>
        </w:rPr>
        <w:t xml:space="preserve">Southern Response v Ross, </w:t>
      </w:r>
      <w:r w:rsidR="00DD0F04">
        <w:t>the Supreme Court commented that courts might draw on the assistance of independent experts to meet some of the concerns expressed about the court’s role in approving settlements of representative proceedings under HCR 4.24.</w:t>
      </w:r>
      <w:r w:rsidR="00D629FA">
        <w:rPr>
          <w:rFonts w:ascii="ZWAdobeF" w:hAnsi="ZWAdobeF" w:cs="ZWAdobeF"/>
          <w:color w:val="auto"/>
          <w:sz w:val="2"/>
          <w:szCs w:val="2"/>
        </w:rPr>
        <w:t>750F</w:t>
      </w:r>
      <w:r w:rsidR="007A330E">
        <w:rPr>
          <w:rFonts w:ascii="ZWAdobeF" w:hAnsi="ZWAdobeF" w:cs="ZWAdobeF"/>
          <w:color w:val="auto"/>
          <w:sz w:val="2"/>
          <w:szCs w:val="2"/>
        </w:rPr>
        <w:t>750F</w:t>
      </w:r>
      <w:r w:rsidR="00317AE4">
        <w:rPr>
          <w:rFonts w:ascii="ZWAdobeF" w:hAnsi="ZWAdobeF" w:cs="ZWAdobeF"/>
          <w:color w:val="auto"/>
          <w:sz w:val="2"/>
          <w:szCs w:val="2"/>
        </w:rPr>
        <w:t>750F</w:t>
      </w:r>
      <w:r w:rsidR="00DD0F04">
        <w:rPr>
          <w:rStyle w:val="FootnoteReference"/>
        </w:rPr>
        <w:footnoteReference w:id="752"/>
      </w:r>
    </w:p>
    <w:p w14:paraId="26DC0BD9" w14:textId="6970AE1B" w:rsidR="00DD0F04" w:rsidRPr="003529ED" w:rsidRDefault="00BD5C95" w:rsidP="00B73434">
      <w:pPr>
        <w:pStyle w:val="BodyText"/>
        <w:numPr>
          <w:ilvl w:val="1"/>
          <w:numId w:val="52"/>
        </w:numPr>
        <w:tabs>
          <w:tab w:val="left" w:pos="709"/>
        </w:tabs>
        <w:ind w:hanging="709"/>
      </w:pPr>
      <w:r>
        <w:rPr>
          <w:rFonts w:ascii="ZWAdobeF" w:hAnsi="ZWAdobeF" w:cs="ZWAdobeF"/>
          <w:color w:val="auto"/>
          <w:sz w:val="2"/>
          <w:szCs w:val="2"/>
        </w:rPr>
        <w:t>463B</w:t>
      </w:r>
      <w:r w:rsidR="0049638A">
        <w:rPr>
          <w:rFonts w:ascii="ZWAdobeF" w:hAnsi="ZWAdobeF" w:cs="ZWAdobeF"/>
          <w:color w:val="auto"/>
          <w:sz w:val="2"/>
          <w:szCs w:val="2"/>
        </w:rPr>
        <w:t>463B</w:t>
      </w:r>
      <w:r w:rsidR="00D629FA">
        <w:rPr>
          <w:rFonts w:ascii="ZWAdobeF" w:hAnsi="ZWAdobeF" w:cs="ZWAdobeF"/>
          <w:color w:val="auto"/>
          <w:sz w:val="2"/>
          <w:szCs w:val="2"/>
        </w:rPr>
        <w:t>463B</w:t>
      </w:r>
      <w:r w:rsidR="00DD0F04">
        <w:t>Other jurisdictions allow lawyers or experts to be appointed to assist the court. While jurisdictions use a variety of names for these roles, they serve a similar purpose of helping the court to assess the settlement. In Australia, the court may appoint an independent representative to make submissions on settlement, sometimes known as a guardian or contradictor and this is specifically referred to in the Supreme Court of Victoria practice note.</w:t>
      </w:r>
      <w:r w:rsidR="00D629FA">
        <w:rPr>
          <w:rFonts w:ascii="ZWAdobeF" w:hAnsi="ZWAdobeF" w:cs="ZWAdobeF"/>
          <w:color w:val="auto"/>
          <w:sz w:val="2"/>
          <w:szCs w:val="2"/>
        </w:rPr>
        <w:t>751F</w:t>
      </w:r>
      <w:r w:rsidR="007A330E">
        <w:rPr>
          <w:rFonts w:ascii="ZWAdobeF" w:hAnsi="ZWAdobeF" w:cs="ZWAdobeF"/>
          <w:color w:val="auto"/>
          <w:sz w:val="2"/>
          <w:szCs w:val="2"/>
        </w:rPr>
        <w:t>751F</w:t>
      </w:r>
      <w:r w:rsidR="00317AE4">
        <w:rPr>
          <w:rFonts w:ascii="ZWAdobeF" w:hAnsi="ZWAdobeF" w:cs="ZWAdobeF"/>
          <w:color w:val="auto"/>
          <w:sz w:val="2"/>
          <w:szCs w:val="2"/>
        </w:rPr>
        <w:t>751F</w:t>
      </w:r>
      <w:r w:rsidR="00DD0F04">
        <w:rPr>
          <w:rStyle w:val="FootnoteReference"/>
        </w:rPr>
        <w:footnoteReference w:id="753"/>
      </w:r>
      <w:r w:rsidR="00DD0F04">
        <w:t xml:space="preserve"> The VLRC has recommended a presumption in favour of appointing a contradictor </w:t>
      </w:r>
      <w:r w:rsidR="00DD0F04">
        <w:lastRenderedPageBreak/>
        <w:t>for a settlement approval hearing for class actions involving certain types of claims, as well those involving complex settlement distribution schemes.</w:t>
      </w:r>
      <w:r w:rsidR="00D629FA">
        <w:rPr>
          <w:rFonts w:ascii="ZWAdobeF" w:hAnsi="ZWAdobeF" w:cs="ZWAdobeF"/>
          <w:color w:val="auto"/>
          <w:sz w:val="2"/>
          <w:szCs w:val="2"/>
        </w:rPr>
        <w:t>752F</w:t>
      </w:r>
      <w:r w:rsidR="007A330E">
        <w:rPr>
          <w:rFonts w:ascii="ZWAdobeF" w:hAnsi="ZWAdobeF" w:cs="ZWAdobeF"/>
          <w:color w:val="auto"/>
          <w:sz w:val="2"/>
          <w:szCs w:val="2"/>
        </w:rPr>
        <w:t>752F</w:t>
      </w:r>
      <w:r w:rsidR="00317AE4">
        <w:rPr>
          <w:rFonts w:ascii="ZWAdobeF" w:hAnsi="ZWAdobeF" w:cs="ZWAdobeF"/>
          <w:color w:val="auto"/>
          <w:sz w:val="2"/>
          <w:szCs w:val="2"/>
        </w:rPr>
        <w:t>752F</w:t>
      </w:r>
      <w:r w:rsidR="00DD0F04">
        <w:rPr>
          <w:rStyle w:val="FootnoteReference"/>
        </w:rPr>
        <w:footnoteReference w:id="754"/>
      </w:r>
      <w:r w:rsidR="00DD0F04">
        <w:t xml:space="preserve"> The Australian Parliamentary Inquiry recommended a presumption that a contradictor should be appointed at settlement where there is the potential for significant conflicts of interest or complex issues to arise.</w:t>
      </w:r>
      <w:r w:rsidR="00D629FA">
        <w:rPr>
          <w:rFonts w:ascii="ZWAdobeF" w:hAnsi="ZWAdobeF" w:cs="ZWAdobeF"/>
          <w:color w:val="auto"/>
          <w:sz w:val="2"/>
          <w:szCs w:val="2"/>
        </w:rPr>
        <w:t>753F</w:t>
      </w:r>
      <w:r w:rsidR="007A330E">
        <w:rPr>
          <w:rFonts w:ascii="ZWAdobeF" w:hAnsi="ZWAdobeF" w:cs="ZWAdobeF"/>
          <w:color w:val="auto"/>
          <w:sz w:val="2"/>
          <w:szCs w:val="2"/>
        </w:rPr>
        <w:t>753F</w:t>
      </w:r>
      <w:r w:rsidR="00317AE4">
        <w:rPr>
          <w:rFonts w:ascii="ZWAdobeF" w:hAnsi="ZWAdobeF" w:cs="ZWAdobeF"/>
          <w:color w:val="auto"/>
          <w:sz w:val="2"/>
          <w:szCs w:val="2"/>
        </w:rPr>
        <w:t>753F</w:t>
      </w:r>
      <w:r w:rsidR="00DD0F04">
        <w:rPr>
          <w:rStyle w:val="FootnoteReference"/>
        </w:rPr>
        <w:footnoteReference w:id="755"/>
      </w:r>
    </w:p>
    <w:p w14:paraId="62BF4CA9" w14:textId="645106DB" w:rsidR="00DD0F04" w:rsidRDefault="00BD5C95" w:rsidP="00B73434">
      <w:pPr>
        <w:pStyle w:val="BodyText"/>
        <w:numPr>
          <w:ilvl w:val="1"/>
          <w:numId w:val="52"/>
        </w:numPr>
        <w:tabs>
          <w:tab w:val="left" w:pos="709"/>
        </w:tabs>
        <w:ind w:hanging="709"/>
      </w:pPr>
      <w:r>
        <w:rPr>
          <w:rFonts w:ascii="ZWAdobeF" w:hAnsi="ZWAdobeF" w:cs="ZWAdobeF"/>
          <w:color w:val="auto"/>
          <w:sz w:val="2"/>
          <w:szCs w:val="2"/>
        </w:rPr>
        <w:t>464B</w:t>
      </w:r>
      <w:r w:rsidR="0049638A">
        <w:rPr>
          <w:rFonts w:ascii="ZWAdobeF" w:hAnsi="ZWAdobeF" w:cs="ZWAdobeF"/>
          <w:color w:val="auto"/>
          <w:sz w:val="2"/>
          <w:szCs w:val="2"/>
        </w:rPr>
        <w:t>464B</w:t>
      </w:r>
      <w:r w:rsidR="00D629FA">
        <w:rPr>
          <w:rFonts w:ascii="ZWAdobeF" w:hAnsi="ZWAdobeF" w:cs="ZWAdobeF"/>
          <w:color w:val="auto"/>
          <w:sz w:val="2"/>
          <w:szCs w:val="2"/>
        </w:rPr>
        <w:t>464B</w:t>
      </w:r>
      <w:r w:rsidR="00DD0F04">
        <w:t>The Law Commission of Ontario (LCO) has recommended the court should have an express power to appoint an amicus curiae to assist the court in evaluating a proposed  settlement.</w:t>
      </w:r>
      <w:r w:rsidR="00D629FA">
        <w:rPr>
          <w:rFonts w:ascii="ZWAdobeF" w:hAnsi="ZWAdobeF" w:cs="ZWAdobeF"/>
          <w:color w:val="auto"/>
          <w:sz w:val="2"/>
          <w:szCs w:val="2"/>
        </w:rPr>
        <w:t>754F</w:t>
      </w:r>
      <w:r w:rsidR="007A330E">
        <w:rPr>
          <w:rFonts w:ascii="ZWAdobeF" w:hAnsi="ZWAdobeF" w:cs="ZWAdobeF"/>
          <w:color w:val="auto"/>
          <w:sz w:val="2"/>
          <w:szCs w:val="2"/>
        </w:rPr>
        <w:t>754F</w:t>
      </w:r>
      <w:r w:rsidR="00317AE4">
        <w:rPr>
          <w:rFonts w:ascii="ZWAdobeF" w:hAnsi="ZWAdobeF" w:cs="ZWAdobeF"/>
          <w:color w:val="auto"/>
          <w:sz w:val="2"/>
          <w:szCs w:val="2"/>
        </w:rPr>
        <w:t>754F</w:t>
      </w:r>
      <w:r w:rsidR="00DD0F04">
        <w:rPr>
          <w:rStyle w:val="FootnoteReference"/>
        </w:rPr>
        <w:footnoteReference w:id="756"/>
      </w:r>
      <w:r w:rsidR="00DD0F04">
        <w:t xml:space="preserve"> While courts have inherent authority to appoint an amicus</w:t>
      </w:r>
      <w:r w:rsidR="003E108A">
        <w:t xml:space="preserve"> curiae</w:t>
      </w:r>
      <w:r w:rsidR="00DD0F04">
        <w:t xml:space="preserve">, the LCO did not find any examples of courts appointing </w:t>
      </w:r>
      <w:r w:rsidR="003E108A">
        <w:t>one</w:t>
      </w:r>
      <w:r w:rsidR="00DD0F04">
        <w:t xml:space="preserve"> to assist with settlement and so it recommended a specific provision.</w:t>
      </w:r>
      <w:r w:rsidR="00D629FA">
        <w:rPr>
          <w:rFonts w:ascii="ZWAdobeF" w:hAnsi="ZWAdobeF" w:cs="ZWAdobeF"/>
          <w:color w:val="auto"/>
          <w:sz w:val="2"/>
          <w:szCs w:val="2"/>
        </w:rPr>
        <w:t>755F</w:t>
      </w:r>
      <w:r w:rsidR="007A330E">
        <w:rPr>
          <w:rFonts w:ascii="ZWAdobeF" w:hAnsi="ZWAdobeF" w:cs="ZWAdobeF"/>
          <w:color w:val="auto"/>
          <w:sz w:val="2"/>
          <w:szCs w:val="2"/>
        </w:rPr>
        <w:t>755F</w:t>
      </w:r>
      <w:r w:rsidR="00317AE4">
        <w:rPr>
          <w:rFonts w:ascii="ZWAdobeF" w:hAnsi="ZWAdobeF" w:cs="ZWAdobeF"/>
          <w:color w:val="auto"/>
          <w:sz w:val="2"/>
          <w:szCs w:val="2"/>
        </w:rPr>
        <w:t>755F</w:t>
      </w:r>
      <w:r w:rsidR="00DD0F04">
        <w:rPr>
          <w:rStyle w:val="FootnoteReference"/>
        </w:rPr>
        <w:footnoteReference w:id="757"/>
      </w:r>
      <w:r w:rsidR="00DD0F04">
        <w:t xml:space="preserve"> There are examples of Ontario courts appointing an independent third party known as a court monitor to assist it in considering an application for settlement approval or appointing a litigation guardian for the class.</w:t>
      </w:r>
      <w:r w:rsidR="00D629FA">
        <w:rPr>
          <w:rFonts w:ascii="ZWAdobeF" w:hAnsi="ZWAdobeF" w:cs="ZWAdobeF"/>
          <w:color w:val="auto"/>
          <w:sz w:val="2"/>
          <w:szCs w:val="2"/>
        </w:rPr>
        <w:t>756F</w:t>
      </w:r>
      <w:r w:rsidR="007A330E">
        <w:rPr>
          <w:rFonts w:ascii="ZWAdobeF" w:hAnsi="ZWAdobeF" w:cs="ZWAdobeF"/>
          <w:color w:val="auto"/>
          <w:sz w:val="2"/>
          <w:szCs w:val="2"/>
        </w:rPr>
        <w:t>756F</w:t>
      </w:r>
      <w:r w:rsidR="00317AE4">
        <w:rPr>
          <w:rFonts w:ascii="ZWAdobeF" w:hAnsi="ZWAdobeF" w:cs="ZWAdobeF"/>
          <w:color w:val="auto"/>
          <w:sz w:val="2"/>
          <w:szCs w:val="2"/>
        </w:rPr>
        <w:t>756F</w:t>
      </w:r>
      <w:r w:rsidR="00DD0F04" w:rsidRPr="0082379B">
        <w:rPr>
          <w:vertAlign w:val="superscript"/>
        </w:rPr>
        <w:footnoteReference w:id="758"/>
      </w:r>
      <w:r w:rsidR="00DD0F04">
        <w:t xml:space="preserve"> </w:t>
      </w:r>
    </w:p>
    <w:p w14:paraId="5FECDE83" w14:textId="5F8FB81F" w:rsidR="00DD0F04" w:rsidRDefault="00BD5C95" w:rsidP="00B73434">
      <w:pPr>
        <w:pStyle w:val="BodyText"/>
        <w:numPr>
          <w:ilvl w:val="1"/>
          <w:numId w:val="52"/>
        </w:numPr>
        <w:tabs>
          <w:tab w:val="left" w:pos="709"/>
        </w:tabs>
        <w:ind w:hanging="709"/>
      </w:pPr>
      <w:r>
        <w:rPr>
          <w:rFonts w:ascii="ZWAdobeF" w:hAnsi="ZWAdobeF" w:cs="ZWAdobeF"/>
          <w:color w:val="auto"/>
          <w:sz w:val="2"/>
          <w:szCs w:val="2"/>
        </w:rPr>
        <w:t>465B</w:t>
      </w:r>
      <w:r w:rsidR="0049638A">
        <w:rPr>
          <w:rFonts w:ascii="ZWAdobeF" w:hAnsi="ZWAdobeF" w:cs="ZWAdobeF"/>
          <w:color w:val="auto"/>
          <w:sz w:val="2"/>
          <w:szCs w:val="2"/>
        </w:rPr>
        <w:t>465B</w:t>
      </w:r>
      <w:r w:rsidR="00D629FA">
        <w:rPr>
          <w:rFonts w:ascii="ZWAdobeF" w:hAnsi="ZWAdobeF" w:cs="ZWAdobeF"/>
          <w:color w:val="auto"/>
          <w:sz w:val="2"/>
          <w:szCs w:val="2"/>
        </w:rPr>
        <w:t>465B</w:t>
      </w:r>
      <w:r w:rsidR="00DD0F04">
        <w:t>A third party such as a non-governmental organisation could be given intervener status to allow it to make submissions on the proposed settlement. In Aotearoa New Zealand, courts regularly grant leave to a third party to intervene in proceedings. The Australian Securities and Investments Commission has an express power to intervene in any proceedings under the Corporations Act 2001</w:t>
      </w:r>
      <w:r w:rsidR="00D629FA">
        <w:rPr>
          <w:rFonts w:ascii="ZWAdobeF" w:hAnsi="ZWAdobeF" w:cs="ZWAdobeF"/>
          <w:color w:val="auto"/>
          <w:sz w:val="2"/>
          <w:szCs w:val="2"/>
        </w:rPr>
        <w:t>757F</w:t>
      </w:r>
      <w:r w:rsidR="007A330E">
        <w:rPr>
          <w:rFonts w:ascii="ZWAdobeF" w:hAnsi="ZWAdobeF" w:cs="ZWAdobeF"/>
          <w:color w:val="auto"/>
          <w:sz w:val="2"/>
          <w:szCs w:val="2"/>
        </w:rPr>
        <w:t>757F</w:t>
      </w:r>
      <w:r w:rsidR="00317AE4">
        <w:rPr>
          <w:rFonts w:ascii="ZWAdobeF" w:hAnsi="ZWAdobeF" w:cs="ZWAdobeF"/>
          <w:color w:val="auto"/>
          <w:sz w:val="2"/>
          <w:szCs w:val="2"/>
        </w:rPr>
        <w:t>757F</w:t>
      </w:r>
      <w:r w:rsidR="00DD0F04">
        <w:rPr>
          <w:rStyle w:val="FootnoteReference"/>
        </w:rPr>
        <w:footnoteReference w:id="759"/>
      </w:r>
      <w:r w:rsidR="00DD0F04">
        <w:t xml:space="preserve"> and has used this power to successfully challenge a proposed class action settlement on the basis that the proposed distribution between class members was not fair and reasonable.</w:t>
      </w:r>
      <w:r w:rsidR="00D629FA">
        <w:rPr>
          <w:rFonts w:ascii="ZWAdobeF" w:hAnsi="ZWAdobeF" w:cs="ZWAdobeF"/>
          <w:color w:val="auto"/>
          <w:sz w:val="2"/>
          <w:szCs w:val="2"/>
        </w:rPr>
        <w:t>758F</w:t>
      </w:r>
      <w:r w:rsidR="007A330E">
        <w:rPr>
          <w:rFonts w:ascii="ZWAdobeF" w:hAnsi="ZWAdobeF" w:cs="ZWAdobeF"/>
          <w:color w:val="auto"/>
          <w:sz w:val="2"/>
          <w:szCs w:val="2"/>
        </w:rPr>
        <w:t>758F</w:t>
      </w:r>
      <w:r w:rsidR="00317AE4">
        <w:rPr>
          <w:rFonts w:ascii="ZWAdobeF" w:hAnsi="ZWAdobeF" w:cs="ZWAdobeF"/>
          <w:color w:val="auto"/>
          <w:sz w:val="2"/>
          <w:szCs w:val="2"/>
        </w:rPr>
        <w:t>758F</w:t>
      </w:r>
      <w:r w:rsidR="00DD0F04">
        <w:rPr>
          <w:rStyle w:val="FootnoteReference"/>
        </w:rPr>
        <w:footnoteReference w:id="760"/>
      </w:r>
      <w:r w:rsidR="00DD0F04">
        <w:t xml:space="preserve"> In the United States, defendants must provide notice of a proposed settlement to relevant federal and state officials, but officials are not expressly provided with standing to object to a settlement.</w:t>
      </w:r>
      <w:r w:rsidR="00D629FA">
        <w:rPr>
          <w:rFonts w:ascii="ZWAdobeF" w:hAnsi="ZWAdobeF" w:cs="ZWAdobeF"/>
          <w:color w:val="auto"/>
          <w:sz w:val="2"/>
          <w:szCs w:val="2"/>
        </w:rPr>
        <w:t>759F</w:t>
      </w:r>
      <w:r w:rsidR="007A330E">
        <w:rPr>
          <w:rFonts w:ascii="ZWAdobeF" w:hAnsi="ZWAdobeF" w:cs="ZWAdobeF"/>
          <w:color w:val="auto"/>
          <w:sz w:val="2"/>
          <w:szCs w:val="2"/>
        </w:rPr>
        <w:t>759F</w:t>
      </w:r>
      <w:r w:rsidR="00317AE4">
        <w:rPr>
          <w:rFonts w:ascii="ZWAdobeF" w:hAnsi="ZWAdobeF" w:cs="ZWAdobeF"/>
          <w:color w:val="auto"/>
          <w:sz w:val="2"/>
          <w:szCs w:val="2"/>
        </w:rPr>
        <w:t>759F</w:t>
      </w:r>
      <w:r w:rsidR="00DD0F04">
        <w:rPr>
          <w:rStyle w:val="FootnoteReference"/>
        </w:rPr>
        <w:footnoteReference w:id="761"/>
      </w:r>
    </w:p>
    <w:p w14:paraId="1D212FBE" w14:textId="5BB51A09" w:rsidR="00DD0F04" w:rsidRDefault="00BD5C95" w:rsidP="00B73434">
      <w:pPr>
        <w:pStyle w:val="BodyText"/>
        <w:numPr>
          <w:ilvl w:val="1"/>
          <w:numId w:val="52"/>
        </w:numPr>
        <w:tabs>
          <w:tab w:val="left" w:pos="709"/>
        </w:tabs>
        <w:ind w:hanging="709"/>
      </w:pPr>
      <w:r>
        <w:rPr>
          <w:rFonts w:ascii="ZWAdobeF" w:hAnsi="ZWAdobeF" w:cs="ZWAdobeF"/>
          <w:color w:val="auto"/>
          <w:sz w:val="2"/>
          <w:szCs w:val="2"/>
        </w:rPr>
        <w:t>466B</w:t>
      </w:r>
      <w:r w:rsidR="0049638A">
        <w:rPr>
          <w:rFonts w:ascii="ZWAdobeF" w:hAnsi="ZWAdobeF" w:cs="ZWAdobeF"/>
          <w:color w:val="auto"/>
          <w:sz w:val="2"/>
          <w:szCs w:val="2"/>
        </w:rPr>
        <w:t>466B</w:t>
      </w:r>
      <w:r w:rsidR="00D629FA">
        <w:rPr>
          <w:rFonts w:ascii="ZWAdobeF" w:hAnsi="ZWAdobeF" w:cs="ZWAdobeF"/>
          <w:color w:val="auto"/>
          <w:sz w:val="2"/>
          <w:szCs w:val="2"/>
        </w:rPr>
        <w:t>466B</w:t>
      </w:r>
      <w:r w:rsidR="00DD0F04">
        <w:t xml:space="preserve">We think in appropriate cases, </w:t>
      </w:r>
      <w:r w:rsidR="00687E19">
        <w:t xml:space="preserve">counsel to assist the court could be appointed to provide </w:t>
      </w:r>
      <w:r w:rsidR="00CF1F19">
        <w:t xml:space="preserve">an independent review of a </w:t>
      </w:r>
      <w:r w:rsidR="00DD0F04">
        <w:t xml:space="preserve">proposed settlement. This may be one way of redressing the ‘adversarial void’ that exists at the settlement approval stage. Our draft legislation provides that the court may appoint a counsel to assist if it considers this will assist the court to determine whether the settlement approval test is met and may order one or </w:t>
      </w:r>
      <w:r w:rsidR="00DD0F04">
        <w:lastRenderedPageBreak/>
        <w:t>more of the parties to meet the cost of this.</w:t>
      </w:r>
      <w:r w:rsidR="00D629FA">
        <w:rPr>
          <w:rFonts w:ascii="ZWAdobeF" w:hAnsi="ZWAdobeF" w:cs="ZWAdobeF"/>
          <w:color w:val="auto"/>
          <w:sz w:val="2"/>
          <w:szCs w:val="2"/>
        </w:rPr>
        <w:t>760F</w:t>
      </w:r>
      <w:r w:rsidR="007A330E">
        <w:rPr>
          <w:rFonts w:ascii="ZWAdobeF" w:hAnsi="ZWAdobeF" w:cs="ZWAdobeF"/>
          <w:color w:val="auto"/>
          <w:sz w:val="2"/>
          <w:szCs w:val="2"/>
        </w:rPr>
        <w:t>760F</w:t>
      </w:r>
      <w:r w:rsidR="00317AE4">
        <w:rPr>
          <w:rFonts w:ascii="ZWAdobeF" w:hAnsi="ZWAdobeF" w:cs="ZWAdobeF"/>
          <w:color w:val="auto"/>
          <w:sz w:val="2"/>
          <w:szCs w:val="2"/>
        </w:rPr>
        <w:t>760F</w:t>
      </w:r>
      <w:r w:rsidR="00DD0F04">
        <w:rPr>
          <w:rStyle w:val="FootnoteReference"/>
        </w:rPr>
        <w:footnoteReference w:id="762"/>
      </w:r>
      <w:r w:rsidR="00DD0F04">
        <w:t xml:space="preserve"> While there is a general power to appoint a counsel assisting in HCR 10.22, we think a specific provision may normalise the role and lead to more frequent appointments with respect to class action settlement approval. We envisage that the court would appoint counsel to assist directly, rather than the Solicitor-General (the latter occurs under HCR 10.22).</w:t>
      </w:r>
      <w:r w:rsidR="00D629FA">
        <w:rPr>
          <w:rFonts w:ascii="ZWAdobeF" w:hAnsi="ZWAdobeF" w:cs="ZWAdobeF"/>
          <w:color w:val="auto"/>
          <w:sz w:val="2"/>
          <w:szCs w:val="2"/>
        </w:rPr>
        <w:t>761F</w:t>
      </w:r>
      <w:r w:rsidR="007A330E">
        <w:rPr>
          <w:rFonts w:ascii="ZWAdobeF" w:hAnsi="ZWAdobeF" w:cs="ZWAdobeF"/>
          <w:color w:val="auto"/>
          <w:sz w:val="2"/>
          <w:szCs w:val="2"/>
        </w:rPr>
        <w:t>761F</w:t>
      </w:r>
      <w:r w:rsidR="00317AE4">
        <w:rPr>
          <w:rFonts w:ascii="ZWAdobeF" w:hAnsi="ZWAdobeF" w:cs="ZWAdobeF"/>
          <w:color w:val="auto"/>
          <w:sz w:val="2"/>
          <w:szCs w:val="2"/>
        </w:rPr>
        <w:t>761F</w:t>
      </w:r>
      <w:r w:rsidR="00DD0F04">
        <w:rPr>
          <w:rStyle w:val="FootnoteReference"/>
        </w:rPr>
        <w:footnoteReference w:id="763"/>
      </w:r>
      <w:r w:rsidR="00DD0F04">
        <w:t xml:space="preserve"> Where a counsel to assist is appointed, it may be appropriate to allow class members to communicate any concerns about the settlement directly to them. If so, this could be referred to in the notice of proposed settlement.</w:t>
      </w:r>
      <w:r w:rsidR="00D629FA">
        <w:rPr>
          <w:rFonts w:ascii="ZWAdobeF" w:hAnsi="ZWAdobeF" w:cs="ZWAdobeF"/>
          <w:color w:val="auto"/>
          <w:sz w:val="2"/>
          <w:szCs w:val="2"/>
        </w:rPr>
        <w:t>762F</w:t>
      </w:r>
      <w:r w:rsidR="007A330E">
        <w:rPr>
          <w:rFonts w:ascii="ZWAdobeF" w:hAnsi="ZWAdobeF" w:cs="ZWAdobeF"/>
          <w:color w:val="auto"/>
          <w:sz w:val="2"/>
          <w:szCs w:val="2"/>
        </w:rPr>
        <w:t>762F</w:t>
      </w:r>
      <w:r w:rsidR="00317AE4">
        <w:rPr>
          <w:rFonts w:ascii="ZWAdobeF" w:hAnsi="ZWAdobeF" w:cs="ZWAdobeF"/>
          <w:color w:val="auto"/>
          <w:sz w:val="2"/>
          <w:szCs w:val="2"/>
        </w:rPr>
        <w:t>762F</w:t>
      </w:r>
      <w:r w:rsidR="00DD0F04">
        <w:rPr>
          <w:rStyle w:val="FootnoteReference"/>
        </w:rPr>
        <w:footnoteReference w:id="764"/>
      </w:r>
      <w:r w:rsidR="00DD0F04">
        <w:t xml:space="preserve">  </w:t>
      </w:r>
    </w:p>
    <w:p w14:paraId="1D3151EF" w14:textId="2AF1BE03" w:rsidR="00DD0F04" w:rsidRDefault="00BD5C95" w:rsidP="00B73434">
      <w:pPr>
        <w:pStyle w:val="BodyText"/>
        <w:numPr>
          <w:ilvl w:val="1"/>
          <w:numId w:val="52"/>
        </w:numPr>
        <w:tabs>
          <w:tab w:val="left" w:pos="709"/>
        </w:tabs>
        <w:ind w:hanging="709"/>
      </w:pPr>
      <w:r>
        <w:rPr>
          <w:rFonts w:ascii="ZWAdobeF" w:hAnsi="ZWAdobeF" w:cs="ZWAdobeF"/>
          <w:color w:val="auto"/>
          <w:sz w:val="2"/>
          <w:szCs w:val="2"/>
        </w:rPr>
        <w:t>467B</w:t>
      </w:r>
      <w:r w:rsidR="0049638A">
        <w:rPr>
          <w:rFonts w:ascii="ZWAdobeF" w:hAnsi="ZWAdobeF" w:cs="ZWAdobeF"/>
          <w:color w:val="auto"/>
          <w:sz w:val="2"/>
          <w:szCs w:val="2"/>
        </w:rPr>
        <w:t>467B</w:t>
      </w:r>
      <w:r w:rsidR="00D629FA">
        <w:rPr>
          <w:rFonts w:ascii="ZWAdobeF" w:hAnsi="ZWAdobeF" w:cs="ZWAdobeF"/>
          <w:color w:val="auto"/>
          <w:sz w:val="2"/>
          <w:szCs w:val="2"/>
        </w:rPr>
        <w:t>467B</w:t>
      </w:r>
      <w:r w:rsidR="00DD0F04">
        <w:t>Our draft legislation also provides that the court may appoint a court expert if this will assist the court to determine whether the test for settlement approval is met.</w:t>
      </w:r>
      <w:r w:rsidR="00D629FA">
        <w:rPr>
          <w:rFonts w:ascii="ZWAdobeF" w:hAnsi="ZWAdobeF" w:cs="ZWAdobeF"/>
          <w:color w:val="auto"/>
          <w:sz w:val="2"/>
          <w:szCs w:val="2"/>
        </w:rPr>
        <w:t>763F</w:t>
      </w:r>
      <w:r w:rsidR="007A330E">
        <w:rPr>
          <w:rFonts w:ascii="ZWAdobeF" w:hAnsi="ZWAdobeF" w:cs="ZWAdobeF"/>
          <w:color w:val="auto"/>
          <w:sz w:val="2"/>
          <w:szCs w:val="2"/>
        </w:rPr>
        <w:t>763F</w:t>
      </w:r>
      <w:r w:rsidR="00317AE4">
        <w:rPr>
          <w:rFonts w:ascii="ZWAdobeF" w:hAnsi="ZWAdobeF" w:cs="ZWAdobeF"/>
          <w:color w:val="auto"/>
          <w:sz w:val="2"/>
          <w:szCs w:val="2"/>
        </w:rPr>
        <w:t>763F</w:t>
      </w:r>
      <w:r w:rsidR="00DD0F04">
        <w:rPr>
          <w:rStyle w:val="FootnoteReference"/>
        </w:rPr>
        <w:footnoteReference w:id="765"/>
      </w:r>
      <w:r w:rsidR="00DD0F04">
        <w:t xml:space="preserve"> This may be particularly useful in relation to litigation funding commissions, as we discuss later in this chapter. As with counsel to assist the court, while the court already has a general power to appoint court experts, we think a specific provision in a class actions regime would be beneficial.</w:t>
      </w:r>
      <w:r w:rsidR="009D791F">
        <w:t xml:space="preserve"> It could also </w:t>
      </w:r>
      <w:r w:rsidR="007A556E">
        <w:t>empower</w:t>
      </w:r>
      <w:r w:rsidR="009D791F">
        <w:t xml:space="preserve"> the court to order the parties to meet the cost of </w:t>
      </w:r>
      <w:r w:rsidR="009015D0">
        <w:t>a court expert</w:t>
      </w:r>
      <w:r w:rsidR="00C774F1">
        <w:t>.</w:t>
      </w:r>
      <w:r w:rsidR="00D629FA">
        <w:rPr>
          <w:rFonts w:ascii="ZWAdobeF" w:hAnsi="ZWAdobeF" w:cs="ZWAdobeF"/>
          <w:color w:val="auto"/>
          <w:sz w:val="2"/>
          <w:szCs w:val="2"/>
        </w:rPr>
        <w:t>764F</w:t>
      </w:r>
      <w:r w:rsidR="007A330E">
        <w:rPr>
          <w:rFonts w:ascii="ZWAdobeF" w:hAnsi="ZWAdobeF" w:cs="ZWAdobeF"/>
          <w:color w:val="auto"/>
          <w:sz w:val="2"/>
          <w:szCs w:val="2"/>
        </w:rPr>
        <w:t>764F</w:t>
      </w:r>
      <w:r w:rsidR="00317AE4">
        <w:rPr>
          <w:rFonts w:ascii="ZWAdobeF" w:hAnsi="ZWAdobeF" w:cs="ZWAdobeF"/>
          <w:color w:val="auto"/>
          <w:sz w:val="2"/>
          <w:szCs w:val="2"/>
        </w:rPr>
        <w:t>764F</w:t>
      </w:r>
      <w:r w:rsidR="00DD0F04">
        <w:rPr>
          <w:rStyle w:val="FootnoteReference"/>
        </w:rPr>
        <w:footnoteReference w:id="766"/>
      </w:r>
    </w:p>
    <w:p w14:paraId="0821035D" w14:textId="17133D81" w:rsidR="00DD0F04" w:rsidRDefault="00BD5C95" w:rsidP="00B73434">
      <w:pPr>
        <w:pStyle w:val="BodyText"/>
        <w:numPr>
          <w:ilvl w:val="1"/>
          <w:numId w:val="52"/>
        </w:numPr>
        <w:tabs>
          <w:tab w:val="left" w:pos="709"/>
        </w:tabs>
        <w:ind w:hanging="709"/>
      </w:pPr>
      <w:r>
        <w:rPr>
          <w:rFonts w:ascii="ZWAdobeF" w:hAnsi="ZWAdobeF" w:cs="ZWAdobeF"/>
          <w:color w:val="auto"/>
          <w:sz w:val="2"/>
          <w:szCs w:val="2"/>
        </w:rPr>
        <w:t>468B</w:t>
      </w:r>
      <w:r w:rsidR="0049638A">
        <w:rPr>
          <w:rFonts w:ascii="ZWAdobeF" w:hAnsi="ZWAdobeF" w:cs="ZWAdobeF"/>
          <w:color w:val="auto"/>
          <w:sz w:val="2"/>
          <w:szCs w:val="2"/>
        </w:rPr>
        <w:t>468B</w:t>
      </w:r>
      <w:r w:rsidR="00D629FA">
        <w:rPr>
          <w:rFonts w:ascii="ZWAdobeF" w:hAnsi="ZWAdobeF" w:cs="ZWAdobeF"/>
          <w:color w:val="auto"/>
          <w:sz w:val="2"/>
          <w:szCs w:val="2"/>
        </w:rPr>
        <w:t>468B</w:t>
      </w:r>
      <w:r w:rsidR="00DD0F04">
        <w:t xml:space="preserve">While we think it may be appropriate to allow an intervener to make submissions on settlement in appropriate cases, an intervener is likely to play a different role to counsel assisting the court or an expert. An intervener would generally represent their own interests or systemic interests and might only wish to submit on limited aspects of a settlement. We therefore do not think it is necessary to have a provision which expressly refers to the court’s ability to grant a third party leave to intervene on an application for settlement approval. We note that in </w:t>
      </w:r>
      <w:r w:rsidR="00DD0F04" w:rsidRPr="002C4817">
        <w:rPr>
          <w:i/>
          <w:iCs/>
        </w:rPr>
        <w:t xml:space="preserve">Southern Response v Ross, </w:t>
      </w:r>
      <w:r w:rsidR="00DD0F04">
        <w:t xml:space="preserve">the Supreme Court invited </w:t>
      </w:r>
      <w:r w:rsidR="003F0BE3">
        <w:t>Te Kāhui Ture o Aotearoa |</w:t>
      </w:r>
      <w:r w:rsidR="00DD0F04">
        <w:t xml:space="preserve"> New Zealand Law Society </w:t>
      </w:r>
      <w:r w:rsidR="00CD77A5">
        <w:t xml:space="preserve">(NZLS) </w:t>
      </w:r>
      <w:r w:rsidR="00DD0F04">
        <w:t>and the New Zealand Bar Association to intervene if they wished to do so and directed the Registrar to bring the appeal to their attention.</w:t>
      </w:r>
      <w:r w:rsidR="00D629FA">
        <w:rPr>
          <w:rFonts w:ascii="ZWAdobeF" w:hAnsi="ZWAdobeF" w:cs="ZWAdobeF"/>
          <w:color w:val="auto"/>
          <w:sz w:val="2"/>
          <w:szCs w:val="2"/>
        </w:rPr>
        <w:t>765F</w:t>
      </w:r>
      <w:r w:rsidR="007A330E">
        <w:rPr>
          <w:rFonts w:ascii="ZWAdobeF" w:hAnsi="ZWAdobeF" w:cs="ZWAdobeF"/>
          <w:color w:val="auto"/>
          <w:sz w:val="2"/>
          <w:szCs w:val="2"/>
        </w:rPr>
        <w:t>765F</w:t>
      </w:r>
      <w:r w:rsidR="00317AE4">
        <w:rPr>
          <w:rFonts w:ascii="ZWAdobeF" w:hAnsi="ZWAdobeF" w:cs="ZWAdobeF"/>
          <w:color w:val="auto"/>
          <w:sz w:val="2"/>
          <w:szCs w:val="2"/>
        </w:rPr>
        <w:t>765F</w:t>
      </w:r>
      <w:r w:rsidR="00DD0F04">
        <w:rPr>
          <w:rStyle w:val="FootnoteReference"/>
        </w:rPr>
        <w:footnoteReference w:id="767"/>
      </w:r>
      <w:r w:rsidR="00DD0F04">
        <w:t xml:space="preserve"> We think the High Court could take a similar approach where it considers a particular organisation should be notified of an application for settlement approval.</w:t>
      </w:r>
    </w:p>
    <w:p w14:paraId="2424207F" w14:textId="76589191" w:rsidR="00316572" w:rsidRDefault="00316572" w:rsidP="00316572">
      <w:pPr>
        <w:pStyle w:val="QuestionBox"/>
      </w:pPr>
      <w:r>
        <w:rPr>
          <w:noProof/>
        </w:rPr>
        <mc:AlternateContent>
          <mc:Choice Requires="wpg">
            <w:drawing>
              <wp:anchor distT="0" distB="0" distL="114300" distR="114300" simplePos="0" relativeHeight="251652181" behindDoc="1" locked="0" layoutInCell="1" allowOverlap="1" wp14:anchorId="3ED55778" wp14:editId="6F205F09">
                <wp:simplePos x="0" y="0"/>
                <wp:positionH relativeFrom="column">
                  <wp:posOffset>5715</wp:posOffset>
                </wp:positionH>
                <wp:positionV relativeFrom="paragraph">
                  <wp:posOffset>3810</wp:posOffset>
                </wp:positionV>
                <wp:extent cx="5760085" cy="1314485"/>
                <wp:effectExtent l="0" t="0" r="0" b="0"/>
                <wp:wrapNone/>
                <wp:docPr id="764518017" name="Group 764518017"/>
                <wp:cNvGraphicFramePr/>
                <a:graphic xmlns:a="http://schemas.openxmlformats.org/drawingml/2006/main">
                  <a:graphicData uri="http://schemas.microsoft.com/office/word/2010/wordprocessingGroup">
                    <wpg:wgp>
                      <wpg:cNvGrpSpPr/>
                      <wpg:grpSpPr>
                        <a:xfrm>
                          <a:off x="0" y="0"/>
                          <a:ext cx="5760085" cy="1314485"/>
                          <a:chOff x="0" y="62865"/>
                          <a:chExt cx="5760085" cy="1314618"/>
                        </a:xfrm>
                      </wpg:grpSpPr>
                      <wps:wsp>
                        <wps:cNvPr id="76451801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EAF292" w14:textId="77777777" w:rsidR="00A55F53" w:rsidRDefault="00A55F53" w:rsidP="00316572">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19" name="Group 53"/>
                        <wpg:cNvGrpSpPr>
                          <a:grpSpLocks/>
                        </wpg:cNvGrpSpPr>
                        <wpg:grpSpPr bwMode="auto">
                          <a:xfrm>
                            <a:off x="0" y="316170"/>
                            <a:ext cx="5760085" cy="1061313"/>
                            <a:chOff x="1837" y="1791"/>
                            <a:chExt cx="9302" cy="11464"/>
                          </a:xfrm>
                        </wpg:grpSpPr>
                        <wps:wsp>
                          <wps:cNvPr id="764518020" name="Freeform 54"/>
                          <wps:cNvSpPr>
                            <a:spLocks/>
                          </wps:cNvSpPr>
                          <wps:spPr bwMode="auto">
                            <a:xfrm>
                              <a:off x="1837" y="1791"/>
                              <a:ext cx="9302" cy="1146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21" name="Group 764518021"/>
                        <wpg:cNvGrpSpPr/>
                        <wpg:grpSpPr>
                          <a:xfrm>
                            <a:off x="0" y="494036"/>
                            <a:ext cx="1443794" cy="252000"/>
                            <a:chOff x="-15880" y="0"/>
                            <a:chExt cx="1444379" cy="252068"/>
                          </a:xfrm>
                        </wpg:grpSpPr>
                        <wps:wsp>
                          <wps:cNvPr id="76451802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2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68BE47" w14:textId="22A45F47" w:rsidR="00A55F53" w:rsidRPr="00E700FF" w:rsidRDefault="00A55F53" w:rsidP="00316572">
                                <w:pPr>
                                  <w:pStyle w:val="BoxTitle"/>
                                  <w:spacing w:before="0" w:beforeAutospacing="0"/>
                                </w:pPr>
                                <w:r w:rsidRPr="001C1B37">
                                  <w:t>Q</w:t>
                                </w:r>
                                <w:r>
                                  <w:t>42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ED55778" id="Group 764518017" o:spid="_x0000_s1494" style="position:absolute;left:0;text-align:left;margin-left:.45pt;margin-top:.3pt;width:453.55pt;height:103.5pt;z-index:-251664299;mso-height-relative:margin" coordorigin=",628" coordsize="57600,1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">
                <v:shape id="_x0000_s149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1EAF292" w14:textId="77777777" w:rsidR="00A55F53" w:rsidRDefault="00A55F53" w:rsidP="00316572">
                        <w:pPr>
                          <w:pStyle w:val="BoxTitle"/>
                          <w:spacing w:before="0" w:beforeAutospacing="0"/>
                        </w:pPr>
                        <w:r w:rsidRPr="007F6876">
                          <w:t>QUESTION</w:t>
                        </w:r>
                      </w:p>
                    </w:txbxContent>
                  </v:textbox>
                </v:shape>
                <v:group id="Group 53" o:spid="_x0000_s1496" style="position:absolute;top:3161;width:57600;height:10613" coordorigin="1837,1791" coordsize="9302,1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">
                  <v:shape id="Freeform 54" o:spid="_x0000_s1497" style="position:absolute;left:1837;top:1791;width:9302;height:1146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" path="m,l9354,r,7809l,7809,,e" fillcolor="#edf2ea" stroked="f">
                    <v:path arrowok="t" o:connecttype="custom" o:connectlocs="0,1468;9302,1468;9302,12932;0,12932;0,1468" o:connectangles="0,0,0,0,0"/>
                  </v:shape>
                </v:group>
                <v:group id="Group 764518021" o:spid="_x0000_s149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">
                  <v:shape id="Freeform 58" o:spid="_x0000_s149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" path="m,l1815,e" filled="f" strokecolor="#72ab6a" strokeweight=".5pt">
                    <v:path arrowok="t" o:connecttype="custom" o:connectlocs="0,0;1073495,0" o:connectangles="0,0"/>
                  </v:shape>
                  <v:shape id="Freeform 66" o:spid="_x0000_s150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D68BE47" w14:textId="22A45F47" w:rsidR="00A55F53" w:rsidRPr="00E700FF" w:rsidRDefault="00A55F53" w:rsidP="00316572">
                          <w:pPr>
                            <w:pStyle w:val="BoxTitle"/>
                            <w:spacing w:before="0" w:beforeAutospacing="0"/>
                          </w:pPr>
                          <w:r w:rsidRPr="001C1B37">
                            <w:t>Q</w:t>
                          </w:r>
                          <w:r>
                            <w:t>42</w:t>
                          </w:r>
                        </w:p>
                      </w:txbxContent>
                    </v:textbox>
                  </v:shape>
                </v:group>
              </v:group>
            </w:pict>
          </mc:Fallback>
        </mc:AlternateContent>
      </w:r>
    </w:p>
    <w:p w14:paraId="1B69B9AB" w14:textId="77777777" w:rsidR="00316572" w:rsidRDefault="00316572" w:rsidP="00316572">
      <w:pPr>
        <w:pStyle w:val="QuestionBox"/>
      </w:pPr>
    </w:p>
    <w:p w14:paraId="758AA979" w14:textId="261F2F2E" w:rsidR="00DD0F04" w:rsidRDefault="00BD5C95" w:rsidP="00316572">
      <w:pPr>
        <w:pStyle w:val="QuestionBox"/>
      </w:pPr>
      <w:r>
        <w:rPr>
          <w:rFonts w:ascii="ZWAdobeF" w:hAnsi="ZWAdobeF" w:cs="ZWAdobeF"/>
          <w:color w:val="auto"/>
          <w:sz w:val="2"/>
          <w:szCs w:val="2"/>
        </w:rPr>
        <w:t>1448B</w:t>
      </w:r>
      <w:r w:rsidR="0049638A">
        <w:rPr>
          <w:rFonts w:ascii="ZWAdobeF" w:hAnsi="ZWAdobeF" w:cs="ZWAdobeF"/>
          <w:color w:val="auto"/>
          <w:sz w:val="2"/>
          <w:szCs w:val="2"/>
        </w:rPr>
        <w:t>1448B</w:t>
      </w:r>
      <w:r w:rsidR="00D629FA">
        <w:rPr>
          <w:rFonts w:ascii="ZWAdobeF" w:hAnsi="ZWAdobeF" w:cs="ZWAdobeF"/>
          <w:color w:val="auto"/>
          <w:sz w:val="2"/>
          <w:szCs w:val="2"/>
        </w:rPr>
        <w:t>1448B</w:t>
      </w:r>
      <w:r w:rsidR="00DD0F04">
        <w:t>Do you agree there should there be an express power to appoint a counsel to assist the court or a court expert with respect to settlement approval? Should the court be able to order one or more parties to meet some or all of the cost of this?</w:t>
      </w:r>
    </w:p>
    <w:p w14:paraId="3EDC10CC" w14:textId="77777777" w:rsidR="00452738" w:rsidRDefault="00452738" w:rsidP="00316572">
      <w:pPr>
        <w:pStyle w:val="QuestionBox"/>
      </w:pPr>
    </w:p>
    <w:p w14:paraId="56DC3E8E" w14:textId="77777777" w:rsidR="00416FCA" w:rsidRDefault="00416FCA">
      <w:pPr>
        <w:widowControl w:val="0"/>
        <w:spacing w:after="200" w:line="276" w:lineRule="auto"/>
        <w:rPr>
          <w:rFonts w:ascii="Metropolis" w:hAnsi="Metropolis"/>
          <w:b/>
          <w:caps/>
          <w:color w:val="73AB6E"/>
          <w:sz w:val="22"/>
        </w:rPr>
      </w:pPr>
      <w:r>
        <w:br w:type="page"/>
      </w:r>
    </w:p>
    <w:p w14:paraId="63948AFB" w14:textId="5C3420D4" w:rsidR="00DD0F04" w:rsidRDefault="00DD0F04" w:rsidP="00452738">
      <w:pPr>
        <w:pStyle w:val="Heading2"/>
      </w:pPr>
      <w:bookmarkStart w:id="101" w:name="_Toc83895462"/>
      <w:r>
        <w:lastRenderedPageBreak/>
        <w:t>Test for approving a settlement</w:t>
      </w:r>
      <w:bookmarkEnd w:id="101"/>
    </w:p>
    <w:p w14:paraId="54A49B1F" w14:textId="5C899B7F" w:rsidR="00DD0F04" w:rsidRDefault="00BD5C95" w:rsidP="00B73434">
      <w:pPr>
        <w:pStyle w:val="BodyText"/>
        <w:numPr>
          <w:ilvl w:val="1"/>
          <w:numId w:val="52"/>
        </w:numPr>
        <w:tabs>
          <w:tab w:val="left" w:pos="709"/>
        </w:tabs>
        <w:ind w:hanging="709"/>
      </w:pPr>
      <w:r>
        <w:rPr>
          <w:rFonts w:ascii="ZWAdobeF" w:hAnsi="ZWAdobeF" w:cs="ZWAdobeF"/>
          <w:color w:val="auto"/>
          <w:sz w:val="2"/>
          <w:szCs w:val="2"/>
        </w:rPr>
        <w:t>469B</w:t>
      </w:r>
      <w:r w:rsidR="0049638A">
        <w:rPr>
          <w:rFonts w:ascii="ZWAdobeF" w:hAnsi="ZWAdobeF" w:cs="ZWAdobeF"/>
          <w:color w:val="auto"/>
          <w:sz w:val="2"/>
          <w:szCs w:val="2"/>
        </w:rPr>
        <w:t>469B</w:t>
      </w:r>
      <w:r w:rsidR="00D629FA">
        <w:rPr>
          <w:rFonts w:ascii="ZWAdobeF" w:hAnsi="ZWAdobeF" w:cs="ZWAdobeF"/>
          <w:color w:val="auto"/>
          <w:sz w:val="2"/>
          <w:szCs w:val="2"/>
        </w:rPr>
        <w:t>469B</w:t>
      </w:r>
      <w:r w:rsidR="00DD0F04">
        <w:t xml:space="preserve">In this section, we discuss the test the court should apply when deciding whether to approve a settlement and whether there should be factors to guide a court’s assessment. </w:t>
      </w:r>
    </w:p>
    <w:p w14:paraId="49DFC93B" w14:textId="77777777" w:rsidR="00DD0F04" w:rsidRDefault="00DD0F04" w:rsidP="00452738">
      <w:pPr>
        <w:pStyle w:val="Heading3"/>
      </w:pPr>
      <w:r>
        <w:t xml:space="preserve">Test for court approval of settlement </w:t>
      </w:r>
    </w:p>
    <w:p w14:paraId="2937B586" w14:textId="39285D21" w:rsidR="00DD0F04" w:rsidRDefault="00BD5C95" w:rsidP="00B73434">
      <w:pPr>
        <w:pStyle w:val="BodyText"/>
        <w:numPr>
          <w:ilvl w:val="1"/>
          <w:numId w:val="52"/>
        </w:numPr>
        <w:tabs>
          <w:tab w:val="left" w:pos="709"/>
        </w:tabs>
        <w:ind w:hanging="709"/>
      </w:pPr>
      <w:r>
        <w:rPr>
          <w:rFonts w:ascii="ZWAdobeF" w:hAnsi="ZWAdobeF" w:cs="ZWAdobeF"/>
          <w:color w:val="auto"/>
          <w:sz w:val="2"/>
          <w:szCs w:val="2"/>
        </w:rPr>
        <w:t>470B</w:t>
      </w:r>
      <w:r w:rsidR="0049638A">
        <w:rPr>
          <w:rFonts w:ascii="ZWAdobeF" w:hAnsi="ZWAdobeF" w:cs="ZWAdobeF"/>
          <w:color w:val="auto"/>
          <w:sz w:val="2"/>
          <w:szCs w:val="2"/>
        </w:rPr>
        <w:t>470B</w:t>
      </w:r>
      <w:r w:rsidR="00D629FA">
        <w:rPr>
          <w:rFonts w:ascii="ZWAdobeF" w:hAnsi="ZWAdobeF" w:cs="ZWAdobeF"/>
          <w:color w:val="auto"/>
          <w:sz w:val="2"/>
          <w:szCs w:val="2"/>
        </w:rPr>
        <w:t>470B</w:t>
      </w:r>
      <w:r w:rsidR="00DD0F04">
        <w:t xml:space="preserve">The test that courts apply when deciding whether to approve a settlement is relatively similar across our comparator jurisdictions, although it is not codified in all of them. </w:t>
      </w:r>
    </w:p>
    <w:p w14:paraId="593BAE65" w14:textId="0B221304" w:rsidR="00DD0F04" w:rsidRDefault="00BD5C95" w:rsidP="00B73434">
      <w:pPr>
        <w:pStyle w:val="BodyText"/>
        <w:numPr>
          <w:ilvl w:val="1"/>
          <w:numId w:val="52"/>
        </w:numPr>
        <w:tabs>
          <w:tab w:val="left" w:pos="709"/>
        </w:tabs>
        <w:ind w:hanging="709"/>
      </w:pPr>
      <w:r>
        <w:rPr>
          <w:rFonts w:ascii="ZWAdobeF" w:hAnsi="ZWAdobeF" w:cs="ZWAdobeF"/>
          <w:color w:val="auto"/>
          <w:sz w:val="2"/>
          <w:szCs w:val="2"/>
        </w:rPr>
        <w:t>471B</w:t>
      </w:r>
      <w:r w:rsidR="0049638A">
        <w:rPr>
          <w:rFonts w:ascii="ZWAdobeF" w:hAnsi="ZWAdobeF" w:cs="ZWAdobeF"/>
          <w:color w:val="auto"/>
          <w:sz w:val="2"/>
          <w:szCs w:val="2"/>
        </w:rPr>
        <w:t>471B</w:t>
      </w:r>
      <w:r w:rsidR="00D629FA">
        <w:rPr>
          <w:rFonts w:ascii="ZWAdobeF" w:hAnsi="ZWAdobeF" w:cs="ZWAdobeF"/>
          <w:color w:val="auto"/>
          <w:sz w:val="2"/>
          <w:szCs w:val="2"/>
        </w:rPr>
        <w:t>471B</w:t>
      </w:r>
      <w:r w:rsidR="00DD0F04">
        <w:t>The Australian regimes do not specify a test for the court to apply when approving a settlement and so principles have developed through case law.</w:t>
      </w:r>
      <w:r w:rsidR="00D629FA">
        <w:rPr>
          <w:rFonts w:ascii="ZWAdobeF" w:hAnsi="ZWAdobeF" w:cs="ZWAdobeF"/>
          <w:color w:val="auto"/>
          <w:sz w:val="2"/>
          <w:szCs w:val="2"/>
        </w:rPr>
        <w:t>766F</w:t>
      </w:r>
      <w:r w:rsidR="007A330E">
        <w:rPr>
          <w:rFonts w:ascii="ZWAdobeF" w:hAnsi="ZWAdobeF" w:cs="ZWAdobeF"/>
          <w:color w:val="auto"/>
          <w:sz w:val="2"/>
          <w:szCs w:val="2"/>
        </w:rPr>
        <w:t>766F</w:t>
      </w:r>
      <w:r w:rsidR="00317AE4">
        <w:rPr>
          <w:rFonts w:ascii="ZWAdobeF" w:hAnsi="ZWAdobeF" w:cs="ZWAdobeF"/>
          <w:color w:val="auto"/>
          <w:sz w:val="2"/>
          <w:szCs w:val="2"/>
        </w:rPr>
        <w:t>766F</w:t>
      </w:r>
      <w:r w:rsidR="00DD0F04">
        <w:rPr>
          <w:rStyle w:val="FootnoteReference"/>
        </w:rPr>
        <w:footnoteReference w:id="768"/>
      </w:r>
      <w:r w:rsidR="00DD0F04">
        <w:t xml:space="preserve"> The court’s task has been described as follows:</w:t>
      </w:r>
      <w:r w:rsidR="00D629FA">
        <w:rPr>
          <w:rFonts w:ascii="ZWAdobeF" w:hAnsi="ZWAdobeF" w:cs="ZWAdobeF"/>
          <w:color w:val="auto"/>
          <w:sz w:val="2"/>
          <w:szCs w:val="2"/>
        </w:rPr>
        <w:t>767F</w:t>
      </w:r>
      <w:r w:rsidR="007A330E">
        <w:rPr>
          <w:rFonts w:ascii="ZWAdobeF" w:hAnsi="ZWAdobeF" w:cs="ZWAdobeF"/>
          <w:color w:val="auto"/>
          <w:sz w:val="2"/>
          <w:szCs w:val="2"/>
        </w:rPr>
        <w:t>767F</w:t>
      </w:r>
      <w:r w:rsidR="00317AE4">
        <w:rPr>
          <w:rFonts w:ascii="ZWAdobeF" w:hAnsi="ZWAdobeF" w:cs="ZWAdobeF"/>
          <w:color w:val="auto"/>
          <w:sz w:val="2"/>
          <w:szCs w:val="2"/>
        </w:rPr>
        <w:t>767F</w:t>
      </w:r>
      <w:r w:rsidR="00DD0F04">
        <w:rPr>
          <w:rStyle w:val="FootnoteReference"/>
        </w:rPr>
        <w:footnoteReference w:id="769"/>
      </w:r>
    </w:p>
    <w:p w14:paraId="619E34ED" w14:textId="23162F6B" w:rsidR="00DD0F04" w:rsidRPr="00A72AF8" w:rsidRDefault="00BD5C95" w:rsidP="004E1598">
      <w:pPr>
        <w:pStyle w:val="Quote"/>
      </w:pPr>
      <w:r>
        <w:rPr>
          <w:rFonts w:ascii="ZWAdobeF" w:hAnsi="ZWAdobeF" w:cs="ZWAdobeF"/>
          <w:color w:val="auto"/>
          <w:sz w:val="2"/>
          <w:szCs w:val="2"/>
        </w:rPr>
        <w:t>1473B</w:t>
      </w:r>
      <w:r w:rsidR="0049638A">
        <w:rPr>
          <w:rFonts w:ascii="ZWAdobeF" w:hAnsi="ZWAdobeF" w:cs="ZWAdobeF"/>
          <w:color w:val="auto"/>
          <w:sz w:val="2"/>
          <w:szCs w:val="2"/>
        </w:rPr>
        <w:t>1473B</w:t>
      </w:r>
      <w:r w:rsidR="00D629FA">
        <w:rPr>
          <w:rFonts w:ascii="ZWAdobeF" w:hAnsi="ZWAdobeF" w:cs="ZWAdobeF"/>
          <w:color w:val="auto"/>
          <w:sz w:val="2"/>
          <w:szCs w:val="2"/>
        </w:rPr>
        <w:t>1473B</w:t>
      </w:r>
      <w:r w:rsidR="00DD0F04" w:rsidRPr="00A72AF8">
        <w:t>The central question is whether the proposed settlement is a</w:t>
      </w:r>
      <w:r w:rsidR="00DD0F04" w:rsidRPr="004E1598">
        <w:rPr>
          <w:rFonts w:ascii="Calibri" w:hAnsi="Calibri" w:cs="Calibri"/>
        </w:rPr>
        <w:t> </w:t>
      </w:r>
      <w:r w:rsidR="00DD0F04" w:rsidRPr="00A72AF8">
        <w:t>fair</w:t>
      </w:r>
      <w:r w:rsidR="00DD0F04" w:rsidRPr="004E1598">
        <w:rPr>
          <w:rFonts w:ascii="Calibri" w:hAnsi="Calibri" w:cs="Calibri"/>
        </w:rPr>
        <w:t> </w:t>
      </w:r>
      <w:r w:rsidR="00DD0F04" w:rsidRPr="00A72AF8">
        <w:t>and reasonable compromise of the claims of the applicants and</w:t>
      </w:r>
      <w:r w:rsidR="00DD0F04" w:rsidRPr="004E1598">
        <w:rPr>
          <w:rFonts w:ascii="Calibri" w:hAnsi="Calibri" w:cs="Calibri"/>
        </w:rPr>
        <w:t> </w:t>
      </w:r>
      <w:r w:rsidR="00DD0F04" w:rsidRPr="00A72AF8">
        <w:t>group</w:t>
      </w:r>
      <w:r w:rsidR="00DD0F04" w:rsidRPr="004E1598">
        <w:rPr>
          <w:rFonts w:ascii="Calibri" w:hAnsi="Calibri" w:cs="Calibri"/>
        </w:rPr>
        <w:t> </w:t>
      </w:r>
      <w:r w:rsidR="00DD0F04" w:rsidRPr="00A72AF8">
        <w:t>members. That requires consideration of whether the proposed settlement is</w:t>
      </w:r>
      <w:r w:rsidR="00DD0F04" w:rsidRPr="004E1598">
        <w:rPr>
          <w:rFonts w:ascii="Calibri" w:hAnsi="Calibri" w:cs="Calibri"/>
        </w:rPr>
        <w:t> </w:t>
      </w:r>
      <w:r w:rsidR="00DD0F04" w:rsidRPr="00A72AF8">
        <w:t>fair</w:t>
      </w:r>
      <w:r w:rsidR="00DD0F04" w:rsidRPr="004E1598">
        <w:rPr>
          <w:rFonts w:ascii="Calibri" w:hAnsi="Calibri" w:cs="Calibri"/>
        </w:rPr>
        <w:t> </w:t>
      </w:r>
      <w:r w:rsidR="00DD0F04" w:rsidRPr="00A72AF8">
        <w:t>and reasonable, first, as between the applicants and</w:t>
      </w:r>
      <w:r w:rsidR="00DD0F04" w:rsidRPr="004E1598">
        <w:rPr>
          <w:rFonts w:ascii="Calibri" w:hAnsi="Calibri" w:cs="Calibri"/>
        </w:rPr>
        <w:t> </w:t>
      </w:r>
      <w:r w:rsidR="00DD0F04" w:rsidRPr="00A72AF8">
        <w:t>group</w:t>
      </w:r>
      <w:r w:rsidR="00DD0F04" w:rsidRPr="004E1598">
        <w:rPr>
          <w:rFonts w:ascii="Calibri" w:hAnsi="Calibri" w:cs="Calibri"/>
        </w:rPr>
        <w:t> </w:t>
      </w:r>
      <w:r w:rsidR="00DD0F04" w:rsidRPr="00A72AF8">
        <w:t>members and the respondent, and, second, as between the</w:t>
      </w:r>
      <w:r w:rsidR="00DD0F04" w:rsidRPr="004E1598">
        <w:rPr>
          <w:rFonts w:ascii="Calibri" w:hAnsi="Calibri" w:cs="Calibri"/>
        </w:rPr>
        <w:t> </w:t>
      </w:r>
      <w:r w:rsidR="00DD0F04" w:rsidRPr="00A72AF8">
        <w:t>group</w:t>
      </w:r>
      <w:r w:rsidR="00DD0F04" w:rsidRPr="004E1598">
        <w:rPr>
          <w:rFonts w:ascii="Calibri" w:hAnsi="Calibri" w:cs="Calibri"/>
        </w:rPr>
        <w:t> </w:t>
      </w:r>
      <w:r w:rsidR="00DD0F04" w:rsidRPr="00A72AF8">
        <w:t>members.</w:t>
      </w:r>
    </w:p>
    <w:p w14:paraId="0D6158F1" w14:textId="35403042" w:rsidR="00DD0F04" w:rsidRDefault="00BD5C95" w:rsidP="00B73434">
      <w:pPr>
        <w:pStyle w:val="BodyText"/>
        <w:numPr>
          <w:ilvl w:val="1"/>
          <w:numId w:val="52"/>
        </w:numPr>
        <w:tabs>
          <w:tab w:val="left" w:pos="709"/>
        </w:tabs>
        <w:ind w:hanging="709"/>
      </w:pPr>
      <w:r>
        <w:rPr>
          <w:rFonts w:ascii="ZWAdobeF" w:hAnsi="ZWAdobeF" w:cs="ZWAdobeF"/>
          <w:color w:val="auto"/>
          <w:sz w:val="2"/>
          <w:szCs w:val="2"/>
        </w:rPr>
        <w:t>472B</w:t>
      </w:r>
      <w:r w:rsidR="0049638A">
        <w:rPr>
          <w:rFonts w:ascii="ZWAdobeF" w:hAnsi="ZWAdobeF" w:cs="ZWAdobeF"/>
          <w:color w:val="auto"/>
          <w:sz w:val="2"/>
          <w:szCs w:val="2"/>
        </w:rPr>
        <w:t>472B</w:t>
      </w:r>
      <w:r w:rsidR="00D629FA">
        <w:rPr>
          <w:rFonts w:ascii="ZWAdobeF" w:hAnsi="ZWAdobeF" w:cs="ZWAdobeF"/>
          <w:color w:val="auto"/>
          <w:sz w:val="2"/>
          <w:szCs w:val="2"/>
        </w:rPr>
        <w:t>472B</w:t>
      </w:r>
      <w:r w:rsidR="00DD0F04">
        <w:t>The Federal Court class actions practice note states that the parties will be required to persuade the court that:</w:t>
      </w:r>
      <w:r w:rsidR="00D629FA">
        <w:rPr>
          <w:rFonts w:ascii="ZWAdobeF" w:hAnsi="ZWAdobeF" w:cs="ZWAdobeF"/>
          <w:color w:val="auto"/>
          <w:sz w:val="2"/>
          <w:szCs w:val="2"/>
        </w:rPr>
        <w:t>768F</w:t>
      </w:r>
      <w:r w:rsidR="007A330E">
        <w:rPr>
          <w:rFonts w:ascii="ZWAdobeF" w:hAnsi="ZWAdobeF" w:cs="ZWAdobeF"/>
          <w:color w:val="auto"/>
          <w:sz w:val="2"/>
          <w:szCs w:val="2"/>
        </w:rPr>
        <w:t>768F</w:t>
      </w:r>
      <w:r w:rsidR="00317AE4">
        <w:rPr>
          <w:rFonts w:ascii="ZWAdobeF" w:hAnsi="ZWAdobeF" w:cs="ZWAdobeF"/>
          <w:color w:val="auto"/>
          <w:sz w:val="2"/>
          <w:szCs w:val="2"/>
        </w:rPr>
        <w:t>768F</w:t>
      </w:r>
      <w:r w:rsidR="00DD0F04">
        <w:rPr>
          <w:rStyle w:val="FootnoteReference"/>
        </w:rPr>
        <w:footnoteReference w:id="770"/>
      </w:r>
    </w:p>
    <w:p w14:paraId="6A9DDE27" w14:textId="70D26691" w:rsidR="00DD0F04" w:rsidRPr="003730C5" w:rsidRDefault="00BD5C95" w:rsidP="00DD0F04">
      <w:pPr>
        <w:pStyle w:val="Quote"/>
        <w:rPr>
          <w:lang w:eastAsia="zh-CN" w:bidi="th-TH"/>
        </w:rPr>
      </w:pPr>
      <w:r>
        <w:rPr>
          <w:rFonts w:ascii="ZWAdobeF" w:hAnsi="ZWAdobeF" w:cs="ZWAdobeF"/>
          <w:color w:val="auto"/>
          <w:sz w:val="2"/>
          <w:szCs w:val="2"/>
          <w:lang w:eastAsia="zh-CN" w:bidi="th-TH"/>
        </w:rPr>
        <w:t>1474B</w:t>
      </w:r>
      <w:r w:rsidR="0049638A">
        <w:rPr>
          <w:rFonts w:ascii="ZWAdobeF" w:hAnsi="ZWAdobeF" w:cs="ZWAdobeF"/>
          <w:color w:val="auto"/>
          <w:sz w:val="2"/>
          <w:szCs w:val="2"/>
          <w:lang w:eastAsia="zh-CN" w:bidi="th-TH"/>
        </w:rPr>
        <w:t>1474B</w:t>
      </w:r>
      <w:r w:rsidR="00D629FA">
        <w:rPr>
          <w:rFonts w:ascii="ZWAdobeF" w:hAnsi="ZWAdobeF" w:cs="ZWAdobeF"/>
          <w:color w:val="auto"/>
          <w:sz w:val="2"/>
          <w:szCs w:val="2"/>
          <w:lang w:eastAsia="zh-CN" w:bidi="th-TH"/>
        </w:rPr>
        <w:t>1474B</w:t>
      </w:r>
      <w:r w:rsidR="00DD0F04" w:rsidRPr="003730C5">
        <w:rPr>
          <w:lang w:eastAsia="zh-CN" w:bidi="th-TH"/>
        </w:rPr>
        <w:t>(a) the proposed settlement is fair and reasonable having regard to the claims made on behalf of the class members who will be bound by the settlement; and</w:t>
      </w:r>
    </w:p>
    <w:p w14:paraId="45607EBF" w14:textId="7A38D1B8" w:rsidR="00DD0F04" w:rsidRDefault="00BD5C95" w:rsidP="00DD0F04">
      <w:pPr>
        <w:pStyle w:val="Quote"/>
        <w:rPr>
          <w:lang w:eastAsia="zh-CN" w:bidi="th-TH"/>
        </w:rPr>
      </w:pPr>
      <w:r>
        <w:rPr>
          <w:rFonts w:ascii="ZWAdobeF" w:hAnsi="ZWAdobeF" w:cs="ZWAdobeF"/>
          <w:color w:val="auto"/>
          <w:sz w:val="2"/>
          <w:szCs w:val="2"/>
          <w:lang w:eastAsia="zh-CN" w:bidi="th-TH"/>
        </w:rPr>
        <w:t>1475B</w:t>
      </w:r>
      <w:r w:rsidR="0049638A">
        <w:rPr>
          <w:rFonts w:ascii="ZWAdobeF" w:hAnsi="ZWAdobeF" w:cs="ZWAdobeF"/>
          <w:color w:val="auto"/>
          <w:sz w:val="2"/>
          <w:szCs w:val="2"/>
          <w:lang w:eastAsia="zh-CN" w:bidi="th-TH"/>
        </w:rPr>
        <w:t>1475B</w:t>
      </w:r>
      <w:r w:rsidR="00D629FA">
        <w:rPr>
          <w:rFonts w:ascii="ZWAdobeF" w:hAnsi="ZWAdobeF" w:cs="ZWAdobeF"/>
          <w:color w:val="auto"/>
          <w:sz w:val="2"/>
          <w:szCs w:val="2"/>
          <w:lang w:eastAsia="zh-CN" w:bidi="th-TH"/>
        </w:rPr>
        <w:t>1475B</w:t>
      </w:r>
      <w:r w:rsidR="00DD0F04" w:rsidRPr="003730C5">
        <w:rPr>
          <w:lang w:eastAsia="zh-CN" w:bidi="th-TH"/>
        </w:rPr>
        <w:t>(b) the proposed settlement has been undertaken in the interests of class members, as well as those of the applicant, and not just in the interests of the applicant and the respondent(s).</w:t>
      </w:r>
    </w:p>
    <w:p w14:paraId="21EB338A" w14:textId="5C8ED550" w:rsidR="00DD0F04" w:rsidRDefault="00BD5C95" w:rsidP="00B73434">
      <w:pPr>
        <w:pStyle w:val="BodyText"/>
        <w:numPr>
          <w:ilvl w:val="1"/>
          <w:numId w:val="52"/>
        </w:numPr>
        <w:ind w:hanging="709"/>
      </w:pPr>
      <w:r>
        <w:rPr>
          <w:rFonts w:ascii="ZWAdobeF" w:hAnsi="ZWAdobeF" w:cs="ZWAdobeF"/>
          <w:color w:val="auto"/>
          <w:sz w:val="2"/>
          <w:szCs w:val="2"/>
        </w:rPr>
        <w:t>473B</w:t>
      </w:r>
      <w:r w:rsidR="0049638A">
        <w:rPr>
          <w:rFonts w:ascii="ZWAdobeF" w:hAnsi="ZWAdobeF" w:cs="ZWAdobeF"/>
          <w:color w:val="auto"/>
          <w:sz w:val="2"/>
          <w:szCs w:val="2"/>
        </w:rPr>
        <w:t>473B</w:t>
      </w:r>
      <w:r w:rsidR="00D629FA">
        <w:rPr>
          <w:rFonts w:ascii="ZWAdobeF" w:hAnsi="ZWAdobeF" w:cs="ZWAdobeF"/>
          <w:color w:val="auto"/>
          <w:sz w:val="2"/>
          <w:szCs w:val="2"/>
        </w:rPr>
        <w:t>473B</w:t>
      </w:r>
      <w:r w:rsidR="00DD0F04">
        <w:t>When deciding whether to approve a class action settlement, Canadian courts generally consider whether the settlement is “fair, reasonable and in the best interests of the class as a whole”, a test developed in the case law.</w:t>
      </w:r>
      <w:r w:rsidR="00D629FA">
        <w:rPr>
          <w:rFonts w:ascii="ZWAdobeF" w:hAnsi="ZWAdobeF" w:cs="ZWAdobeF"/>
          <w:color w:val="auto"/>
          <w:sz w:val="2"/>
          <w:szCs w:val="2"/>
        </w:rPr>
        <w:t>769F</w:t>
      </w:r>
      <w:r w:rsidR="007A330E">
        <w:rPr>
          <w:rFonts w:ascii="ZWAdobeF" w:hAnsi="ZWAdobeF" w:cs="ZWAdobeF"/>
          <w:color w:val="auto"/>
          <w:sz w:val="2"/>
          <w:szCs w:val="2"/>
        </w:rPr>
        <w:t>769F</w:t>
      </w:r>
      <w:r w:rsidR="00317AE4">
        <w:rPr>
          <w:rFonts w:ascii="ZWAdobeF" w:hAnsi="ZWAdobeF" w:cs="ZWAdobeF"/>
          <w:color w:val="auto"/>
          <w:sz w:val="2"/>
          <w:szCs w:val="2"/>
        </w:rPr>
        <w:t>769F</w:t>
      </w:r>
      <w:r w:rsidR="00DD0F04">
        <w:rPr>
          <w:rStyle w:val="FootnoteReference"/>
        </w:rPr>
        <w:footnoteReference w:id="771"/>
      </w:r>
      <w:r w:rsidR="00DD0F04">
        <w:t xml:space="preserve"> In 2020, the Ontario legislation was amended to refer to this standard.</w:t>
      </w:r>
      <w:r w:rsidR="00D629FA">
        <w:rPr>
          <w:rFonts w:ascii="ZWAdobeF" w:hAnsi="ZWAdobeF" w:cs="ZWAdobeF"/>
          <w:color w:val="auto"/>
          <w:sz w:val="2"/>
          <w:szCs w:val="2"/>
        </w:rPr>
        <w:t>770F</w:t>
      </w:r>
      <w:r w:rsidR="007A330E">
        <w:rPr>
          <w:rFonts w:ascii="ZWAdobeF" w:hAnsi="ZWAdobeF" w:cs="ZWAdobeF"/>
          <w:color w:val="auto"/>
          <w:sz w:val="2"/>
          <w:szCs w:val="2"/>
        </w:rPr>
        <w:t>770F</w:t>
      </w:r>
      <w:r w:rsidR="00317AE4">
        <w:rPr>
          <w:rFonts w:ascii="ZWAdobeF" w:hAnsi="ZWAdobeF" w:cs="ZWAdobeF"/>
          <w:color w:val="auto"/>
          <w:sz w:val="2"/>
          <w:szCs w:val="2"/>
        </w:rPr>
        <w:t>770F</w:t>
      </w:r>
      <w:r w:rsidR="00DD0F04">
        <w:rPr>
          <w:rStyle w:val="FootnoteReference"/>
        </w:rPr>
        <w:footnoteReference w:id="772"/>
      </w:r>
      <w:r w:rsidR="00DD0F04">
        <w:t xml:space="preserve"> This followed a recommendation of the LCO, which noted the standard had been widely adopted by parties and courts.</w:t>
      </w:r>
      <w:r w:rsidR="00D629FA">
        <w:rPr>
          <w:rFonts w:ascii="ZWAdobeF" w:hAnsi="ZWAdobeF" w:cs="ZWAdobeF"/>
          <w:color w:val="auto"/>
          <w:sz w:val="2"/>
          <w:szCs w:val="2"/>
        </w:rPr>
        <w:t>771F</w:t>
      </w:r>
      <w:r w:rsidR="007A330E">
        <w:rPr>
          <w:rFonts w:ascii="ZWAdobeF" w:hAnsi="ZWAdobeF" w:cs="ZWAdobeF"/>
          <w:color w:val="auto"/>
          <w:sz w:val="2"/>
          <w:szCs w:val="2"/>
        </w:rPr>
        <w:t>771F</w:t>
      </w:r>
      <w:r w:rsidR="00317AE4">
        <w:rPr>
          <w:rFonts w:ascii="ZWAdobeF" w:hAnsi="ZWAdobeF" w:cs="ZWAdobeF"/>
          <w:color w:val="auto"/>
          <w:sz w:val="2"/>
          <w:szCs w:val="2"/>
        </w:rPr>
        <w:t>771F</w:t>
      </w:r>
      <w:r w:rsidR="00DD0F04">
        <w:rPr>
          <w:rStyle w:val="FootnoteReference"/>
        </w:rPr>
        <w:footnoteReference w:id="773"/>
      </w:r>
      <w:r w:rsidR="00DD0F04">
        <w:t xml:space="preserve"> The other Canadian regimes do not expressly refer to the test to be applied when considering settlement. </w:t>
      </w:r>
    </w:p>
    <w:p w14:paraId="5724F9EA" w14:textId="2E2001ED" w:rsidR="00DD0F04" w:rsidRDefault="00BD5C95" w:rsidP="00B73434">
      <w:pPr>
        <w:pStyle w:val="BodyText"/>
        <w:numPr>
          <w:ilvl w:val="1"/>
          <w:numId w:val="52"/>
        </w:numPr>
        <w:tabs>
          <w:tab w:val="left" w:pos="709"/>
        </w:tabs>
        <w:ind w:hanging="709"/>
      </w:pPr>
      <w:r>
        <w:rPr>
          <w:rFonts w:ascii="ZWAdobeF" w:hAnsi="ZWAdobeF" w:cs="ZWAdobeF"/>
          <w:color w:val="auto"/>
          <w:sz w:val="2"/>
          <w:szCs w:val="2"/>
        </w:rPr>
        <w:lastRenderedPageBreak/>
        <w:t>474B</w:t>
      </w:r>
      <w:r w:rsidR="0049638A">
        <w:rPr>
          <w:rFonts w:ascii="ZWAdobeF" w:hAnsi="ZWAdobeF" w:cs="ZWAdobeF"/>
          <w:color w:val="auto"/>
          <w:sz w:val="2"/>
          <w:szCs w:val="2"/>
        </w:rPr>
        <w:t>474B</w:t>
      </w:r>
      <w:r w:rsidR="00D629FA">
        <w:rPr>
          <w:rFonts w:ascii="ZWAdobeF" w:hAnsi="ZWAdobeF" w:cs="ZWAdobeF"/>
          <w:color w:val="auto"/>
          <w:sz w:val="2"/>
          <w:szCs w:val="2"/>
        </w:rPr>
        <w:t>474B</w:t>
      </w:r>
      <w:r w:rsidR="00DD0F04">
        <w:t>Both the United States and United Kingdom Competition Appeal Tribunal class action</w:t>
      </w:r>
      <w:r w:rsidR="00805C83">
        <w:t>s</w:t>
      </w:r>
      <w:r w:rsidR="00DD0F04">
        <w:t xml:space="preserve"> regimes set out a test for court approval of settlement. The United States rule provides that a court may only approve a settlement if it is “fair, reasonable and adequate”.</w:t>
      </w:r>
      <w:r w:rsidR="00D629FA">
        <w:rPr>
          <w:rFonts w:ascii="ZWAdobeF" w:hAnsi="ZWAdobeF" w:cs="ZWAdobeF"/>
          <w:color w:val="auto"/>
          <w:sz w:val="2"/>
          <w:szCs w:val="2"/>
        </w:rPr>
        <w:t>772F</w:t>
      </w:r>
      <w:r w:rsidR="007A330E">
        <w:rPr>
          <w:rFonts w:ascii="ZWAdobeF" w:hAnsi="ZWAdobeF" w:cs="ZWAdobeF"/>
          <w:color w:val="auto"/>
          <w:sz w:val="2"/>
          <w:szCs w:val="2"/>
        </w:rPr>
        <w:t>772F</w:t>
      </w:r>
      <w:r w:rsidR="00317AE4">
        <w:rPr>
          <w:rFonts w:ascii="ZWAdobeF" w:hAnsi="ZWAdobeF" w:cs="ZWAdobeF"/>
          <w:color w:val="auto"/>
          <w:sz w:val="2"/>
          <w:szCs w:val="2"/>
        </w:rPr>
        <w:t>772F</w:t>
      </w:r>
      <w:r w:rsidR="00DD0F04">
        <w:rPr>
          <w:rStyle w:val="FootnoteReference"/>
        </w:rPr>
        <w:footnoteReference w:id="774"/>
      </w:r>
      <w:r w:rsidR="00DD0F04">
        <w:t xml:space="preserve"> The United Kingdom Competition Appeal Tribunal may make a collective settlement approval order where satisfied that the terms of the settlement are “just and reasonable”.</w:t>
      </w:r>
      <w:r w:rsidR="00D629FA">
        <w:rPr>
          <w:rFonts w:ascii="ZWAdobeF" w:hAnsi="ZWAdobeF" w:cs="ZWAdobeF"/>
          <w:color w:val="auto"/>
          <w:sz w:val="2"/>
          <w:szCs w:val="2"/>
        </w:rPr>
        <w:t>773F</w:t>
      </w:r>
      <w:r w:rsidR="007A330E">
        <w:rPr>
          <w:rFonts w:ascii="ZWAdobeF" w:hAnsi="ZWAdobeF" w:cs="ZWAdobeF"/>
          <w:color w:val="auto"/>
          <w:sz w:val="2"/>
          <w:szCs w:val="2"/>
        </w:rPr>
        <w:t>773F</w:t>
      </w:r>
      <w:r w:rsidR="00317AE4">
        <w:rPr>
          <w:rFonts w:ascii="ZWAdobeF" w:hAnsi="ZWAdobeF" w:cs="ZWAdobeF"/>
          <w:color w:val="auto"/>
          <w:sz w:val="2"/>
          <w:szCs w:val="2"/>
        </w:rPr>
        <w:t>773F</w:t>
      </w:r>
      <w:r w:rsidR="00DD0F04">
        <w:rPr>
          <w:rStyle w:val="FootnoteReference"/>
        </w:rPr>
        <w:footnoteReference w:id="775"/>
      </w:r>
    </w:p>
    <w:p w14:paraId="40947C78" w14:textId="1CF6B2FF" w:rsidR="00DD0F04" w:rsidRDefault="00BD5C95" w:rsidP="00B73434">
      <w:pPr>
        <w:pStyle w:val="BodyText"/>
        <w:numPr>
          <w:ilvl w:val="1"/>
          <w:numId w:val="52"/>
        </w:numPr>
        <w:tabs>
          <w:tab w:val="left" w:pos="709"/>
        </w:tabs>
        <w:ind w:hanging="709"/>
      </w:pPr>
      <w:r>
        <w:rPr>
          <w:rFonts w:ascii="ZWAdobeF" w:hAnsi="ZWAdobeF" w:cs="ZWAdobeF"/>
          <w:color w:val="auto"/>
          <w:sz w:val="2"/>
          <w:szCs w:val="2"/>
        </w:rPr>
        <w:t>475B</w:t>
      </w:r>
      <w:r w:rsidR="0049638A">
        <w:rPr>
          <w:rFonts w:ascii="ZWAdobeF" w:hAnsi="ZWAdobeF" w:cs="ZWAdobeF"/>
          <w:color w:val="auto"/>
          <w:sz w:val="2"/>
          <w:szCs w:val="2"/>
        </w:rPr>
        <w:t>475B</w:t>
      </w:r>
      <w:r w:rsidR="00D629FA">
        <w:rPr>
          <w:rFonts w:ascii="ZWAdobeF" w:hAnsi="ZWAdobeF" w:cs="ZWAdobeF"/>
          <w:color w:val="auto"/>
          <w:sz w:val="2"/>
          <w:szCs w:val="2"/>
        </w:rPr>
        <w:t>475B</w:t>
      </w:r>
      <w:r w:rsidR="00DD0F04" w:rsidRPr="00826211">
        <w:t xml:space="preserve">We think </w:t>
      </w:r>
      <w:r w:rsidR="00DD0F04">
        <w:t xml:space="preserve">the </w:t>
      </w:r>
      <w:r w:rsidR="00DD0F04" w:rsidRPr="00826211">
        <w:t xml:space="preserve">test </w:t>
      </w:r>
      <w:r w:rsidR="00DD0F04">
        <w:t xml:space="preserve">for judicial approval of a class action settlement should be </w:t>
      </w:r>
      <w:r w:rsidR="00DD0F04" w:rsidRPr="00826211">
        <w:t xml:space="preserve">set out in legislation </w:t>
      </w:r>
      <w:r w:rsidR="00DD0F04">
        <w:t>as this will</w:t>
      </w:r>
      <w:r w:rsidR="00DD0F04" w:rsidRPr="00826211">
        <w:t xml:space="preserve"> provide clarity</w:t>
      </w:r>
      <w:r w:rsidR="00DD0F04">
        <w:t xml:space="preserve"> and certainty for the parties.</w:t>
      </w:r>
      <w:r w:rsidR="00DD0F04" w:rsidRPr="00826211">
        <w:t xml:space="preserve"> We propose that a court should have to consider whether a proposed settlement is fair, reasonable and in the </w:t>
      </w:r>
      <w:r w:rsidR="00DD0F04">
        <w:t>interests of the class as a whole.</w:t>
      </w:r>
      <w:r w:rsidR="00D629FA">
        <w:rPr>
          <w:rFonts w:ascii="ZWAdobeF" w:hAnsi="ZWAdobeF" w:cs="ZWAdobeF"/>
          <w:color w:val="auto"/>
          <w:sz w:val="2"/>
          <w:szCs w:val="2"/>
        </w:rPr>
        <w:t>774F</w:t>
      </w:r>
      <w:r w:rsidR="007A330E">
        <w:rPr>
          <w:rFonts w:ascii="ZWAdobeF" w:hAnsi="ZWAdobeF" w:cs="ZWAdobeF"/>
          <w:color w:val="auto"/>
          <w:sz w:val="2"/>
          <w:szCs w:val="2"/>
        </w:rPr>
        <w:t>774F</w:t>
      </w:r>
      <w:r w:rsidR="00317AE4">
        <w:rPr>
          <w:rFonts w:ascii="ZWAdobeF" w:hAnsi="ZWAdobeF" w:cs="ZWAdobeF"/>
          <w:color w:val="auto"/>
          <w:sz w:val="2"/>
          <w:szCs w:val="2"/>
        </w:rPr>
        <w:t>774F</w:t>
      </w:r>
      <w:r w:rsidR="00DD0F04">
        <w:rPr>
          <w:rStyle w:val="FootnoteReference"/>
        </w:rPr>
        <w:footnoteReference w:id="776"/>
      </w:r>
    </w:p>
    <w:p w14:paraId="1B77E81B" w14:textId="3F3DA891" w:rsidR="00DD0F04" w:rsidRDefault="00BD5C95" w:rsidP="00B73434">
      <w:pPr>
        <w:pStyle w:val="BodyText"/>
        <w:numPr>
          <w:ilvl w:val="1"/>
          <w:numId w:val="52"/>
        </w:numPr>
        <w:tabs>
          <w:tab w:val="left" w:pos="709"/>
        </w:tabs>
        <w:ind w:hanging="709"/>
      </w:pPr>
      <w:r>
        <w:rPr>
          <w:rFonts w:ascii="ZWAdobeF" w:hAnsi="ZWAdobeF" w:cs="ZWAdobeF"/>
          <w:color w:val="auto"/>
          <w:sz w:val="2"/>
          <w:szCs w:val="2"/>
        </w:rPr>
        <w:t>476B</w:t>
      </w:r>
      <w:r w:rsidR="0049638A">
        <w:rPr>
          <w:rFonts w:ascii="ZWAdobeF" w:hAnsi="ZWAdobeF" w:cs="ZWAdobeF"/>
          <w:color w:val="auto"/>
          <w:sz w:val="2"/>
          <w:szCs w:val="2"/>
        </w:rPr>
        <w:t>476B</w:t>
      </w:r>
      <w:r w:rsidR="00D629FA">
        <w:rPr>
          <w:rFonts w:ascii="ZWAdobeF" w:hAnsi="ZWAdobeF" w:cs="ZWAdobeF"/>
          <w:color w:val="auto"/>
          <w:sz w:val="2"/>
          <w:szCs w:val="2"/>
        </w:rPr>
        <w:t>476B</w:t>
      </w:r>
      <w:r w:rsidR="00DD0F04">
        <w:t xml:space="preserve">This test should not mean a standard of perfection, as a settlement agreement is necessarily the result of a compromise between parties. When judging whether a settlement is </w:t>
      </w:r>
      <w:r w:rsidR="00672E26">
        <w:t xml:space="preserve">fair and </w:t>
      </w:r>
      <w:r w:rsidR="00DD0F04">
        <w:t>reasonable, there are likely to be a range of potential settlement terms that could meet this standard.</w:t>
      </w:r>
      <w:r w:rsidR="00D629FA">
        <w:rPr>
          <w:rFonts w:ascii="ZWAdobeF" w:hAnsi="ZWAdobeF" w:cs="ZWAdobeF"/>
          <w:color w:val="auto"/>
          <w:sz w:val="2"/>
          <w:szCs w:val="2"/>
        </w:rPr>
        <w:t>775F</w:t>
      </w:r>
      <w:r w:rsidR="007A330E">
        <w:rPr>
          <w:rFonts w:ascii="ZWAdobeF" w:hAnsi="ZWAdobeF" w:cs="ZWAdobeF"/>
          <w:color w:val="auto"/>
          <w:sz w:val="2"/>
          <w:szCs w:val="2"/>
        </w:rPr>
        <w:t>775F</w:t>
      </w:r>
      <w:r w:rsidR="00317AE4">
        <w:rPr>
          <w:rFonts w:ascii="ZWAdobeF" w:hAnsi="ZWAdobeF" w:cs="ZWAdobeF"/>
          <w:color w:val="auto"/>
          <w:sz w:val="2"/>
          <w:szCs w:val="2"/>
        </w:rPr>
        <w:t>775F</w:t>
      </w:r>
      <w:r w:rsidR="00DD0F04">
        <w:rPr>
          <w:rStyle w:val="FootnoteReference"/>
        </w:rPr>
        <w:footnoteReference w:id="777"/>
      </w:r>
      <w:r w:rsidR="00DD0F04">
        <w:t xml:space="preserve"> </w:t>
      </w:r>
    </w:p>
    <w:p w14:paraId="2F7054C7" w14:textId="4D5DAD9C" w:rsidR="00316572" w:rsidRDefault="00316572" w:rsidP="00316572">
      <w:pPr>
        <w:pStyle w:val="QuestionBox"/>
      </w:pPr>
      <w:r>
        <w:rPr>
          <w:noProof/>
        </w:rPr>
        <mc:AlternateContent>
          <mc:Choice Requires="wpg">
            <w:drawing>
              <wp:anchor distT="0" distB="0" distL="114300" distR="114300" simplePos="0" relativeHeight="251652182" behindDoc="1" locked="0" layoutInCell="1" allowOverlap="1" wp14:anchorId="1DDA1CE1" wp14:editId="47EADD4C">
                <wp:simplePos x="0" y="0"/>
                <wp:positionH relativeFrom="column">
                  <wp:posOffset>1754</wp:posOffset>
                </wp:positionH>
                <wp:positionV relativeFrom="paragraph">
                  <wp:posOffset>1547</wp:posOffset>
                </wp:positionV>
                <wp:extent cx="5760085" cy="1262925"/>
                <wp:effectExtent l="0" t="0" r="0" b="0"/>
                <wp:wrapNone/>
                <wp:docPr id="764518024" name="Group 764518024"/>
                <wp:cNvGraphicFramePr/>
                <a:graphic xmlns:a="http://schemas.openxmlformats.org/drawingml/2006/main">
                  <a:graphicData uri="http://schemas.microsoft.com/office/word/2010/wordprocessingGroup">
                    <wpg:wgp>
                      <wpg:cNvGrpSpPr/>
                      <wpg:grpSpPr>
                        <a:xfrm>
                          <a:off x="0" y="0"/>
                          <a:ext cx="5760085" cy="1262925"/>
                          <a:chOff x="0" y="62865"/>
                          <a:chExt cx="5760085" cy="1263053"/>
                        </a:xfrm>
                      </wpg:grpSpPr>
                      <wps:wsp>
                        <wps:cNvPr id="76451802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D93768" w14:textId="77777777" w:rsidR="00A55F53" w:rsidRDefault="00A55F53" w:rsidP="00316572">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26" name="Group 53"/>
                        <wpg:cNvGrpSpPr>
                          <a:grpSpLocks/>
                        </wpg:cNvGrpSpPr>
                        <wpg:grpSpPr bwMode="auto">
                          <a:xfrm>
                            <a:off x="0" y="316263"/>
                            <a:ext cx="5760085" cy="1009655"/>
                            <a:chOff x="1837" y="1792"/>
                            <a:chExt cx="9302" cy="10906"/>
                          </a:xfrm>
                        </wpg:grpSpPr>
                        <wps:wsp>
                          <wps:cNvPr id="764518027" name="Freeform 54"/>
                          <wps:cNvSpPr>
                            <a:spLocks/>
                          </wps:cNvSpPr>
                          <wps:spPr bwMode="auto">
                            <a:xfrm>
                              <a:off x="1837" y="1792"/>
                              <a:ext cx="9302" cy="1090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28" name="Group 764518028"/>
                        <wpg:cNvGrpSpPr/>
                        <wpg:grpSpPr>
                          <a:xfrm>
                            <a:off x="0" y="494036"/>
                            <a:ext cx="1443794" cy="252000"/>
                            <a:chOff x="-15880" y="0"/>
                            <a:chExt cx="1444379" cy="252068"/>
                          </a:xfrm>
                        </wpg:grpSpPr>
                        <wps:wsp>
                          <wps:cNvPr id="764518029"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3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CE913E" w14:textId="5042930A" w:rsidR="00A55F53" w:rsidRPr="00E700FF" w:rsidRDefault="00A55F53" w:rsidP="00316572">
                                <w:pPr>
                                  <w:pStyle w:val="BoxTitle"/>
                                  <w:spacing w:before="0" w:beforeAutospacing="0"/>
                                </w:pPr>
                                <w:r w:rsidRPr="001C1B37">
                                  <w:t>Q</w:t>
                                </w:r>
                                <w:r>
                                  <w:t>43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DDA1CE1" id="Group 764518024" o:spid="_x0000_s1501" style="position:absolute;left:0;text-align:left;margin-left:.15pt;margin-top:.1pt;width:453.55pt;height:99.45pt;z-index:-251664298;mso-height-relative:margin" coordorigin=",628" coordsize="57600,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">
                <v:shape id="_x0000_s150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8D93768" w14:textId="77777777" w:rsidR="00A55F53" w:rsidRDefault="00A55F53" w:rsidP="00316572">
                        <w:pPr>
                          <w:pStyle w:val="BoxTitle"/>
                          <w:spacing w:before="0" w:beforeAutospacing="0"/>
                        </w:pPr>
                        <w:r w:rsidRPr="007F6876">
                          <w:t>QUESTION</w:t>
                        </w:r>
                      </w:p>
                    </w:txbxContent>
                  </v:textbox>
                </v:shape>
                <v:group id="Group 53" o:spid="_x0000_s1503" style="position:absolute;top:3162;width:57600;height:10097" coordorigin="1837,1792" coordsize="9302,10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">
                  <v:shape id="Freeform 54" o:spid="_x0000_s1504" style="position:absolute;left:1837;top:1792;width:9302;height:1090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" path="m,l9354,r,7809l,7809,,e" fillcolor="#edf2ea" stroked="f">
                    <v:path arrowok="t" o:connecttype="custom" o:connectlocs="0,1397;9302,1397;9302,12303;0,12303;0,1397" o:connectangles="0,0,0,0,0"/>
                  </v:shape>
                </v:group>
                <v:group id="Group 764518028" o:spid="_x0000_s150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">
                  <v:shape id="Freeform 58" o:spid="_x0000_s1506"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" path="m,l1815,e" filled="f" strokecolor="#72ab6a" strokeweight=".5pt">
                    <v:path arrowok="t" o:connecttype="custom" o:connectlocs="0,0;1073495,0" o:connectangles="0,0"/>
                  </v:shape>
                  <v:shape id="Freeform 66" o:spid="_x0000_s150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ACE913E" w14:textId="5042930A" w:rsidR="00A55F53" w:rsidRPr="00E700FF" w:rsidRDefault="00A55F53" w:rsidP="00316572">
                          <w:pPr>
                            <w:pStyle w:val="BoxTitle"/>
                            <w:spacing w:before="0" w:beforeAutospacing="0"/>
                          </w:pPr>
                          <w:r w:rsidRPr="001C1B37">
                            <w:t>Q</w:t>
                          </w:r>
                          <w:r>
                            <w:t>43</w:t>
                          </w:r>
                        </w:p>
                      </w:txbxContent>
                    </v:textbox>
                  </v:shape>
                </v:group>
              </v:group>
            </w:pict>
          </mc:Fallback>
        </mc:AlternateContent>
      </w:r>
    </w:p>
    <w:p w14:paraId="274DA5AA" w14:textId="77777777" w:rsidR="00316572" w:rsidRDefault="00316572" w:rsidP="00316572">
      <w:pPr>
        <w:pStyle w:val="QuestionBox"/>
      </w:pPr>
    </w:p>
    <w:p w14:paraId="6210057C" w14:textId="606D62D5" w:rsidR="00DD0F04" w:rsidRPr="00826211" w:rsidRDefault="00BD5C95" w:rsidP="00316572">
      <w:pPr>
        <w:pStyle w:val="QuestionBox"/>
      </w:pPr>
      <w:r>
        <w:rPr>
          <w:rFonts w:ascii="ZWAdobeF" w:hAnsi="ZWAdobeF" w:cs="ZWAdobeF"/>
          <w:color w:val="auto"/>
          <w:sz w:val="2"/>
          <w:szCs w:val="2"/>
        </w:rPr>
        <w:t>1449B</w:t>
      </w:r>
      <w:r w:rsidR="0049638A">
        <w:rPr>
          <w:rFonts w:ascii="ZWAdobeF" w:hAnsi="ZWAdobeF" w:cs="ZWAdobeF"/>
          <w:color w:val="auto"/>
          <w:sz w:val="2"/>
          <w:szCs w:val="2"/>
        </w:rPr>
        <w:t>1449B</w:t>
      </w:r>
      <w:r w:rsidR="00D629FA">
        <w:rPr>
          <w:rFonts w:ascii="ZWAdobeF" w:hAnsi="ZWAdobeF" w:cs="ZWAdobeF"/>
          <w:color w:val="auto"/>
          <w:sz w:val="2"/>
          <w:szCs w:val="2"/>
        </w:rPr>
        <w:t>1449B</w:t>
      </w:r>
      <w:r w:rsidR="00DD0F04">
        <w:t>When the court considers whether to approve a settlement, should it consider whether the proposed settlement is fair, reasonable and in the interests of the class as a whole? If not, what test should it apply?</w:t>
      </w:r>
    </w:p>
    <w:p w14:paraId="068CE497" w14:textId="77777777" w:rsidR="00316572" w:rsidRPr="00826211" w:rsidRDefault="00316572" w:rsidP="00316572">
      <w:pPr>
        <w:pStyle w:val="QuestionBox"/>
      </w:pPr>
    </w:p>
    <w:p w14:paraId="1BAF504C" w14:textId="77777777" w:rsidR="00DD0F04" w:rsidRDefault="00DD0F04" w:rsidP="0003642C">
      <w:pPr>
        <w:pStyle w:val="Heading3"/>
      </w:pPr>
      <w:r>
        <w:t xml:space="preserve">Factors relevant to this test </w:t>
      </w:r>
    </w:p>
    <w:p w14:paraId="2FA83CD1" w14:textId="5945A8E6" w:rsidR="00DD0F04" w:rsidRDefault="00BD5C95" w:rsidP="00B73434">
      <w:pPr>
        <w:pStyle w:val="BodyText"/>
        <w:numPr>
          <w:ilvl w:val="1"/>
          <w:numId w:val="52"/>
        </w:numPr>
        <w:tabs>
          <w:tab w:val="left" w:pos="709"/>
        </w:tabs>
        <w:ind w:hanging="709"/>
      </w:pPr>
      <w:r>
        <w:rPr>
          <w:rFonts w:ascii="ZWAdobeF" w:hAnsi="ZWAdobeF" w:cs="ZWAdobeF"/>
          <w:color w:val="auto"/>
          <w:sz w:val="2"/>
          <w:szCs w:val="2"/>
        </w:rPr>
        <w:t>477B</w:t>
      </w:r>
      <w:r w:rsidR="0049638A">
        <w:rPr>
          <w:rFonts w:ascii="ZWAdobeF" w:hAnsi="ZWAdobeF" w:cs="ZWAdobeF"/>
          <w:color w:val="auto"/>
          <w:sz w:val="2"/>
          <w:szCs w:val="2"/>
        </w:rPr>
        <w:t>477B</w:t>
      </w:r>
      <w:r w:rsidR="00D629FA">
        <w:rPr>
          <w:rFonts w:ascii="ZWAdobeF" w:hAnsi="ZWAdobeF" w:cs="ZWAdobeF"/>
          <w:color w:val="auto"/>
          <w:sz w:val="2"/>
          <w:szCs w:val="2"/>
        </w:rPr>
        <w:t>477B</w:t>
      </w:r>
      <w:r w:rsidR="00DD0F04">
        <w:t>Class actions legislation could specify a list of factors the court must consider when deciding whether a settlement is fair, reasonable and in the interests of the class as a whole.</w:t>
      </w:r>
    </w:p>
    <w:p w14:paraId="6431E328" w14:textId="3B78AAE7" w:rsidR="00DD0F04" w:rsidRDefault="00BD5C95" w:rsidP="00B73434">
      <w:pPr>
        <w:pStyle w:val="BodyText"/>
        <w:numPr>
          <w:ilvl w:val="1"/>
          <w:numId w:val="52"/>
        </w:numPr>
        <w:tabs>
          <w:tab w:val="left" w:pos="709"/>
        </w:tabs>
        <w:ind w:hanging="709"/>
      </w:pPr>
      <w:r>
        <w:rPr>
          <w:rFonts w:ascii="ZWAdobeF" w:hAnsi="ZWAdobeF" w:cs="ZWAdobeF"/>
          <w:color w:val="auto"/>
          <w:sz w:val="2"/>
          <w:szCs w:val="2"/>
        </w:rPr>
        <w:t>478B</w:t>
      </w:r>
      <w:r w:rsidR="0049638A">
        <w:rPr>
          <w:rFonts w:ascii="ZWAdobeF" w:hAnsi="ZWAdobeF" w:cs="ZWAdobeF"/>
          <w:color w:val="auto"/>
          <w:sz w:val="2"/>
          <w:szCs w:val="2"/>
        </w:rPr>
        <w:t>478B</w:t>
      </w:r>
      <w:r w:rsidR="00D629FA">
        <w:rPr>
          <w:rFonts w:ascii="ZWAdobeF" w:hAnsi="ZWAdobeF" w:cs="ZWAdobeF"/>
          <w:color w:val="auto"/>
          <w:sz w:val="2"/>
          <w:szCs w:val="2"/>
        </w:rPr>
        <w:t>478B</w:t>
      </w:r>
      <w:r w:rsidR="00DD0F04">
        <w:t>In the United States, when the court determines whether a settlement is “fair, reasonable and adequate” it must consider whether:</w:t>
      </w:r>
      <w:r w:rsidR="00D629FA">
        <w:rPr>
          <w:rFonts w:ascii="ZWAdobeF" w:hAnsi="ZWAdobeF" w:cs="ZWAdobeF"/>
          <w:color w:val="auto"/>
          <w:sz w:val="2"/>
          <w:szCs w:val="2"/>
        </w:rPr>
        <w:t>776F</w:t>
      </w:r>
      <w:r w:rsidR="007A330E">
        <w:rPr>
          <w:rFonts w:ascii="ZWAdobeF" w:hAnsi="ZWAdobeF" w:cs="ZWAdobeF"/>
          <w:color w:val="auto"/>
          <w:sz w:val="2"/>
          <w:szCs w:val="2"/>
        </w:rPr>
        <w:t>776F</w:t>
      </w:r>
      <w:r w:rsidR="00317AE4">
        <w:rPr>
          <w:rFonts w:ascii="ZWAdobeF" w:hAnsi="ZWAdobeF" w:cs="ZWAdobeF"/>
          <w:color w:val="auto"/>
          <w:sz w:val="2"/>
          <w:szCs w:val="2"/>
        </w:rPr>
        <w:t>776F</w:t>
      </w:r>
      <w:r w:rsidR="00DD0F04">
        <w:rPr>
          <w:rStyle w:val="FootnoteReference"/>
        </w:rPr>
        <w:footnoteReference w:id="778"/>
      </w:r>
    </w:p>
    <w:p w14:paraId="68E46F70" w14:textId="2E2E0D9F" w:rsidR="00DD0F04" w:rsidRDefault="00BD5C95" w:rsidP="00083C10">
      <w:pPr>
        <w:pStyle w:val="BodyTextnonum"/>
        <w:numPr>
          <w:ilvl w:val="3"/>
          <w:numId w:val="14"/>
        </w:numPr>
        <w:tabs>
          <w:tab w:val="clear" w:pos="1134"/>
          <w:tab w:val="num" w:pos="709"/>
        </w:tabs>
      </w:pPr>
      <w:r>
        <w:rPr>
          <w:rFonts w:ascii="ZWAdobeF" w:hAnsi="ZWAdobeF" w:cs="ZWAdobeF"/>
          <w:color w:val="auto"/>
          <w:sz w:val="2"/>
          <w:szCs w:val="2"/>
        </w:rPr>
        <w:t>793B</w:t>
      </w:r>
      <w:r w:rsidR="0049638A">
        <w:rPr>
          <w:rFonts w:ascii="ZWAdobeF" w:hAnsi="ZWAdobeF" w:cs="ZWAdobeF"/>
          <w:color w:val="auto"/>
          <w:sz w:val="2"/>
          <w:szCs w:val="2"/>
        </w:rPr>
        <w:t>793B</w:t>
      </w:r>
      <w:r w:rsidR="00D629FA">
        <w:rPr>
          <w:rFonts w:ascii="ZWAdobeF" w:hAnsi="ZWAdobeF" w:cs="ZWAdobeF"/>
          <w:color w:val="auto"/>
          <w:sz w:val="2"/>
          <w:szCs w:val="2"/>
        </w:rPr>
        <w:t>793B</w:t>
      </w:r>
      <w:r w:rsidR="00DD0F04">
        <w:t>The representative plaintiff and class lawyer have adequately represented the class.</w:t>
      </w:r>
    </w:p>
    <w:p w14:paraId="1E9409D6" w14:textId="6E4A29AF" w:rsidR="00DD0F04" w:rsidRDefault="00BD5C95" w:rsidP="00083C10">
      <w:pPr>
        <w:pStyle w:val="BodyTextnonum"/>
        <w:numPr>
          <w:ilvl w:val="3"/>
          <w:numId w:val="14"/>
        </w:numPr>
        <w:tabs>
          <w:tab w:val="clear" w:pos="1134"/>
          <w:tab w:val="num" w:pos="709"/>
        </w:tabs>
      </w:pPr>
      <w:r>
        <w:rPr>
          <w:rFonts w:ascii="ZWAdobeF" w:hAnsi="ZWAdobeF" w:cs="ZWAdobeF"/>
          <w:color w:val="auto"/>
          <w:sz w:val="2"/>
          <w:szCs w:val="2"/>
        </w:rPr>
        <w:t>794B</w:t>
      </w:r>
      <w:r w:rsidR="0049638A">
        <w:rPr>
          <w:rFonts w:ascii="ZWAdobeF" w:hAnsi="ZWAdobeF" w:cs="ZWAdobeF"/>
          <w:color w:val="auto"/>
          <w:sz w:val="2"/>
          <w:szCs w:val="2"/>
        </w:rPr>
        <w:t>794B</w:t>
      </w:r>
      <w:r w:rsidR="00D629FA">
        <w:rPr>
          <w:rFonts w:ascii="ZWAdobeF" w:hAnsi="ZWAdobeF" w:cs="ZWAdobeF"/>
          <w:color w:val="auto"/>
          <w:sz w:val="2"/>
          <w:szCs w:val="2"/>
        </w:rPr>
        <w:t>794B</w:t>
      </w:r>
      <w:r w:rsidR="00DD0F04">
        <w:t>The proposal was negotiated at arm’s length.</w:t>
      </w:r>
    </w:p>
    <w:p w14:paraId="304A0AAB" w14:textId="24ABCFA8" w:rsidR="00DD0F04" w:rsidRDefault="00BD5C95" w:rsidP="00083C10">
      <w:pPr>
        <w:pStyle w:val="BodyTextnonum"/>
        <w:numPr>
          <w:ilvl w:val="3"/>
          <w:numId w:val="14"/>
        </w:numPr>
        <w:tabs>
          <w:tab w:val="clear" w:pos="1134"/>
          <w:tab w:val="num" w:pos="709"/>
        </w:tabs>
      </w:pPr>
      <w:r>
        <w:rPr>
          <w:rFonts w:ascii="ZWAdobeF" w:hAnsi="ZWAdobeF" w:cs="ZWAdobeF"/>
          <w:color w:val="auto"/>
          <w:sz w:val="2"/>
          <w:szCs w:val="2"/>
        </w:rPr>
        <w:t>795B</w:t>
      </w:r>
      <w:r w:rsidR="0049638A">
        <w:rPr>
          <w:rFonts w:ascii="ZWAdobeF" w:hAnsi="ZWAdobeF" w:cs="ZWAdobeF"/>
          <w:color w:val="auto"/>
          <w:sz w:val="2"/>
          <w:szCs w:val="2"/>
        </w:rPr>
        <w:t>795B</w:t>
      </w:r>
      <w:r w:rsidR="00D629FA">
        <w:rPr>
          <w:rFonts w:ascii="ZWAdobeF" w:hAnsi="ZWAdobeF" w:cs="ZWAdobeF"/>
          <w:color w:val="auto"/>
          <w:sz w:val="2"/>
          <w:szCs w:val="2"/>
        </w:rPr>
        <w:t>795B</w:t>
      </w:r>
      <w:r w:rsidR="00DD0F04">
        <w:t>There is adequate relief for the class, taking into account:</w:t>
      </w:r>
    </w:p>
    <w:p w14:paraId="2388173E" w14:textId="0C7FFA23" w:rsidR="00DD0F04" w:rsidRDefault="00BD5C95" w:rsidP="00932DB9">
      <w:pPr>
        <w:pStyle w:val="BodyTextnonum"/>
        <w:numPr>
          <w:ilvl w:val="5"/>
          <w:numId w:val="14"/>
        </w:numPr>
        <w:tabs>
          <w:tab w:val="num" w:pos="709"/>
        </w:tabs>
      </w:pPr>
      <w:r>
        <w:rPr>
          <w:rFonts w:ascii="ZWAdobeF" w:hAnsi="ZWAdobeF" w:cs="ZWAdobeF"/>
          <w:color w:val="auto"/>
          <w:sz w:val="2"/>
          <w:szCs w:val="2"/>
        </w:rPr>
        <w:t>796B</w:t>
      </w:r>
      <w:r w:rsidR="0049638A">
        <w:rPr>
          <w:rFonts w:ascii="ZWAdobeF" w:hAnsi="ZWAdobeF" w:cs="ZWAdobeF"/>
          <w:color w:val="auto"/>
          <w:sz w:val="2"/>
          <w:szCs w:val="2"/>
        </w:rPr>
        <w:t>796B</w:t>
      </w:r>
      <w:r w:rsidR="00D629FA">
        <w:rPr>
          <w:rFonts w:ascii="ZWAdobeF" w:hAnsi="ZWAdobeF" w:cs="ZWAdobeF"/>
          <w:color w:val="auto"/>
          <w:sz w:val="2"/>
          <w:szCs w:val="2"/>
        </w:rPr>
        <w:t>796B</w:t>
      </w:r>
      <w:r w:rsidR="00DD0F04">
        <w:t>The costs, risks and delay of trial and appeal.</w:t>
      </w:r>
    </w:p>
    <w:p w14:paraId="36F06630" w14:textId="25E63B5C" w:rsidR="00DD0F04" w:rsidRDefault="00BD5C95" w:rsidP="00932DB9">
      <w:pPr>
        <w:pStyle w:val="BodyTextnonum"/>
        <w:numPr>
          <w:ilvl w:val="5"/>
          <w:numId w:val="14"/>
        </w:numPr>
        <w:tabs>
          <w:tab w:val="num" w:pos="709"/>
        </w:tabs>
      </w:pPr>
      <w:r>
        <w:rPr>
          <w:rFonts w:ascii="ZWAdobeF" w:hAnsi="ZWAdobeF" w:cs="ZWAdobeF"/>
          <w:color w:val="auto"/>
          <w:sz w:val="2"/>
          <w:szCs w:val="2"/>
        </w:rPr>
        <w:lastRenderedPageBreak/>
        <w:t>797B</w:t>
      </w:r>
      <w:r w:rsidR="0049638A">
        <w:rPr>
          <w:rFonts w:ascii="ZWAdobeF" w:hAnsi="ZWAdobeF" w:cs="ZWAdobeF"/>
          <w:color w:val="auto"/>
          <w:sz w:val="2"/>
          <w:szCs w:val="2"/>
        </w:rPr>
        <w:t>797B</w:t>
      </w:r>
      <w:r w:rsidR="00D629FA">
        <w:rPr>
          <w:rFonts w:ascii="ZWAdobeF" w:hAnsi="ZWAdobeF" w:cs="ZWAdobeF"/>
          <w:color w:val="auto"/>
          <w:sz w:val="2"/>
          <w:szCs w:val="2"/>
        </w:rPr>
        <w:t>797B</w:t>
      </w:r>
      <w:r w:rsidR="00DD0F04">
        <w:t>The effectiveness of any proposed method of distributing relief.</w:t>
      </w:r>
    </w:p>
    <w:p w14:paraId="3F8D0FE9" w14:textId="7B0FBD83" w:rsidR="00DD0F04" w:rsidRDefault="00BD5C95" w:rsidP="00932DB9">
      <w:pPr>
        <w:pStyle w:val="BodyTextnonum"/>
        <w:numPr>
          <w:ilvl w:val="5"/>
          <w:numId w:val="14"/>
        </w:numPr>
        <w:tabs>
          <w:tab w:val="num" w:pos="709"/>
        </w:tabs>
      </w:pPr>
      <w:r>
        <w:rPr>
          <w:rFonts w:ascii="ZWAdobeF" w:hAnsi="ZWAdobeF" w:cs="ZWAdobeF"/>
          <w:color w:val="auto"/>
          <w:sz w:val="2"/>
          <w:szCs w:val="2"/>
        </w:rPr>
        <w:t>798B</w:t>
      </w:r>
      <w:r w:rsidR="0049638A">
        <w:rPr>
          <w:rFonts w:ascii="ZWAdobeF" w:hAnsi="ZWAdobeF" w:cs="ZWAdobeF"/>
          <w:color w:val="auto"/>
          <w:sz w:val="2"/>
          <w:szCs w:val="2"/>
        </w:rPr>
        <w:t>798B</w:t>
      </w:r>
      <w:r w:rsidR="00D629FA">
        <w:rPr>
          <w:rFonts w:ascii="ZWAdobeF" w:hAnsi="ZWAdobeF" w:cs="ZWAdobeF"/>
          <w:color w:val="auto"/>
          <w:sz w:val="2"/>
          <w:szCs w:val="2"/>
        </w:rPr>
        <w:t>798B</w:t>
      </w:r>
      <w:r w:rsidR="00DD0F04">
        <w:t>The terms of any proposed award of lawyer’s fees.</w:t>
      </w:r>
    </w:p>
    <w:p w14:paraId="21A83AA2" w14:textId="4078F304" w:rsidR="00DD0F04" w:rsidRDefault="00BD5C95" w:rsidP="00932DB9">
      <w:pPr>
        <w:pStyle w:val="BodyTextnonum"/>
        <w:numPr>
          <w:ilvl w:val="5"/>
          <w:numId w:val="14"/>
        </w:numPr>
        <w:tabs>
          <w:tab w:val="num" w:pos="709"/>
        </w:tabs>
      </w:pPr>
      <w:r>
        <w:rPr>
          <w:rFonts w:ascii="ZWAdobeF" w:hAnsi="ZWAdobeF" w:cs="ZWAdobeF"/>
          <w:color w:val="auto"/>
          <w:sz w:val="2"/>
          <w:szCs w:val="2"/>
        </w:rPr>
        <w:t>799B</w:t>
      </w:r>
      <w:r w:rsidR="0049638A">
        <w:rPr>
          <w:rFonts w:ascii="ZWAdobeF" w:hAnsi="ZWAdobeF" w:cs="ZWAdobeF"/>
          <w:color w:val="auto"/>
          <w:sz w:val="2"/>
          <w:szCs w:val="2"/>
        </w:rPr>
        <w:t>799B</w:t>
      </w:r>
      <w:r w:rsidR="00D629FA">
        <w:rPr>
          <w:rFonts w:ascii="ZWAdobeF" w:hAnsi="ZWAdobeF" w:cs="ZWAdobeF"/>
          <w:color w:val="auto"/>
          <w:sz w:val="2"/>
          <w:szCs w:val="2"/>
        </w:rPr>
        <w:t>799B</w:t>
      </w:r>
      <w:r w:rsidR="00DD0F04">
        <w:t>Any agreements made in connection with the proposal.</w:t>
      </w:r>
    </w:p>
    <w:p w14:paraId="4DDE1C49" w14:textId="3AA3FEF6" w:rsidR="00DD0F04" w:rsidRDefault="00BD5C95" w:rsidP="00083C10">
      <w:pPr>
        <w:pStyle w:val="BodyTextnonum"/>
        <w:numPr>
          <w:ilvl w:val="3"/>
          <w:numId w:val="14"/>
        </w:numPr>
        <w:tabs>
          <w:tab w:val="clear" w:pos="709"/>
        </w:tabs>
      </w:pPr>
      <w:r>
        <w:rPr>
          <w:rFonts w:ascii="ZWAdobeF" w:hAnsi="ZWAdobeF" w:cs="ZWAdobeF"/>
          <w:color w:val="auto"/>
          <w:sz w:val="2"/>
          <w:szCs w:val="2"/>
        </w:rPr>
        <w:t>800B</w:t>
      </w:r>
      <w:r w:rsidR="0049638A">
        <w:rPr>
          <w:rFonts w:ascii="ZWAdobeF" w:hAnsi="ZWAdobeF" w:cs="ZWAdobeF"/>
          <w:color w:val="auto"/>
          <w:sz w:val="2"/>
          <w:szCs w:val="2"/>
        </w:rPr>
        <w:t>800B</w:t>
      </w:r>
      <w:r w:rsidR="00D629FA">
        <w:rPr>
          <w:rFonts w:ascii="ZWAdobeF" w:hAnsi="ZWAdobeF" w:cs="ZWAdobeF"/>
          <w:color w:val="auto"/>
          <w:sz w:val="2"/>
          <w:szCs w:val="2"/>
        </w:rPr>
        <w:t>800B</w:t>
      </w:r>
      <w:r w:rsidR="00DD0F04">
        <w:t>The proposal treats class members equitably relative to each other.</w:t>
      </w:r>
    </w:p>
    <w:p w14:paraId="5CF008A4" w14:textId="1F412CCC" w:rsidR="00DD0F04" w:rsidRDefault="00BD5C95" w:rsidP="00B73434">
      <w:pPr>
        <w:pStyle w:val="BodyText"/>
        <w:numPr>
          <w:ilvl w:val="1"/>
          <w:numId w:val="52"/>
        </w:numPr>
        <w:tabs>
          <w:tab w:val="left" w:pos="709"/>
        </w:tabs>
        <w:ind w:hanging="709"/>
      </w:pPr>
      <w:r>
        <w:rPr>
          <w:rFonts w:ascii="ZWAdobeF" w:hAnsi="ZWAdobeF" w:cs="ZWAdobeF"/>
          <w:color w:val="auto"/>
          <w:sz w:val="2"/>
          <w:szCs w:val="2"/>
        </w:rPr>
        <w:t>479B</w:t>
      </w:r>
      <w:r w:rsidR="0049638A">
        <w:rPr>
          <w:rFonts w:ascii="ZWAdobeF" w:hAnsi="ZWAdobeF" w:cs="ZWAdobeF"/>
          <w:color w:val="auto"/>
          <w:sz w:val="2"/>
          <w:szCs w:val="2"/>
        </w:rPr>
        <w:t>479B</w:t>
      </w:r>
      <w:r w:rsidR="00D629FA">
        <w:rPr>
          <w:rFonts w:ascii="ZWAdobeF" w:hAnsi="ZWAdobeF" w:cs="ZWAdobeF"/>
          <w:color w:val="auto"/>
          <w:sz w:val="2"/>
          <w:szCs w:val="2"/>
        </w:rPr>
        <w:t>479B</w:t>
      </w:r>
      <w:r w:rsidR="00DD0F04" w:rsidRPr="00083C10">
        <w:t>When</w:t>
      </w:r>
      <w:r w:rsidR="00DD0F04">
        <w:t xml:space="preserve"> the United Kingdom Competition Appeal Tribunal determines whether the terms of a settlement are “just and reasonable”, it must take account of all relevant circumstances, including:</w:t>
      </w:r>
      <w:r w:rsidR="00D629FA">
        <w:rPr>
          <w:rFonts w:ascii="ZWAdobeF" w:hAnsi="ZWAdobeF" w:cs="ZWAdobeF"/>
          <w:color w:val="auto"/>
          <w:sz w:val="2"/>
          <w:szCs w:val="2"/>
        </w:rPr>
        <w:t>777F</w:t>
      </w:r>
      <w:r w:rsidR="007A330E">
        <w:rPr>
          <w:rFonts w:ascii="ZWAdobeF" w:hAnsi="ZWAdobeF" w:cs="ZWAdobeF"/>
          <w:color w:val="auto"/>
          <w:sz w:val="2"/>
          <w:szCs w:val="2"/>
        </w:rPr>
        <w:t>777F</w:t>
      </w:r>
      <w:r w:rsidR="00317AE4">
        <w:rPr>
          <w:rFonts w:ascii="ZWAdobeF" w:hAnsi="ZWAdobeF" w:cs="ZWAdobeF"/>
          <w:color w:val="auto"/>
          <w:sz w:val="2"/>
          <w:szCs w:val="2"/>
        </w:rPr>
        <w:t>777F</w:t>
      </w:r>
      <w:r w:rsidR="00DD0F04">
        <w:rPr>
          <w:rStyle w:val="FootnoteReference"/>
        </w:rPr>
        <w:footnoteReference w:id="779"/>
      </w:r>
    </w:p>
    <w:p w14:paraId="7F885989" w14:textId="62D8B42C" w:rsidR="00DD0F04" w:rsidRDefault="00BD5C95" w:rsidP="00083C10">
      <w:pPr>
        <w:pStyle w:val="BodyTextnonum"/>
        <w:numPr>
          <w:ilvl w:val="3"/>
          <w:numId w:val="14"/>
        </w:numPr>
        <w:tabs>
          <w:tab w:val="clear" w:pos="709"/>
          <w:tab w:val="clear" w:pos="1134"/>
        </w:tabs>
      </w:pPr>
      <w:r>
        <w:rPr>
          <w:rFonts w:ascii="ZWAdobeF" w:hAnsi="ZWAdobeF" w:cs="ZWAdobeF"/>
          <w:color w:val="auto"/>
          <w:sz w:val="2"/>
          <w:szCs w:val="2"/>
        </w:rPr>
        <w:t>801B</w:t>
      </w:r>
      <w:r w:rsidR="0049638A">
        <w:rPr>
          <w:rFonts w:ascii="ZWAdobeF" w:hAnsi="ZWAdobeF" w:cs="ZWAdobeF"/>
          <w:color w:val="auto"/>
          <w:sz w:val="2"/>
          <w:szCs w:val="2"/>
        </w:rPr>
        <w:t>801B</w:t>
      </w:r>
      <w:r w:rsidR="00D629FA">
        <w:rPr>
          <w:rFonts w:ascii="ZWAdobeF" w:hAnsi="ZWAdobeF" w:cs="ZWAdobeF"/>
          <w:color w:val="auto"/>
          <w:sz w:val="2"/>
          <w:szCs w:val="2"/>
        </w:rPr>
        <w:t>801B</w:t>
      </w:r>
      <w:r w:rsidR="00DD0F04">
        <w:t>The amount and terms of the settlement, including any related provisions as to payment of costs, fees and disbursements.</w:t>
      </w:r>
    </w:p>
    <w:p w14:paraId="2CDFD46E" w14:textId="7C3D9DB9" w:rsidR="00DD0F04" w:rsidRDefault="00BD5C95" w:rsidP="00083C10">
      <w:pPr>
        <w:pStyle w:val="BodyTextnonum"/>
        <w:numPr>
          <w:ilvl w:val="3"/>
          <w:numId w:val="14"/>
        </w:numPr>
        <w:tabs>
          <w:tab w:val="clear" w:pos="709"/>
          <w:tab w:val="clear" w:pos="1134"/>
        </w:tabs>
      </w:pPr>
      <w:r>
        <w:rPr>
          <w:rFonts w:ascii="ZWAdobeF" w:hAnsi="ZWAdobeF" w:cs="ZWAdobeF"/>
          <w:color w:val="auto"/>
          <w:sz w:val="2"/>
          <w:szCs w:val="2"/>
        </w:rPr>
        <w:t>802B</w:t>
      </w:r>
      <w:r w:rsidR="0049638A">
        <w:rPr>
          <w:rFonts w:ascii="ZWAdobeF" w:hAnsi="ZWAdobeF" w:cs="ZWAdobeF"/>
          <w:color w:val="auto"/>
          <w:sz w:val="2"/>
          <w:szCs w:val="2"/>
        </w:rPr>
        <w:t>802B</w:t>
      </w:r>
      <w:r w:rsidR="00D629FA">
        <w:rPr>
          <w:rFonts w:ascii="ZWAdobeF" w:hAnsi="ZWAdobeF" w:cs="ZWAdobeF"/>
          <w:color w:val="auto"/>
          <w:sz w:val="2"/>
          <w:szCs w:val="2"/>
        </w:rPr>
        <w:t>802B</w:t>
      </w:r>
      <w:r w:rsidR="00DD0F04">
        <w:t>Number of people likely to be entitled to a share of the settlement.</w:t>
      </w:r>
    </w:p>
    <w:p w14:paraId="21E55CF3" w14:textId="718E541C" w:rsidR="00DD0F04" w:rsidRDefault="00BD5C95" w:rsidP="00083C10">
      <w:pPr>
        <w:pStyle w:val="BodyTextnonum"/>
        <w:numPr>
          <w:ilvl w:val="3"/>
          <w:numId w:val="14"/>
        </w:numPr>
        <w:tabs>
          <w:tab w:val="clear" w:pos="709"/>
          <w:tab w:val="clear" w:pos="1134"/>
        </w:tabs>
      </w:pPr>
      <w:r>
        <w:rPr>
          <w:rFonts w:ascii="ZWAdobeF" w:hAnsi="ZWAdobeF" w:cs="ZWAdobeF"/>
          <w:color w:val="auto"/>
          <w:sz w:val="2"/>
          <w:szCs w:val="2"/>
        </w:rPr>
        <w:t>803B</w:t>
      </w:r>
      <w:r w:rsidR="0049638A">
        <w:rPr>
          <w:rFonts w:ascii="ZWAdobeF" w:hAnsi="ZWAdobeF" w:cs="ZWAdobeF"/>
          <w:color w:val="auto"/>
          <w:sz w:val="2"/>
          <w:szCs w:val="2"/>
        </w:rPr>
        <w:t>803B</w:t>
      </w:r>
      <w:r w:rsidR="00D629FA">
        <w:rPr>
          <w:rFonts w:ascii="ZWAdobeF" w:hAnsi="ZWAdobeF" w:cs="ZWAdobeF"/>
          <w:color w:val="auto"/>
          <w:sz w:val="2"/>
          <w:szCs w:val="2"/>
        </w:rPr>
        <w:t>803B</w:t>
      </w:r>
      <w:r w:rsidR="00DD0F04">
        <w:t xml:space="preserve">Likelihood of judgment being obtained for an amount significantly in excess of the settlement. </w:t>
      </w:r>
    </w:p>
    <w:p w14:paraId="772B99B6" w14:textId="01F365A0" w:rsidR="00DD0F04" w:rsidRDefault="00BD5C95" w:rsidP="00083C10">
      <w:pPr>
        <w:pStyle w:val="BodyTextnonum"/>
        <w:numPr>
          <w:ilvl w:val="3"/>
          <w:numId w:val="14"/>
        </w:numPr>
        <w:tabs>
          <w:tab w:val="clear" w:pos="709"/>
          <w:tab w:val="clear" w:pos="1134"/>
        </w:tabs>
      </w:pPr>
      <w:r>
        <w:rPr>
          <w:rFonts w:ascii="ZWAdobeF" w:hAnsi="ZWAdobeF" w:cs="ZWAdobeF"/>
          <w:color w:val="auto"/>
          <w:sz w:val="2"/>
          <w:szCs w:val="2"/>
        </w:rPr>
        <w:t>804B</w:t>
      </w:r>
      <w:r w:rsidR="0049638A">
        <w:rPr>
          <w:rFonts w:ascii="ZWAdobeF" w:hAnsi="ZWAdobeF" w:cs="ZWAdobeF"/>
          <w:color w:val="auto"/>
          <w:sz w:val="2"/>
          <w:szCs w:val="2"/>
        </w:rPr>
        <w:t>804B</w:t>
      </w:r>
      <w:r w:rsidR="00D629FA">
        <w:rPr>
          <w:rFonts w:ascii="ZWAdobeF" w:hAnsi="ZWAdobeF" w:cs="ZWAdobeF"/>
          <w:color w:val="auto"/>
          <w:sz w:val="2"/>
          <w:szCs w:val="2"/>
        </w:rPr>
        <w:t>804B</w:t>
      </w:r>
      <w:r w:rsidR="00DD0F04">
        <w:t>Likely duration and cost of the class action if it proceeded to trial.</w:t>
      </w:r>
    </w:p>
    <w:p w14:paraId="5EB4C73D" w14:textId="72034177" w:rsidR="00DD0F04" w:rsidRDefault="00BD5C95" w:rsidP="00083C10">
      <w:pPr>
        <w:pStyle w:val="BodyTextnonum"/>
        <w:numPr>
          <w:ilvl w:val="3"/>
          <w:numId w:val="14"/>
        </w:numPr>
        <w:tabs>
          <w:tab w:val="clear" w:pos="709"/>
          <w:tab w:val="clear" w:pos="1134"/>
        </w:tabs>
      </w:pPr>
      <w:r>
        <w:rPr>
          <w:rFonts w:ascii="ZWAdobeF" w:hAnsi="ZWAdobeF" w:cs="ZWAdobeF"/>
          <w:color w:val="auto"/>
          <w:sz w:val="2"/>
          <w:szCs w:val="2"/>
        </w:rPr>
        <w:t>805B</w:t>
      </w:r>
      <w:r w:rsidR="0049638A">
        <w:rPr>
          <w:rFonts w:ascii="ZWAdobeF" w:hAnsi="ZWAdobeF" w:cs="ZWAdobeF"/>
          <w:color w:val="auto"/>
          <w:sz w:val="2"/>
          <w:szCs w:val="2"/>
        </w:rPr>
        <w:t>805B</w:t>
      </w:r>
      <w:r w:rsidR="00D629FA">
        <w:rPr>
          <w:rFonts w:ascii="ZWAdobeF" w:hAnsi="ZWAdobeF" w:cs="ZWAdobeF"/>
          <w:color w:val="auto"/>
          <w:sz w:val="2"/>
          <w:szCs w:val="2"/>
        </w:rPr>
        <w:t>805B</w:t>
      </w:r>
      <w:r w:rsidR="00DD0F04">
        <w:t>Any opinion by an independent expert and the applicant’s lawyer.</w:t>
      </w:r>
    </w:p>
    <w:p w14:paraId="584C4D32" w14:textId="349FD035" w:rsidR="00DD0F04" w:rsidRDefault="00BD5C95" w:rsidP="00083C10">
      <w:pPr>
        <w:pStyle w:val="BodyTextnonum"/>
        <w:numPr>
          <w:ilvl w:val="3"/>
          <w:numId w:val="14"/>
        </w:numPr>
        <w:tabs>
          <w:tab w:val="clear" w:pos="709"/>
          <w:tab w:val="clear" w:pos="1134"/>
        </w:tabs>
      </w:pPr>
      <w:r>
        <w:rPr>
          <w:rFonts w:ascii="ZWAdobeF" w:hAnsi="ZWAdobeF" w:cs="ZWAdobeF"/>
          <w:color w:val="auto"/>
          <w:sz w:val="2"/>
          <w:szCs w:val="2"/>
        </w:rPr>
        <w:t>806B</w:t>
      </w:r>
      <w:r w:rsidR="0049638A">
        <w:rPr>
          <w:rFonts w:ascii="ZWAdobeF" w:hAnsi="ZWAdobeF" w:cs="ZWAdobeF"/>
          <w:color w:val="auto"/>
          <w:sz w:val="2"/>
          <w:szCs w:val="2"/>
        </w:rPr>
        <w:t>806B</w:t>
      </w:r>
      <w:r w:rsidR="00D629FA">
        <w:rPr>
          <w:rFonts w:ascii="ZWAdobeF" w:hAnsi="ZWAdobeF" w:cs="ZWAdobeF"/>
          <w:color w:val="auto"/>
          <w:sz w:val="2"/>
          <w:szCs w:val="2"/>
        </w:rPr>
        <w:t>806B</w:t>
      </w:r>
      <w:r w:rsidR="00DD0F04">
        <w:t>Views of class members.</w:t>
      </w:r>
    </w:p>
    <w:p w14:paraId="023A4F6F" w14:textId="59C6A474" w:rsidR="00DD0F04" w:rsidRPr="002F3D46" w:rsidRDefault="00BD5C95" w:rsidP="00083C10">
      <w:pPr>
        <w:pStyle w:val="BodyTextnonum"/>
        <w:numPr>
          <w:ilvl w:val="3"/>
          <w:numId w:val="14"/>
        </w:numPr>
        <w:tabs>
          <w:tab w:val="clear" w:pos="709"/>
          <w:tab w:val="clear" w:pos="1134"/>
        </w:tabs>
      </w:pPr>
      <w:r>
        <w:rPr>
          <w:rFonts w:ascii="ZWAdobeF" w:hAnsi="ZWAdobeF" w:cs="ZWAdobeF"/>
          <w:color w:val="auto"/>
          <w:sz w:val="2"/>
          <w:szCs w:val="2"/>
        </w:rPr>
        <w:t>807B</w:t>
      </w:r>
      <w:r w:rsidR="0049638A">
        <w:rPr>
          <w:rFonts w:ascii="ZWAdobeF" w:hAnsi="ZWAdobeF" w:cs="ZWAdobeF"/>
          <w:color w:val="auto"/>
          <w:sz w:val="2"/>
          <w:szCs w:val="2"/>
        </w:rPr>
        <w:t>807B</w:t>
      </w:r>
      <w:r w:rsidR="00D629FA">
        <w:rPr>
          <w:rFonts w:ascii="ZWAdobeF" w:hAnsi="ZWAdobeF" w:cs="ZWAdobeF"/>
          <w:color w:val="auto"/>
          <w:sz w:val="2"/>
          <w:szCs w:val="2"/>
        </w:rPr>
        <w:t>807B</w:t>
      </w:r>
      <w:r w:rsidR="00DD0F04">
        <w:t>How unclaimed funds will be dealt with (but payment to the defendant will not be considered unreasonable of itself).</w:t>
      </w:r>
    </w:p>
    <w:p w14:paraId="120607C1" w14:textId="22604F86" w:rsidR="00DD0F04" w:rsidRDefault="00BD5C95" w:rsidP="00B73434">
      <w:pPr>
        <w:pStyle w:val="BodyText"/>
        <w:numPr>
          <w:ilvl w:val="1"/>
          <w:numId w:val="52"/>
        </w:numPr>
        <w:tabs>
          <w:tab w:val="left" w:pos="709"/>
        </w:tabs>
        <w:ind w:hanging="709"/>
      </w:pPr>
      <w:r>
        <w:rPr>
          <w:rFonts w:ascii="ZWAdobeF" w:hAnsi="ZWAdobeF" w:cs="ZWAdobeF"/>
          <w:color w:val="auto"/>
          <w:sz w:val="2"/>
          <w:szCs w:val="2"/>
        </w:rPr>
        <w:t>480B</w:t>
      </w:r>
      <w:r w:rsidR="0049638A">
        <w:rPr>
          <w:rFonts w:ascii="ZWAdobeF" w:hAnsi="ZWAdobeF" w:cs="ZWAdobeF"/>
          <w:color w:val="auto"/>
          <w:sz w:val="2"/>
          <w:szCs w:val="2"/>
        </w:rPr>
        <w:t>480B</w:t>
      </w:r>
      <w:r w:rsidR="00D629FA">
        <w:rPr>
          <w:rFonts w:ascii="ZWAdobeF" w:hAnsi="ZWAdobeF" w:cs="ZWAdobeF"/>
          <w:color w:val="auto"/>
          <w:sz w:val="2"/>
          <w:szCs w:val="2"/>
        </w:rPr>
        <w:t>480B</w:t>
      </w:r>
      <w:r w:rsidR="00DD0F04">
        <w:t>Although the Australian class action</w:t>
      </w:r>
      <w:r w:rsidR="00805C83">
        <w:t>s</w:t>
      </w:r>
      <w:r w:rsidR="00DD0F04">
        <w:t xml:space="preserve"> regimes do not set out criteria for the court to consider when </w:t>
      </w:r>
      <w:r w:rsidR="00DD0F04" w:rsidRPr="00083C10">
        <w:t>deciding</w:t>
      </w:r>
      <w:r w:rsidR="00DD0F04">
        <w:t xml:space="preserve"> whether to approve a settlement, factors have developed through the case law. While there is no definitive list of factors that a court may or must take into account, relevant factors may include:</w:t>
      </w:r>
      <w:r w:rsidR="00D629FA">
        <w:rPr>
          <w:rFonts w:ascii="ZWAdobeF" w:hAnsi="ZWAdobeF" w:cs="ZWAdobeF"/>
          <w:color w:val="auto"/>
          <w:sz w:val="2"/>
          <w:szCs w:val="2"/>
        </w:rPr>
        <w:t>778F</w:t>
      </w:r>
      <w:r w:rsidR="007A330E">
        <w:rPr>
          <w:rFonts w:ascii="ZWAdobeF" w:hAnsi="ZWAdobeF" w:cs="ZWAdobeF"/>
          <w:color w:val="auto"/>
          <w:sz w:val="2"/>
          <w:szCs w:val="2"/>
        </w:rPr>
        <w:t>778F</w:t>
      </w:r>
      <w:r w:rsidR="00317AE4">
        <w:rPr>
          <w:rFonts w:ascii="ZWAdobeF" w:hAnsi="ZWAdobeF" w:cs="ZWAdobeF"/>
          <w:color w:val="auto"/>
          <w:sz w:val="2"/>
          <w:szCs w:val="2"/>
        </w:rPr>
        <w:t>778F</w:t>
      </w:r>
      <w:r w:rsidR="00DD0F04">
        <w:rPr>
          <w:rStyle w:val="FootnoteReference"/>
        </w:rPr>
        <w:footnoteReference w:id="780"/>
      </w:r>
      <w:r w:rsidR="00DD0F04">
        <w:t xml:space="preserve">  </w:t>
      </w:r>
    </w:p>
    <w:p w14:paraId="0C6433F6" w14:textId="09A2E3EE" w:rsidR="00DD0F04" w:rsidRDefault="00BD5C95" w:rsidP="00932DB9">
      <w:pPr>
        <w:pStyle w:val="BodyTextnonum"/>
        <w:numPr>
          <w:ilvl w:val="3"/>
          <w:numId w:val="14"/>
        </w:numPr>
      </w:pPr>
      <w:r>
        <w:rPr>
          <w:rFonts w:ascii="ZWAdobeF" w:hAnsi="ZWAdobeF" w:cs="ZWAdobeF"/>
          <w:color w:val="auto"/>
          <w:sz w:val="2"/>
          <w:szCs w:val="2"/>
        </w:rPr>
        <w:t>808B</w:t>
      </w:r>
      <w:r w:rsidR="0049638A">
        <w:rPr>
          <w:rFonts w:ascii="ZWAdobeF" w:hAnsi="ZWAdobeF" w:cs="ZWAdobeF"/>
          <w:color w:val="auto"/>
          <w:sz w:val="2"/>
          <w:szCs w:val="2"/>
        </w:rPr>
        <w:t>808B</w:t>
      </w:r>
      <w:r w:rsidR="00D629FA">
        <w:rPr>
          <w:rFonts w:ascii="ZWAdobeF" w:hAnsi="ZWAdobeF" w:cs="ZWAdobeF"/>
          <w:color w:val="auto"/>
          <w:sz w:val="2"/>
          <w:szCs w:val="2"/>
        </w:rPr>
        <w:t>808B</w:t>
      </w:r>
      <w:r w:rsidR="00DD0F04">
        <w:t>The complexity and duration of the litigation.</w:t>
      </w:r>
    </w:p>
    <w:p w14:paraId="7B2A1B5C" w14:textId="4224677C" w:rsidR="00DD0F04" w:rsidRDefault="00BD5C95" w:rsidP="00932DB9">
      <w:pPr>
        <w:pStyle w:val="BodyTextnonum"/>
        <w:numPr>
          <w:ilvl w:val="3"/>
          <w:numId w:val="14"/>
        </w:numPr>
      </w:pPr>
      <w:r>
        <w:rPr>
          <w:rFonts w:ascii="ZWAdobeF" w:hAnsi="ZWAdobeF" w:cs="ZWAdobeF"/>
          <w:color w:val="auto"/>
          <w:sz w:val="2"/>
          <w:szCs w:val="2"/>
        </w:rPr>
        <w:t>809B</w:t>
      </w:r>
      <w:r w:rsidR="0049638A">
        <w:rPr>
          <w:rFonts w:ascii="ZWAdobeF" w:hAnsi="ZWAdobeF" w:cs="ZWAdobeF"/>
          <w:color w:val="auto"/>
          <w:sz w:val="2"/>
          <w:szCs w:val="2"/>
        </w:rPr>
        <w:t>809B</w:t>
      </w:r>
      <w:r w:rsidR="00D629FA">
        <w:rPr>
          <w:rFonts w:ascii="ZWAdobeF" w:hAnsi="ZWAdobeF" w:cs="ZWAdobeF"/>
          <w:color w:val="auto"/>
          <w:sz w:val="2"/>
          <w:szCs w:val="2"/>
        </w:rPr>
        <w:t>809B</w:t>
      </w:r>
      <w:r w:rsidR="00DD0F04">
        <w:t>The stage of the proceedings.</w:t>
      </w:r>
    </w:p>
    <w:p w14:paraId="1968A511" w14:textId="1CA6B2C1" w:rsidR="00DD0F04" w:rsidRDefault="00BD5C95" w:rsidP="00932DB9">
      <w:pPr>
        <w:pStyle w:val="BodyTextnonum"/>
        <w:numPr>
          <w:ilvl w:val="3"/>
          <w:numId w:val="14"/>
        </w:numPr>
      </w:pPr>
      <w:r>
        <w:rPr>
          <w:rFonts w:ascii="ZWAdobeF" w:hAnsi="ZWAdobeF" w:cs="ZWAdobeF"/>
          <w:color w:val="auto"/>
          <w:sz w:val="2"/>
          <w:szCs w:val="2"/>
        </w:rPr>
        <w:t>810B</w:t>
      </w:r>
      <w:r w:rsidR="0049638A">
        <w:rPr>
          <w:rFonts w:ascii="ZWAdobeF" w:hAnsi="ZWAdobeF" w:cs="ZWAdobeF"/>
          <w:color w:val="auto"/>
          <w:sz w:val="2"/>
          <w:szCs w:val="2"/>
        </w:rPr>
        <w:t>810B</w:t>
      </w:r>
      <w:r w:rsidR="00D629FA">
        <w:rPr>
          <w:rFonts w:ascii="ZWAdobeF" w:hAnsi="ZWAdobeF" w:cs="ZWAdobeF"/>
          <w:color w:val="auto"/>
          <w:sz w:val="2"/>
          <w:szCs w:val="2"/>
        </w:rPr>
        <w:t>810B</w:t>
      </w:r>
      <w:r w:rsidR="00DD0F04">
        <w:t>The risks and prospects of establishing liability and damages or the risks of an appeal.</w:t>
      </w:r>
    </w:p>
    <w:p w14:paraId="5E912E67" w14:textId="4F80D636" w:rsidR="00DD0F04" w:rsidRDefault="00BD5C95" w:rsidP="00932DB9">
      <w:pPr>
        <w:pStyle w:val="BodyTextnonum"/>
        <w:numPr>
          <w:ilvl w:val="3"/>
          <w:numId w:val="14"/>
        </w:numPr>
      </w:pPr>
      <w:r>
        <w:rPr>
          <w:rFonts w:ascii="ZWAdobeF" w:hAnsi="ZWAdobeF" w:cs="ZWAdobeF"/>
          <w:color w:val="auto"/>
          <w:sz w:val="2"/>
          <w:szCs w:val="2"/>
        </w:rPr>
        <w:t>811B</w:t>
      </w:r>
      <w:r w:rsidR="0049638A">
        <w:rPr>
          <w:rFonts w:ascii="ZWAdobeF" w:hAnsi="ZWAdobeF" w:cs="ZWAdobeF"/>
          <w:color w:val="auto"/>
          <w:sz w:val="2"/>
          <w:szCs w:val="2"/>
        </w:rPr>
        <w:t>811B</w:t>
      </w:r>
      <w:r w:rsidR="00D629FA">
        <w:rPr>
          <w:rFonts w:ascii="ZWAdobeF" w:hAnsi="ZWAdobeF" w:cs="ZWAdobeF"/>
          <w:color w:val="auto"/>
          <w:sz w:val="2"/>
          <w:szCs w:val="2"/>
        </w:rPr>
        <w:t>811B</w:t>
      </w:r>
      <w:r w:rsidR="00DD0F04">
        <w:t xml:space="preserve">The reasonableness of the settlement in light of the best case scenario and the risks of litigation. </w:t>
      </w:r>
    </w:p>
    <w:p w14:paraId="02AE0C39" w14:textId="746E88BE" w:rsidR="00DD0F04" w:rsidRDefault="00BD5C95" w:rsidP="00932DB9">
      <w:pPr>
        <w:pStyle w:val="BodyTextnonum"/>
        <w:numPr>
          <w:ilvl w:val="3"/>
          <w:numId w:val="14"/>
        </w:numPr>
      </w:pPr>
      <w:r>
        <w:rPr>
          <w:rFonts w:ascii="ZWAdobeF" w:hAnsi="ZWAdobeF" w:cs="ZWAdobeF"/>
          <w:color w:val="auto"/>
          <w:sz w:val="2"/>
          <w:szCs w:val="2"/>
        </w:rPr>
        <w:t>812B</w:t>
      </w:r>
      <w:r w:rsidR="0049638A">
        <w:rPr>
          <w:rFonts w:ascii="ZWAdobeF" w:hAnsi="ZWAdobeF" w:cs="ZWAdobeF"/>
          <w:color w:val="auto"/>
          <w:sz w:val="2"/>
          <w:szCs w:val="2"/>
        </w:rPr>
        <w:t>812B</w:t>
      </w:r>
      <w:r w:rsidR="00D629FA">
        <w:rPr>
          <w:rFonts w:ascii="ZWAdobeF" w:hAnsi="ZWAdobeF" w:cs="ZWAdobeF"/>
          <w:color w:val="auto"/>
          <w:sz w:val="2"/>
          <w:szCs w:val="2"/>
        </w:rPr>
        <w:t>812B</w:t>
      </w:r>
      <w:r w:rsidR="00DD0F04">
        <w:t>The ability of the defendant to withstand a greater judgment.</w:t>
      </w:r>
    </w:p>
    <w:p w14:paraId="6A17A246" w14:textId="1828E890" w:rsidR="00DD0F04" w:rsidRDefault="00BD5C95" w:rsidP="00932DB9">
      <w:pPr>
        <w:pStyle w:val="BodyTextnonum"/>
        <w:numPr>
          <w:ilvl w:val="3"/>
          <w:numId w:val="14"/>
        </w:numPr>
      </w:pPr>
      <w:r>
        <w:rPr>
          <w:rFonts w:ascii="ZWAdobeF" w:hAnsi="ZWAdobeF" w:cs="ZWAdobeF"/>
          <w:color w:val="auto"/>
          <w:sz w:val="2"/>
          <w:szCs w:val="2"/>
        </w:rPr>
        <w:t>813B</w:t>
      </w:r>
      <w:r w:rsidR="0049638A">
        <w:rPr>
          <w:rFonts w:ascii="ZWAdobeF" w:hAnsi="ZWAdobeF" w:cs="ZWAdobeF"/>
          <w:color w:val="auto"/>
          <w:sz w:val="2"/>
          <w:szCs w:val="2"/>
        </w:rPr>
        <w:t>813B</w:t>
      </w:r>
      <w:r w:rsidR="00D629FA">
        <w:rPr>
          <w:rFonts w:ascii="ZWAdobeF" w:hAnsi="ZWAdobeF" w:cs="ZWAdobeF"/>
          <w:color w:val="auto"/>
          <w:sz w:val="2"/>
          <w:szCs w:val="2"/>
        </w:rPr>
        <w:t>813B</w:t>
      </w:r>
      <w:r w:rsidR="00DD0F04">
        <w:t>The reaction of the class.</w:t>
      </w:r>
    </w:p>
    <w:p w14:paraId="27B940C8" w14:textId="5FE6B94F" w:rsidR="00DD0F04" w:rsidRPr="000A14F3" w:rsidRDefault="00BD5C95" w:rsidP="00B73434">
      <w:pPr>
        <w:pStyle w:val="BodyText"/>
        <w:numPr>
          <w:ilvl w:val="1"/>
          <w:numId w:val="52"/>
        </w:numPr>
        <w:tabs>
          <w:tab w:val="left" w:pos="709"/>
        </w:tabs>
        <w:ind w:hanging="709"/>
        <w:rPr>
          <w:rStyle w:val="Strong"/>
        </w:rPr>
      </w:pPr>
      <w:r>
        <w:rPr>
          <w:rFonts w:ascii="ZWAdobeF" w:hAnsi="ZWAdobeF" w:cs="ZWAdobeF"/>
          <w:color w:val="auto"/>
          <w:sz w:val="2"/>
          <w:szCs w:val="2"/>
        </w:rPr>
        <w:t>481B</w:t>
      </w:r>
      <w:r w:rsidR="0049638A">
        <w:rPr>
          <w:rFonts w:ascii="ZWAdobeF" w:hAnsi="ZWAdobeF" w:cs="ZWAdobeF"/>
          <w:color w:val="auto"/>
          <w:sz w:val="2"/>
          <w:szCs w:val="2"/>
        </w:rPr>
        <w:t>481B</w:t>
      </w:r>
      <w:r w:rsidR="00D629FA">
        <w:rPr>
          <w:rFonts w:ascii="ZWAdobeF" w:hAnsi="ZWAdobeF" w:cs="ZWAdobeF"/>
          <w:color w:val="auto"/>
          <w:sz w:val="2"/>
          <w:szCs w:val="2"/>
        </w:rPr>
        <w:t>481B</w:t>
      </w:r>
      <w:r w:rsidR="00DD0F04">
        <w:t>In its 2018 report, the Australian Law Reform Commission (ALRC) considered that it was unnecessary to have statutory criteria for judges to apply when approving settlements because of the extensive jurisprudence which had developed</w:t>
      </w:r>
      <w:r w:rsidR="00850D4D">
        <w:t>.</w:t>
      </w:r>
      <w:r w:rsidR="00D629FA">
        <w:rPr>
          <w:rFonts w:ascii="ZWAdobeF" w:hAnsi="ZWAdobeF" w:cs="ZWAdobeF"/>
          <w:color w:val="auto"/>
          <w:sz w:val="2"/>
          <w:szCs w:val="2"/>
        </w:rPr>
        <w:t>779F</w:t>
      </w:r>
      <w:r w:rsidR="007A330E">
        <w:rPr>
          <w:rFonts w:ascii="ZWAdobeF" w:hAnsi="ZWAdobeF" w:cs="ZWAdobeF"/>
          <w:color w:val="auto"/>
          <w:sz w:val="2"/>
          <w:szCs w:val="2"/>
        </w:rPr>
        <w:t>779F</w:t>
      </w:r>
      <w:r w:rsidR="00317AE4">
        <w:rPr>
          <w:rFonts w:ascii="ZWAdobeF" w:hAnsi="ZWAdobeF" w:cs="ZWAdobeF"/>
          <w:color w:val="auto"/>
          <w:sz w:val="2"/>
          <w:szCs w:val="2"/>
        </w:rPr>
        <w:t>779F</w:t>
      </w:r>
      <w:r w:rsidR="00C25D8A">
        <w:rPr>
          <w:rStyle w:val="FootnoteReference"/>
        </w:rPr>
        <w:footnoteReference w:id="781"/>
      </w:r>
      <w:r w:rsidR="00DD0F04">
        <w:t xml:space="preserve"> The VLRC also </w:t>
      </w:r>
      <w:r w:rsidR="00DD0F04">
        <w:lastRenderedPageBreak/>
        <w:t>considered it was unnecessary to recognise the settlement approval criteria in legislation, noting the need to allow courts to maintain flexibility.</w:t>
      </w:r>
      <w:r w:rsidR="00D629FA">
        <w:rPr>
          <w:rFonts w:ascii="ZWAdobeF" w:hAnsi="ZWAdobeF" w:cs="ZWAdobeF"/>
          <w:color w:val="auto"/>
          <w:sz w:val="2"/>
          <w:szCs w:val="2"/>
        </w:rPr>
        <w:t>780F</w:t>
      </w:r>
      <w:r w:rsidR="007A330E">
        <w:rPr>
          <w:rFonts w:ascii="ZWAdobeF" w:hAnsi="ZWAdobeF" w:cs="ZWAdobeF"/>
          <w:color w:val="auto"/>
          <w:sz w:val="2"/>
          <w:szCs w:val="2"/>
        </w:rPr>
        <w:t>780F</w:t>
      </w:r>
      <w:r w:rsidR="00317AE4">
        <w:rPr>
          <w:rFonts w:ascii="ZWAdobeF" w:hAnsi="ZWAdobeF" w:cs="ZWAdobeF"/>
          <w:color w:val="auto"/>
          <w:sz w:val="2"/>
          <w:szCs w:val="2"/>
        </w:rPr>
        <w:t>780F</w:t>
      </w:r>
      <w:r w:rsidR="00DD0F04">
        <w:rPr>
          <w:rStyle w:val="FootnoteReference"/>
        </w:rPr>
        <w:footnoteReference w:id="782"/>
      </w:r>
      <w:r w:rsidR="00DD0F04">
        <w:t xml:space="preserve"> </w:t>
      </w:r>
    </w:p>
    <w:p w14:paraId="08F711F9" w14:textId="315FF93F" w:rsidR="00DD0F04" w:rsidRDefault="00BD5C95" w:rsidP="00B73434">
      <w:pPr>
        <w:pStyle w:val="BodyText"/>
        <w:numPr>
          <w:ilvl w:val="1"/>
          <w:numId w:val="52"/>
        </w:numPr>
        <w:tabs>
          <w:tab w:val="left" w:pos="709"/>
        </w:tabs>
        <w:ind w:hanging="709"/>
      </w:pPr>
      <w:r>
        <w:rPr>
          <w:rFonts w:ascii="ZWAdobeF" w:hAnsi="ZWAdobeF" w:cs="ZWAdobeF"/>
          <w:color w:val="auto"/>
          <w:sz w:val="2"/>
          <w:szCs w:val="2"/>
        </w:rPr>
        <w:t>482B</w:t>
      </w:r>
      <w:r w:rsidR="0049638A">
        <w:rPr>
          <w:rFonts w:ascii="ZWAdobeF" w:hAnsi="ZWAdobeF" w:cs="ZWAdobeF"/>
          <w:color w:val="auto"/>
          <w:sz w:val="2"/>
          <w:szCs w:val="2"/>
        </w:rPr>
        <w:t>482B</w:t>
      </w:r>
      <w:r w:rsidR="00D629FA">
        <w:rPr>
          <w:rFonts w:ascii="ZWAdobeF" w:hAnsi="ZWAdobeF" w:cs="ZWAdobeF"/>
          <w:color w:val="auto"/>
          <w:sz w:val="2"/>
          <w:szCs w:val="2"/>
        </w:rPr>
        <w:t>482B</w:t>
      </w:r>
      <w:r w:rsidR="00DD0F04">
        <w:t xml:space="preserve">In </w:t>
      </w:r>
      <w:r w:rsidR="00DD0F04" w:rsidRPr="00083C10">
        <w:t>Ontario</w:t>
      </w:r>
      <w:r w:rsidR="00DD0F04">
        <w:t>, courts have found the following factors to be relevant to whether a settlement is “fair, reasonable and in the best interests of the class”:</w:t>
      </w:r>
      <w:r w:rsidR="00D629FA">
        <w:rPr>
          <w:rFonts w:ascii="ZWAdobeF" w:hAnsi="ZWAdobeF" w:cs="ZWAdobeF"/>
          <w:color w:val="auto"/>
          <w:sz w:val="2"/>
          <w:szCs w:val="2"/>
        </w:rPr>
        <w:t>781F</w:t>
      </w:r>
      <w:r w:rsidR="007A330E">
        <w:rPr>
          <w:rFonts w:ascii="ZWAdobeF" w:hAnsi="ZWAdobeF" w:cs="ZWAdobeF"/>
          <w:color w:val="auto"/>
          <w:sz w:val="2"/>
          <w:szCs w:val="2"/>
        </w:rPr>
        <w:t>781F</w:t>
      </w:r>
      <w:r w:rsidR="00317AE4">
        <w:rPr>
          <w:rFonts w:ascii="ZWAdobeF" w:hAnsi="ZWAdobeF" w:cs="ZWAdobeF"/>
          <w:color w:val="auto"/>
          <w:sz w:val="2"/>
          <w:szCs w:val="2"/>
        </w:rPr>
        <w:t>781F</w:t>
      </w:r>
      <w:r w:rsidR="00DD0F04">
        <w:rPr>
          <w:rStyle w:val="FootnoteReference"/>
        </w:rPr>
        <w:footnoteReference w:id="783"/>
      </w:r>
    </w:p>
    <w:p w14:paraId="097944B8" w14:textId="74464574" w:rsidR="00DD0F04" w:rsidRDefault="00BD5C95" w:rsidP="00932DB9">
      <w:pPr>
        <w:pStyle w:val="BodyTextnonum"/>
        <w:numPr>
          <w:ilvl w:val="3"/>
          <w:numId w:val="14"/>
        </w:numPr>
        <w:tabs>
          <w:tab w:val="num" w:pos="709"/>
        </w:tabs>
      </w:pPr>
      <w:r>
        <w:rPr>
          <w:rFonts w:ascii="ZWAdobeF" w:hAnsi="ZWAdobeF" w:cs="ZWAdobeF"/>
          <w:color w:val="auto"/>
          <w:sz w:val="2"/>
          <w:szCs w:val="2"/>
        </w:rPr>
        <w:t>814B</w:t>
      </w:r>
      <w:r w:rsidR="0049638A">
        <w:rPr>
          <w:rFonts w:ascii="ZWAdobeF" w:hAnsi="ZWAdobeF" w:cs="ZWAdobeF"/>
          <w:color w:val="auto"/>
          <w:sz w:val="2"/>
          <w:szCs w:val="2"/>
        </w:rPr>
        <w:t>814B</w:t>
      </w:r>
      <w:r w:rsidR="00D629FA">
        <w:rPr>
          <w:rFonts w:ascii="ZWAdobeF" w:hAnsi="ZWAdobeF" w:cs="ZWAdobeF"/>
          <w:color w:val="auto"/>
          <w:sz w:val="2"/>
          <w:szCs w:val="2"/>
        </w:rPr>
        <w:t>814B</w:t>
      </w:r>
      <w:r w:rsidR="00DD0F04">
        <w:t>Amount and nature of discovery evidence.</w:t>
      </w:r>
    </w:p>
    <w:p w14:paraId="0C4DF05C" w14:textId="3EDB0B1E" w:rsidR="00DD0F04" w:rsidRDefault="00BD5C95" w:rsidP="00932DB9">
      <w:pPr>
        <w:pStyle w:val="BodyTextnonum"/>
        <w:numPr>
          <w:ilvl w:val="3"/>
          <w:numId w:val="14"/>
        </w:numPr>
        <w:tabs>
          <w:tab w:val="num" w:pos="709"/>
        </w:tabs>
      </w:pPr>
      <w:r>
        <w:rPr>
          <w:rFonts w:ascii="ZWAdobeF" w:hAnsi="ZWAdobeF" w:cs="ZWAdobeF"/>
          <w:color w:val="auto"/>
          <w:sz w:val="2"/>
          <w:szCs w:val="2"/>
        </w:rPr>
        <w:t>815B</w:t>
      </w:r>
      <w:r w:rsidR="0049638A">
        <w:rPr>
          <w:rFonts w:ascii="ZWAdobeF" w:hAnsi="ZWAdobeF" w:cs="ZWAdobeF"/>
          <w:color w:val="auto"/>
          <w:sz w:val="2"/>
          <w:szCs w:val="2"/>
        </w:rPr>
        <w:t>815B</w:t>
      </w:r>
      <w:r w:rsidR="00D629FA">
        <w:rPr>
          <w:rFonts w:ascii="ZWAdobeF" w:hAnsi="ZWAdobeF" w:cs="ZWAdobeF"/>
          <w:color w:val="auto"/>
          <w:sz w:val="2"/>
          <w:szCs w:val="2"/>
        </w:rPr>
        <w:t>815B</w:t>
      </w:r>
      <w:r w:rsidR="00DD0F04">
        <w:t>The terms and conditions of the settlement.</w:t>
      </w:r>
    </w:p>
    <w:p w14:paraId="250A9EAA" w14:textId="6AFE74FD" w:rsidR="00DD0F04" w:rsidRDefault="00BD5C95" w:rsidP="00932DB9">
      <w:pPr>
        <w:pStyle w:val="BodyTextnonum"/>
        <w:numPr>
          <w:ilvl w:val="3"/>
          <w:numId w:val="14"/>
        </w:numPr>
        <w:tabs>
          <w:tab w:val="num" w:pos="709"/>
        </w:tabs>
      </w:pPr>
      <w:r>
        <w:rPr>
          <w:rFonts w:ascii="ZWAdobeF" w:hAnsi="ZWAdobeF" w:cs="ZWAdobeF"/>
          <w:color w:val="auto"/>
          <w:sz w:val="2"/>
          <w:szCs w:val="2"/>
        </w:rPr>
        <w:t>816B</w:t>
      </w:r>
      <w:r w:rsidR="0049638A">
        <w:rPr>
          <w:rFonts w:ascii="ZWAdobeF" w:hAnsi="ZWAdobeF" w:cs="ZWAdobeF"/>
          <w:color w:val="auto"/>
          <w:sz w:val="2"/>
          <w:szCs w:val="2"/>
        </w:rPr>
        <w:t>816B</w:t>
      </w:r>
      <w:r w:rsidR="00D629FA">
        <w:rPr>
          <w:rFonts w:ascii="ZWAdobeF" w:hAnsi="ZWAdobeF" w:cs="ZWAdobeF"/>
          <w:color w:val="auto"/>
          <w:sz w:val="2"/>
          <w:szCs w:val="2"/>
        </w:rPr>
        <w:t>816B</w:t>
      </w:r>
      <w:r w:rsidR="00DD0F04">
        <w:t>The recommendation and experience of the lawyers.</w:t>
      </w:r>
    </w:p>
    <w:p w14:paraId="23759DCD" w14:textId="6E9526CD" w:rsidR="00DD0F04" w:rsidRDefault="00BD5C95" w:rsidP="00932DB9">
      <w:pPr>
        <w:pStyle w:val="BodyTextnonum"/>
        <w:numPr>
          <w:ilvl w:val="3"/>
          <w:numId w:val="14"/>
        </w:numPr>
        <w:tabs>
          <w:tab w:val="num" w:pos="709"/>
        </w:tabs>
      </w:pPr>
      <w:r>
        <w:rPr>
          <w:rFonts w:ascii="ZWAdobeF" w:hAnsi="ZWAdobeF" w:cs="ZWAdobeF"/>
          <w:color w:val="auto"/>
          <w:sz w:val="2"/>
          <w:szCs w:val="2"/>
        </w:rPr>
        <w:t>817B</w:t>
      </w:r>
      <w:r w:rsidR="0049638A">
        <w:rPr>
          <w:rFonts w:ascii="ZWAdobeF" w:hAnsi="ZWAdobeF" w:cs="ZWAdobeF"/>
          <w:color w:val="auto"/>
          <w:sz w:val="2"/>
          <w:szCs w:val="2"/>
        </w:rPr>
        <w:t>817B</w:t>
      </w:r>
      <w:r w:rsidR="00D629FA">
        <w:rPr>
          <w:rFonts w:ascii="ZWAdobeF" w:hAnsi="ZWAdobeF" w:cs="ZWAdobeF"/>
          <w:color w:val="auto"/>
          <w:sz w:val="2"/>
          <w:szCs w:val="2"/>
        </w:rPr>
        <w:t>817B</w:t>
      </w:r>
      <w:r w:rsidR="00DD0F04">
        <w:t>The future expense and likely duration of the litigation.</w:t>
      </w:r>
    </w:p>
    <w:p w14:paraId="7233843B" w14:textId="642B5CD4" w:rsidR="00DD0F04" w:rsidRDefault="00BD5C95" w:rsidP="00932DB9">
      <w:pPr>
        <w:pStyle w:val="BodyTextnonum"/>
        <w:numPr>
          <w:ilvl w:val="3"/>
          <w:numId w:val="14"/>
        </w:numPr>
        <w:tabs>
          <w:tab w:val="num" w:pos="709"/>
        </w:tabs>
      </w:pPr>
      <w:r>
        <w:rPr>
          <w:rFonts w:ascii="ZWAdobeF" w:hAnsi="ZWAdobeF" w:cs="ZWAdobeF"/>
          <w:color w:val="auto"/>
          <w:sz w:val="2"/>
          <w:szCs w:val="2"/>
        </w:rPr>
        <w:t>818B</w:t>
      </w:r>
      <w:r w:rsidR="0049638A">
        <w:rPr>
          <w:rFonts w:ascii="ZWAdobeF" w:hAnsi="ZWAdobeF" w:cs="ZWAdobeF"/>
          <w:color w:val="auto"/>
          <w:sz w:val="2"/>
          <w:szCs w:val="2"/>
        </w:rPr>
        <w:t>818B</w:t>
      </w:r>
      <w:r w:rsidR="00D629FA">
        <w:rPr>
          <w:rFonts w:ascii="ZWAdobeF" w:hAnsi="ZWAdobeF" w:cs="ZWAdobeF"/>
          <w:color w:val="auto"/>
          <w:sz w:val="2"/>
          <w:szCs w:val="2"/>
        </w:rPr>
        <w:t>818B</w:t>
      </w:r>
      <w:r w:rsidR="00DD0F04">
        <w:t>The recommendations of neutral parties.</w:t>
      </w:r>
    </w:p>
    <w:p w14:paraId="3D64C591" w14:textId="2D9C6715" w:rsidR="00DD0F04" w:rsidRDefault="00BD5C95" w:rsidP="00932DB9">
      <w:pPr>
        <w:pStyle w:val="BodyTextnonum"/>
        <w:numPr>
          <w:ilvl w:val="3"/>
          <w:numId w:val="14"/>
        </w:numPr>
        <w:tabs>
          <w:tab w:val="num" w:pos="709"/>
        </w:tabs>
      </w:pPr>
      <w:r>
        <w:rPr>
          <w:rFonts w:ascii="ZWAdobeF" w:hAnsi="ZWAdobeF" w:cs="ZWAdobeF"/>
          <w:color w:val="auto"/>
          <w:sz w:val="2"/>
          <w:szCs w:val="2"/>
        </w:rPr>
        <w:t>819B</w:t>
      </w:r>
      <w:r w:rsidR="0049638A">
        <w:rPr>
          <w:rFonts w:ascii="ZWAdobeF" w:hAnsi="ZWAdobeF" w:cs="ZWAdobeF"/>
          <w:color w:val="auto"/>
          <w:sz w:val="2"/>
          <w:szCs w:val="2"/>
        </w:rPr>
        <w:t>819B</w:t>
      </w:r>
      <w:r w:rsidR="00D629FA">
        <w:rPr>
          <w:rFonts w:ascii="ZWAdobeF" w:hAnsi="ZWAdobeF" w:cs="ZWAdobeF"/>
          <w:color w:val="auto"/>
          <w:sz w:val="2"/>
          <w:szCs w:val="2"/>
        </w:rPr>
        <w:t>819B</w:t>
      </w:r>
      <w:r w:rsidR="00DD0F04">
        <w:t>The number of objectors and the nature of the objections.</w:t>
      </w:r>
    </w:p>
    <w:p w14:paraId="5DFC2883" w14:textId="66D8FE30" w:rsidR="00DD0F04" w:rsidRDefault="00BD5C95" w:rsidP="00932DB9">
      <w:pPr>
        <w:pStyle w:val="BodyTextnonum"/>
        <w:numPr>
          <w:ilvl w:val="3"/>
          <w:numId w:val="14"/>
        </w:numPr>
        <w:tabs>
          <w:tab w:val="num" w:pos="709"/>
        </w:tabs>
      </w:pPr>
      <w:r>
        <w:rPr>
          <w:rFonts w:ascii="ZWAdobeF" w:hAnsi="ZWAdobeF" w:cs="ZWAdobeF"/>
          <w:color w:val="auto"/>
          <w:sz w:val="2"/>
          <w:szCs w:val="2"/>
        </w:rPr>
        <w:t>820B</w:t>
      </w:r>
      <w:r w:rsidR="0049638A">
        <w:rPr>
          <w:rFonts w:ascii="ZWAdobeF" w:hAnsi="ZWAdobeF" w:cs="ZWAdobeF"/>
          <w:color w:val="auto"/>
          <w:sz w:val="2"/>
          <w:szCs w:val="2"/>
        </w:rPr>
        <w:t>820B</w:t>
      </w:r>
      <w:r w:rsidR="00D629FA">
        <w:rPr>
          <w:rFonts w:ascii="ZWAdobeF" w:hAnsi="ZWAdobeF" w:cs="ZWAdobeF"/>
          <w:color w:val="auto"/>
          <w:sz w:val="2"/>
          <w:szCs w:val="2"/>
        </w:rPr>
        <w:t>820B</w:t>
      </w:r>
      <w:r w:rsidR="00DD0F04">
        <w:t>The presence of good faith, arms’ length bargaining and the absence of collusion.</w:t>
      </w:r>
    </w:p>
    <w:p w14:paraId="2DAB0574" w14:textId="49E9AECB" w:rsidR="00DD0F04" w:rsidRDefault="00BD5C95" w:rsidP="00B73434">
      <w:pPr>
        <w:pStyle w:val="BodyText"/>
        <w:numPr>
          <w:ilvl w:val="1"/>
          <w:numId w:val="52"/>
        </w:numPr>
        <w:tabs>
          <w:tab w:val="left" w:pos="709"/>
        </w:tabs>
        <w:ind w:hanging="709"/>
      </w:pPr>
      <w:r>
        <w:rPr>
          <w:rFonts w:ascii="ZWAdobeF" w:hAnsi="ZWAdobeF" w:cs="ZWAdobeF"/>
          <w:color w:val="auto"/>
          <w:sz w:val="2"/>
          <w:szCs w:val="2"/>
        </w:rPr>
        <w:t>483B</w:t>
      </w:r>
      <w:r w:rsidR="0049638A">
        <w:rPr>
          <w:rFonts w:ascii="ZWAdobeF" w:hAnsi="ZWAdobeF" w:cs="ZWAdobeF"/>
          <w:color w:val="auto"/>
          <w:sz w:val="2"/>
          <w:szCs w:val="2"/>
        </w:rPr>
        <w:t>483B</w:t>
      </w:r>
      <w:r w:rsidR="00D629FA">
        <w:rPr>
          <w:rFonts w:ascii="ZWAdobeF" w:hAnsi="ZWAdobeF" w:cs="ZWAdobeF"/>
          <w:color w:val="auto"/>
          <w:sz w:val="2"/>
          <w:szCs w:val="2"/>
        </w:rPr>
        <w:t>483B</w:t>
      </w:r>
      <w:r w:rsidR="00DD0F04">
        <w:t>The LCO considered whether to propose amending the legislation to provide criteria to guide judges, such as those set out above. It decided it was unnecessary because of the widespread acceptance of the factors that apply and the risk that it would hinder the evolution of the criteria.</w:t>
      </w:r>
      <w:r w:rsidR="00D629FA">
        <w:rPr>
          <w:rFonts w:ascii="ZWAdobeF" w:hAnsi="ZWAdobeF" w:cs="ZWAdobeF"/>
          <w:color w:val="auto"/>
          <w:sz w:val="2"/>
          <w:szCs w:val="2"/>
        </w:rPr>
        <w:t>782F</w:t>
      </w:r>
      <w:r w:rsidR="007A330E">
        <w:rPr>
          <w:rFonts w:ascii="ZWAdobeF" w:hAnsi="ZWAdobeF" w:cs="ZWAdobeF"/>
          <w:color w:val="auto"/>
          <w:sz w:val="2"/>
          <w:szCs w:val="2"/>
        </w:rPr>
        <w:t>782F</w:t>
      </w:r>
      <w:r w:rsidR="00317AE4">
        <w:rPr>
          <w:rFonts w:ascii="ZWAdobeF" w:hAnsi="ZWAdobeF" w:cs="ZWAdobeF"/>
          <w:color w:val="auto"/>
          <w:sz w:val="2"/>
          <w:szCs w:val="2"/>
        </w:rPr>
        <w:t>782F</w:t>
      </w:r>
      <w:r w:rsidR="00DD0F04">
        <w:rPr>
          <w:rStyle w:val="FootnoteReference"/>
        </w:rPr>
        <w:footnoteReference w:id="784"/>
      </w:r>
    </w:p>
    <w:p w14:paraId="14FD0125" w14:textId="531FC2CD" w:rsidR="00DD0F04" w:rsidRDefault="00BD5C95" w:rsidP="00B73434">
      <w:pPr>
        <w:pStyle w:val="BodyText"/>
        <w:numPr>
          <w:ilvl w:val="1"/>
          <w:numId w:val="52"/>
        </w:numPr>
        <w:tabs>
          <w:tab w:val="left" w:pos="709"/>
        </w:tabs>
        <w:ind w:hanging="709"/>
      </w:pPr>
      <w:r>
        <w:rPr>
          <w:rFonts w:ascii="ZWAdobeF" w:hAnsi="ZWAdobeF" w:cs="ZWAdobeF"/>
          <w:color w:val="auto"/>
          <w:sz w:val="2"/>
          <w:szCs w:val="2"/>
        </w:rPr>
        <w:t>484B</w:t>
      </w:r>
      <w:r w:rsidR="0049638A">
        <w:rPr>
          <w:rFonts w:ascii="ZWAdobeF" w:hAnsi="ZWAdobeF" w:cs="ZWAdobeF"/>
          <w:color w:val="auto"/>
          <w:sz w:val="2"/>
          <w:szCs w:val="2"/>
        </w:rPr>
        <w:t>484B</w:t>
      </w:r>
      <w:r w:rsidR="00D629FA">
        <w:rPr>
          <w:rFonts w:ascii="ZWAdobeF" w:hAnsi="ZWAdobeF" w:cs="ZWAdobeF"/>
          <w:color w:val="auto"/>
          <w:sz w:val="2"/>
          <w:szCs w:val="2"/>
        </w:rPr>
        <w:t>484B</w:t>
      </w:r>
      <w:r w:rsidR="00DD0F04">
        <w:t xml:space="preserve">We consider the class actions regime should specify factors the court must consider when deciding whether to approve a settlement, while </w:t>
      </w:r>
      <w:r w:rsidR="00B92356">
        <w:t xml:space="preserve">ensuring the court has </w:t>
      </w:r>
      <w:r w:rsidR="00DD0F04">
        <w:t xml:space="preserve">discretion to consider any further relevant matters. We think this is preferable to waiting for factors to develop through the case law as it will provide greater clarity and certainty to parties from an earlier stage. While law reform bodies in Australia and Canada have rejected the need for statutory criteria to guide judicial approval of settlement, this is because of the existence of well-developed factors in the case law. Aotearoa New Zealand is likely to have a much smaller volume of class actions than those jurisdictions and it could take a long time for similar factors to become settled in case law. </w:t>
      </w:r>
    </w:p>
    <w:p w14:paraId="49219F4A" w14:textId="24E37179" w:rsidR="00DD0F04" w:rsidRDefault="00BD5C95" w:rsidP="00B73434">
      <w:pPr>
        <w:pStyle w:val="BodyText"/>
        <w:numPr>
          <w:ilvl w:val="1"/>
          <w:numId w:val="52"/>
        </w:numPr>
        <w:tabs>
          <w:tab w:val="left" w:pos="709"/>
        </w:tabs>
        <w:ind w:hanging="709"/>
      </w:pPr>
      <w:r>
        <w:rPr>
          <w:rFonts w:ascii="ZWAdobeF" w:hAnsi="ZWAdobeF" w:cs="ZWAdobeF"/>
          <w:color w:val="auto"/>
          <w:sz w:val="2"/>
          <w:szCs w:val="2"/>
        </w:rPr>
        <w:t>485B</w:t>
      </w:r>
      <w:r w:rsidR="0049638A">
        <w:rPr>
          <w:rFonts w:ascii="ZWAdobeF" w:hAnsi="ZWAdobeF" w:cs="ZWAdobeF"/>
          <w:color w:val="auto"/>
          <w:sz w:val="2"/>
          <w:szCs w:val="2"/>
        </w:rPr>
        <w:t>485B</w:t>
      </w:r>
      <w:r w:rsidR="00D629FA">
        <w:rPr>
          <w:rFonts w:ascii="ZWAdobeF" w:hAnsi="ZWAdobeF" w:cs="ZWAdobeF"/>
          <w:color w:val="auto"/>
          <w:sz w:val="2"/>
          <w:szCs w:val="2"/>
        </w:rPr>
        <w:t>485B</w:t>
      </w:r>
      <w:r w:rsidR="00DD0F04">
        <w:t xml:space="preserve">We have proposed five factors that a court should consider when deciding whether a settlement is fair, reasonable and in the interests of the class as a whole, while also </w:t>
      </w:r>
      <w:r w:rsidR="00B92356">
        <w:t xml:space="preserve">enabling </w:t>
      </w:r>
      <w:r w:rsidR="00DD0F04">
        <w:t>the court to consider any other factors it sees as relevant.</w:t>
      </w:r>
      <w:r w:rsidR="00D629FA">
        <w:rPr>
          <w:rFonts w:ascii="ZWAdobeF" w:hAnsi="ZWAdobeF" w:cs="ZWAdobeF"/>
          <w:color w:val="auto"/>
          <w:sz w:val="2"/>
          <w:szCs w:val="2"/>
        </w:rPr>
        <w:t>783F</w:t>
      </w:r>
      <w:r w:rsidR="007A330E">
        <w:rPr>
          <w:rFonts w:ascii="ZWAdobeF" w:hAnsi="ZWAdobeF" w:cs="ZWAdobeF"/>
          <w:color w:val="auto"/>
          <w:sz w:val="2"/>
          <w:szCs w:val="2"/>
        </w:rPr>
        <w:t>783F</w:t>
      </w:r>
      <w:r w:rsidR="00317AE4">
        <w:rPr>
          <w:rFonts w:ascii="ZWAdobeF" w:hAnsi="ZWAdobeF" w:cs="ZWAdobeF"/>
          <w:color w:val="auto"/>
          <w:sz w:val="2"/>
          <w:szCs w:val="2"/>
        </w:rPr>
        <w:t>783F</w:t>
      </w:r>
      <w:r w:rsidR="00DD0F04">
        <w:rPr>
          <w:rStyle w:val="FootnoteReference"/>
        </w:rPr>
        <w:footnoteReference w:id="785"/>
      </w:r>
      <w:r w:rsidR="00DD0F04">
        <w:t xml:space="preserve"> The five factors are:</w:t>
      </w:r>
    </w:p>
    <w:p w14:paraId="29E8B23A" w14:textId="45543968" w:rsidR="00DD0F04" w:rsidRDefault="00BD5C95" w:rsidP="00B73434">
      <w:pPr>
        <w:pStyle w:val="BodyTextnonum"/>
        <w:numPr>
          <w:ilvl w:val="3"/>
          <w:numId w:val="52"/>
        </w:numPr>
      </w:pPr>
      <w:r>
        <w:rPr>
          <w:rFonts w:ascii="ZWAdobeF" w:hAnsi="ZWAdobeF" w:cs="ZWAdobeF"/>
          <w:color w:val="auto"/>
          <w:sz w:val="2"/>
          <w:szCs w:val="2"/>
        </w:rPr>
        <w:t>821B</w:t>
      </w:r>
      <w:r w:rsidR="0049638A">
        <w:rPr>
          <w:rFonts w:ascii="ZWAdobeF" w:hAnsi="ZWAdobeF" w:cs="ZWAdobeF"/>
          <w:color w:val="auto"/>
          <w:sz w:val="2"/>
          <w:szCs w:val="2"/>
        </w:rPr>
        <w:t>821B</w:t>
      </w:r>
      <w:r w:rsidR="00D629FA">
        <w:rPr>
          <w:rFonts w:ascii="ZWAdobeF" w:hAnsi="ZWAdobeF" w:cs="ZWAdobeF"/>
          <w:color w:val="auto"/>
          <w:sz w:val="2"/>
          <w:szCs w:val="2"/>
        </w:rPr>
        <w:t>821B</w:t>
      </w:r>
      <w:r w:rsidR="00DD0F04">
        <w:t>The terms and conditions of the proposed settlement.</w:t>
      </w:r>
    </w:p>
    <w:p w14:paraId="5F0A1477" w14:textId="17C6EBE4" w:rsidR="00DD0F04" w:rsidRDefault="00BD5C95" w:rsidP="00B73434">
      <w:pPr>
        <w:pStyle w:val="BodyTextnonum"/>
        <w:numPr>
          <w:ilvl w:val="3"/>
          <w:numId w:val="52"/>
        </w:numPr>
      </w:pPr>
      <w:r>
        <w:rPr>
          <w:rFonts w:ascii="ZWAdobeF" w:hAnsi="ZWAdobeF" w:cs="ZWAdobeF"/>
          <w:color w:val="auto"/>
          <w:sz w:val="2"/>
          <w:szCs w:val="2"/>
        </w:rPr>
        <w:t>822B</w:t>
      </w:r>
      <w:r w:rsidR="0049638A">
        <w:rPr>
          <w:rFonts w:ascii="ZWAdobeF" w:hAnsi="ZWAdobeF" w:cs="ZWAdobeF"/>
          <w:color w:val="auto"/>
          <w:sz w:val="2"/>
          <w:szCs w:val="2"/>
        </w:rPr>
        <w:t>822B</w:t>
      </w:r>
      <w:r w:rsidR="00D629FA">
        <w:rPr>
          <w:rFonts w:ascii="ZWAdobeF" w:hAnsi="ZWAdobeF" w:cs="ZWAdobeF"/>
          <w:color w:val="auto"/>
          <w:sz w:val="2"/>
          <w:szCs w:val="2"/>
        </w:rPr>
        <w:t>822B</w:t>
      </w:r>
      <w:r w:rsidR="00DD0F04">
        <w:t xml:space="preserve">Any legal fees and litigation funding commission that will be deducted from relief paid to class members. </w:t>
      </w:r>
    </w:p>
    <w:p w14:paraId="20BFF851" w14:textId="716055C2" w:rsidR="00DD0F04" w:rsidRDefault="00BD5C95" w:rsidP="00B73434">
      <w:pPr>
        <w:pStyle w:val="BodyTextnonum"/>
        <w:numPr>
          <w:ilvl w:val="3"/>
          <w:numId w:val="52"/>
        </w:numPr>
      </w:pPr>
      <w:r>
        <w:rPr>
          <w:rFonts w:ascii="ZWAdobeF" w:hAnsi="ZWAdobeF" w:cs="ZWAdobeF"/>
          <w:color w:val="auto"/>
          <w:sz w:val="2"/>
          <w:szCs w:val="2"/>
        </w:rPr>
        <w:t>823B</w:t>
      </w:r>
      <w:r w:rsidR="0049638A">
        <w:rPr>
          <w:rFonts w:ascii="ZWAdobeF" w:hAnsi="ZWAdobeF" w:cs="ZWAdobeF"/>
          <w:color w:val="auto"/>
          <w:sz w:val="2"/>
          <w:szCs w:val="2"/>
        </w:rPr>
        <w:t>823B</w:t>
      </w:r>
      <w:r w:rsidR="00D629FA">
        <w:rPr>
          <w:rFonts w:ascii="ZWAdobeF" w:hAnsi="ZWAdobeF" w:cs="ZWAdobeF"/>
          <w:color w:val="auto"/>
          <w:sz w:val="2"/>
          <w:szCs w:val="2"/>
        </w:rPr>
        <w:t>823B</w:t>
      </w:r>
      <w:r w:rsidR="00DD0F04">
        <w:t>Potential risks, costs and benefits of continuing with the proceeding.</w:t>
      </w:r>
    </w:p>
    <w:p w14:paraId="7FA60228" w14:textId="4E1E0987" w:rsidR="00DD0F04" w:rsidRDefault="00BD5C95" w:rsidP="00B73434">
      <w:pPr>
        <w:pStyle w:val="BodyTextnonum"/>
        <w:numPr>
          <w:ilvl w:val="3"/>
          <w:numId w:val="52"/>
        </w:numPr>
      </w:pPr>
      <w:r>
        <w:rPr>
          <w:rFonts w:ascii="ZWAdobeF" w:hAnsi="ZWAdobeF" w:cs="ZWAdobeF"/>
          <w:color w:val="auto"/>
          <w:sz w:val="2"/>
          <w:szCs w:val="2"/>
        </w:rPr>
        <w:t>824B</w:t>
      </w:r>
      <w:r w:rsidR="0049638A">
        <w:rPr>
          <w:rFonts w:ascii="ZWAdobeF" w:hAnsi="ZWAdobeF" w:cs="ZWAdobeF"/>
          <w:color w:val="auto"/>
          <w:sz w:val="2"/>
          <w:szCs w:val="2"/>
        </w:rPr>
        <w:t>824B</w:t>
      </w:r>
      <w:r w:rsidR="00D629FA">
        <w:rPr>
          <w:rFonts w:ascii="ZWAdobeF" w:hAnsi="ZWAdobeF" w:cs="ZWAdobeF"/>
          <w:color w:val="auto"/>
          <w:sz w:val="2"/>
          <w:szCs w:val="2"/>
        </w:rPr>
        <w:t>824B</w:t>
      </w:r>
      <w:r w:rsidR="00DD0F04">
        <w:t>Views of class members.</w:t>
      </w:r>
    </w:p>
    <w:p w14:paraId="1EADA45B" w14:textId="1A2665DA" w:rsidR="00DD0F04" w:rsidRDefault="00BD5C95" w:rsidP="00B73434">
      <w:pPr>
        <w:pStyle w:val="BodyTextnonum"/>
        <w:numPr>
          <w:ilvl w:val="3"/>
          <w:numId w:val="52"/>
        </w:numPr>
      </w:pPr>
      <w:r>
        <w:rPr>
          <w:rFonts w:ascii="ZWAdobeF" w:hAnsi="ZWAdobeF" w:cs="ZWAdobeF"/>
          <w:color w:val="auto"/>
          <w:sz w:val="2"/>
          <w:szCs w:val="2"/>
        </w:rPr>
        <w:lastRenderedPageBreak/>
        <w:t>825B</w:t>
      </w:r>
      <w:r w:rsidR="0049638A">
        <w:rPr>
          <w:rFonts w:ascii="ZWAdobeF" w:hAnsi="ZWAdobeF" w:cs="ZWAdobeF"/>
          <w:color w:val="auto"/>
          <w:sz w:val="2"/>
          <w:szCs w:val="2"/>
        </w:rPr>
        <w:t>825B</w:t>
      </w:r>
      <w:r w:rsidR="00D629FA">
        <w:rPr>
          <w:rFonts w:ascii="ZWAdobeF" w:hAnsi="ZWAdobeF" w:cs="ZWAdobeF"/>
          <w:color w:val="auto"/>
          <w:sz w:val="2"/>
          <w:szCs w:val="2"/>
        </w:rPr>
        <w:t>825B</w:t>
      </w:r>
      <w:r w:rsidR="00DD0F04">
        <w:t xml:space="preserve">Process by which the settlement was reached. </w:t>
      </w:r>
    </w:p>
    <w:p w14:paraId="0686F939" w14:textId="7755302F" w:rsidR="00DD0F04" w:rsidRDefault="00BD5C95" w:rsidP="00B73434">
      <w:pPr>
        <w:pStyle w:val="BodyText"/>
        <w:numPr>
          <w:ilvl w:val="1"/>
          <w:numId w:val="52"/>
        </w:numPr>
        <w:ind w:hanging="709"/>
      </w:pPr>
      <w:r>
        <w:rPr>
          <w:rFonts w:ascii="ZWAdobeF" w:hAnsi="ZWAdobeF" w:cs="ZWAdobeF"/>
          <w:color w:val="auto"/>
          <w:sz w:val="2"/>
          <w:szCs w:val="2"/>
        </w:rPr>
        <w:t>486B</w:t>
      </w:r>
      <w:r w:rsidR="0049638A">
        <w:rPr>
          <w:rFonts w:ascii="ZWAdobeF" w:hAnsi="ZWAdobeF" w:cs="ZWAdobeF"/>
          <w:color w:val="auto"/>
          <w:sz w:val="2"/>
          <w:szCs w:val="2"/>
        </w:rPr>
        <w:t>486B</w:t>
      </w:r>
      <w:r w:rsidR="00D629FA">
        <w:rPr>
          <w:rFonts w:ascii="ZWAdobeF" w:hAnsi="ZWAdobeF" w:cs="ZWAdobeF"/>
          <w:color w:val="auto"/>
          <w:sz w:val="2"/>
          <w:szCs w:val="2"/>
        </w:rPr>
        <w:t>486B</w:t>
      </w:r>
      <w:r w:rsidR="00DD0F04">
        <w:t xml:space="preserve">We discuss each of the five factors below. </w:t>
      </w:r>
    </w:p>
    <w:p w14:paraId="0313C219" w14:textId="77777777" w:rsidR="00DD0F04" w:rsidRPr="00DD7782" w:rsidRDefault="00DD0F04" w:rsidP="003B4735">
      <w:pPr>
        <w:pStyle w:val="Heading4"/>
        <w:rPr>
          <w:rStyle w:val="Strong"/>
          <w:rFonts w:ascii="Metropolis" w:hAnsi="Metropolis"/>
          <w:b/>
          <w:bCs w:val="0"/>
          <w:color w:val="73AB6E"/>
        </w:rPr>
      </w:pPr>
      <w:r w:rsidRPr="00DD7782">
        <w:rPr>
          <w:rStyle w:val="Strong"/>
          <w:rFonts w:ascii="Metropolis" w:hAnsi="Metropolis"/>
          <w:b/>
          <w:bCs w:val="0"/>
          <w:color w:val="73AB6E"/>
        </w:rPr>
        <w:t>Terms and conditions of the proposed settlement</w:t>
      </w:r>
    </w:p>
    <w:p w14:paraId="2809EA03" w14:textId="4484ECA0" w:rsidR="00DD0F04" w:rsidRPr="00E62575" w:rsidRDefault="00BD5C95" w:rsidP="00B73434">
      <w:pPr>
        <w:pStyle w:val="BodyText"/>
        <w:numPr>
          <w:ilvl w:val="1"/>
          <w:numId w:val="52"/>
        </w:numPr>
        <w:tabs>
          <w:tab w:val="left" w:pos="709"/>
        </w:tabs>
        <w:ind w:hanging="709"/>
        <w:rPr>
          <w:rStyle w:val="Strong"/>
          <w:b w:val="0"/>
          <w:bCs w:val="0"/>
        </w:rPr>
      </w:pPr>
      <w:r>
        <w:rPr>
          <w:rStyle w:val="Strong"/>
          <w:rFonts w:ascii="ZWAdobeF" w:hAnsi="ZWAdobeF" w:cs="ZWAdobeF"/>
          <w:b w:val="0"/>
          <w:bCs w:val="0"/>
          <w:color w:val="auto"/>
          <w:sz w:val="2"/>
          <w:szCs w:val="2"/>
        </w:rPr>
        <w:t>487B</w:t>
      </w:r>
      <w:r w:rsidR="0049638A">
        <w:rPr>
          <w:rStyle w:val="Strong"/>
          <w:rFonts w:ascii="ZWAdobeF" w:hAnsi="ZWAdobeF" w:cs="ZWAdobeF"/>
          <w:b w:val="0"/>
          <w:bCs w:val="0"/>
          <w:color w:val="auto"/>
          <w:sz w:val="2"/>
          <w:szCs w:val="2"/>
        </w:rPr>
        <w:t>487B</w:t>
      </w:r>
      <w:r w:rsidR="00D629FA">
        <w:rPr>
          <w:rStyle w:val="Strong"/>
          <w:rFonts w:ascii="ZWAdobeF" w:hAnsi="ZWAdobeF" w:cs="ZWAdobeF"/>
          <w:b w:val="0"/>
          <w:bCs w:val="0"/>
          <w:color w:val="auto"/>
          <w:sz w:val="2"/>
          <w:szCs w:val="2"/>
        </w:rPr>
        <w:t>487B</w:t>
      </w:r>
      <w:r w:rsidR="00DD0F04" w:rsidRPr="00E62575">
        <w:rPr>
          <w:rStyle w:val="Strong"/>
          <w:b w:val="0"/>
          <w:bCs w:val="0"/>
        </w:rPr>
        <w:t>A key focus for the court will be considering the terms and conditions of the settlement, as these set out how class members will benefit from the settlement.</w:t>
      </w:r>
      <w:r w:rsidR="00D629FA">
        <w:rPr>
          <w:rStyle w:val="Strong"/>
          <w:rFonts w:ascii="ZWAdobeF" w:hAnsi="ZWAdobeF" w:cs="ZWAdobeF"/>
          <w:b w:val="0"/>
          <w:bCs w:val="0"/>
          <w:color w:val="auto"/>
          <w:sz w:val="2"/>
          <w:szCs w:val="2"/>
        </w:rPr>
        <w:t>784F</w:t>
      </w:r>
      <w:r w:rsidR="007A330E">
        <w:rPr>
          <w:rStyle w:val="Strong"/>
          <w:rFonts w:ascii="ZWAdobeF" w:hAnsi="ZWAdobeF" w:cs="ZWAdobeF"/>
          <w:b w:val="0"/>
          <w:bCs w:val="0"/>
          <w:color w:val="auto"/>
          <w:sz w:val="2"/>
          <w:szCs w:val="2"/>
        </w:rPr>
        <w:t>784F</w:t>
      </w:r>
      <w:r w:rsidR="00317AE4">
        <w:rPr>
          <w:rStyle w:val="Strong"/>
          <w:rFonts w:ascii="ZWAdobeF" w:hAnsi="ZWAdobeF" w:cs="ZWAdobeF"/>
          <w:b w:val="0"/>
          <w:bCs w:val="0"/>
          <w:color w:val="auto"/>
          <w:sz w:val="2"/>
          <w:szCs w:val="2"/>
        </w:rPr>
        <w:t>784F</w:t>
      </w:r>
      <w:r w:rsidR="00DD0F04" w:rsidRPr="001A34F9">
        <w:rPr>
          <w:rStyle w:val="FootnoteReference"/>
        </w:rPr>
        <w:footnoteReference w:id="786"/>
      </w:r>
      <w:r w:rsidR="00DD0F04" w:rsidRPr="00E62575">
        <w:rPr>
          <w:rStyle w:val="Strong"/>
          <w:b w:val="0"/>
          <w:bCs w:val="0"/>
        </w:rPr>
        <w:t xml:space="preserve"> We think the court’s consideration should include:</w:t>
      </w:r>
    </w:p>
    <w:p w14:paraId="1F634006" w14:textId="77777777" w:rsidR="00DD0F04" w:rsidRPr="00E62575" w:rsidRDefault="00DD0F04" w:rsidP="00B73434">
      <w:pPr>
        <w:pStyle w:val="BodyTextnonum"/>
        <w:numPr>
          <w:ilvl w:val="3"/>
          <w:numId w:val="52"/>
        </w:numPr>
        <w:rPr>
          <w:rStyle w:val="Strong"/>
          <w:b w:val="0"/>
          <w:bCs w:val="0"/>
        </w:rPr>
      </w:pPr>
      <w:r w:rsidRPr="00E62575">
        <w:rPr>
          <w:rStyle w:val="Strong"/>
          <w:b w:val="0"/>
          <w:bCs w:val="0"/>
        </w:rPr>
        <w:t>Any relief that will be provided to class members.</w:t>
      </w:r>
    </w:p>
    <w:p w14:paraId="3D9BE2DF" w14:textId="77777777" w:rsidR="00DD0F04" w:rsidRPr="00E62575" w:rsidRDefault="00DD0F04" w:rsidP="00B73434">
      <w:pPr>
        <w:pStyle w:val="BodyTextnonum"/>
        <w:numPr>
          <w:ilvl w:val="3"/>
          <w:numId w:val="52"/>
        </w:numPr>
        <w:rPr>
          <w:rStyle w:val="Strong"/>
          <w:b w:val="0"/>
          <w:bCs w:val="0"/>
        </w:rPr>
      </w:pPr>
      <w:r w:rsidRPr="00E62575">
        <w:rPr>
          <w:rStyle w:val="Strong"/>
          <w:b w:val="0"/>
          <w:bCs w:val="0"/>
        </w:rPr>
        <w:t>Whether class members are treated equitably in relation to each other.</w:t>
      </w:r>
    </w:p>
    <w:p w14:paraId="205B63CC" w14:textId="77777777" w:rsidR="00DD0F04" w:rsidRPr="00E62575" w:rsidRDefault="00DD0F04" w:rsidP="00B73434">
      <w:pPr>
        <w:pStyle w:val="BodyTextnonum"/>
        <w:numPr>
          <w:ilvl w:val="3"/>
          <w:numId w:val="52"/>
        </w:numPr>
        <w:rPr>
          <w:rStyle w:val="Strong"/>
          <w:b w:val="0"/>
          <w:bCs w:val="0"/>
        </w:rPr>
      </w:pPr>
      <w:r w:rsidRPr="00E62575">
        <w:rPr>
          <w:rStyle w:val="Strong"/>
          <w:b w:val="0"/>
          <w:bCs w:val="0"/>
        </w:rPr>
        <w:t>The proposed method of distributing any settlement amounts to class members.</w:t>
      </w:r>
    </w:p>
    <w:p w14:paraId="6D105A54" w14:textId="77777777" w:rsidR="00DD0F04" w:rsidRPr="00E62575" w:rsidRDefault="00DD0F04" w:rsidP="00B73434">
      <w:pPr>
        <w:pStyle w:val="BodyTextnonum"/>
        <w:numPr>
          <w:ilvl w:val="3"/>
          <w:numId w:val="52"/>
        </w:numPr>
        <w:rPr>
          <w:rStyle w:val="Strong"/>
          <w:b w:val="0"/>
          <w:bCs w:val="0"/>
        </w:rPr>
      </w:pPr>
      <w:r w:rsidRPr="00E62575">
        <w:rPr>
          <w:rStyle w:val="Strong"/>
          <w:b w:val="0"/>
          <w:bCs w:val="0"/>
        </w:rPr>
        <w:t xml:space="preserve">The proposed method of dealing with any unclaimed settlement amounts.  </w:t>
      </w:r>
    </w:p>
    <w:p w14:paraId="276644D3" w14:textId="77777777" w:rsidR="00DD0F04" w:rsidRPr="00E62575" w:rsidRDefault="00DD0F04" w:rsidP="00B73434">
      <w:pPr>
        <w:pStyle w:val="BodyText"/>
        <w:numPr>
          <w:ilvl w:val="1"/>
          <w:numId w:val="52"/>
        </w:numPr>
        <w:ind w:hanging="709"/>
        <w:rPr>
          <w:rStyle w:val="Strong"/>
          <w:b w:val="0"/>
          <w:bCs w:val="0"/>
        </w:rPr>
      </w:pPr>
      <w:r w:rsidRPr="00E62575">
        <w:rPr>
          <w:rStyle w:val="Strong"/>
          <w:b w:val="0"/>
          <w:bCs w:val="0"/>
        </w:rPr>
        <w:t xml:space="preserve">We discuss each of these below. </w:t>
      </w:r>
    </w:p>
    <w:p w14:paraId="196B1351" w14:textId="77777777" w:rsidR="00DD0F04" w:rsidRDefault="00DD0F04" w:rsidP="00A906A8">
      <w:pPr>
        <w:pStyle w:val="BodyText"/>
        <w:keepNext/>
        <w:numPr>
          <w:ilvl w:val="0"/>
          <w:numId w:val="0"/>
        </w:numPr>
        <w:rPr>
          <w:rStyle w:val="Strong"/>
        </w:rPr>
      </w:pPr>
      <w:r>
        <w:rPr>
          <w:rStyle w:val="Strong"/>
        </w:rPr>
        <w:t>Any r</w:t>
      </w:r>
      <w:r w:rsidRPr="00EB3EDB">
        <w:rPr>
          <w:rStyle w:val="Strong"/>
        </w:rPr>
        <w:t>elief provided to class members</w:t>
      </w:r>
    </w:p>
    <w:p w14:paraId="3BD0DAE6" w14:textId="3A767C69" w:rsidR="00DD0F04" w:rsidRPr="004E0695" w:rsidRDefault="00BD5C95" w:rsidP="00B73434">
      <w:pPr>
        <w:pStyle w:val="BodyText"/>
        <w:numPr>
          <w:ilvl w:val="1"/>
          <w:numId w:val="52"/>
        </w:numPr>
        <w:ind w:hanging="709"/>
        <w:rPr>
          <w:rStyle w:val="Strong"/>
          <w:b w:val="0"/>
          <w:bCs w:val="0"/>
        </w:rPr>
      </w:pPr>
      <w:r>
        <w:rPr>
          <w:rStyle w:val="Strong"/>
          <w:rFonts w:ascii="ZWAdobeF" w:hAnsi="ZWAdobeF" w:cs="ZWAdobeF"/>
          <w:b w:val="0"/>
          <w:bCs w:val="0"/>
          <w:color w:val="auto"/>
          <w:sz w:val="2"/>
          <w:szCs w:val="2"/>
        </w:rPr>
        <w:t>488B</w:t>
      </w:r>
      <w:r w:rsidR="0049638A">
        <w:rPr>
          <w:rStyle w:val="Strong"/>
          <w:rFonts w:ascii="ZWAdobeF" w:hAnsi="ZWAdobeF" w:cs="ZWAdobeF"/>
          <w:b w:val="0"/>
          <w:bCs w:val="0"/>
          <w:color w:val="auto"/>
          <w:sz w:val="2"/>
          <w:szCs w:val="2"/>
        </w:rPr>
        <w:t>488B</w:t>
      </w:r>
      <w:r w:rsidR="00D629FA">
        <w:rPr>
          <w:rStyle w:val="Strong"/>
          <w:rFonts w:ascii="ZWAdobeF" w:hAnsi="ZWAdobeF" w:cs="ZWAdobeF"/>
          <w:b w:val="0"/>
          <w:bCs w:val="0"/>
          <w:color w:val="auto"/>
          <w:sz w:val="2"/>
          <w:szCs w:val="2"/>
        </w:rPr>
        <w:t>488B</w:t>
      </w:r>
      <w:r w:rsidR="00DD0F04" w:rsidRPr="004E0695">
        <w:rPr>
          <w:rStyle w:val="Strong"/>
          <w:b w:val="0"/>
          <w:bCs w:val="0"/>
        </w:rPr>
        <w:t xml:space="preserve">We </w:t>
      </w:r>
      <w:r w:rsidR="00DD0F04" w:rsidRPr="004E0695">
        <w:rPr>
          <w:rStyle w:val="Strong"/>
          <w:b w:val="0"/>
          <w:bCs w:val="0"/>
          <w:color w:val="000000" w:themeColor="text1"/>
        </w:rPr>
        <w:t>think</w:t>
      </w:r>
      <w:r w:rsidR="00DD0F04" w:rsidRPr="004E0695">
        <w:rPr>
          <w:rStyle w:val="Strong"/>
          <w:b w:val="0"/>
          <w:bCs w:val="0"/>
        </w:rPr>
        <w:t xml:space="preserve"> an essential consideration for courts will be the relief that will be provided to class members under the settlement, including the amount of any compensation that class members will be eligible to receive.</w:t>
      </w:r>
      <w:r w:rsidR="00D629FA">
        <w:rPr>
          <w:rStyle w:val="Strong"/>
          <w:rFonts w:ascii="ZWAdobeF" w:hAnsi="ZWAdobeF" w:cs="ZWAdobeF"/>
          <w:b w:val="0"/>
          <w:bCs w:val="0"/>
          <w:color w:val="auto"/>
          <w:sz w:val="2"/>
          <w:szCs w:val="2"/>
        </w:rPr>
        <w:t>785F</w:t>
      </w:r>
      <w:r w:rsidR="007A330E">
        <w:rPr>
          <w:rStyle w:val="Strong"/>
          <w:rFonts w:ascii="ZWAdobeF" w:hAnsi="ZWAdobeF" w:cs="ZWAdobeF"/>
          <w:b w:val="0"/>
          <w:bCs w:val="0"/>
          <w:color w:val="auto"/>
          <w:sz w:val="2"/>
          <w:szCs w:val="2"/>
        </w:rPr>
        <w:t>785F</w:t>
      </w:r>
      <w:r w:rsidR="00317AE4">
        <w:rPr>
          <w:rStyle w:val="Strong"/>
          <w:rFonts w:ascii="ZWAdobeF" w:hAnsi="ZWAdobeF" w:cs="ZWAdobeF"/>
          <w:b w:val="0"/>
          <w:bCs w:val="0"/>
          <w:color w:val="auto"/>
          <w:sz w:val="2"/>
          <w:szCs w:val="2"/>
        </w:rPr>
        <w:t>785F</w:t>
      </w:r>
      <w:r w:rsidR="00DD0F04" w:rsidRPr="002A6579">
        <w:rPr>
          <w:rStyle w:val="FootnoteReference"/>
        </w:rPr>
        <w:footnoteReference w:id="787"/>
      </w:r>
      <w:r w:rsidR="00DD0F04" w:rsidRPr="004E0695">
        <w:rPr>
          <w:rStyle w:val="Strong"/>
          <w:b w:val="0"/>
          <w:bCs w:val="0"/>
        </w:rPr>
        <w:t xml:space="preserve"> </w:t>
      </w:r>
    </w:p>
    <w:p w14:paraId="566A868A" w14:textId="13B3FB59" w:rsidR="00DD0F04" w:rsidRPr="004E0695" w:rsidRDefault="00BD5C95" w:rsidP="00B73434">
      <w:pPr>
        <w:pStyle w:val="BodyText"/>
        <w:numPr>
          <w:ilvl w:val="1"/>
          <w:numId w:val="52"/>
        </w:numPr>
        <w:ind w:hanging="709"/>
        <w:rPr>
          <w:rStyle w:val="Strong"/>
          <w:b w:val="0"/>
          <w:bCs w:val="0"/>
        </w:rPr>
      </w:pPr>
      <w:r>
        <w:rPr>
          <w:rStyle w:val="Strong"/>
          <w:rFonts w:ascii="ZWAdobeF" w:hAnsi="ZWAdobeF" w:cs="ZWAdobeF"/>
          <w:b w:val="0"/>
          <w:bCs w:val="0"/>
          <w:color w:val="auto"/>
          <w:sz w:val="2"/>
          <w:szCs w:val="2"/>
        </w:rPr>
        <w:t>489B</w:t>
      </w:r>
      <w:r w:rsidR="0049638A">
        <w:rPr>
          <w:rStyle w:val="Strong"/>
          <w:rFonts w:ascii="ZWAdobeF" w:hAnsi="ZWAdobeF" w:cs="ZWAdobeF"/>
          <w:b w:val="0"/>
          <w:bCs w:val="0"/>
          <w:color w:val="auto"/>
          <w:sz w:val="2"/>
          <w:szCs w:val="2"/>
        </w:rPr>
        <w:t>489B</w:t>
      </w:r>
      <w:r w:rsidR="00D629FA">
        <w:rPr>
          <w:rStyle w:val="Strong"/>
          <w:rFonts w:ascii="ZWAdobeF" w:hAnsi="ZWAdobeF" w:cs="ZWAdobeF"/>
          <w:b w:val="0"/>
          <w:bCs w:val="0"/>
          <w:color w:val="auto"/>
          <w:sz w:val="2"/>
          <w:szCs w:val="2"/>
        </w:rPr>
        <w:t>489B</w:t>
      </w:r>
      <w:r w:rsidR="00DD0F04" w:rsidRPr="004E0695">
        <w:rPr>
          <w:rStyle w:val="Strong"/>
          <w:b w:val="0"/>
          <w:bCs w:val="0"/>
        </w:rPr>
        <w:t>We have not proposed that any forms of relief should be prohibited in a settlement. However, we think terms which only provide class members with non-monetary relief, such as vouchers for the defendant’s product or discounts on future purchases, may require close scrutiny.</w:t>
      </w:r>
      <w:r w:rsidR="00D629FA">
        <w:rPr>
          <w:rStyle w:val="Strong"/>
          <w:rFonts w:ascii="ZWAdobeF" w:hAnsi="ZWAdobeF" w:cs="ZWAdobeF"/>
          <w:b w:val="0"/>
          <w:bCs w:val="0"/>
          <w:color w:val="auto"/>
          <w:sz w:val="2"/>
          <w:szCs w:val="2"/>
        </w:rPr>
        <w:t>786F</w:t>
      </w:r>
      <w:r w:rsidR="007A330E">
        <w:rPr>
          <w:rStyle w:val="Strong"/>
          <w:rFonts w:ascii="ZWAdobeF" w:hAnsi="ZWAdobeF" w:cs="ZWAdobeF"/>
          <w:b w:val="0"/>
          <w:bCs w:val="0"/>
          <w:color w:val="auto"/>
          <w:sz w:val="2"/>
          <w:szCs w:val="2"/>
        </w:rPr>
        <w:t>786F</w:t>
      </w:r>
      <w:r w:rsidR="00317AE4">
        <w:rPr>
          <w:rStyle w:val="Strong"/>
          <w:rFonts w:ascii="ZWAdobeF" w:hAnsi="ZWAdobeF" w:cs="ZWAdobeF"/>
          <w:b w:val="0"/>
          <w:bCs w:val="0"/>
          <w:color w:val="auto"/>
          <w:sz w:val="2"/>
          <w:szCs w:val="2"/>
        </w:rPr>
        <w:t>786F</w:t>
      </w:r>
      <w:r w:rsidR="00DD0F04" w:rsidRPr="002A6579">
        <w:rPr>
          <w:rStyle w:val="FootnoteReference"/>
        </w:rPr>
        <w:footnoteReference w:id="788"/>
      </w:r>
      <w:r w:rsidR="00DD0F04" w:rsidRPr="004E0695">
        <w:rPr>
          <w:rStyle w:val="Strong"/>
          <w:b w:val="0"/>
          <w:bCs w:val="0"/>
        </w:rPr>
        <w:t xml:space="preserve"> We also think terms which propose to make a payment to a charity instead of to class members should be closely scrutinised. Such payments are known as cy-près relief in other jurisdictions, but we prefer the term alternative distribution.</w:t>
      </w:r>
      <w:r w:rsidR="00D629FA">
        <w:rPr>
          <w:rStyle w:val="Strong"/>
          <w:rFonts w:ascii="ZWAdobeF" w:hAnsi="ZWAdobeF" w:cs="ZWAdobeF"/>
          <w:b w:val="0"/>
          <w:bCs w:val="0"/>
          <w:color w:val="auto"/>
          <w:sz w:val="2"/>
          <w:szCs w:val="2"/>
        </w:rPr>
        <w:t>787F</w:t>
      </w:r>
      <w:r w:rsidR="007A330E">
        <w:rPr>
          <w:rStyle w:val="Strong"/>
          <w:rFonts w:ascii="ZWAdobeF" w:hAnsi="ZWAdobeF" w:cs="ZWAdobeF"/>
          <w:b w:val="0"/>
          <w:bCs w:val="0"/>
          <w:color w:val="auto"/>
          <w:sz w:val="2"/>
          <w:szCs w:val="2"/>
        </w:rPr>
        <w:t>787F</w:t>
      </w:r>
      <w:r w:rsidR="00317AE4">
        <w:rPr>
          <w:rStyle w:val="Strong"/>
          <w:rFonts w:ascii="ZWAdobeF" w:hAnsi="ZWAdobeF" w:cs="ZWAdobeF"/>
          <w:b w:val="0"/>
          <w:bCs w:val="0"/>
          <w:color w:val="auto"/>
          <w:sz w:val="2"/>
          <w:szCs w:val="2"/>
        </w:rPr>
        <w:t>787F</w:t>
      </w:r>
      <w:r w:rsidR="00DD0F04" w:rsidRPr="002A6579">
        <w:rPr>
          <w:rStyle w:val="FootnoteReference"/>
        </w:rPr>
        <w:footnoteReference w:id="789"/>
      </w:r>
      <w:r w:rsidR="00DD0F04" w:rsidRPr="004E0695">
        <w:rPr>
          <w:rStyle w:val="Strong"/>
          <w:b w:val="0"/>
          <w:bCs w:val="0"/>
        </w:rPr>
        <w:t xml:space="preserve"> We think payments should be made to individual class members where possible, and alternative distribution should ordinarily be limited to cases where the size of individual claims would be so small that few class members would bother to submit a claim</w:t>
      </w:r>
      <w:r w:rsidR="007B4DAA">
        <w:rPr>
          <w:rStyle w:val="Strong"/>
          <w:b w:val="0"/>
          <w:bCs w:val="0"/>
        </w:rPr>
        <w:t xml:space="preserve">. We also think it would be preferable for </w:t>
      </w:r>
      <w:r w:rsidR="00DD0F04" w:rsidRPr="004E0695">
        <w:rPr>
          <w:rStyle w:val="Strong"/>
          <w:b w:val="0"/>
          <w:bCs w:val="0"/>
        </w:rPr>
        <w:t xml:space="preserve">the activities of the recipient organisation </w:t>
      </w:r>
      <w:r w:rsidR="00562D49">
        <w:rPr>
          <w:rStyle w:val="Strong"/>
          <w:b w:val="0"/>
          <w:bCs w:val="0"/>
        </w:rPr>
        <w:t xml:space="preserve">to </w:t>
      </w:r>
      <w:r w:rsidR="00DD0F04" w:rsidRPr="004E0695">
        <w:rPr>
          <w:rStyle w:val="Strong"/>
          <w:b w:val="0"/>
          <w:bCs w:val="0"/>
        </w:rPr>
        <w:t xml:space="preserve">have some relevance to the claims. </w:t>
      </w:r>
    </w:p>
    <w:p w14:paraId="4FB845EE" w14:textId="77777777" w:rsidR="00DD0F04" w:rsidRPr="007D23FE" w:rsidRDefault="00DD0F04" w:rsidP="00562D49">
      <w:pPr>
        <w:pStyle w:val="BodyText"/>
        <w:numPr>
          <w:ilvl w:val="0"/>
          <w:numId w:val="0"/>
        </w:numPr>
        <w:rPr>
          <w:rStyle w:val="Strong"/>
        </w:rPr>
      </w:pPr>
      <w:r w:rsidRPr="007D23FE">
        <w:rPr>
          <w:rStyle w:val="Strong"/>
        </w:rPr>
        <w:t xml:space="preserve">Whether class members are treated equitably </w:t>
      </w:r>
    </w:p>
    <w:p w14:paraId="6B5FA795" w14:textId="7ABE3E80" w:rsidR="00DD0F04" w:rsidRPr="00D873C7" w:rsidRDefault="00BD5C95" w:rsidP="00B73434">
      <w:pPr>
        <w:pStyle w:val="BodyText"/>
        <w:numPr>
          <w:ilvl w:val="1"/>
          <w:numId w:val="52"/>
        </w:numPr>
        <w:ind w:hanging="709"/>
        <w:rPr>
          <w:rStyle w:val="Strong"/>
          <w:b w:val="0"/>
          <w:bCs w:val="0"/>
          <w:color w:val="000000" w:themeColor="text1"/>
        </w:rPr>
      </w:pPr>
      <w:r>
        <w:rPr>
          <w:rStyle w:val="Strong"/>
          <w:rFonts w:ascii="ZWAdobeF" w:hAnsi="ZWAdobeF" w:cs="ZWAdobeF"/>
          <w:b w:val="0"/>
          <w:bCs w:val="0"/>
          <w:color w:val="auto"/>
          <w:sz w:val="2"/>
          <w:szCs w:val="2"/>
        </w:rPr>
        <w:t>490B</w:t>
      </w:r>
      <w:r w:rsidR="0049638A">
        <w:rPr>
          <w:rStyle w:val="Strong"/>
          <w:rFonts w:ascii="ZWAdobeF" w:hAnsi="ZWAdobeF" w:cs="ZWAdobeF"/>
          <w:b w:val="0"/>
          <w:bCs w:val="0"/>
          <w:color w:val="auto"/>
          <w:sz w:val="2"/>
          <w:szCs w:val="2"/>
        </w:rPr>
        <w:t>490B</w:t>
      </w:r>
      <w:r w:rsidR="00D629FA">
        <w:rPr>
          <w:rStyle w:val="Strong"/>
          <w:rFonts w:ascii="ZWAdobeF" w:hAnsi="ZWAdobeF" w:cs="ZWAdobeF"/>
          <w:b w:val="0"/>
          <w:bCs w:val="0"/>
          <w:color w:val="auto"/>
          <w:sz w:val="2"/>
          <w:szCs w:val="2"/>
        </w:rPr>
        <w:t>490B</w:t>
      </w:r>
      <w:r w:rsidR="00DD0F04" w:rsidRPr="00D873C7">
        <w:rPr>
          <w:rStyle w:val="Strong"/>
          <w:b w:val="0"/>
          <w:bCs w:val="0"/>
          <w:color w:val="000000" w:themeColor="text1"/>
        </w:rPr>
        <w:t>When considering the terms and conditions of a settlement, we have proposed that a court should consider whether class members are treated equitably in relation to each other.</w:t>
      </w:r>
      <w:r w:rsidR="00D629FA">
        <w:rPr>
          <w:rStyle w:val="Strong"/>
          <w:rFonts w:ascii="ZWAdobeF" w:hAnsi="ZWAdobeF" w:cs="ZWAdobeF"/>
          <w:b w:val="0"/>
          <w:bCs w:val="0"/>
          <w:color w:val="auto"/>
          <w:sz w:val="2"/>
          <w:szCs w:val="2"/>
        </w:rPr>
        <w:t>788F</w:t>
      </w:r>
      <w:r w:rsidR="007A330E">
        <w:rPr>
          <w:rStyle w:val="Strong"/>
          <w:rFonts w:ascii="ZWAdobeF" w:hAnsi="ZWAdobeF" w:cs="ZWAdobeF"/>
          <w:b w:val="0"/>
          <w:bCs w:val="0"/>
          <w:color w:val="auto"/>
          <w:sz w:val="2"/>
          <w:szCs w:val="2"/>
        </w:rPr>
        <w:t>788F</w:t>
      </w:r>
      <w:r w:rsidR="00317AE4">
        <w:rPr>
          <w:rStyle w:val="Strong"/>
          <w:rFonts w:ascii="ZWAdobeF" w:hAnsi="ZWAdobeF" w:cs="ZWAdobeF"/>
          <w:b w:val="0"/>
          <w:bCs w:val="0"/>
          <w:color w:val="auto"/>
          <w:sz w:val="2"/>
          <w:szCs w:val="2"/>
        </w:rPr>
        <w:t>788F</w:t>
      </w:r>
      <w:r w:rsidR="00DD0F04" w:rsidRPr="00FE1575">
        <w:rPr>
          <w:rStyle w:val="FootnoteReference"/>
          <w:color w:val="000000" w:themeColor="text1"/>
          <w:sz w:val="20"/>
        </w:rPr>
        <w:footnoteReference w:id="790"/>
      </w:r>
      <w:r w:rsidR="00DD0F04" w:rsidRPr="00FE1575">
        <w:rPr>
          <w:rStyle w:val="Strong"/>
          <w:b w:val="0"/>
          <w:bCs w:val="0"/>
          <w:color w:val="000000" w:themeColor="text1"/>
          <w:vertAlign w:val="superscript"/>
        </w:rPr>
        <w:t xml:space="preserve"> </w:t>
      </w:r>
      <w:r w:rsidR="00DD0F04" w:rsidRPr="00D873C7">
        <w:rPr>
          <w:rStyle w:val="Strong"/>
          <w:b w:val="0"/>
          <w:bCs w:val="0"/>
          <w:color w:val="000000" w:themeColor="text1"/>
        </w:rPr>
        <w:t xml:space="preserve">This is to ensure that the interests of one group of class members have not been overlooked in favour of another group. This should not prevent principled distinctions between class members, for example where one group of class members would be more </w:t>
      </w:r>
      <w:r w:rsidR="00DD0F04" w:rsidRPr="00D873C7">
        <w:rPr>
          <w:rStyle w:val="Strong"/>
          <w:b w:val="0"/>
          <w:bCs w:val="0"/>
          <w:color w:val="000000" w:themeColor="text1"/>
        </w:rPr>
        <w:lastRenderedPageBreak/>
        <w:t xml:space="preserve">likely to succeed in establishing liability if the matter proceeded to trial or be able to establish a higher quantum of loss. </w:t>
      </w:r>
    </w:p>
    <w:p w14:paraId="4FACDD17" w14:textId="1C2B9C64" w:rsidR="00DD0F04" w:rsidRPr="004E0695" w:rsidRDefault="00BD5C95" w:rsidP="00B73434">
      <w:pPr>
        <w:pStyle w:val="BodyText"/>
        <w:numPr>
          <w:ilvl w:val="1"/>
          <w:numId w:val="52"/>
        </w:numPr>
        <w:ind w:hanging="709"/>
        <w:rPr>
          <w:rStyle w:val="Strong"/>
          <w:b w:val="0"/>
          <w:bCs w:val="0"/>
        </w:rPr>
      </w:pPr>
      <w:r>
        <w:rPr>
          <w:rStyle w:val="Strong"/>
          <w:rFonts w:ascii="ZWAdobeF" w:hAnsi="ZWAdobeF" w:cs="ZWAdobeF"/>
          <w:b w:val="0"/>
          <w:bCs w:val="0"/>
          <w:color w:val="auto"/>
          <w:sz w:val="2"/>
          <w:szCs w:val="2"/>
        </w:rPr>
        <w:t>491B</w:t>
      </w:r>
      <w:r w:rsidR="0049638A">
        <w:rPr>
          <w:rStyle w:val="Strong"/>
          <w:rFonts w:ascii="ZWAdobeF" w:hAnsi="ZWAdobeF" w:cs="ZWAdobeF"/>
          <w:b w:val="0"/>
          <w:bCs w:val="0"/>
          <w:color w:val="auto"/>
          <w:sz w:val="2"/>
          <w:szCs w:val="2"/>
        </w:rPr>
        <w:t>491B</w:t>
      </w:r>
      <w:r w:rsidR="00D629FA">
        <w:rPr>
          <w:rStyle w:val="Strong"/>
          <w:rFonts w:ascii="ZWAdobeF" w:hAnsi="ZWAdobeF" w:cs="ZWAdobeF"/>
          <w:b w:val="0"/>
          <w:bCs w:val="0"/>
          <w:color w:val="auto"/>
          <w:sz w:val="2"/>
          <w:szCs w:val="2"/>
        </w:rPr>
        <w:t>491B</w:t>
      </w:r>
      <w:r w:rsidR="00DD0F04" w:rsidRPr="004E0695">
        <w:rPr>
          <w:rStyle w:val="Strong"/>
          <w:b w:val="0"/>
          <w:bCs w:val="0"/>
        </w:rPr>
        <w:t>One issue to consider is whether a settlement may include a higher payment to the representative plaintiff, to compensate them for the role they played in the litigation and/or to incentivise claimants to take up the role of representative plaintiff. In the United States, ‘incentive awards’ are paid to representative plaintiff in most class actions, with an average award of $10,000 to $15,000.</w:t>
      </w:r>
      <w:r w:rsidR="00D629FA">
        <w:rPr>
          <w:rStyle w:val="Strong"/>
          <w:rFonts w:ascii="ZWAdobeF" w:hAnsi="ZWAdobeF" w:cs="ZWAdobeF"/>
          <w:b w:val="0"/>
          <w:bCs w:val="0"/>
          <w:color w:val="auto"/>
          <w:sz w:val="2"/>
          <w:szCs w:val="2"/>
        </w:rPr>
        <w:t>789F</w:t>
      </w:r>
      <w:r w:rsidR="007A330E">
        <w:rPr>
          <w:rStyle w:val="Strong"/>
          <w:rFonts w:ascii="ZWAdobeF" w:hAnsi="ZWAdobeF" w:cs="ZWAdobeF"/>
          <w:b w:val="0"/>
          <w:bCs w:val="0"/>
          <w:color w:val="auto"/>
          <w:sz w:val="2"/>
          <w:szCs w:val="2"/>
        </w:rPr>
        <w:t>789F</w:t>
      </w:r>
      <w:r w:rsidR="00317AE4">
        <w:rPr>
          <w:rStyle w:val="Strong"/>
          <w:rFonts w:ascii="ZWAdobeF" w:hAnsi="ZWAdobeF" w:cs="ZWAdobeF"/>
          <w:b w:val="0"/>
          <w:bCs w:val="0"/>
          <w:color w:val="auto"/>
          <w:sz w:val="2"/>
          <w:szCs w:val="2"/>
        </w:rPr>
        <w:t>789F</w:t>
      </w:r>
      <w:r w:rsidR="00DD0F04" w:rsidRPr="002A6579">
        <w:rPr>
          <w:rStyle w:val="FootnoteReference"/>
        </w:rPr>
        <w:footnoteReference w:id="791"/>
      </w:r>
      <w:r w:rsidR="00DD0F04" w:rsidRPr="004E0695">
        <w:rPr>
          <w:rStyle w:val="Strong"/>
          <w:b w:val="0"/>
          <w:bCs w:val="0"/>
        </w:rPr>
        <w:t xml:space="preserve"> In Australia, it has become common for a representative plaintiff to be paid a “reimbursement payment”.</w:t>
      </w:r>
      <w:r w:rsidR="00D629FA">
        <w:rPr>
          <w:rStyle w:val="Strong"/>
          <w:rFonts w:ascii="ZWAdobeF" w:hAnsi="ZWAdobeF" w:cs="ZWAdobeF"/>
          <w:b w:val="0"/>
          <w:bCs w:val="0"/>
          <w:color w:val="auto"/>
          <w:sz w:val="2"/>
          <w:szCs w:val="2"/>
        </w:rPr>
        <w:t>790F</w:t>
      </w:r>
      <w:r w:rsidR="007A330E">
        <w:rPr>
          <w:rStyle w:val="Strong"/>
          <w:rFonts w:ascii="ZWAdobeF" w:hAnsi="ZWAdobeF" w:cs="ZWAdobeF"/>
          <w:b w:val="0"/>
          <w:bCs w:val="0"/>
          <w:color w:val="auto"/>
          <w:sz w:val="2"/>
          <w:szCs w:val="2"/>
        </w:rPr>
        <w:t>790F</w:t>
      </w:r>
      <w:r w:rsidR="00317AE4">
        <w:rPr>
          <w:rStyle w:val="Strong"/>
          <w:rFonts w:ascii="ZWAdobeF" w:hAnsi="ZWAdobeF" w:cs="ZWAdobeF"/>
          <w:b w:val="0"/>
          <w:bCs w:val="0"/>
          <w:color w:val="auto"/>
          <w:sz w:val="2"/>
          <w:szCs w:val="2"/>
        </w:rPr>
        <w:t>790F</w:t>
      </w:r>
      <w:r w:rsidR="00DD0F04" w:rsidRPr="002A6579">
        <w:rPr>
          <w:rStyle w:val="FootnoteReference"/>
        </w:rPr>
        <w:footnoteReference w:id="792"/>
      </w:r>
      <w:r w:rsidR="00DD0F04" w:rsidRPr="004E0695">
        <w:rPr>
          <w:rStyle w:val="Strong"/>
          <w:b w:val="0"/>
          <w:bCs w:val="0"/>
        </w:rPr>
        <w:t xml:space="preserve"> Canadian courts have been more cautious about such payments. In Ontario, courts have said that an honorarium payment to a representative plaintiff should be “exceptional” and is only awarded if the plaintiff “has gone well above and beyond the call of duty”.</w:t>
      </w:r>
      <w:r w:rsidR="00D629FA">
        <w:rPr>
          <w:rStyle w:val="Strong"/>
          <w:rFonts w:ascii="ZWAdobeF" w:hAnsi="ZWAdobeF" w:cs="ZWAdobeF"/>
          <w:b w:val="0"/>
          <w:bCs w:val="0"/>
          <w:color w:val="auto"/>
          <w:sz w:val="2"/>
          <w:szCs w:val="2"/>
        </w:rPr>
        <w:t>791F</w:t>
      </w:r>
      <w:r w:rsidR="007A330E">
        <w:rPr>
          <w:rStyle w:val="Strong"/>
          <w:rFonts w:ascii="ZWAdobeF" w:hAnsi="ZWAdobeF" w:cs="ZWAdobeF"/>
          <w:b w:val="0"/>
          <w:bCs w:val="0"/>
          <w:color w:val="auto"/>
          <w:sz w:val="2"/>
          <w:szCs w:val="2"/>
        </w:rPr>
        <w:t>791F</w:t>
      </w:r>
      <w:r w:rsidR="00317AE4">
        <w:rPr>
          <w:rStyle w:val="Strong"/>
          <w:rFonts w:ascii="ZWAdobeF" w:hAnsi="ZWAdobeF" w:cs="ZWAdobeF"/>
          <w:b w:val="0"/>
          <w:bCs w:val="0"/>
          <w:color w:val="auto"/>
          <w:sz w:val="2"/>
          <w:szCs w:val="2"/>
        </w:rPr>
        <w:t>791F</w:t>
      </w:r>
      <w:r w:rsidR="00DD0F04" w:rsidRPr="002A6579">
        <w:rPr>
          <w:rStyle w:val="FootnoteReference"/>
        </w:rPr>
        <w:footnoteReference w:id="793"/>
      </w:r>
      <w:r w:rsidR="00DD0F04" w:rsidRPr="004E0695">
        <w:rPr>
          <w:rStyle w:val="Strong"/>
          <w:b w:val="0"/>
          <w:bCs w:val="0"/>
        </w:rPr>
        <w:t xml:space="preserve"> Courts in British Columbia have been more willing to award a modest honorarium payment.</w:t>
      </w:r>
      <w:r w:rsidR="00D629FA">
        <w:rPr>
          <w:rStyle w:val="Strong"/>
          <w:rFonts w:ascii="ZWAdobeF" w:hAnsi="ZWAdobeF" w:cs="ZWAdobeF"/>
          <w:b w:val="0"/>
          <w:bCs w:val="0"/>
          <w:color w:val="auto"/>
          <w:sz w:val="2"/>
          <w:szCs w:val="2"/>
        </w:rPr>
        <w:t>792F</w:t>
      </w:r>
      <w:r w:rsidR="007A330E">
        <w:rPr>
          <w:rStyle w:val="Strong"/>
          <w:rFonts w:ascii="ZWAdobeF" w:hAnsi="ZWAdobeF" w:cs="ZWAdobeF"/>
          <w:b w:val="0"/>
          <w:bCs w:val="0"/>
          <w:color w:val="auto"/>
          <w:sz w:val="2"/>
          <w:szCs w:val="2"/>
        </w:rPr>
        <w:t>792F</w:t>
      </w:r>
      <w:r w:rsidR="00317AE4">
        <w:rPr>
          <w:rStyle w:val="Strong"/>
          <w:rFonts w:ascii="ZWAdobeF" w:hAnsi="ZWAdobeF" w:cs="ZWAdobeF"/>
          <w:b w:val="0"/>
          <w:bCs w:val="0"/>
          <w:color w:val="auto"/>
          <w:sz w:val="2"/>
          <w:szCs w:val="2"/>
        </w:rPr>
        <w:t>792F</w:t>
      </w:r>
      <w:r w:rsidR="00DD0F04" w:rsidRPr="002A6579">
        <w:rPr>
          <w:rStyle w:val="FootnoteReference"/>
        </w:rPr>
        <w:footnoteReference w:id="794"/>
      </w:r>
      <w:r w:rsidR="00DD0F04" w:rsidRPr="004E0695">
        <w:rPr>
          <w:rStyle w:val="Strong"/>
          <w:b w:val="0"/>
          <w:bCs w:val="0"/>
        </w:rPr>
        <w:t xml:space="preserve"> </w:t>
      </w:r>
    </w:p>
    <w:p w14:paraId="35AA8CCE" w14:textId="501B77D4" w:rsidR="00DD0F04" w:rsidRPr="004E0695" w:rsidRDefault="00BD5C95" w:rsidP="00B73434">
      <w:pPr>
        <w:pStyle w:val="BodyText"/>
        <w:numPr>
          <w:ilvl w:val="1"/>
          <w:numId w:val="52"/>
        </w:numPr>
        <w:ind w:hanging="709"/>
        <w:rPr>
          <w:rStyle w:val="Strong"/>
          <w:b w:val="0"/>
          <w:bCs w:val="0"/>
        </w:rPr>
      </w:pPr>
      <w:r>
        <w:rPr>
          <w:rStyle w:val="Strong"/>
          <w:rFonts w:ascii="ZWAdobeF" w:hAnsi="ZWAdobeF" w:cs="ZWAdobeF"/>
          <w:b w:val="0"/>
          <w:bCs w:val="0"/>
          <w:color w:val="auto"/>
          <w:sz w:val="2"/>
          <w:szCs w:val="2"/>
        </w:rPr>
        <w:t>492B</w:t>
      </w:r>
      <w:r w:rsidR="0049638A">
        <w:rPr>
          <w:rStyle w:val="Strong"/>
          <w:rFonts w:ascii="ZWAdobeF" w:hAnsi="ZWAdobeF" w:cs="ZWAdobeF"/>
          <w:b w:val="0"/>
          <w:bCs w:val="0"/>
          <w:color w:val="auto"/>
          <w:sz w:val="2"/>
          <w:szCs w:val="2"/>
        </w:rPr>
        <w:t>492B</w:t>
      </w:r>
      <w:r w:rsidR="00D629FA">
        <w:rPr>
          <w:rStyle w:val="Strong"/>
          <w:rFonts w:ascii="ZWAdobeF" w:hAnsi="ZWAdobeF" w:cs="ZWAdobeF"/>
          <w:b w:val="0"/>
          <w:bCs w:val="0"/>
          <w:color w:val="auto"/>
          <w:sz w:val="2"/>
          <w:szCs w:val="2"/>
        </w:rPr>
        <w:t>492B</w:t>
      </w:r>
      <w:r w:rsidR="00DD0F04" w:rsidRPr="004E0695">
        <w:rPr>
          <w:rStyle w:val="Strong"/>
          <w:b w:val="0"/>
          <w:bCs w:val="0"/>
        </w:rPr>
        <w:t xml:space="preserve">We consider </w:t>
      </w:r>
      <w:r w:rsidR="00DD0F04" w:rsidRPr="004E0695">
        <w:rPr>
          <w:rStyle w:val="Strong"/>
          <w:b w:val="0"/>
          <w:bCs w:val="0"/>
          <w:color w:val="000000" w:themeColor="text1"/>
        </w:rPr>
        <w:t>additional</w:t>
      </w:r>
      <w:r w:rsidR="00DD0F04" w:rsidRPr="004E0695">
        <w:rPr>
          <w:rStyle w:val="Strong"/>
          <w:b w:val="0"/>
          <w:bCs w:val="0"/>
        </w:rPr>
        <w:t xml:space="preserve"> payments to representative plaintiffs at settlement are undesirable because they may lead to conflicts of interest.</w:t>
      </w:r>
      <w:r w:rsidR="00D629FA">
        <w:rPr>
          <w:rStyle w:val="Strong"/>
          <w:rFonts w:ascii="ZWAdobeF" w:hAnsi="ZWAdobeF" w:cs="ZWAdobeF"/>
          <w:b w:val="0"/>
          <w:bCs w:val="0"/>
          <w:color w:val="auto"/>
          <w:sz w:val="2"/>
          <w:szCs w:val="2"/>
        </w:rPr>
        <w:t>793F</w:t>
      </w:r>
      <w:r w:rsidR="007A330E">
        <w:rPr>
          <w:rStyle w:val="Strong"/>
          <w:rFonts w:ascii="ZWAdobeF" w:hAnsi="ZWAdobeF" w:cs="ZWAdobeF"/>
          <w:b w:val="0"/>
          <w:bCs w:val="0"/>
          <w:color w:val="auto"/>
          <w:sz w:val="2"/>
          <w:szCs w:val="2"/>
        </w:rPr>
        <w:t>793F</w:t>
      </w:r>
      <w:r w:rsidR="00317AE4">
        <w:rPr>
          <w:rStyle w:val="Strong"/>
          <w:rFonts w:ascii="ZWAdobeF" w:hAnsi="ZWAdobeF" w:cs="ZWAdobeF"/>
          <w:b w:val="0"/>
          <w:bCs w:val="0"/>
          <w:color w:val="auto"/>
          <w:sz w:val="2"/>
          <w:szCs w:val="2"/>
        </w:rPr>
        <w:t>793F</w:t>
      </w:r>
      <w:r w:rsidR="00DD0F04" w:rsidRPr="002A6579">
        <w:rPr>
          <w:rStyle w:val="FootnoteReference"/>
        </w:rPr>
        <w:footnoteReference w:id="795"/>
      </w:r>
      <w:r w:rsidR="00DD0F04" w:rsidRPr="004E0695">
        <w:rPr>
          <w:rStyle w:val="Strong"/>
          <w:b w:val="0"/>
          <w:bCs w:val="0"/>
        </w:rPr>
        <w:t xml:space="preserve"> The promise of an additional payment upon settlement could cause a representative plaintiff to agree to a settlement which is not in the interests of class members. </w:t>
      </w:r>
      <w:r w:rsidR="00F553F3">
        <w:rPr>
          <w:rStyle w:val="Strong"/>
          <w:b w:val="0"/>
          <w:bCs w:val="0"/>
        </w:rPr>
        <w:t>In Chapter 3 we discuss ways of assisting the representative plaintiff with their role, including the possibility of an honorarium payment that is not tied to settlement.</w:t>
      </w:r>
    </w:p>
    <w:p w14:paraId="6AE87F51" w14:textId="77777777" w:rsidR="00DD0F04" w:rsidRPr="00256DC6" w:rsidRDefault="00DD0F04" w:rsidP="00F37442">
      <w:pPr>
        <w:pStyle w:val="BodyText"/>
        <w:numPr>
          <w:ilvl w:val="0"/>
          <w:numId w:val="0"/>
        </w:numPr>
        <w:rPr>
          <w:rStyle w:val="Strong"/>
        </w:rPr>
      </w:pPr>
      <w:r>
        <w:rPr>
          <w:rStyle w:val="Strong"/>
        </w:rPr>
        <w:t xml:space="preserve">Proposed method of distribution </w:t>
      </w:r>
    </w:p>
    <w:p w14:paraId="74694760" w14:textId="0DA76ABA" w:rsidR="00DD0F04" w:rsidRPr="0002100B" w:rsidRDefault="00BD5C95" w:rsidP="00B73434">
      <w:pPr>
        <w:pStyle w:val="BodyText"/>
        <w:numPr>
          <w:ilvl w:val="1"/>
          <w:numId w:val="52"/>
        </w:numPr>
        <w:ind w:hanging="709"/>
        <w:rPr>
          <w:rStyle w:val="Strong"/>
          <w:b w:val="0"/>
          <w:bCs w:val="0"/>
        </w:rPr>
      </w:pPr>
      <w:r>
        <w:rPr>
          <w:rStyle w:val="Strong"/>
          <w:rFonts w:ascii="ZWAdobeF" w:hAnsi="ZWAdobeF" w:cs="ZWAdobeF"/>
          <w:b w:val="0"/>
          <w:bCs w:val="0"/>
          <w:color w:val="auto"/>
          <w:sz w:val="2"/>
          <w:szCs w:val="2"/>
        </w:rPr>
        <w:t>493B</w:t>
      </w:r>
      <w:r w:rsidR="0049638A">
        <w:rPr>
          <w:rStyle w:val="Strong"/>
          <w:rFonts w:ascii="ZWAdobeF" w:hAnsi="ZWAdobeF" w:cs="ZWAdobeF"/>
          <w:b w:val="0"/>
          <w:bCs w:val="0"/>
          <w:color w:val="auto"/>
          <w:sz w:val="2"/>
          <w:szCs w:val="2"/>
        </w:rPr>
        <w:t>493B</w:t>
      </w:r>
      <w:r w:rsidR="00D629FA">
        <w:rPr>
          <w:rStyle w:val="Strong"/>
          <w:rFonts w:ascii="ZWAdobeF" w:hAnsi="ZWAdobeF" w:cs="ZWAdobeF"/>
          <w:b w:val="0"/>
          <w:bCs w:val="0"/>
          <w:color w:val="auto"/>
          <w:sz w:val="2"/>
          <w:szCs w:val="2"/>
        </w:rPr>
        <w:t>493B</w:t>
      </w:r>
      <w:r w:rsidR="00DD0F04" w:rsidRPr="0002100B">
        <w:rPr>
          <w:rStyle w:val="Strong"/>
          <w:b w:val="0"/>
          <w:bCs w:val="0"/>
        </w:rPr>
        <w:t xml:space="preserve">We </w:t>
      </w:r>
      <w:r w:rsidR="00DD0F04" w:rsidRPr="0002100B">
        <w:rPr>
          <w:rStyle w:val="Strong"/>
          <w:b w:val="0"/>
          <w:bCs w:val="0"/>
          <w:color w:val="000000" w:themeColor="text1"/>
        </w:rPr>
        <w:t>think</w:t>
      </w:r>
      <w:r w:rsidR="00DD0F04" w:rsidRPr="0002100B">
        <w:rPr>
          <w:rStyle w:val="Strong"/>
          <w:b w:val="0"/>
          <w:bCs w:val="0"/>
        </w:rPr>
        <w:t xml:space="preserve"> the court should </w:t>
      </w:r>
      <w:r w:rsidR="00DD0F04" w:rsidRPr="0002100B">
        <w:rPr>
          <w:rStyle w:val="Strong"/>
          <w:b w:val="0"/>
          <w:bCs w:val="0"/>
          <w:color w:val="000000" w:themeColor="text1"/>
        </w:rPr>
        <w:t>consider</w:t>
      </w:r>
      <w:r w:rsidR="00DD0F04" w:rsidRPr="0002100B">
        <w:rPr>
          <w:rStyle w:val="Strong"/>
          <w:b w:val="0"/>
          <w:bCs w:val="0"/>
        </w:rPr>
        <w:t xml:space="preserve"> the proposed method of settlement distribution as this will affect how many class members actually receive compensation from the settlement.</w:t>
      </w:r>
      <w:r w:rsidR="00D629FA">
        <w:rPr>
          <w:rStyle w:val="Strong"/>
          <w:rFonts w:ascii="ZWAdobeF" w:hAnsi="ZWAdobeF" w:cs="ZWAdobeF"/>
          <w:b w:val="0"/>
          <w:bCs w:val="0"/>
          <w:color w:val="auto"/>
          <w:sz w:val="2"/>
          <w:szCs w:val="2"/>
        </w:rPr>
        <w:t>794F</w:t>
      </w:r>
      <w:r w:rsidR="007A330E">
        <w:rPr>
          <w:rStyle w:val="Strong"/>
          <w:rFonts w:ascii="ZWAdobeF" w:hAnsi="ZWAdobeF" w:cs="ZWAdobeF"/>
          <w:b w:val="0"/>
          <w:bCs w:val="0"/>
          <w:color w:val="auto"/>
          <w:sz w:val="2"/>
          <w:szCs w:val="2"/>
        </w:rPr>
        <w:t>794F</w:t>
      </w:r>
      <w:r w:rsidR="00317AE4">
        <w:rPr>
          <w:rStyle w:val="Strong"/>
          <w:rFonts w:ascii="ZWAdobeF" w:hAnsi="ZWAdobeF" w:cs="ZWAdobeF"/>
          <w:b w:val="0"/>
          <w:bCs w:val="0"/>
          <w:color w:val="auto"/>
          <w:sz w:val="2"/>
          <w:szCs w:val="2"/>
        </w:rPr>
        <w:t>794F</w:t>
      </w:r>
      <w:r w:rsidR="00DD0F04" w:rsidRPr="002A6579">
        <w:rPr>
          <w:rStyle w:val="FootnoteReference"/>
        </w:rPr>
        <w:footnoteReference w:id="796"/>
      </w:r>
      <w:r w:rsidR="00DD0F04" w:rsidRPr="0002100B">
        <w:rPr>
          <w:rStyle w:val="Strong"/>
          <w:b w:val="0"/>
          <w:bCs w:val="0"/>
        </w:rPr>
        <w:t xml:space="preserve"> The LCO commented that lack of compensation was one of the most common and trenchant criticisms of class actions and that the success of an individual class action and class actions in </w:t>
      </w:r>
      <w:r w:rsidR="00DD0F04" w:rsidRPr="0002100B">
        <w:rPr>
          <w:rStyle w:val="Strong"/>
          <w:b w:val="0"/>
          <w:bCs w:val="0"/>
          <w:color w:val="000000" w:themeColor="text1"/>
        </w:rPr>
        <w:t>general</w:t>
      </w:r>
      <w:r w:rsidR="00DD0F04" w:rsidRPr="0002100B">
        <w:rPr>
          <w:rStyle w:val="Strong"/>
          <w:b w:val="0"/>
          <w:bCs w:val="0"/>
        </w:rPr>
        <w:t xml:space="preserve"> were frequently evaluated through the lens of settlement distributions. It therefore considered that</w:t>
      </w:r>
      <w:r w:rsidR="00DD0F04">
        <w:rPr>
          <w:rStyle w:val="Strong"/>
        </w:rPr>
        <w:t xml:space="preserve"> </w:t>
      </w:r>
      <w:r w:rsidR="00DD0F04">
        <w:t>settlement distribution could not be an afterthought and should be a central consideration for the court in assessing any proposed settlement.</w:t>
      </w:r>
      <w:r w:rsidR="00D629FA">
        <w:rPr>
          <w:rFonts w:ascii="ZWAdobeF" w:hAnsi="ZWAdobeF" w:cs="ZWAdobeF"/>
          <w:color w:val="auto"/>
          <w:sz w:val="2"/>
          <w:szCs w:val="2"/>
        </w:rPr>
        <w:t>795F</w:t>
      </w:r>
      <w:r w:rsidR="007A330E">
        <w:rPr>
          <w:rFonts w:ascii="ZWAdobeF" w:hAnsi="ZWAdobeF" w:cs="ZWAdobeF"/>
          <w:color w:val="auto"/>
          <w:sz w:val="2"/>
          <w:szCs w:val="2"/>
        </w:rPr>
        <w:t>795F</w:t>
      </w:r>
      <w:r w:rsidR="00317AE4">
        <w:rPr>
          <w:rFonts w:ascii="ZWAdobeF" w:hAnsi="ZWAdobeF" w:cs="ZWAdobeF"/>
          <w:color w:val="auto"/>
          <w:sz w:val="2"/>
          <w:szCs w:val="2"/>
        </w:rPr>
        <w:t>795F</w:t>
      </w:r>
      <w:r w:rsidR="00DD0F04">
        <w:rPr>
          <w:rStyle w:val="FootnoteReference"/>
        </w:rPr>
        <w:footnoteReference w:id="797"/>
      </w:r>
      <w:r w:rsidR="00DD0F04">
        <w:t xml:space="preserve">  </w:t>
      </w:r>
    </w:p>
    <w:p w14:paraId="05E41EF2" w14:textId="1784F9BA" w:rsidR="00DD0F04" w:rsidRPr="00043290" w:rsidRDefault="00BD5C95" w:rsidP="00B73434">
      <w:pPr>
        <w:pStyle w:val="BodyText"/>
        <w:numPr>
          <w:ilvl w:val="1"/>
          <w:numId w:val="52"/>
        </w:numPr>
        <w:tabs>
          <w:tab w:val="left" w:pos="709"/>
        </w:tabs>
        <w:ind w:hanging="709"/>
        <w:rPr>
          <w:color w:val="0D0D0D" w:themeColor="text1" w:themeTint="F2"/>
        </w:rPr>
      </w:pPr>
      <w:r>
        <w:rPr>
          <w:rFonts w:ascii="ZWAdobeF" w:hAnsi="ZWAdobeF" w:cs="ZWAdobeF"/>
          <w:color w:val="auto"/>
          <w:sz w:val="2"/>
          <w:szCs w:val="2"/>
        </w:rPr>
        <w:t>494B</w:t>
      </w:r>
      <w:r w:rsidR="0049638A">
        <w:rPr>
          <w:rFonts w:ascii="ZWAdobeF" w:hAnsi="ZWAdobeF" w:cs="ZWAdobeF"/>
          <w:color w:val="auto"/>
          <w:sz w:val="2"/>
          <w:szCs w:val="2"/>
        </w:rPr>
        <w:t>494B</w:t>
      </w:r>
      <w:r w:rsidR="00D629FA">
        <w:rPr>
          <w:rFonts w:ascii="ZWAdobeF" w:hAnsi="ZWAdobeF" w:cs="ZWAdobeF"/>
          <w:color w:val="auto"/>
          <w:sz w:val="2"/>
          <w:szCs w:val="2"/>
        </w:rPr>
        <w:t>494B</w:t>
      </w:r>
      <w:r w:rsidR="00DD0F04">
        <w:t xml:space="preserve">The appropriate method of settlement distribution is likely to differ depending on the type of case. For example, in Australia, shareholder settlements usually involve a global sum with a loss assessment formula developed to divide the settlement among class </w:t>
      </w:r>
      <w:r w:rsidR="00DD0F04">
        <w:lastRenderedPageBreak/>
        <w:t>members.</w:t>
      </w:r>
      <w:r w:rsidR="00D629FA">
        <w:rPr>
          <w:rFonts w:ascii="ZWAdobeF" w:hAnsi="ZWAdobeF" w:cs="ZWAdobeF"/>
          <w:color w:val="auto"/>
          <w:sz w:val="2"/>
          <w:szCs w:val="2"/>
        </w:rPr>
        <w:t>796F</w:t>
      </w:r>
      <w:r w:rsidR="007A330E">
        <w:rPr>
          <w:rFonts w:ascii="ZWAdobeF" w:hAnsi="ZWAdobeF" w:cs="ZWAdobeF"/>
          <w:color w:val="auto"/>
          <w:sz w:val="2"/>
          <w:szCs w:val="2"/>
        </w:rPr>
        <w:t>796F</w:t>
      </w:r>
      <w:r w:rsidR="00317AE4">
        <w:rPr>
          <w:rFonts w:ascii="ZWAdobeF" w:hAnsi="ZWAdobeF" w:cs="ZWAdobeF"/>
          <w:color w:val="auto"/>
          <w:sz w:val="2"/>
          <w:szCs w:val="2"/>
        </w:rPr>
        <w:t>796F</w:t>
      </w:r>
      <w:r w:rsidR="00DD0F04">
        <w:rPr>
          <w:rStyle w:val="FootnoteReference"/>
        </w:rPr>
        <w:footnoteReference w:id="798"/>
      </w:r>
      <w:r w:rsidR="00DD0F04">
        <w:t xml:space="preserve"> Mass tort class actions usually involve the settlement administrator dividing the settlement sum amongst group members, following individual assessments.</w:t>
      </w:r>
      <w:r w:rsidR="00D629FA">
        <w:rPr>
          <w:rFonts w:ascii="ZWAdobeF" w:hAnsi="ZWAdobeF" w:cs="ZWAdobeF"/>
          <w:color w:val="auto"/>
          <w:sz w:val="2"/>
          <w:szCs w:val="2"/>
        </w:rPr>
        <w:t>797F</w:t>
      </w:r>
      <w:r w:rsidR="007A330E">
        <w:rPr>
          <w:rFonts w:ascii="ZWAdobeF" w:hAnsi="ZWAdobeF" w:cs="ZWAdobeF"/>
          <w:color w:val="auto"/>
          <w:sz w:val="2"/>
          <w:szCs w:val="2"/>
        </w:rPr>
        <w:t>797F</w:t>
      </w:r>
      <w:r w:rsidR="00317AE4">
        <w:rPr>
          <w:rFonts w:ascii="ZWAdobeF" w:hAnsi="ZWAdobeF" w:cs="ZWAdobeF"/>
          <w:color w:val="auto"/>
          <w:sz w:val="2"/>
          <w:szCs w:val="2"/>
        </w:rPr>
        <w:t>797F</w:t>
      </w:r>
      <w:r w:rsidR="00DD0F04">
        <w:rPr>
          <w:rStyle w:val="FootnoteReference"/>
        </w:rPr>
        <w:footnoteReference w:id="799"/>
      </w:r>
      <w:r w:rsidR="00DD0F04">
        <w:t xml:space="preserve"> In some cases, a settlement can be directly distributed by a defendant based on its records.</w:t>
      </w:r>
      <w:r w:rsidR="00D629FA">
        <w:rPr>
          <w:rFonts w:ascii="ZWAdobeF" w:hAnsi="ZWAdobeF" w:cs="ZWAdobeF"/>
          <w:color w:val="auto"/>
          <w:sz w:val="2"/>
          <w:szCs w:val="2"/>
        </w:rPr>
        <w:t>798F</w:t>
      </w:r>
      <w:r w:rsidR="007A330E">
        <w:rPr>
          <w:rFonts w:ascii="ZWAdobeF" w:hAnsi="ZWAdobeF" w:cs="ZWAdobeF"/>
          <w:color w:val="auto"/>
          <w:sz w:val="2"/>
          <w:szCs w:val="2"/>
        </w:rPr>
        <w:t>798F</w:t>
      </w:r>
      <w:r w:rsidR="00317AE4">
        <w:rPr>
          <w:rFonts w:ascii="ZWAdobeF" w:hAnsi="ZWAdobeF" w:cs="ZWAdobeF"/>
          <w:color w:val="auto"/>
          <w:sz w:val="2"/>
          <w:szCs w:val="2"/>
        </w:rPr>
        <w:t>798F</w:t>
      </w:r>
      <w:r w:rsidR="00DD0F04">
        <w:rPr>
          <w:rStyle w:val="FootnoteReference"/>
        </w:rPr>
        <w:footnoteReference w:id="800"/>
      </w:r>
    </w:p>
    <w:p w14:paraId="1B83E124" w14:textId="6B69E88B" w:rsidR="00DD0F04" w:rsidRPr="00FE1680" w:rsidRDefault="00BD5C95" w:rsidP="00B73434">
      <w:pPr>
        <w:pStyle w:val="BodyText"/>
        <w:numPr>
          <w:ilvl w:val="1"/>
          <w:numId w:val="52"/>
        </w:numPr>
        <w:tabs>
          <w:tab w:val="left" w:pos="709"/>
        </w:tabs>
        <w:ind w:hanging="709"/>
        <w:rPr>
          <w:color w:val="0D0D0D" w:themeColor="text1" w:themeTint="F2"/>
        </w:rPr>
      </w:pPr>
      <w:r>
        <w:rPr>
          <w:rFonts w:ascii="ZWAdobeF" w:hAnsi="ZWAdobeF" w:cs="ZWAdobeF"/>
          <w:color w:val="auto"/>
          <w:sz w:val="2"/>
          <w:szCs w:val="2"/>
        </w:rPr>
        <w:t>495B</w:t>
      </w:r>
      <w:r w:rsidR="0049638A">
        <w:rPr>
          <w:rFonts w:ascii="ZWAdobeF" w:hAnsi="ZWAdobeF" w:cs="ZWAdobeF"/>
          <w:color w:val="auto"/>
          <w:sz w:val="2"/>
          <w:szCs w:val="2"/>
        </w:rPr>
        <w:t>495B</w:t>
      </w:r>
      <w:r w:rsidR="00D629FA">
        <w:rPr>
          <w:rFonts w:ascii="ZWAdobeF" w:hAnsi="ZWAdobeF" w:cs="ZWAdobeF"/>
          <w:color w:val="auto"/>
          <w:sz w:val="2"/>
          <w:szCs w:val="2"/>
        </w:rPr>
        <w:t>495B</w:t>
      </w:r>
      <w:r w:rsidR="00DD0F04">
        <w:t>The method of settlement distribution should be designed to get compensation into the hands of class members.</w:t>
      </w:r>
      <w:r w:rsidR="00D629FA">
        <w:rPr>
          <w:rFonts w:ascii="ZWAdobeF" w:hAnsi="ZWAdobeF" w:cs="ZWAdobeF"/>
          <w:color w:val="auto"/>
          <w:sz w:val="2"/>
          <w:szCs w:val="2"/>
        </w:rPr>
        <w:t>799F</w:t>
      </w:r>
      <w:r w:rsidR="007A330E">
        <w:rPr>
          <w:rFonts w:ascii="ZWAdobeF" w:hAnsi="ZWAdobeF" w:cs="ZWAdobeF"/>
          <w:color w:val="auto"/>
          <w:sz w:val="2"/>
          <w:szCs w:val="2"/>
        </w:rPr>
        <w:t>799F</w:t>
      </w:r>
      <w:r w:rsidR="00317AE4">
        <w:rPr>
          <w:rFonts w:ascii="ZWAdobeF" w:hAnsi="ZWAdobeF" w:cs="ZWAdobeF"/>
          <w:color w:val="auto"/>
          <w:sz w:val="2"/>
          <w:szCs w:val="2"/>
        </w:rPr>
        <w:t>799F</w:t>
      </w:r>
      <w:r w:rsidR="00DD0F04">
        <w:rPr>
          <w:rStyle w:val="FootnoteReference"/>
        </w:rPr>
        <w:footnoteReference w:id="801"/>
      </w:r>
      <w:r w:rsidR="00DD0F04">
        <w:t xml:space="preserve"> While individual compensation should reflect the merits of each individual case, it is also important to minimise cost and delay for class members.</w:t>
      </w:r>
      <w:r w:rsidR="00D629FA">
        <w:rPr>
          <w:rFonts w:ascii="ZWAdobeF" w:hAnsi="ZWAdobeF" w:cs="ZWAdobeF"/>
          <w:color w:val="auto"/>
          <w:sz w:val="2"/>
          <w:szCs w:val="2"/>
        </w:rPr>
        <w:t>800F</w:t>
      </w:r>
      <w:r w:rsidR="007A330E">
        <w:rPr>
          <w:rFonts w:ascii="ZWAdobeF" w:hAnsi="ZWAdobeF" w:cs="ZWAdobeF"/>
          <w:color w:val="auto"/>
          <w:sz w:val="2"/>
          <w:szCs w:val="2"/>
        </w:rPr>
        <w:t>800F</w:t>
      </w:r>
      <w:r w:rsidR="00317AE4">
        <w:rPr>
          <w:rFonts w:ascii="ZWAdobeF" w:hAnsi="ZWAdobeF" w:cs="ZWAdobeF"/>
          <w:color w:val="auto"/>
          <w:sz w:val="2"/>
          <w:szCs w:val="2"/>
        </w:rPr>
        <w:t>800F</w:t>
      </w:r>
      <w:r w:rsidR="00DD0F04">
        <w:rPr>
          <w:rStyle w:val="FootnoteReference"/>
        </w:rPr>
        <w:footnoteReference w:id="802"/>
      </w:r>
      <w:r w:rsidR="00DD0F04">
        <w:t xml:space="preserve"> These competing objectives may require some balancing.</w:t>
      </w:r>
    </w:p>
    <w:p w14:paraId="2D60D089" w14:textId="590B095E" w:rsidR="00DD0F04" w:rsidRPr="002F759B" w:rsidRDefault="00BD5C95" w:rsidP="00B73434">
      <w:pPr>
        <w:pStyle w:val="BodyText"/>
        <w:numPr>
          <w:ilvl w:val="1"/>
          <w:numId w:val="52"/>
        </w:numPr>
        <w:tabs>
          <w:tab w:val="left" w:pos="709"/>
        </w:tabs>
        <w:ind w:hanging="709"/>
        <w:rPr>
          <w:color w:val="0D0D0D" w:themeColor="text1" w:themeTint="F2"/>
        </w:rPr>
      </w:pPr>
      <w:r>
        <w:rPr>
          <w:rFonts w:ascii="ZWAdobeF" w:hAnsi="ZWAdobeF" w:cs="ZWAdobeF"/>
          <w:color w:val="auto"/>
          <w:sz w:val="2"/>
          <w:szCs w:val="2"/>
        </w:rPr>
        <w:t>496B</w:t>
      </w:r>
      <w:r w:rsidR="0049638A">
        <w:rPr>
          <w:rFonts w:ascii="ZWAdobeF" w:hAnsi="ZWAdobeF" w:cs="ZWAdobeF"/>
          <w:color w:val="auto"/>
          <w:sz w:val="2"/>
          <w:szCs w:val="2"/>
        </w:rPr>
        <w:t>496B</w:t>
      </w:r>
      <w:r w:rsidR="00D629FA">
        <w:rPr>
          <w:rFonts w:ascii="ZWAdobeF" w:hAnsi="ZWAdobeF" w:cs="ZWAdobeF"/>
          <w:color w:val="auto"/>
          <w:sz w:val="2"/>
          <w:szCs w:val="2"/>
        </w:rPr>
        <w:t>496B</w:t>
      </w:r>
      <w:r w:rsidR="00DD0F04">
        <w:t>When a court considers a proposed method of distribution, we think relevant matters may include:</w:t>
      </w:r>
      <w:r w:rsidR="00D629FA">
        <w:rPr>
          <w:rFonts w:ascii="ZWAdobeF" w:hAnsi="ZWAdobeF" w:cs="ZWAdobeF"/>
          <w:color w:val="auto"/>
          <w:sz w:val="2"/>
          <w:szCs w:val="2"/>
        </w:rPr>
        <w:t>801F</w:t>
      </w:r>
      <w:r w:rsidR="007A330E">
        <w:rPr>
          <w:rFonts w:ascii="ZWAdobeF" w:hAnsi="ZWAdobeF" w:cs="ZWAdobeF"/>
          <w:color w:val="auto"/>
          <w:sz w:val="2"/>
          <w:szCs w:val="2"/>
        </w:rPr>
        <w:t>801F</w:t>
      </w:r>
      <w:r w:rsidR="00317AE4">
        <w:rPr>
          <w:rFonts w:ascii="ZWAdobeF" w:hAnsi="ZWAdobeF" w:cs="ZWAdobeF"/>
          <w:color w:val="auto"/>
          <w:sz w:val="2"/>
          <w:szCs w:val="2"/>
        </w:rPr>
        <w:t>801F</w:t>
      </w:r>
      <w:r w:rsidR="00DD0F04">
        <w:rPr>
          <w:rStyle w:val="FootnoteReference"/>
        </w:rPr>
        <w:footnoteReference w:id="803"/>
      </w:r>
    </w:p>
    <w:p w14:paraId="762CE2EB" w14:textId="57E47B76" w:rsidR="00DD0F04" w:rsidRPr="00082B3E" w:rsidRDefault="00BD5C95" w:rsidP="00B73434">
      <w:pPr>
        <w:pStyle w:val="BodyTextnonum"/>
        <w:numPr>
          <w:ilvl w:val="3"/>
          <w:numId w:val="61"/>
        </w:numPr>
        <w:tabs>
          <w:tab w:val="clear" w:pos="992"/>
        </w:tabs>
        <w:ind w:left="1134"/>
        <w:rPr>
          <w:color w:val="0D0D0D" w:themeColor="text1" w:themeTint="F2"/>
        </w:rPr>
      </w:pPr>
      <w:r>
        <w:rPr>
          <w:rFonts w:ascii="ZWAdobeF" w:hAnsi="ZWAdobeF" w:cs="ZWAdobeF"/>
          <w:color w:val="auto"/>
          <w:sz w:val="2"/>
          <w:szCs w:val="2"/>
        </w:rPr>
        <w:t>826B</w:t>
      </w:r>
      <w:r w:rsidR="0049638A">
        <w:rPr>
          <w:rFonts w:ascii="ZWAdobeF" w:hAnsi="ZWAdobeF" w:cs="ZWAdobeF"/>
          <w:color w:val="auto"/>
          <w:sz w:val="2"/>
          <w:szCs w:val="2"/>
        </w:rPr>
        <w:t>826B</w:t>
      </w:r>
      <w:r w:rsidR="00D629FA">
        <w:rPr>
          <w:rFonts w:ascii="ZWAdobeF" w:hAnsi="ZWAdobeF" w:cs="ZWAdobeF"/>
          <w:color w:val="auto"/>
          <w:sz w:val="2"/>
          <w:szCs w:val="2"/>
        </w:rPr>
        <w:t>826B</w:t>
      </w:r>
      <w:r w:rsidR="00DD0F04" w:rsidRPr="00082B3E">
        <w:rPr>
          <w:color w:val="0D0D0D" w:themeColor="text1" w:themeTint="F2"/>
        </w:rPr>
        <w:t>The nature of the claim and the relief claimed.</w:t>
      </w:r>
    </w:p>
    <w:p w14:paraId="330A58B1" w14:textId="451F2BEA" w:rsidR="00DD0F04" w:rsidRPr="005A1545" w:rsidRDefault="00BD5C95" w:rsidP="00B73434">
      <w:pPr>
        <w:pStyle w:val="BodyTextnonum"/>
        <w:numPr>
          <w:ilvl w:val="3"/>
          <w:numId w:val="61"/>
        </w:numPr>
        <w:tabs>
          <w:tab w:val="clear" w:pos="992"/>
        </w:tabs>
        <w:ind w:left="1134"/>
        <w:rPr>
          <w:color w:val="0D0D0D" w:themeColor="text1" w:themeTint="F2"/>
        </w:rPr>
      </w:pPr>
      <w:r>
        <w:rPr>
          <w:rFonts w:ascii="ZWAdobeF" w:hAnsi="ZWAdobeF" w:cs="ZWAdobeF"/>
          <w:color w:val="auto"/>
          <w:sz w:val="2"/>
          <w:szCs w:val="2"/>
        </w:rPr>
        <w:t>827B</w:t>
      </w:r>
      <w:r w:rsidR="0049638A">
        <w:rPr>
          <w:rFonts w:ascii="ZWAdobeF" w:hAnsi="ZWAdobeF" w:cs="ZWAdobeF"/>
          <w:color w:val="auto"/>
          <w:sz w:val="2"/>
          <w:szCs w:val="2"/>
        </w:rPr>
        <w:t>827B</w:t>
      </w:r>
      <w:r w:rsidR="00D629FA">
        <w:rPr>
          <w:rFonts w:ascii="ZWAdobeF" w:hAnsi="ZWAdobeF" w:cs="ZWAdobeF"/>
          <w:color w:val="auto"/>
          <w:sz w:val="2"/>
          <w:szCs w:val="2"/>
        </w:rPr>
        <w:t>827B</w:t>
      </w:r>
      <w:r w:rsidR="00DD0F04" w:rsidRPr="005A1545">
        <w:rPr>
          <w:color w:val="0D0D0D" w:themeColor="text1" w:themeTint="F2"/>
        </w:rPr>
        <w:t xml:space="preserve">Whether the proposed method of determining individual entitlements is consistent with how the case would have been advanced at trial (for example, the way in which entitlement to damages would have been established). </w:t>
      </w:r>
    </w:p>
    <w:p w14:paraId="2EF959F0" w14:textId="797CD5B3" w:rsidR="00DD0F04" w:rsidRPr="005A1545" w:rsidRDefault="00BD5C95" w:rsidP="00B73434">
      <w:pPr>
        <w:pStyle w:val="BodyTextnonum"/>
        <w:numPr>
          <w:ilvl w:val="3"/>
          <w:numId w:val="61"/>
        </w:numPr>
        <w:tabs>
          <w:tab w:val="clear" w:pos="992"/>
        </w:tabs>
        <w:ind w:left="1134"/>
        <w:rPr>
          <w:color w:val="0D0D0D" w:themeColor="text1" w:themeTint="F2"/>
        </w:rPr>
      </w:pPr>
      <w:r>
        <w:rPr>
          <w:rFonts w:ascii="ZWAdobeF" w:hAnsi="ZWAdobeF" w:cs="ZWAdobeF"/>
          <w:color w:val="auto"/>
          <w:sz w:val="2"/>
          <w:szCs w:val="2"/>
        </w:rPr>
        <w:t>828B</w:t>
      </w:r>
      <w:r w:rsidR="0049638A">
        <w:rPr>
          <w:rFonts w:ascii="ZWAdobeF" w:hAnsi="ZWAdobeF" w:cs="ZWAdobeF"/>
          <w:color w:val="auto"/>
          <w:sz w:val="2"/>
          <w:szCs w:val="2"/>
        </w:rPr>
        <w:t>828B</w:t>
      </w:r>
      <w:r w:rsidR="00D629FA">
        <w:rPr>
          <w:rFonts w:ascii="ZWAdobeF" w:hAnsi="ZWAdobeF" w:cs="ZWAdobeF"/>
          <w:color w:val="auto"/>
          <w:sz w:val="2"/>
          <w:szCs w:val="2"/>
        </w:rPr>
        <w:t>828B</w:t>
      </w:r>
      <w:r w:rsidR="00DD0F04" w:rsidRPr="005A1545">
        <w:rPr>
          <w:color w:val="0D0D0D" w:themeColor="text1" w:themeTint="F2"/>
        </w:rPr>
        <w:t>Whether a direct distribution by the defendant to class members is possible.</w:t>
      </w:r>
    </w:p>
    <w:p w14:paraId="2EFC2BA6" w14:textId="4B82F1A3" w:rsidR="00DD0F04" w:rsidRPr="005A1545" w:rsidRDefault="00BD5C95" w:rsidP="00B73434">
      <w:pPr>
        <w:pStyle w:val="BodyTextnonum"/>
        <w:numPr>
          <w:ilvl w:val="3"/>
          <w:numId w:val="61"/>
        </w:numPr>
        <w:tabs>
          <w:tab w:val="clear" w:pos="992"/>
        </w:tabs>
        <w:ind w:left="1134"/>
        <w:rPr>
          <w:color w:val="0D0D0D" w:themeColor="text1" w:themeTint="F2"/>
        </w:rPr>
      </w:pPr>
      <w:r>
        <w:rPr>
          <w:rFonts w:ascii="ZWAdobeF" w:hAnsi="ZWAdobeF" w:cs="ZWAdobeF"/>
          <w:color w:val="auto"/>
          <w:sz w:val="2"/>
          <w:szCs w:val="2"/>
        </w:rPr>
        <w:t>829B</w:t>
      </w:r>
      <w:r w:rsidR="0049638A">
        <w:rPr>
          <w:rFonts w:ascii="ZWAdobeF" w:hAnsi="ZWAdobeF" w:cs="ZWAdobeF"/>
          <w:color w:val="auto"/>
          <w:sz w:val="2"/>
          <w:szCs w:val="2"/>
        </w:rPr>
        <w:t>829B</w:t>
      </w:r>
      <w:r w:rsidR="00D629FA">
        <w:rPr>
          <w:rFonts w:ascii="ZWAdobeF" w:hAnsi="ZWAdobeF" w:cs="ZWAdobeF"/>
          <w:color w:val="auto"/>
          <w:sz w:val="2"/>
          <w:szCs w:val="2"/>
        </w:rPr>
        <w:t>829B</w:t>
      </w:r>
      <w:r w:rsidR="00DD0F04" w:rsidRPr="005A1545">
        <w:rPr>
          <w:color w:val="0D0D0D" w:themeColor="text1" w:themeTint="F2"/>
        </w:rPr>
        <w:t>The costs of a more exact distribution, if applicable.</w:t>
      </w:r>
    </w:p>
    <w:p w14:paraId="1B234285" w14:textId="60522C86" w:rsidR="00DD0F04" w:rsidRDefault="00BD5C95" w:rsidP="00B73434">
      <w:pPr>
        <w:pStyle w:val="BodyTextnonum"/>
        <w:numPr>
          <w:ilvl w:val="3"/>
          <w:numId w:val="61"/>
        </w:numPr>
        <w:tabs>
          <w:tab w:val="clear" w:pos="992"/>
        </w:tabs>
        <w:ind w:left="1134"/>
        <w:rPr>
          <w:color w:val="0D0D0D" w:themeColor="text1" w:themeTint="F2"/>
        </w:rPr>
      </w:pPr>
      <w:r>
        <w:rPr>
          <w:rFonts w:ascii="ZWAdobeF" w:hAnsi="ZWAdobeF" w:cs="ZWAdobeF"/>
          <w:color w:val="auto"/>
          <w:sz w:val="2"/>
          <w:szCs w:val="2"/>
        </w:rPr>
        <w:t>830B</w:t>
      </w:r>
      <w:r w:rsidR="0049638A">
        <w:rPr>
          <w:rFonts w:ascii="ZWAdobeF" w:hAnsi="ZWAdobeF" w:cs="ZWAdobeF"/>
          <w:color w:val="auto"/>
          <w:sz w:val="2"/>
          <w:szCs w:val="2"/>
        </w:rPr>
        <w:t>830B</w:t>
      </w:r>
      <w:r w:rsidR="00D629FA">
        <w:rPr>
          <w:rFonts w:ascii="ZWAdobeF" w:hAnsi="ZWAdobeF" w:cs="ZWAdobeF"/>
          <w:color w:val="auto"/>
          <w:sz w:val="2"/>
          <w:szCs w:val="2"/>
        </w:rPr>
        <w:t>830B</w:t>
      </w:r>
      <w:r w:rsidR="00DD0F04">
        <w:rPr>
          <w:color w:val="0D0D0D" w:themeColor="text1" w:themeTint="F2"/>
        </w:rPr>
        <w:t>Whether all class member claims will be assessed in the same way, or whether any different treatment is justified.</w:t>
      </w:r>
    </w:p>
    <w:p w14:paraId="32BB992C" w14:textId="11F432EB" w:rsidR="00DD0F04" w:rsidRDefault="00BD5C95" w:rsidP="00B73434">
      <w:pPr>
        <w:pStyle w:val="BodyTextnonum"/>
        <w:numPr>
          <w:ilvl w:val="3"/>
          <w:numId w:val="61"/>
        </w:numPr>
        <w:tabs>
          <w:tab w:val="clear" w:pos="992"/>
        </w:tabs>
        <w:ind w:left="1134"/>
        <w:rPr>
          <w:color w:val="0D0D0D" w:themeColor="text1" w:themeTint="F2"/>
        </w:rPr>
      </w:pPr>
      <w:r>
        <w:rPr>
          <w:rFonts w:ascii="ZWAdobeF" w:hAnsi="ZWAdobeF" w:cs="ZWAdobeF"/>
          <w:color w:val="auto"/>
          <w:sz w:val="2"/>
          <w:szCs w:val="2"/>
        </w:rPr>
        <w:t>831B</w:t>
      </w:r>
      <w:r w:rsidR="0049638A">
        <w:rPr>
          <w:rFonts w:ascii="ZWAdobeF" w:hAnsi="ZWAdobeF" w:cs="ZWAdobeF"/>
          <w:color w:val="auto"/>
          <w:sz w:val="2"/>
          <w:szCs w:val="2"/>
        </w:rPr>
        <w:t>831B</w:t>
      </w:r>
      <w:r w:rsidR="00D629FA">
        <w:rPr>
          <w:rFonts w:ascii="ZWAdobeF" w:hAnsi="ZWAdobeF" w:cs="ZWAdobeF"/>
          <w:color w:val="auto"/>
          <w:sz w:val="2"/>
          <w:szCs w:val="2"/>
        </w:rPr>
        <w:t>831B</w:t>
      </w:r>
      <w:r w:rsidR="00DD0F04">
        <w:rPr>
          <w:color w:val="0D0D0D" w:themeColor="text1" w:themeTint="F2"/>
        </w:rPr>
        <w:t>Whether the proposed method of distribution is likely to result in a fair outcome for individual class members.</w:t>
      </w:r>
    </w:p>
    <w:p w14:paraId="61EFF0F1" w14:textId="56A1A2ED" w:rsidR="00DD0F04" w:rsidRDefault="00BD5C95" w:rsidP="00B73434">
      <w:pPr>
        <w:pStyle w:val="BodyTextnonum"/>
        <w:numPr>
          <w:ilvl w:val="3"/>
          <w:numId w:val="61"/>
        </w:numPr>
        <w:tabs>
          <w:tab w:val="clear" w:pos="992"/>
        </w:tabs>
        <w:ind w:left="1134"/>
        <w:rPr>
          <w:color w:val="0D0D0D" w:themeColor="text1" w:themeTint="F2"/>
        </w:rPr>
      </w:pPr>
      <w:r>
        <w:rPr>
          <w:rFonts w:ascii="ZWAdobeF" w:hAnsi="ZWAdobeF" w:cs="ZWAdobeF"/>
          <w:color w:val="auto"/>
          <w:sz w:val="2"/>
          <w:szCs w:val="2"/>
        </w:rPr>
        <w:t>832B</w:t>
      </w:r>
      <w:r w:rsidR="0049638A">
        <w:rPr>
          <w:rFonts w:ascii="ZWAdobeF" w:hAnsi="ZWAdobeF" w:cs="ZWAdobeF"/>
          <w:color w:val="auto"/>
          <w:sz w:val="2"/>
          <w:szCs w:val="2"/>
        </w:rPr>
        <w:t>832B</w:t>
      </w:r>
      <w:r w:rsidR="00D629FA">
        <w:rPr>
          <w:rFonts w:ascii="ZWAdobeF" w:hAnsi="ZWAdobeF" w:cs="ZWAdobeF"/>
          <w:color w:val="auto"/>
          <w:sz w:val="2"/>
          <w:szCs w:val="2"/>
        </w:rPr>
        <w:t>832B</w:t>
      </w:r>
      <w:r w:rsidR="00DD0F04">
        <w:rPr>
          <w:color w:val="0D0D0D" w:themeColor="text1" w:themeTint="F2"/>
        </w:rPr>
        <w:t>How straight-forward the claims process will be for class members.</w:t>
      </w:r>
    </w:p>
    <w:p w14:paraId="4CFB4416" w14:textId="1A33F744" w:rsidR="00DD0F04" w:rsidRPr="00261B99" w:rsidRDefault="00BD5C95" w:rsidP="00B73434">
      <w:pPr>
        <w:pStyle w:val="BodyText"/>
        <w:numPr>
          <w:ilvl w:val="1"/>
          <w:numId w:val="52"/>
        </w:numPr>
        <w:tabs>
          <w:tab w:val="left" w:pos="709"/>
        </w:tabs>
        <w:ind w:hanging="709"/>
        <w:rPr>
          <w:color w:val="0D0D0D" w:themeColor="text1" w:themeTint="F2"/>
        </w:rPr>
      </w:pPr>
      <w:r>
        <w:rPr>
          <w:rFonts w:ascii="ZWAdobeF" w:hAnsi="ZWAdobeF" w:cs="ZWAdobeF"/>
          <w:color w:val="auto"/>
          <w:sz w:val="2"/>
          <w:szCs w:val="2"/>
        </w:rPr>
        <w:t>497B</w:t>
      </w:r>
      <w:r w:rsidR="0049638A">
        <w:rPr>
          <w:rFonts w:ascii="ZWAdobeF" w:hAnsi="ZWAdobeF" w:cs="ZWAdobeF"/>
          <w:color w:val="auto"/>
          <w:sz w:val="2"/>
          <w:szCs w:val="2"/>
        </w:rPr>
        <w:t>497B</w:t>
      </w:r>
      <w:r w:rsidR="00D629FA">
        <w:rPr>
          <w:rFonts w:ascii="ZWAdobeF" w:hAnsi="ZWAdobeF" w:cs="ZWAdobeF"/>
          <w:color w:val="auto"/>
          <w:sz w:val="2"/>
          <w:szCs w:val="2"/>
        </w:rPr>
        <w:t>497B</w:t>
      </w:r>
      <w:r w:rsidR="00DD0F04">
        <w:t xml:space="preserve">It is likely that some aspects of distribution will need to be worked out after the settlement has been approved. Later in this chapter we propose that the court should have a power </w:t>
      </w:r>
      <w:r w:rsidR="00DD0F04">
        <w:lastRenderedPageBreak/>
        <w:t xml:space="preserve">to make any orders it considers appropriate for the administration and implementation of a settlement. This would include orders with respect to distribution.  </w:t>
      </w:r>
    </w:p>
    <w:p w14:paraId="5E6FE777" w14:textId="77777777" w:rsidR="00DD0F04" w:rsidRDefault="00DD0F04" w:rsidP="00F37442">
      <w:pPr>
        <w:pStyle w:val="BodyText"/>
        <w:numPr>
          <w:ilvl w:val="0"/>
          <w:numId w:val="0"/>
        </w:numPr>
        <w:rPr>
          <w:rStyle w:val="Strong"/>
        </w:rPr>
      </w:pPr>
      <w:r w:rsidRPr="00261B99">
        <w:rPr>
          <w:rStyle w:val="Strong"/>
        </w:rPr>
        <w:t>Proposed method of dealing with unclaimed settlement amounts</w:t>
      </w:r>
    </w:p>
    <w:p w14:paraId="060FBA84" w14:textId="17733225" w:rsidR="00DD0F04" w:rsidRDefault="00BD5C95" w:rsidP="00B73434">
      <w:pPr>
        <w:pStyle w:val="BodyText"/>
        <w:numPr>
          <w:ilvl w:val="1"/>
          <w:numId w:val="52"/>
        </w:numPr>
        <w:tabs>
          <w:tab w:val="left" w:pos="709"/>
        </w:tabs>
        <w:ind w:hanging="709"/>
      </w:pPr>
      <w:r>
        <w:rPr>
          <w:rFonts w:ascii="ZWAdobeF" w:hAnsi="ZWAdobeF" w:cs="ZWAdobeF"/>
          <w:color w:val="auto"/>
          <w:sz w:val="2"/>
          <w:szCs w:val="2"/>
        </w:rPr>
        <w:t>498B</w:t>
      </w:r>
      <w:r w:rsidR="0049638A">
        <w:rPr>
          <w:rFonts w:ascii="ZWAdobeF" w:hAnsi="ZWAdobeF" w:cs="ZWAdobeF"/>
          <w:color w:val="auto"/>
          <w:sz w:val="2"/>
          <w:szCs w:val="2"/>
        </w:rPr>
        <w:t>498B</w:t>
      </w:r>
      <w:r w:rsidR="00D629FA">
        <w:rPr>
          <w:rFonts w:ascii="ZWAdobeF" w:hAnsi="ZWAdobeF" w:cs="ZWAdobeF"/>
          <w:color w:val="auto"/>
          <w:sz w:val="2"/>
          <w:szCs w:val="2"/>
        </w:rPr>
        <w:t>498B</w:t>
      </w:r>
      <w:r w:rsidR="00DD0F04">
        <w:t>We also think the court should consider how the settlement proposes to deal with any unclaimed settlement funds.</w:t>
      </w:r>
      <w:r w:rsidR="00D629FA">
        <w:rPr>
          <w:rFonts w:ascii="ZWAdobeF" w:hAnsi="ZWAdobeF" w:cs="ZWAdobeF"/>
          <w:color w:val="auto"/>
          <w:sz w:val="2"/>
          <w:szCs w:val="2"/>
        </w:rPr>
        <w:t>802F</w:t>
      </w:r>
      <w:r w:rsidR="007A330E">
        <w:rPr>
          <w:rFonts w:ascii="ZWAdobeF" w:hAnsi="ZWAdobeF" w:cs="ZWAdobeF"/>
          <w:color w:val="auto"/>
          <w:sz w:val="2"/>
          <w:szCs w:val="2"/>
        </w:rPr>
        <w:t>802F</w:t>
      </w:r>
      <w:r w:rsidR="00317AE4">
        <w:rPr>
          <w:rFonts w:ascii="ZWAdobeF" w:hAnsi="ZWAdobeF" w:cs="ZWAdobeF"/>
          <w:color w:val="auto"/>
          <w:sz w:val="2"/>
          <w:szCs w:val="2"/>
        </w:rPr>
        <w:t>802F</w:t>
      </w:r>
      <w:r w:rsidR="00DD0F04">
        <w:rPr>
          <w:rStyle w:val="FootnoteReference"/>
        </w:rPr>
        <w:footnoteReference w:id="804"/>
      </w:r>
      <w:r w:rsidR="00DD0F04">
        <w:t xml:space="preserve"> </w:t>
      </w:r>
    </w:p>
    <w:p w14:paraId="24731E37" w14:textId="11F2D47A" w:rsidR="00DD0F04" w:rsidRDefault="00BD5C95" w:rsidP="00B73434">
      <w:pPr>
        <w:pStyle w:val="BodyText"/>
        <w:numPr>
          <w:ilvl w:val="1"/>
          <w:numId w:val="52"/>
        </w:numPr>
        <w:tabs>
          <w:tab w:val="left" w:pos="709"/>
        </w:tabs>
        <w:ind w:hanging="709"/>
      </w:pPr>
      <w:r>
        <w:rPr>
          <w:rFonts w:ascii="ZWAdobeF" w:hAnsi="ZWAdobeF" w:cs="ZWAdobeF"/>
          <w:color w:val="auto"/>
          <w:sz w:val="2"/>
          <w:szCs w:val="2"/>
        </w:rPr>
        <w:t>499B</w:t>
      </w:r>
      <w:r w:rsidR="0049638A">
        <w:rPr>
          <w:rFonts w:ascii="ZWAdobeF" w:hAnsi="ZWAdobeF" w:cs="ZWAdobeF"/>
          <w:color w:val="auto"/>
          <w:sz w:val="2"/>
          <w:szCs w:val="2"/>
        </w:rPr>
        <w:t>499B</w:t>
      </w:r>
      <w:r w:rsidR="00D629FA">
        <w:rPr>
          <w:rFonts w:ascii="ZWAdobeF" w:hAnsi="ZWAdobeF" w:cs="ZWAdobeF"/>
          <w:color w:val="auto"/>
          <w:sz w:val="2"/>
          <w:szCs w:val="2"/>
        </w:rPr>
        <w:t>499B</w:t>
      </w:r>
      <w:r w:rsidR="00DD0F04">
        <w:t xml:space="preserve">Reasons why an eligible class member might not claim settlement funds include: not receiving the notice of approved settlement, failing to retain the necessary documents (for example, proof of purchase), finding the claims process too difficult or considering the amount at stake too small to make a claim worthwhile. </w:t>
      </w:r>
    </w:p>
    <w:p w14:paraId="6F5AE9A9" w14:textId="3957647F" w:rsidR="00DD0F04" w:rsidRDefault="00BD5C95" w:rsidP="00B73434">
      <w:pPr>
        <w:pStyle w:val="BodyText"/>
        <w:numPr>
          <w:ilvl w:val="1"/>
          <w:numId w:val="52"/>
        </w:numPr>
        <w:tabs>
          <w:tab w:val="left" w:pos="709"/>
        </w:tabs>
        <w:ind w:hanging="709"/>
      </w:pPr>
      <w:r>
        <w:rPr>
          <w:rFonts w:ascii="ZWAdobeF" w:hAnsi="ZWAdobeF" w:cs="ZWAdobeF"/>
          <w:color w:val="auto"/>
          <w:sz w:val="2"/>
          <w:szCs w:val="2"/>
        </w:rPr>
        <w:t>500B</w:t>
      </w:r>
      <w:r w:rsidR="0049638A">
        <w:rPr>
          <w:rFonts w:ascii="ZWAdobeF" w:hAnsi="ZWAdobeF" w:cs="ZWAdobeF"/>
          <w:color w:val="auto"/>
          <w:sz w:val="2"/>
          <w:szCs w:val="2"/>
        </w:rPr>
        <w:t>500B</w:t>
      </w:r>
      <w:r w:rsidR="00D629FA">
        <w:rPr>
          <w:rFonts w:ascii="ZWAdobeF" w:hAnsi="ZWAdobeF" w:cs="ZWAdobeF"/>
          <w:color w:val="auto"/>
          <w:sz w:val="2"/>
          <w:szCs w:val="2"/>
        </w:rPr>
        <w:t>500B</w:t>
      </w:r>
      <w:r w:rsidR="00DD0F04">
        <w:t>Options for dealing with unclaimed funds include:</w:t>
      </w:r>
      <w:r w:rsidR="00D629FA">
        <w:rPr>
          <w:rFonts w:ascii="ZWAdobeF" w:hAnsi="ZWAdobeF" w:cs="ZWAdobeF"/>
          <w:color w:val="auto"/>
          <w:sz w:val="2"/>
          <w:szCs w:val="2"/>
        </w:rPr>
        <w:t>803F</w:t>
      </w:r>
      <w:r w:rsidR="007A330E">
        <w:rPr>
          <w:rFonts w:ascii="ZWAdobeF" w:hAnsi="ZWAdobeF" w:cs="ZWAdobeF"/>
          <w:color w:val="auto"/>
          <w:sz w:val="2"/>
          <w:szCs w:val="2"/>
        </w:rPr>
        <w:t>803F</w:t>
      </w:r>
      <w:r w:rsidR="00317AE4">
        <w:rPr>
          <w:rFonts w:ascii="ZWAdobeF" w:hAnsi="ZWAdobeF" w:cs="ZWAdobeF"/>
          <w:color w:val="auto"/>
          <w:sz w:val="2"/>
          <w:szCs w:val="2"/>
        </w:rPr>
        <w:t>803F</w:t>
      </w:r>
      <w:r w:rsidR="00DD0F04">
        <w:rPr>
          <w:rStyle w:val="FootnoteReference"/>
        </w:rPr>
        <w:footnoteReference w:id="805"/>
      </w:r>
    </w:p>
    <w:p w14:paraId="0DC2F5C1" w14:textId="3BCBD954" w:rsidR="00DD0F04" w:rsidRDefault="00BD5C95" w:rsidP="00B73434">
      <w:pPr>
        <w:pStyle w:val="BodyTextnonum"/>
        <w:numPr>
          <w:ilvl w:val="3"/>
          <w:numId w:val="61"/>
        </w:numPr>
        <w:tabs>
          <w:tab w:val="clear" w:pos="992"/>
        </w:tabs>
        <w:ind w:left="1134" w:hanging="424"/>
      </w:pPr>
      <w:r>
        <w:rPr>
          <w:rFonts w:ascii="ZWAdobeF" w:hAnsi="ZWAdobeF" w:cs="ZWAdobeF"/>
          <w:color w:val="auto"/>
          <w:sz w:val="2"/>
          <w:szCs w:val="2"/>
        </w:rPr>
        <w:t>833B</w:t>
      </w:r>
      <w:r w:rsidR="0049638A">
        <w:rPr>
          <w:rFonts w:ascii="ZWAdobeF" w:hAnsi="ZWAdobeF" w:cs="ZWAdobeF"/>
          <w:color w:val="auto"/>
          <w:sz w:val="2"/>
          <w:szCs w:val="2"/>
        </w:rPr>
        <w:t>833B</w:t>
      </w:r>
      <w:r w:rsidR="00D629FA">
        <w:rPr>
          <w:rFonts w:ascii="ZWAdobeF" w:hAnsi="ZWAdobeF" w:cs="ZWAdobeF"/>
          <w:color w:val="auto"/>
          <w:sz w:val="2"/>
          <w:szCs w:val="2"/>
        </w:rPr>
        <w:t>833B</w:t>
      </w:r>
      <w:r w:rsidR="00DD0F04">
        <w:t>Returning the money to the defendant.</w:t>
      </w:r>
    </w:p>
    <w:p w14:paraId="0B5A9C3F" w14:textId="1D64B6F7" w:rsidR="00DD0F04" w:rsidRDefault="00BD5C95" w:rsidP="00B73434">
      <w:pPr>
        <w:pStyle w:val="BodyTextnonum"/>
        <w:numPr>
          <w:ilvl w:val="3"/>
          <w:numId w:val="61"/>
        </w:numPr>
        <w:tabs>
          <w:tab w:val="clear" w:pos="992"/>
        </w:tabs>
        <w:ind w:left="1134" w:hanging="424"/>
      </w:pPr>
      <w:r>
        <w:rPr>
          <w:rFonts w:ascii="ZWAdobeF" w:hAnsi="ZWAdobeF" w:cs="ZWAdobeF"/>
          <w:color w:val="auto"/>
          <w:sz w:val="2"/>
          <w:szCs w:val="2"/>
        </w:rPr>
        <w:t>834B</w:t>
      </w:r>
      <w:r w:rsidR="0049638A">
        <w:rPr>
          <w:rFonts w:ascii="ZWAdobeF" w:hAnsi="ZWAdobeF" w:cs="ZWAdobeF"/>
          <w:color w:val="auto"/>
          <w:sz w:val="2"/>
          <w:szCs w:val="2"/>
        </w:rPr>
        <w:t>834B</w:t>
      </w:r>
      <w:r w:rsidR="00D629FA">
        <w:rPr>
          <w:rFonts w:ascii="ZWAdobeF" w:hAnsi="ZWAdobeF" w:cs="ZWAdobeF"/>
          <w:color w:val="auto"/>
          <w:sz w:val="2"/>
          <w:szCs w:val="2"/>
        </w:rPr>
        <w:t>834B</w:t>
      </w:r>
      <w:r w:rsidR="00DD0F04">
        <w:t>Distributing the money pro rata amongst those class members who did file claims.</w:t>
      </w:r>
    </w:p>
    <w:p w14:paraId="2E28DA08" w14:textId="0417BAC4" w:rsidR="00DD0F04" w:rsidRDefault="00BD5C95" w:rsidP="00B73434">
      <w:pPr>
        <w:pStyle w:val="BodyTextnonum"/>
        <w:numPr>
          <w:ilvl w:val="3"/>
          <w:numId w:val="61"/>
        </w:numPr>
        <w:tabs>
          <w:tab w:val="clear" w:pos="992"/>
        </w:tabs>
        <w:ind w:left="1134" w:hanging="424"/>
      </w:pPr>
      <w:r>
        <w:rPr>
          <w:rFonts w:ascii="ZWAdobeF" w:hAnsi="ZWAdobeF" w:cs="ZWAdobeF"/>
          <w:color w:val="auto"/>
          <w:sz w:val="2"/>
          <w:szCs w:val="2"/>
        </w:rPr>
        <w:t>835B</w:t>
      </w:r>
      <w:r w:rsidR="0049638A">
        <w:rPr>
          <w:rFonts w:ascii="ZWAdobeF" w:hAnsi="ZWAdobeF" w:cs="ZWAdobeF"/>
          <w:color w:val="auto"/>
          <w:sz w:val="2"/>
          <w:szCs w:val="2"/>
        </w:rPr>
        <w:t>835B</w:t>
      </w:r>
      <w:r w:rsidR="00D629FA">
        <w:rPr>
          <w:rFonts w:ascii="ZWAdobeF" w:hAnsi="ZWAdobeF" w:cs="ZWAdobeF"/>
          <w:color w:val="auto"/>
          <w:sz w:val="2"/>
          <w:szCs w:val="2"/>
        </w:rPr>
        <w:t>835B</w:t>
      </w:r>
      <w:r w:rsidR="00DD0F04">
        <w:t>Giving the money to a charity which is related to the claim (known as cy-près distribution).</w:t>
      </w:r>
    </w:p>
    <w:p w14:paraId="704120C5" w14:textId="78AC4674" w:rsidR="00DD0F04" w:rsidRDefault="00BD5C95" w:rsidP="00B73434">
      <w:pPr>
        <w:pStyle w:val="BodyTextnonum"/>
        <w:numPr>
          <w:ilvl w:val="3"/>
          <w:numId w:val="61"/>
        </w:numPr>
        <w:tabs>
          <w:tab w:val="clear" w:pos="992"/>
        </w:tabs>
        <w:ind w:left="1134" w:hanging="424"/>
      </w:pPr>
      <w:r>
        <w:rPr>
          <w:rFonts w:ascii="ZWAdobeF" w:hAnsi="ZWAdobeF" w:cs="ZWAdobeF"/>
          <w:color w:val="auto"/>
          <w:sz w:val="2"/>
          <w:szCs w:val="2"/>
        </w:rPr>
        <w:t>836B</w:t>
      </w:r>
      <w:r w:rsidR="0049638A">
        <w:rPr>
          <w:rFonts w:ascii="ZWAdobeF" w:hAnsi="ZWAdobeF" w:cs="ZWAdobeF"/>
          <w:color w:val="auto"/>
          <w:sz w:val="2"/>
          <w:szCs w:val="2"/>
        </w:rPr>
        <w:t>836B</w:t>
      </w:r>
      <w:r w:rsidR="00D629FA">
        <w:rPr>
          <w:rFonts w:ascii="ZWAdobeF" w:hAnsi="ZWAdobeF" w:cs="ZWAdobeF"/>
          <w:color w:val="auto"/>
          <w:sz w:val="2"/>
          <w:szCs w:val="2"/>
        </w:rPr>
        <w:t>836B</w:t>
      </w:r>
      <w:r w:rsidR="00DD0F04">
        <w:t xml:space="preserve">Giving the money to the Government. </w:t>
      </w:r>
    </w:p>
    <w:p w14:paraId="0D932ACB" w14:textId="580604D6" w:rsidR="00DD0F04" w:rsidRDefault="00BD5C95" w:rsidP="00B73434">
      <w:pPr>
        <w:pStyle w:val="BodyText"/>
        <w:numPr>
          <w:ilvl w:val="1"/>
          <w:numId w:val="52"/>
        </w:numPr>
        <w:tabs>
          <w:tab w:val="left" w:pos="709"/>
        </w:tabs>
        <w:ind w:hanging="709"/>
      </w:pPr>
      <w:r>
        <w:rPr>
          <w:rFonts w:ascii="ZWAdobeF" w:hAnsi="ZWAdobeF" w:cs="ZWAdobeF"/>
          <w:color w:val="auto"/>
          <w:sz w:val="2"/>
          <w:szCs w:val="2"/>
        </w:rPr>
        <w:t>501B</w:t>
      </w:r>
      <w:r w:rsidR="0049638A">
        <w:rPr>
          <w:rFonts w:ascii="ZWAdobeF" w:hAnsi="ZWAdobeF" w:cs="ZWAdobeF"/>
          <w:color w:val="auto"/>
          <w:sz w:val="2"/>
          <w:szCs w:val="2"/>
        </w:rPr>
        <w:t>501B</w:t>
      </w:r>
      <w:r w:rsidR="00D629FA">
        <w:rPr>
          <w:rFonts w:ascii="ZWAdobeF" w:hAnsi="ZWAdobeF" w:cs="ZWAdobeF"/>
          <w:color w:val="auto"/>
          <w:sz w:val="2"/>
          <w:szCs w:val="2"/>
        </w:rPr>
        <w:t>501B</w:t>
      </w:r>
      <w:r w:rsidR="00DD0F04">
        <w:t>In the United States, all four of these methods are used for distributing unclaimed settlement funds. The settlement agreement will typically specify the approach to be taken, although in some cases it is left to the court to determine. In recent years, courts have preferred redistributing funds to class members pro rata to distributing funds on a cy-près basis.</w:t>
      </w:r>
      <w:r w:rsidR="00D629FA">
        <w:rPr>
          <w:rFonts w:ascii="ZWAdobeF" w:hAnsi="ZWAdobeF" w:cs="ZWAdobeF"/>
          <w:color w:val="auto"/>
          <w:sz w:val="2"/>
          <w:szCs w:val="2"/>
        </w:rPr>
        <w:t>804F</w:t>
      </w:r>
      <w:r w:rsidR="007A330E">
        <w:rPr>
          <w:rFonts w:ascii="ZWAdobeF" w:hAnsi="ZWAdobeF" w:cs="ZWAdobeF"/>
          <w:color w:val="auto"/>
          <w:sz w:val="2"/>
          <w:szCs w:val="2"/>
        </w:rPr>
        <w:t>804F</w:t>
      </w:r>
      <w:r w:rsidR="00317AE4">
        <w:rPr>
          <w:rFonts w:ascii="ZWAdobeF" w:hAnsi="ZWAdobeF" w:cs="ZWAdobeF"/>
          <w:color w:val="auto"/>
          <w:sz w:val="2"/>
          <w:szCs w:val="2"/>
        </w:rPr>
        <w:t>804F</w:t>
      </w:r>
      <w:r w:rsidR="00DD0F04">
        <w:rPr>
          <w:rStyle w:val="FootnoteReference"/>
        </w:rPr>
        <w:footnoteReference w:id="806"/>
      </w:r>
      <w:r w:rsidR="00DD0F04">
        <w:t xml:space="preserve"> Courts will sometimes order the parties to attempt to get more class members to file a claim</w:t>
      </w:r>
      <w:r w:rsidR="00FB3F36">
        <w:t xml:space="preserve"> before unclaimed funds are redistributed</w:t>
      </w:r>
      <w:r w:rsidR="00DD0F04">
        <w:t>.</w:t>
      </w:r>
      <w:r w:rsidR="00D629FA">
        <w:rPr>
          <w:rFonts w:ascii="ZWAdobeF" w:hAnsi="ZWAdobeF" w:cs="ZWAdobeF"/>
          <w:color w:val="auto"/>
          <w:sz w:val="2"/>
          <w:szCs w:val="2"/>
        </w:rPr>
        <w:t>805F</w:t>
      </w:r>
      <w:r w:rsidR="007A330E">
        <w:rPr>
          <w:rFonts w:ascii="ZWAdobeF" w:hAnsi="ZWAdobeF" w:cs="ZWAdobeF"/>
          <w:color w:val="auto"/>
          <w:sz w:val="2"/>
          <w:szCs w:val="2"/>
        </w:rPr>
        <w:t>805F</w:t>
      </w:r>
      <w:r w:rsidR="00317AE4">
        <w:rPr>
          <w:rFonts w:ascii="ZWAdobeF" w:hAnsi="ZWAdobeF" w:cs="ZWAdobeF"/>
          <w:color w:val="auto"/>
          <w:sz w:val="2"/>
          <w:szCs w:val="2"/>
        </w:rPr>
        <w:t>805F</w:t>
      </w:r>
      <w:r w:rsidR="00DD0F04">
        <w:rPr>
          <w:rStyle w:val="FootnoteReference"/>
        </w:rPr>
        <w:footnoteReference w:id="807"/>
      </w:r>
    </w:p>
    <w:p w14:paraId="61DD5FB9" w14:textId="2FB5E0C9" w:rsidR="00DD0F04" w:rsidRDefault="00BD5C95" w:rsidP="00B73434">
      <w:pPr>
        <w:pStyle w:val="BodyText"/>
        <w:numPr>
          <w:ilvl w:val="1"/>
          <w:numId w:val="52"/>
        </w:numPr>
        <w:tabs>
          <w:tab w:val="left" w:pos="709"/>
        </w:tabs>
        <w:ind w:hanging="709"/>
      </w:pPr>
      <w:r>
        <w:rPr>
          <w:rFonts w:ascii="ZWAdobeF" w:hAnsi="ZWAdobeF" w:cs="ZWAdobeF"/>
          <w:color w:val="auto"/>
          <w:sz w:val="2"/>
          <w:szCs w:val="2"/>
        </w:rPr>
        <w:t>502B</w:t>
      </w:r>
      <w:r w:rsidR="0049638A">
        <w:rPr>
          <w:rFonts w:ascii="ZWAdobeF" w:hAnsi="ZWAdobeF" w:cs="ZWAdobeF"/>
          <w:color w:val="auto"/>
          <w:sz w:val="2"/>
          <w:szCs w:val="2"/>
        </w:rPr>
        <w:t>502B</w:t>
      </w:r>
      <w:r w:rsidR="00D629FA">
        <w:rPr>
          <w:rFonts w:ascii="ZWAdobeF" w:hAnsi="ZWAdobeF" w:cs="ZWAdobeF"/>
          <w:color w:val="auto"/>
          <w:sz w:val="2"/>
          <w:szCs w:val="2"/>
        </w:rPr>
        <w:t>502B</w:t>
      </w:r>
      <w:r w:rsidR="00DD0F04">
        <w:t>The Ontario legislation expressly allows the court to approve settlement terms that provide for payment of all or some of a settlement on a cy près basis, if it is not practical or possible to compensate class members directly.</w:t>
      </w:r>
      <w:r w:rsidR="00D629FA">
        <w:rPr>
          <w:rFonts w:ascii="ZWAdobeF" w:hAnsi="ZWAdobeF" w:cs="ZWAdobeF"/>
          <w:color w:val="auto"/>
          <w:sz w:val="2"/>
          <w:szCs w:val="2"/>
        </w:rPr>
        <w:t>806F</w:t>
      </w:r>
      <w:r w:rsidR="007A330E">
        <w:rPr>
          <w:rFonts w:ascii="ZWAdobeF" w:hAnsi="ZWAdobeF" w:cs="ZWAdobeF"/>
          <w:color w:val="auto"/>
          <w:sz w:val="2"/>
          <w:szCs w:val="2"/>
        </w:rPr>
        <w:t>806F</w:t>
      </w:r>
      <w:r w:rsidR="00317AE4">
        <w:rPr>
          <w:rFonts w:ascii="ZWAdobeF" w:hAnsi="ZWAdobeF" w:cs="ZWAdobeF"/>
          <w:color w:val="auto"/>
          <w:sz w:val="2"/>
          <w:szCs w:val="2"/>
        </w:rPr>
        <w:t>806F</w:t>
      </w:r>
      <w:r w:rsidR="00DD0F04">
        <w:rPr>
          <w:rStyle w:val="FootnoteReference"/>
        </w:rPr>
        <w:footnoteReference w:id="808"/>
      </w:r>
      <w:r w:rsidR="00DD0F04">
        <w:t xml:space="preserve"> The payment can be made to a charity or non-profit organisation agreed by the parties if the court determines the payment would directly or indirectly benefit class members, or to Legal Aid Ontario.</w:t>
      </w:r>
      <w:r w:rsidR="00D629FA">
        <w:rPr>
          <w:rFonts w:ascii="ZWAdobeF" w:hAnsi="ZWAdobeF" w:cs="ZWAdobeF"/>
          <w:color w:val="auto"/>
          <w:sz w:val="2"/>
          <w:szCs w:val="2"/>
        </w:rPr>
        <w:t>807F</w:t>
      </w:r>
      <w:r w:rsidR="007A330E">
        <w:rPr>
          <w:rFonts w:ascii="ZWAdobeF" w:hAnsi="ZWAdobeF" w:cs="ZWAdobeF"/>
          <w:color w:val="auto"/>
          <w:sz w:val="2"/>
          <w:szCs w:val="2"/>
        </w:rPr>
        <w:t>807F</w:t>
      </w:r>
      <w:r w:rsidR="00317AE4">
        <w:rPr>
          <w:rFonts w:ascii="ZWAdobeF" w:hAnsi="ZWAdobeF" w:cs="ZWAdobeF"/>
          <w:color w:val="auto"/>
          <w:sz w:val="2"/>
          <w:szCs w:val="2"/>
        </w:rPr>
        <w:t>807F</w:t>
      </w:r>
      <w:r w:rsidR="00DD0F04">
        <w:rPr>
          <w:rStyle w:val="FootnoteReference"/>
        </w:rPr>
        <w:footnoteReference w:id="809"/>
      </w:r>
    </w:p>
    <w:p w14:paraId="04AE1BF8" w14:textId="535F735E" w:rsidR="00DD0F04" w:rsidRDefault="00BD5C95" w:rsidP="00B73434">
      <w:pPr>
        <w:pStyle w:val="BodyText"/>
        <w:numPr>
          <w:ilvl w:val="1"/>
          <w:numId w:val="52"/>
        </w:numPr>
        <w:tabs>
          <w:tab w:val="left" w:pos="709"/>
        </w:tabs>
        <w:ind w:hanging="709"/>
      </w:pPr>
      <w:r>
        <w:rPr>
          <w:rFonts w:ascii="ZWAdobeF" w:hAnsi="ZWAdobeF" w:cs="ZWAdobeF"/>
          <w:color w:val="auto"/>
          <w:sz w:val="2"/>
          <w:szCs w:val="2"/>
        </w:rPr>
        <w:t>503B</w:t>
      </w:r>
      <w:r w:rsidR="0049638A">
        <w:rPr>
          <w:rFonts w:ascii="ZWAdobeF" w:hAnsi="ZWAdobeF" w:cs="ZWAdobeF"/>
          <w:color w:val="auto"/>
          <w:sz w:val="2"/>
          <w:szCs w:val="2"/>
        </w:rPr>
        <w:t>503B</w:t>
      </w:r>
      <w:r w:rsidR="00D629FA">
        <w:rPr>
          <w:rFonts w:ascii="ZWAdobeF" w:hAnsi="ZWAdobeF" w:cs="ZWAdobeF"/>
          <w:color w:val="auto"/>
          <w:sz w:val="2"/>
          <w:szCs w:val="2"/>
        </w:rPr>
        <w:t>503B</w:t>
      </w:r>
      <w:r w:rsidR="00DD0F04">
        <w:t>In the United Kingdom Competition Appeal Tribunal, unclaimed damages must be distributed to a designated charity (or be used to cover costs incurred by the representative plaintiff).</w:t>
      </w:r>
      <w:r w:rsidR="00D629FA">
        <w:rPr>
          <w:rFonts w:ascii="ZWAdobeF" w:hAnsi="ZWAdobeF" w:cs="ZWAdobeF"/>
          <w:color w:val="auto"/>
          <w:sz w:val="2"/>
          <w:szCs w:val="2"/>
        </w:rPr>
        <w:t>808F</w:t>
      </w:r>
      <w:r w:rsidR="007A330E">
        <w:rPr>
          <w:rFonts w:ascii="ZWAdobeF" w:hAnsi="ZWAdobeF" w:cs="ZWAdobeF"/>
          <w:color w:val="auto"/>
          <w:sz w:val="2"/>
          <w:szCs w:val="2"/>
        </w:rPr>
        <w:t>808F</w:t>
      </w:r>
      <w:r w:rsidR="00317AE4">
        <w:rPr>
          <w:rFonts w:ascii="ZWAdobeF" w:hAnsi="ZWAdobeF" w:cs="ZWAdobeF"/>
          <w:color w:val="auto"/>
          <w:sz w:val="2"/>
          <w:szCs w:val="2"/>
        </w:rPr>
        <w:t>808F</w:t>
      </w:r>
      <w:r w:rsidR="00DD0F04">
        <w:rPr>
          <w:rStyle w:val="FootnoteReference"/>
        </w:rPr>
        <w:footnoteReference w:id="810"/>
      </w:r>
      <w:r w:rsidR="00DD0F04">
        <w:t xml:space="preserve"> This rule does not apply to settlements, and it is possible for the parties to agree that unclaimed settlement funds will revert to the defendant.</w:t>
      </w:r>
      <w:r w:rsidR="00D629FA">
        <w:rPr>
          <w:rFonts w:ascii="ZWAdobeF" w:hAnsi="ZWAdobeF" w:cs="ZWAdobeF"/>
          <w:color w:val="auto"/>
          <w:sz w:val="2"/>
          <w:szCs w:val="2"/>
        </w:rPr>
        <w:t>809F</w:t>
      </w:r>
      <w:r w:rsidR="007A330E">
        <w:rPr>
          <w:rFonts w:ascii="ZWAdobeF" w:hAnsi="ZWAdobeF" w:cs="ZWAdobeF"/>
          <w:color w:val="auto"/>
          <w:sz w:val="2"/>
          <w:szCs w:val="2"/>
        </w:rPr>
        <w:t>809F</w:t>
      </w:r>
      <w:r w:rsidR="00317AE4">
        <w:rPr>
          <w:rFonts w:ascii="ZWAdobeF" w:hAnsi="ZWAdobeF" w:cs="ZWAdobeF"/>
          <w:color w:val="auto"/>
          <w:sz w:val="2"/>
          <w:szCs w:val="2"/>
        </w:rPr>
        <w:t>809F</w:t>
      </w:r>
      <w:r w:rsidR="00DD0F04">
        <w:rPr>
          <w:rStyle w:val="FootnoteReference"/>
        </w:rPr>
        <w:footnoteReference w:id="811"/>
      </w:r>
      <w:r w:rsidR="00DD0F04">
        <w:t xml:space="preserve"> While a provision that unclaimed funds will revert to the defendant will not of itself be </w:t>
      </w:r>
      <w:r w:rsidR="00DD0F04">
        <w:lastRenderedPageBreak/>
        <w:t>considered unreasonable, the Tribunal may consider it in the context of other aspects of the settlement.</w:t>
      </w:r>
      <w:r w:rsidR="00D629FA">
        <w:rPr>
          <w:rFonts w:ascii="ZWAdobeF" w:hAnsi="ZWAdobeF" w:cs="ZWAdobeF"/>
          <w:color w:val="auto"/>
          <w:sz w:val="2"/>
          <w:szCs w:val="2"/>
        </w:rPr>
        <w:t>810F</w:t>
      </w:r>
      <w:r w:rsidR="007A330E">
        <w:rPr>
          <w:rFonts w:ascii="ZWAdobeF" w:hAnsi="ZWAdobeF" w:cs="ZWAdobeF"/>
          <w:color w:val="auto"/>
          <w:sz w:val="2"/>
          <w:szCs w:val="2"/>
        </w:rPr>
        <w:t>810F</w:t>
      </w:r>
      <w:r w:rsidR="00317AE4">
        <w:rPr>
          <w:rFonts w:ascii="ZWAdobeF" w:hAnsi="ZWAdobeF" w:cs="ZWAdobeF"/>
          <w:color w:val="auto"/>
          <w:sz w:val="2"/>
          <w:szCs w:val="2"/>
        </w:rPr>
        <w:t>810F</w:t>
      </w:r>
      <w:r w:rsidR="00DD0F04">
        <w:rPr>
          <w:rStyle w:val="FootnoteReference"/>
        </w:rPr>
        <w:footnoteReference w:id="812"/>
      </w:r>
      <w:r w:rsidR="00DD0F04">
        <w:t xml:space="preserve"> </w:t>
      </w:r>
    </w:p>
    <w:p w14:paraId="2673B1D1" w14:textId="3FCCA34D" w:rsidR="00DD0F04" w:rsidRDefault="00BD5C95" w:rsidP="00B73434">
      <w:pPr>
        <w:pStyle w:val="BodyText"/>
        <w:numPr>
          <w:ilvl w:val="1"/>
          <w:numId w:val="52"/>
        </w:numPr>
        <w:tabs>
          <w:tab w:val="left" w:pos="709"/>
        </w:tabs>
        <w:ind w:hanging="709"/>
      </w:pPr>
      <w:r>
        <w:rPr>
          <w:rFonts w:ascii="ZWAdobeF" w:hAnsi="ZWAdobeF" w:cs="ZWAdobeF"/>
          <w:color w:val="auto"/>
          <w:sz w:val="2"/>
          <w:szCs w:val="2"/>
        </w:rPr>
        <w:t>504B</w:t>
      </w:r>
      <w:r w:rsidR="0049638A">
        <w:rPr>
          <w:rFonts w:ascii="ZWAdobeF" w:hAnsi="ZWAdobeF" w:cs="ZWAdobeF"/>
          <w:color w:val="auto"/>
          <w:sz w:val="2"/>
          <w:szCs w:val="2"/>
        </w:rPr>
        <w:t>504B</w:t>
      </w:r>
      <w:r w:rsidR="00D629FA">
        <w:rPr>
          <w:rFonts w:ascii="ZWAdobeF" w:hAnsi="ZWAdobeF" w:cs="ZWAdobeF"/>
          <w:color w:val="auto"/>
          <w:sz w:val="2"/>
          <w:szCs w:val="2"/>
        </w:rPr>
        <w:t>504B</w:t>
      </w:r>
      <w:r w:rsidR="00DD0F04">
        <w:t xml:space="preserve">We have not proposed that any method of dealing with unclaimed funds should be expressly permitted or prohibited, although we consider that a settlement should facilitate payment of compensation to class members to the extent possible. For this reason, we think that distributing funds pro rata to class members who have already made a claim is likely to be preferable to funds reverting to the defendant. We have expressed a similar view with respect to unclaimed damages in Chapter 5.  </w:t>
      </w:r>
    </w:p>
    <w:p w14:paraId="3F7965A9" w14:textId="6C317118" w:rsidR="00DD0F04" w:rsidRPr="00007423" w:rsidRDefault="00BD5C95" w:rsidP="00B73434">
      <w:pPr>
        <w:pStyle w:val="BodyText"/>
        <w:numPr>
          <w:ilvl w:val="1"/>
          <w:numId w:val="52"/>
        </w:numPr>
        <w:tabs>
          <w:tab w:val="left" w:pos="709"/>
        </w:tabs>
        <w:ind w:hanging="709"/>
      </w:pPr>
      <w:r>
        <w:rPr>
          <w:rFonts w:ascii="ZWAdobeF" w:hAnsi="ZWAdobeF" w:cs="ZWAdobeF"/>
          <w:color w:val="auto"/>
          <w:sz w:val="2"/>
          <w:szCs w:val="2"/>
        </w:rPr>
        <w:t>505B</w:t>
      </w:r>
      <w:r w:rsidR="0049638A">
        <w:rPr>
          <w:rFonts w:ascii="ZWAdobeF" w:hAnsi="ZWAdobeF" w:cs="ZWAdobeF"/>
          <w:color w:val="auto"/>
          <w:sz w:val="2"/>
          <w:szCs w:val="2"/>
        </w:rPr>
        <w:t>505B</w:t>
      </w:r>
      <w:r w:rsidR="00D629FA">
        <w:rPr>
          <w:rFonts w:ascii="ZWAdobeF" w:hAnsi="ZWAdobeF" w:cs="ZWAdobeF"/>
          <w:color w:val="auto"/>
          <w:sz w:val="2"/>
          <w:szCs w:val="2"/>
        </w:rPr>
        <w:t>505B</w:t>
      </w:r>
      <w:r w:rsidR="00DD0F04" w:rsidRPr="00007423">
        <w:t xml:space="preserve">If only a small proportion of class members claim compensation, we think there would be some benefit in the court considering whether any additional steps are desirable before unclaimed funds are distributed. For example, more extensive notice could be required, or the claims period could be extended. This could be done using the </w:t>
      </w:r>
      <w:r w:rsidR="00E817DC">
        <w:t xml:space="preserve">power we propose for </w:t>
      </w:r>
      <w:r w:rsidR="001F497F">
        <w:t xml:space="preserve">the </w:t>
      </w:r>
      <w:r w:rsidR="00DD0F04" w:rsidRPr="00007423">
        <w:t>court</w:t>
      </w:r>
      <w:r w:rsidR="001F497F">
        <w:t xml:space="preserve"> </w:t>
      </w:r>
      <w:r w:rsidR="00DD0F04" w:rsidRPr="00007423">
        <w:t xml:space="preserve">to make orders with respect to </w:t>
      </w:r>
      <w:r w:rsidR="00DD0F04">
        <w:t>administration and implementation of the settlement, which we discuss later in this chapter</w:t>
      </w:r>
      <w:r w:rsidR="00DD0F04" w:rsidRPr="00007423">
        <w:t xml:space="preserve">.  </w:t>
      </w:r>
    </w:p>
    <w:p w14:paraId="2F3DC9DB" w14:textId="77777777" w:rsidR="00DD0F04" w:rsidRPr="00206B6F" w:rsidRDefault="00DD0F04" w:rsidP="00206B6F">
      <w:pPr>
        <w:pStyle w:val="Heading4"/>
        <w:rPr>
          <w:rStyle w:val="Strong"/>
          <w:rFonts w:ascii="Metropolis" w:hAnsi="Metropolis"/>
          <w:b/>
          <w:bCs w:val="0"/>
          <w:color w:val="73AB6E"/>
        </w:rPr>
      </w:pPr>
      <w:r w:rsidRPr="00206B6F">
        <w:rPr>
          <w:rStyle w:val="Strong"/>
          <w:rFonts w:ascii="Metropolis" w:hAnsi="Metropolis"/>
          <w:b/>
          <w:bCs w:val="0"/>
          <w:color w:val="73AB6E"/>
        </w:rPr>
        <w:t>Legal fees and litigation funding commission</w:t>
      </w:r>
    </w:p>
    <w:p w14:paraId="707598A5" w14:textId="0FD9D1E4" w:rsidR="00DD0F04" w:rsidRDefault="00BD5C95" w:rsidP="00B73434">
      <w:pPr>
        <w:pStyle w:val="BodyText"/>
        <w:numPr>
          <w:ilvl w:val="1"/>
          <w:numId w:val="52"/>
        </w:numPr>
        <w:tabs>
          <w:tab w:val="left" w:pos="709"/>
        </w:tabs>
        <w:ind w:hanging="709"/>
        <w:rPr>
          <w:rStyle w:val="Strong"/>
          <w:b w:val="0"/>
          <w:bCs w:val="0"/>
        </w:rPr>
      </w:pPr>
      <w:r>
        <w:rPr>
          <w:rFonts w:ascii="ZWAdobeF" w:hAnsi="ZWAdobeF" w:cs="ZWAdobeF"/>
          <w:color w:val="auto"/>
          <w:sz w:val="2"/>
          <w:szCs w:val="2"/>
        </w:rPr>
        <w:t>506B</w:t>
      </w:r>
      <w:r w:rsidR="0049638A">
        <w:rPr>
          <w:rFonts w:ascii="ZWAdobeF" w:hAnsi="ZWAdobeF" w:cs="ZWAdobeF"/>
          <w:color w:val="auto"/>
          <w:sz w:val="2"/>
          <w:szCs w:val="2"/>
        </w:rPr>
        <w:t>506B</w:t>
      </w:r>
      <w:r w:rsidR="00D629FA">
        <w:rPr>
          <w:rFonts w:ascii="ZWAdobeF" w:hAnsi="ZWAdobeF" w:cs="ZWAdobeF"/>
          <w:color w:val="auto"/>
          <w:sz w:val="2"/>
          <w:szCs w:val="2"/>
        </w:rPr>
        <w:t>506B</w:t>
      </w:r>
      <w:r w:rsidR="00DD0F04" w:rsidRPr="0042638F">
        <w:t>When</w:t>
      </w:r>
      <w:r w:rsidR="00DD0F04" w:rsidRPr="0042638F">
        <w:rPr>
          <w:b/>
          <w:bCs/>
        </w:rPr>
        <w:t xml:space="preserve"> </w:t>
      </w:r>
      <w:r w:rsidR="00DD0F04" w:rsidRPr="0042638F">
        <w:rPr>
          <w:rStyle w:val="Strong"/>
          <w:b w:val="0"/>
          <w:bCs w:val="0"/>
        </w:rPr>
        <w:t xml:space="preserve">the court is considering whether a settlement is fair, reasonable and in the interests of the class as a whole, we think it should consider the net amount that </w:t>
      </w:r>
      <w:r w:rsidR="00603131">
        <w:rPr>
          <w:rStyle w:val="Strong"/>
          <w:b w:val="0"/>
          <w:bCs w:val="0"/>
        </w:rPr>
        <w:t>individual</w:t>
      </w:r>
      <w:r w:rsidR="00DD0F04" w:rsidRPr="0042638F">
        <w:rPr>
          <w:rStyle w:val="Strong"/>
          <w:b w:val="0"/>
          <w:bCs w:val="0"/>
        </w:rPr>
        <w:t xml:space="preserve"> class members will receive from a settlement. For this reason, we propose that the court should consider any legal fees or litigation funding commission that will be deducted from the relief paid to class members.</w:t>
      </w:r>
      <w:r w:rsidR="00D629FA">
        <w:rPr>
          <w:rStyle w:val="Strong"/>
          <w:rFonts w:ascii="ZWAdobeF" w:hAnsi="ZWAdobeF" w:cs="ZWAdobeF"/>
          <w:b w:val="0"/>
          <w:bCs w:val="0"/>
          <w:color w:val="auto"/>
          <w:sz w:val="2"/>
          <w:szCs w:val="2"/>
        </w:rPr>
        <w:t>811F</w:t>
      </w:r>
      <w:r w:rsidR="007A330E">
        <w:rPr>
          <w:rStyle w:val="Strong"/>
          <w:rFonts w:ascii="ZWAdobeF" w:hAnsi="ZWAdobeF" w:cs="ZWAdobeF"/>
          <w:b w:val="0"/>
          <w:bCs w:val="0"/>
          <w:color w:val="auto"/>
          <w:sz w:val="2"/>
          <w:szCs w:val="2"/>
        </w:rPr>
        <w:t>811F</w:t>
      </w:r>
      <w:r w:rsidR="00317AE4">
        <w:rPr>
          <w:rStyle w:val="Strong"/>
          <w:rFonts w:ascii="ZWAdobeF" w:hAnsi="ZWAdobeF" w:cs="ZWAdobeF"/>
          <w:b w:val="0"/>
          <w:bCs w:val="0"/>
          <w:color w:val="auto"/>
          <w:sz w:val="2"/>
          <w:szCs w:val="2"/>
        </w:rPr>
        <w:t>811F</w:t>
      </w:r>
      <w:r w:rsidR="00DD0F04" w:rsidRPr="00C73509">
        <w:rPr>
          <w:rStyle w:val="FootnoteReference"/>
        </w:rPr>
        <w:footnoteReference w:id="813"/>
      </w:r>
      <w:r w:rsidR="00DD0F04" w:rsidRPr="0042638F">
        <w:rPr>
          <w:rStyle w:val="Strong"/>
          <w:b w:val="0"/>
          <w:bCs w:val="0"/>
        </w:rPr>
        <w:t xml:space="preserve"> These payments may have a significant effect on what a class member actually receives from a settlement, and ultimately the extent to which class members obtain a substantively fair result from a class action</w:t>
      </w:r>
      <w:r w:rsidR="00DD0F04">
        <w:rPr>
          <w:rStyle w:val="Strong"/>
        </w:rPr>
        <w:t xml:space="preserve">.   </w:t>
      </w:r>
    </w:p>
    <w:p w14:paraId="6A6DD3B8" w14:textId="3255CB28" w:rsidR="00DD0F04" w:rsidRPr="0042638F" w:rsidRDefault="00BD5C95" w:rsidP="00B73434">
      <w:pPr>
        <w:pStyle w:val="BodyText"/>
        <w:numPr>
          <w:ilvl w:val="1"/>
          <w:numId w:val="52"/>
        </w:numPr>
        <w:tabs>
          <w:tab w:val="left" w:pos="709"/>
        </w:tabs>
        <w:ind w:hanging="709"/>
        <w:rPr>
          <w:rStyle w:val="Strong"/>
          <w:b w:val="0"/>
          <w:bCs w:val="0"/>
        </w:rPr>
      </w:pPr>
      <w:r>
        <w:rPr>
          <w:rStyle w:val="Strong"/>
          <w:rFonts w:ascii="ZWAdobeF" w:hAnsi="ZWAdobeF" w:cs="ZWAdobeF"/>
          <w:b w:val="0"/>
          <w:bCs w:val="0"/>
          <w:color w:val="auto"/>
          <w:sz w:val="2"/>
          <w:szCs w:val="2"/>
        </w:rPr>
        <w:t>507B</w:t>
      </w:r>
      <w:r w:rsidR="0049638A">
        <w:rPr>
          <w:rStyle w:val="Strong"/>
          <w:rFonts w:ascii="ZWAdobeF" w:hAnsi="ZWAdobeF" w:cs="ZWAdobeF"/>
          <w:b w:val="0"/>
          <w:bCs w:val="0"/>
          <w:color w:val="auto"/>
          <w:sz w:val="2"/>
          <w:szCs w:val="2"/>
        </w:rPr>
        <w:t>507B</w:t>
      </w:r>
      <w:r w:rsidR="00D629FA">
        <w:rPr>
          <w:rStyle w:val="Strong"/>
          <w:rFonts w:ascii="ZWAdobeF" w:hAnsi="ZWAdobeF" w:cs="ZWAdobeF"/>
          <w:b w:val="0"/>
          <w:bCs w:val="0"/>
          <w:color w:val="auto"/>
          <w:sz w:val="2"/>
          <w:szCs w:val="2"/>
        </w:rPr>
        <w:t>507B</w:t>
      </w:r>
      <w:r w:rsidR="00DD0F04" w:rsidRPr="0042638F">
        <w:rPr>
          <w:rStyle w:val="Strong"/>
          <w:b w:val="0"/>
          <w:bCs w:val="0"/>
        </w:rPr>
        <w:t>We think this should be a consideration in both opt-in and opt-out cases, although a greater degree of scrutiny may be required in an opt-out case, where class members may not have signed a legal retainer or litigation funding agreement. In the Australian Federal Court, a more extensive examination and assessment of legal costs and the litigation funder’s records may be required where: there are class members who are not clients of the lawyer or the litigation funder, or where the proposed deductions would be a significant proportion of an individual’s settlement amount, or where there are litigation funding charges beyond a percentage commission (such as a project management fee).</w:t>
      </w:r>
      <w:r w:rsidR="00D629FA">
        <w:rPr>
          <w:rStyle w:val="Strong"/>
          <w:rFonts w:ascii="ZWAdobeF" w:hAnsi="ZWAdobeF" w:cs="ZWAdobeF"/>
          <w:b w:val="0"/>
          <w:bCs w:val="0"/>
          <w:color w:val="auto"/>
          <w:sz w:val="2"/>
          <w:szCs w:val="2"/>
        </w:rPr>
        <w:t>812F</w:t>
      </w:r>
      <w:r w:rsidR="007A330E">
        <w:rPr>
          <w:rStyle w:val="Strong"/>
          <w:rFonts w:ascii="ZWAdobeF" w:hAnsi="ZWAdobeF" w:cs="ZWAdobeF"/>
          <w:b w:val="0"/>
          <w:bCs w:val="0"/>
          <w:color w:val="auto"/>
          <w:sz w:val="2"/>
          <w:szCs w:val="2"/>
        </w:rPr>
        <w:t>812F</w:t>
      </w:r>
      <w:r w:rsidR="00317AE4">
        <w:rPr>
          <w:rStyle w:val="Strong"/>
          <w:rFonts w:ascii="ZWAdobeF" w:hAnsi="ZWAdobeF" w:cs="ZWAdobeF"/>
          <w:b w:val="0"/>
          <w:bCs w:val="0"/>
          <w:color w:val="auto"/>
          <w:sz w:val="2"/>
          <w:szCs w:val="2"/>
        </w:rPr>
        <w:t>812F</w:t>
      </w:r>
      <w:r w:rsidR="00DD0F04" w:rsidRPr="00C73509">
        <w:rPr>
          <w:rStyle w:val="FootnoteReference"/>
        </w:rPr>
        <w:footnoteReference w:id="814"/>
      </w:r>
    </w:p>
    <w:p w14:paraId="12603BB3" w14:textId="205F8145" w:rsidR="00DD0F04" w:rsidRDefault="00BD5C95" w:rsidP="00B73434">
      <w:pPr>
        <w:pStyle w:val="BodyText"/>
        <w:numPr>
          <w:ilvl w:val="1"/>
          <w:numId w:val="52"/>
        </w:numPr>
        <w:tabs>
          <w:tab w:val="left" w:pos="709"/>
        </w:tabs>
        <w:ind w:hanging="709"/>
        <w:rPr>
          <w:rStyle w:val="Strong"/>
          <w:b w:val="0"/>
          <w:bCs w:val="0"/>
        </w:rPr>
      </w:pPr>
      <w:r>
        <w:rPr>
          <w:rStyle w:val="Strong"/>
          <w:rFonts w:ascii="ZWAdobeF" w:hAnsi="ZWAdobeF" w:cs="ZWAdobeF"/>
          <w:b w:val="0"/>
          <w:bCs w:val="0"/>
          <w:color w:val="auto"/>
          <w:sz w:val="2"/>
          <w:szCs w:val="2"/>
        </w:rPr>
        <w:t>508B</w:t>
      </w:r>
      <w:r w:rsidR="0049638A">
        <w:rPr>
          <w:rStyle w:val="Strong"/>
          <w:rFonts w:ascii="ZWAdobeF" w:hAnsi="ZWAdobeF" w:cs="ZWAdobeF"/>
          <w:b w:val="0"/>
          <w:bCs w:val="0"/>
          <w:color w:val="auto"/>
          <w:sz w:val="2"/>
          <w:szCs w:val="2"/>
        </w:rPr>
        <w:t>508B</w:t>
      </w:r>
      <w:r w:rsidR="00D629FA">
        <w:rPr>
          <w:rStyle w:val="Strong"/>
          <w:rFonts w:ascii="ZWAdobeF" w:hAnsi="ZWAdobeF" w:cs="ZWAdobeF"/>
          <w:b w:val="0"/>
          <w:bCs w:val="0"/>
          <w:color w:val="auto"/>
          <w:sz w:val="2"/>
          <w:szCs w:val="2"/>
        </w:rPr>
        <w:t>508B</w:t>
      </w:r>
      <w:r w:rsidR="00DD0F04" w:rsidRPr="0042638F">
        <w:rPr>
          <w:rStyle w:val="Strong"/>
          <w:b w:val="0"/>
          <w:bCs w:val="0"/>
        </w:rPr>
        <w:t>We do not see it as the court’s role to approve or vary legal fees</w:t>
      </w:r>
      <w:r w:rsidR="00063F43">
        <w:rPr>
          <w:rStyle w:val="Strong"/>
          <w:b w:val="0"/>
          <w:bCs w:val="0"/>
        </w:rPr>
        <w:t xml:space="preserve"> as part of settlement ap</w:t>
      </w:r>
      <w:r w:rsidR="00FB0D13">
        <w:rPr>
          <w:rStyle w:val="Strong"/>
          <w:b w:val="0"/>
          <w:bCs w:val="0"/>
        </w:rPr>
        <w:t>proval</w:t>
      </w:r>
      <w:r w:rsidR="00DD0F04" w:rsidRPr="0042638F">
        <w:rPr>
          <w:rStyle w:val="Strong"/>
          <w:b w:val="0"/>
          <w:bCs w:val="0"/>
        </w:rPr>
        <w:t>. Lawyers already have an obligation to only charge a fee that is fair and reasonable for the services provided.</w:t>
      </w:r>
      <w:r w:rsidR="00D629FA">
        <w:rPr>
          <w:rStyle w:val="Strong"/>
          <w:rFonts w:ascii="ZWAdobeF" w:hAnsi="ZWAdobeF" w:cs="ZWAdobeF"/>
          <w:b w:val="0"/>
          <w:bCs w:val="0"/>
          <w:color w:val="auto"/>
          <w:sz w:val="2"/>
          <w:szCs w:val="2"/>
        </w:rPr>
        <w:t>813F</w:t>
      </w:r>
      <w:r w:rsidR="007A330E">
        <w:rPr>
          <w:rStyle w:val="Strong"/>
          <w:rFonts w:ascii="ZWAdobeF" w:hAnsi="ZWAdobeF" w:cs="ZWAdobeF"/>
          <w:b w:val="0"/>
          <w:bCs w:val="0"/>
          <w:color w:val="auto"/>
          <w:sz w:val="2"/>
          <w:szCs w:val="2"/>
        </w:rPr>
        <w:t>813F</w:t>
      </w:r>
      <w:r w:rsidR="00317AE4">
        <w:rPr>
          <w:rStyle w:val="Strong"/>
          <w:rFonts w:ascii="ZWAdobeF" w:hAnsi="ZWAdobeF" w:cs="ZWAdobeF"/>
          <w:b w:val="0"/>
          <w:bCs w:val="0"/>
          <w:color w:val="auto"/>
          <w:sz w:val="2"/>
          <w:szCs w:val="2"/>
        </w:rPr>
        <w:t>813F</w:t>
      </w:r>
      <w:r w:rsidR="00DD0F04" w:rsidRPr="00C73509">
        <w:rPr>
          <w:rStyle w:val="FootnoteReference"/>
        </w:rPr>
        <w:footnoteReference w:id="815"/>
      </w:r>
      <w:r w:rsidR="00DD0F04" w:rsidRPr="0042638F">
        <w:rPr>
          <w:rStyle w:val="Strong"/>
          <w:b w:val="0"/>
          <w:bCs w:val="0"/>
        </w:rPr>
        <w:t xml:space="preserve"> </w:t>
      </w:r>
      <w:r w:rsidR="00CD77A5">
        <w:t>NZLS</w:t>
      </w:r>
      <w:r w:rsidR="00DD0F04" w:rsidRPr="0042638F">
        <w:rPr>
          <w:rStyle w:val="Strong"/>
          <w:b w:val="0"/>
          <w:bCs w:val="0"/>
        </w:rPr>
        <w:t xml:space="preserve"> has processes for considering complaints that a fee is not fair and reasonable. The court’s role is simply considering the deductions that will be made from relief paid to class members, as part of its consideration of whether </w:t>
      </w:r>
      <w:r w:rsidR="00DD0F04" w:rsidRPr="0042638F">
        <w:rPr>
          <w:rStyle w:val="Strong"/>
          <w:b w:val="0"/>
          <w:bCs w:val="0"/>
        </w:rPr>
        <w:lastRenderedPageBreak/>
        <w:t>the settlement is fair, reasonable and in the best interests of the class as a whole. It may be appropriate for the court to have a power to vary litigation funding commissions at settlement, as we discuss later in this chapter.</w:t>
      </w:r>
      <w:r w:rsidR="00DD0F04">
        <w:rPr>
          <w:rStyle w:val="Strong"/>
        </w:rPr>
        <w:t xml:space="preserve">  </w:t>
      </w:r>
    </w:p>
    <w:p w14:paraId="10DEED30" w14:textId="77777777" w:rsidR="00DD0F04" w:rsidRPr="0042638F" w:rsidRDefault="00DD0F04" w:rsidP="0042638F">
      <w:pPr>
        <w:pStyle w:val="Heading4"/>
        <w:rPr>
          <w:rStyle w:val="Strong"/>
          <w:rFonts w:ascii="Metropolis" w:hAnsi="Metropolis"/>
          <w:b/>
          <w:bCs w:val="0"/>
          <w:color w:val="73AB6E"/>
        </w:rPr>
      </w:pPr>
      <w:r w:rsidRPr="0042638F">
        <w:rPr>
          <w:rStyle w:val="Strong"/>
          <w:rFonts w:ascii="Metropolis" w:hAnsi="Metropolis"/>
          <w:b/>
          <w:bCs w:val="0"/>
          <w:color w:val="73AB6E"/>
        </w:rPr>
        <w:t xml:space="preserve">Potential risks, costs and benefits of proceeding with the litigation </w:t>
      </w:r>
    </w:p>
    <w:p w14:paraId="533E15E4" w14:textId="0AEEEF57" w:rsidR="00DD0F04" w:rsidRPr="003623F3" w:rsidRDefault="00BD5C95" w:rsidP="00B73434">
      <w:pPr>
        <w:pStyle w:val="BodyText"/>
        <w:numPr>
          <w:ilvl w:val="1"/>
          <w:numId w:val="52"/>
        </w:numPr>
        <w:tabs>
          <w:tab w:val="left" w:pos="709"/>
        </w:tabs>
        <w:ind w:hanging="709"/>
        <w:rPr>
          <w:rStyle w:val="Strong"/>
          <w:b w:val="0"/>
          <w:bCs w:val="0"/>
        </w:rPr>
      </w:pPr>
      <w:r>
        <w:rPr>
          <w:rStyle w:val="Strong"/>
          <w:rFonts w:ascii="ZWAdobeF" w:hAnsi="ZWAdobeF" w:cs="ZWAdobeF"/>
          <w:b w:val="0"/>
          <w:bCs w:val="0"/>
          <w:color w:val="auto"/>
          <w:sz w:val="2"/>
          <w:szCs w:val="2"/>
        </w:rPr>
        <w:t>509B</w:t>
      </w:r>
      <w:r w:rsidR="0049638A">
        <w:rPr>
          <w:rStyle w:val="Strong"/>
          <w:rFonts w:ascii="ZWAdobeF" w:hAnsi="ZWAdobeF" w:cs="ZWAdobeF"/>
          <w:b w:val="0"/>
          <w:bCs w:val="0"/>
          <w:color w:val="auto"/>
          <w:sz w:val="2"/>
          <w:szCs w:val="2"/>
        </w:rPr>
        <w:t>509B</w:t>
      </w:r>
      <w:r w:rsidR="00D629FA">
        <w:rPr>
          <w:rStyle w:val="Strong"/>
          <w:rFonts w:ascii="ZWAdobeF" w:hAnsi="ZWAdobeF" w:cs="ZWAdobeF"/>
          <w:b w:val="0"/>
          <w:bCs w:val="0"/>
          <w:color w:val="auto"/>
          <w:sz w:val="2"/>
          <w:szCs w:val="2"/>
        </w:rPr>
        <w:t>509B</w:t>
      </w:r>
      <w:r w:rsidR="00DD0F04" w:rsidRPr="003623F3">
        <w:rPr>
          <w:rStyle w:val="Strong"/>
          <w:b w:val="0"/>
          <w:bCs w:val="0"/>
        </w:rPr>
        <w:t>Our third proposed factor is any information that is readily available to the court about the potential risks, costs and benefits of continuing with the litigation.</w:t>
      </w:r>
      <w:r w:rsidR="00D629FA">
        <w:rPr>
          <w:rStyle w:val="Strong"/>
          <w:rFonts w:ascii="ZWAdobeF" w:hAnsi="ZWAdobeF" w:cs="ZWAdobeF"/>
          <w:b w:val="0"/>
          <w:bCs w:val="0"/>
          <w:color w:val="auto"/>
          <w:sz w:val="2"/>
          <w:szCs w:val="2"/>
        </w:rPr>
        <w:t>814F</w:t>
      </w:r>
      <w:r w:rsidR="007A330E">
        <w:rPr>
          <w:rStyle w:val="Strong"/>
          <w:rFonts w:ascii="ZWAdobeF" w:hAnsi="ZWAdobeF" w:cs="ZWAdobeF"/>
          <w:b w:val="0"/>
          <w:bCs w:val="0"/>
          <w:color w:val="auto"/>
          <w:sz w:val="2"/>
          <w:szCs w:val="2"/>
        </w:rPr>
        <w:t>814F</w:t>
      </w:r>
      <w:r w:rsidR="00317AE4">
        <w:rPr>
          <w:rStyle w:val="Strong"/>
          <w:rFonts w:ascii="ZWAdobeF" w:hAnsi="ZWAdobeF" w:cs="ZWAdobeF"/>
          <w:b w:val="0"/>
          <w:bCs w:val="0"/>
          <w:color w:val="auto"/>
          <w:sz w:val="2"/>
          <w:szCs w:val="2"/>
        </w:rPr>
        <w:t>814F</w:t>
      </w:r>
      <w:r w:rsidR="00DD0F04" w:rsidRPr="00C73509">
        <w:rPr>
          <w:rStyle w:val="FootnoteReference"/>
        </w:rPr>
        <w:footnoteReference w:id="816"/>
      </w:r>
      <w:r w:rsidR="00DD0F04" w:rsidRPr="003623F3">
        <w:rPr>
          <w:rStyle w:val="Strong"/>
          <w:b w:val="0"/>
          <w:bCs w:val="0"/>
        </w:rPr>
        <w:t xml:space="preserve"> We think the court should consider the proposed settlement against the alternative of proceeding to </w:t>
      </w:r>
      <w:r w:rsidR="00E77CCD">
        <w:rPr>
          <w:rStyle w:val="Strong"/>
          <w:b w:val="0"/>
          <w:bCs w:val="0"/>
        </w:rPr>
        <w:t>hearing</w:t>
      </w:r>
      <w:r w:rsidR="00DD0F04" w:rsidRPr="003623F3">
        <w:rPr>
          <w:rStyle w:val="Strong"/>
          <w:b w:val="0"/>
          <w:bCs w:val="0"/>
        </w:rPr>
        <w:t xml:space="preserve"> (or appeal). The court’s consideration could include:</w:t>
      </w:r>
    </w:p>
    <w:p w14:paraId="0FDAA24C" w14:textId="0B6083B9" w:rsidR="00DD0F04" w:rsidRPr="003623F3" w:rsidRDefault="00BD5C95" w:rsidP="00B73434">
      <w:pPr>
        <w:pStyle w:val="BodyTextnonum"/>
        <w:numPr>
          <w:ilvl w:val="3"/>
          <w:numId w:val="52"/>
        </w:numPr>
        <w:rPr>
          <w:rStyle w:val="Strong"/>
          <w:b w:val="0"/>
          <w:bCs w:val="0"/>
        </w:rPr>
      </w:pPr>
      <w:r>
        <w:rPr>
          <w:rStyle w:val="Strong"/>
          <w:rFonts w:ascii="ZWAdobeF" w:hAnsi="ZWAdobeF" w:cs="ZWAdobeF"/>
          <w:b w:val="0"/>
          <w:bCs w:val="0"/>
          <w:color w:val="auto"/>
          <w:sz w:val="2"/>
          <w:szCs w:val="2"/>
        </w:rPr>
        <w:t>837B</w:t>
      </w:r>
      <w:r w:rsidR="0049638A">
        <w:rPr>
          <w:rStyle w:val="Strong"/>
          <w:rFonts w:ascii="ZWAdobeF" w:hAnsi="ZWAdobeF" w:cs="ZWAdobeF"/>
          <w:b w:val="0"/>
          <w:bCs w:val="0"/>
          <w:color w:val="auto"/>
          <w:sz w:val="2"/>
          <w:szCs w:val="2"/>
        </w:rPr>
        <w:t>837B</w:t>
      </w:r>
      <w:r w:rsidR="00D629FA">
        <w:rPr>
          <w:rStyle w:val="Strong"/>
          <w:rFonts w:ascii="ZWAdobeF" w:hAnsi="ZWAdobeF" w:cs="ZWAdobeF"/>
          <w:b w:val="0"/>
          <w:bCs w:val="0"/>
          <w:color w:val="auto"/>
          <w:sz w:val="2"/>
          <w:szCs w:val="2"/>
        </w:rPr>
        <w:t>837B</w:t>
      </w:r>
      <w:r w:rsidR="00DD0F04" w:rsidRPr="003623F3">
        <w:rPr>
          <w:rStyle w:val="Strong"/>
          <w:b w:val="0"/>
          <w:bCs w:val="0"/>
        </w:rPr>
        <w:t>The costs that are likely to be incurred if the litigation continues. The main cost is likely to be legal fees, but other costs may include expert fees</w:t>
      </w:r>
      <w:r w:rsidR="00C85959">
        <w:rPr>
          <w:rStyle w:val="Strong"/>
          <w:b w:val="0"/>
          <w:bCs w:val="0"/>
        </w:rPr>
        <w:t xml:space="preserve">, </w:t>
      </w:r>
      <w:r w:rsidR="001E03CF">
        <w:rPr>
          <w:rStyle w:val="Strong"/>
          <w:b w:val="0"/>
          <w:bCs w:val="0"/>
        </w:rPr>
        <w:t>court fees a</w:t>
      </w:r>
      <w:r w:rsidR="00DD0F04" w:rsidRPr="003623F3">
        <w:rPr>
          <w:rStyle w:val="Strong"/>
          <w:b w:val="0"/>
          <w:bCs w:val="0"/>
        </w:rPr>
        <w:t>nd litigation funding commission.</w:t>
      </w:r>
      <w:r w:rsidR="00D629FA">
        <w:rPr>
          <w:rStyle w:val="Strong"/>
          <w:rFonts w:ascii="ZWAdobeF" w:hAnsi="ZWAdobeF" w:cs="ZWAdobeF"/>
          <w:b w:val="0"/>
          <w:bCs w:val="0"/>
          <w:color w:val="auto"/>
          <w:sz w:val="2"/>
          <w:szCs w:val="2"/>
        </w:rPr>
        <w:t>815F</w:t>
      </w:r>
      <w:r w:rsidR="007A330E">
        <w:rPr>
          <w:rStyle w:val="Strong"/>
          <w:rFonts w:ascii="ZWAdobeF" w:hAnsi="ZWAdobeF" w:cs="ZWAdobeF"/>
          <w:b w:val="0"/>
          <w:bCs w:val="0"/>
          <w:color w:val="auto"/>
          <w:sz w:val="2"/>
          <w:szCs w:val="2"/>
        </w:rPr>
        <w:t>815F</w:t>
      </w:r>
      <w:r w:rsidR="00317AE4">
        <w:rPr>
          <w:rStyle w:val="Strong"/>
          <w:rFonts w:ascii="ZWAdobeF" w:hAnsi="ZWAdobeF" w:cs="ZWAdobeF"/>
          <w:b w:val="0"/>
          <w:bCs w:val="0"/>
          <w:color w:val="auto"/>
          <w:sz w:val="2"/>
          <w:szCs w:val="2"/>
        </w:rPr>
        <w:t>815F</w:t>
      </w:r>
      <w:r w:rsidR="00DD0F04" w:rsidRPr="00C73509">
        <w:rPr>
          <w:rStyle w:val="FootnoteReference"/>
        </w:rPr>
        <w:footnoteReference w:id="817"/>
      </w:r>
    </w:p>
    <w:p w14:paraId="5191089D" w14:textId="77777777" w:rsidR="00DD0F04" w:rsidRPr="003623F3" w:rsidRDefault="00DD0F04" w:rsidP="00B73434">
      <w:pPr>
        <w:pStyle w:val="BodyTextnonum"/>
        <w:numPr>
          <w:ilvl w:val="3"/>
          <w:numId w:val="52"/>
        </w:numPr>
        <w:rPr>
          <w:rStyle w:val="Strong"/>
          <w:b w:val="0"/>
          <w:bCs w:val="0"/>
        </w:rPr>
      </w:pPr>
      <w:r w:rsidRPr="003623F3">
        <w:rPr>
          <w:rStyle w:val="Strong"/>
          <w:b w:val="0"/>
          <w:bCs w:val="0"/>
        </w:rPr>
        <w:t xml:space="preserve">The risks of proceeding to trial (or appeal), including any potential difficulties in establishing liability and damages. </w:t>
      </w:r>
    </w:p>
    <w:p w14:paraId="4404420E" w14:textId="334B007F" w:rsidR="00DD0F04" w:rsidRPr="003623F3" w:rsidRDefault="00DD0F04" w:rsidP="00B73434">
      <w:pPr>
        <w:pStyle w:val="BodyTextnonum"/>
        <w:numPr>
          <w:ilvl w:val="3"/>
          <w:numId w:val="52"/>
        </w:numPr>
        <w:rPr>
          <w:rStyle w:val="Strong"/>
          <w:b w:val="0"/>
          <w:bCs w:val="0"/>
        </w:rPr>
      </w:pPr>
      <w:r w:rsidRPr="003623F3">
        <w:rPr>
          <w:rStyle w:val="Strong"/>
          <w:b w:val="0"/>
          <w:bCs w:val="0"/>
        </w:rPr>
        <w:t xml:space="preserve">The </w:t>
      </w:r>
      <w:r w:rsidR="0061397F">
        <w:rPr>
          <w:rStyle w:val="Strong"/>
          <w:b w:val="0"/>
          <w:bCs w:val="0"/>
        </w:rPr>
        <w:t xml:space="preserve">potential relief </w:t>
      </w:r>
      <w:r w:rsidRPr="003623F3">
        <w:rPr>
          <w:rStyle w:val="Strong"/>
          <w:b w:val="0"/>
          <w:bCs w:val="0"/>
        </w:rPr>
        <w:t xml:space="preserve">that could be awarded if the claim was successful. </w:t>
      </w:r>
    </w:p>
    <w:p w14:paraId="7266F6D0" w14:textId="10A9FCA5" w:rsidR="00DD0F04" w:rsidRPr="003623F3" w:rsidRDefault="00BD5C95" w:rsidP="00B73434">
      <w:pPr>
        <w:pStyle w:val="BodyText"/>
        <w:numPr>
          <w:ilvl w:val="1"/>
          <w:numId w:val="52"/>
        </w:numPr>
        <w:tabs>
          <w:tab w:val="left" w:pos="709"/>
        </w:tabs>
        <w:ind w:hanging="709"/>
        <w:rPr>
          <w:rStyle w:val="Strong"/>
          <w:b w:val="0"/>
          <w:bCs w:val="0"/>
        </w:rPr>
      </w:pPr>
      <w:r>
        <w:rPr>
          <w:rStyle w:val="Strong"/>
          <w:rFonts w:ascii="ZWAdobeF" w:hAnsi="ZWAdobeF" w:cs="ZWAdobeF"/>
          <w:b w:val="0"/>
          <w:bCs w:val="0"/>
          <w:color w:val="auto"/>
          <w:sz w:val="2"/>
          <w:szCs w:val="2"/>
        </w:rPr>
        <w:t>510B</w:t>
      </w:r>
      <w:r w:rsidR="0049638A">
        <w:rPr>
          <w:rStyle w:val="Strong"/>
          <w:rFonts w:ascii="ZWAdobeF" w:hAnsi="ZWAdobeF" w:cs="ZWAdobeF"/>
          <w:b w:val="0"/>
          <w:bCs w:val="0"/>
          <w:color w:val="auto"/>
          <w:sz w:val="2"/>
          <w:szCs w:val="2"/>
        </w:rPr>
        <w:t>510B</w:t>
      </w:r>
      <w:r w:rsidR="00D629FA">
        <w:rPr>
          <w:rStyle w:val="Strong"/>
          <w:rFonts w:ascii="ZWAdobeF" w:hAnsi="ZWAdobeF" w:cs="ZWAdobeF"/>
          <w:b w:val="0"/>
          <w:bCs w:val="0"/>
          <w:color w:val="auto"/>
          <w:sz w:val="2"/>
          <w:szCs w:val="2"/>
        </w:rPr>
        <w:t>510B</w:t>
      </w:r>
      <w:r w:rsidR="00DD0F04" w:rsidRPr="003623F3">
        <w:rPr>
          <w:rStyle w:val="Strong"/>
          <w:b w:val="0"/>
          <w:bCs w:val="0"/>
        </w:rPr>
        <w:t>We think the court’s consideration should be primarily based on material that is filed by the parties, rather than the court conducting any kind of preliminary merits assessment. In the Federal Court of Australia, the information filed by parties is usually expected to address:</w:t>
      </w:r>
      <w:r w:rsidR="00D629FA">
        <w:rPr>
          <w:rStyle w:val="Strong"/>
          <w:rFonts w:ascii="ZWAdobeF" w:hAnsi="ZWAdobeF" w:cs="ZWAdobeF"/>
          <w:b w:val="0"/>
          <w:bCs w:val="0"/>
          <w:color w:val="auto"/>
          <w:sz w:val="2"/>
          <w:szCs w:val="2"/>
        </w:rPr>
        <w:t>816F</w:t>
      </w:r>
      <w:r w:rsidR="007A330E">
        <w:rPr>
          <w:rStyle w:val="Strong"/>
          <w:rFonts w:ascii="ZWAdobeF" w:hAnsi="ZWAdobeF" w:cs="ZWAdobeF"/>
          <w:b w:val="0"/>
          <w:bCs w:val="0"/>
          <w:color w:val="auto"/>
          <w:sz w:val="2"/>
          <w:szCs w:val="2"/>
        </w:rPr>
        <w:t>816F</w:t>
      </w:r>
      <w:r w:rsidR="00317AE4">
        <w:rPr>
          <w:rStyle w:val="Strong"/>
          <w:rFonts w:ascii="ZWAdobeF" w:hAnsi="ZWAdobeF" w:cs="ZWAdobeF"/>
          <w:b w:val="0"/>
          <w:bCs w:val="0"/>
          <w:color w:val="auto"/>
          <w:sz w:val="2"/>
          <w:szCs w:val="2"/>
        </w:rPr>
        <w:t>816F</w:t>
      </w:r>
      <w:r w:rsidR="00DD0F04" w:rsidRPr="00C73509">
        <w:rPr>
          <w:rStyle w:val="FootnoteReference"/>
        </w:rPr>
        <w:footnoteReference w:id="818"/>
      </w:r>
    </w:p>
    <w:p w14:paraId="731780B2" w14:textId="77777777" w:rsidR="00DD0F04" w:rsidRPr="003623F3" w:rsidRDefault="00DD0F04" w:rsidP="00B73434">
      <w:pPr>
        <w:pStyle w:val="BodyTextnonum"/>
        <w:numPr>
          <w:ilvl w:val="3"/>
          <w:numId w:val="52"/>
        </w:numPr>
        <w:rPr>
          <w:rStyle w:val="Strong"/>
          <w:b w:val="0"/>
          <w:bCs w:val="0"/>
        </w:rPr>
      </w:pPr>
      <w:r w:rsidRPr="003623F3">
        <w:rPr>
          <w:rStyle w:val="Strong"/>
          <w:b w:val="0"/>
          <w:bCs w:val="0"/>
        </w:rPr>
        <w:t xml:space="preserve">The complexity and likely duration of the litigation. </w:t>
      </w:r>
    </w:p>
    <w:p w14:paraId="67B125AC" w14:textId="77777777" w:rsidR="00DD0F04" w:rsidRPr="003623F3" w:rsidRDefault="00DD0F04" w:rsidP="00B73434">
      <w:pPr>
        <w:pStyle w:val="BodyTextnonum"/>
        <w:numPr>
          <w:ilvl w:val="3"/>
          <w:numId w:val="52"/>
        </w:numPr>
        <w:rPr>
          <w:rStyle w:val="Strong"/>
          <w:b w:val="0"/>
          <w:bCs w:val="0"/>
        </w:rPr>
      </w:pPr>
      <w:r w:rsidRPr="003623F3">
        <w:rPr>
          <w:rStyle w:val="Strong"/>
          <w:b w:val="0"/>
          <w:bCs w:val="0"/>
        </w:rPr>
        <w:t>The risks of establishing liability.</w:t>
      </w:r>
    </w:p>
    <w:p w14:paraId="11FF1ED0" w14:textId="77777777" w:rsidR="00DD0F04" w:rsidRPr="003623F3" w:rsidRDefault="00DD0F04" w:rsidP="00B73434">
      <w:pPr>
        <w:pStyle w:val="BodyTextnonum"/>
        <w:numPr>
          <w:ilvl w:val="3"/>
          <w:numId w:val="52"/>
        </w:numPr>
        <w:rPr>
          <w:rStyle w:val="Strong"/>
          <w:b w:val="0"/>
          <w:bCs w:val="0"/>
        </w:rPr>
      </w:pPr>
      <w:r w:rsidRPr="003623F3">
        <w:rPr>
          <w:rStyle w:val="Strong"/>
          <w:b w:val="0"/>
          <w:bCs w:val="0"/>
        </w:rPr>
        <w:t>The risks of establishing loss or damage.</w:t>
      </w:r>
    </w:p>
    <w:p w14:paraId="034DD78D" w14:textId="7A903D82" w:rsidR="00DD0F04" w:rsidRPr="003623F3" w:rsidRDefault="00DD0F04" w:rsidP="00B73434">
      <w:pPr>
        <w:pStyle w:val="BodyTextnonum"/>
        <w:numPr>
          <w:ilvl w:val="3"/>
          <w:numId w:val="52"/>
        </w:numPr>
        <w:rPr>
          <w:rStyle w:val="Strong"/>
          <w:b w:val="0"/>
          <w:bCs w:val="0"/>
        </w:rPr>
      </w:pPr>
      <w:r w:rsidRPr="003623F3">
        <w:rPr>
          <w:rStyle w:val="Strong"/>
          <w:b w:val="0"/>
          <w:bCs w:val="0"/>
        </w:rPr>
        <w:t xml:space="preserve">The risks of </w:t>
      </w:r>
      <w:r w:rsidR="00C97E71">
        <w:rPr>
          <w:rStyle w:val="Strong"/>
          <w:b w:val="0"/>
          <w:bCs w:val="0"/>
        </w:rPr>
        <w:t>continuing a class action.</w:t>
      </w:r>
    </w:p>
    <w:p w14:paraId="5C52E25C" w14:textId="77777777" w:rsidR="00DD0F04" w:rsidRPr="003623F3" w:rsidRDefault="00DD0F04" w:rsidP="00B73434">
      <w:pPr>
        <w:pStyle w:val="BodyTextnonum"/>
        <w:numPr>
          <w:ilvl w:val="3"/>
          <w:numId w:val="52"/>
        </w:numPr>
        <w:rPr>
          <w:rStyle w:val="Strong"/>
          <w:b w:val="0"/>
          <w:bCs w:val="0"/>
        </w:rPr>
      </w:pPr>
      <w:r w:rsidRPr="003623F3">
        <w:rPr>
          <w:rStyle w:val="Strong"/>
          <w:b w:val="0"/>
          <w:bCs w:val="0"/>
        </w:rPr>
        <w:t>The ability of the respondent to withstand a greater judgment.</w:t>
      </w:r>
    </w:p>
    <w:p w14:paraId="72C2CEB8" w14:textId="77777777" w:rsidR="00DD0F04" w:rsidRPr="003623F3" w:rsidRDefault="00DD0F04" w:rsidP="00B73434">
      <w:pPr>
        <w:pStyle w:val="BodyTextnonum"/>
        <w:numPr>
          <w:ilvl w:val="3"/>
          <w:numId w:val="52"/>
        </w:numPr>
        <w:rPr>
          <w:rStyle w:val="Strong"/>
          <w:b w:val="0"/>
          <w:bCs w:val="0"/>
        </w:rPr>
      </w:pPr>
      <w:r w:rsidRPr="003623F3">
        <w:rPr>
          <w:rStyle w:val="Strong"/>
          <w:b w:val="0"/>
          <w:bCs w:val="0"/>
        </w:rPr>
        <w:t>The range of reasonableness of the settlement in light of the best recovery.</w:t>
      </w:r>
    </w:p>
    <w:p w14:paraId="36815DE2" w14:textId="77777777" w:rsidR="00DD0F04" w:rsidRPr="003623F3" w:rsidRDefault="00DD0F04" w:rsidP="00B73434">
      <w:pPr>
        <w:pStyle w:val="BodyTextnonum"/>
        <w:numPr>
          <w:ilvl w:val="3"/>
          <w:numId w:val="52"/>
        </w:numPr>
        <w:rPr>
          <w:rStyle w:val="Strong"/>
          <w:b w:val="0"/>
          <w:bCs w:val="0"/>
        </w:rPr>
      </w:pPr>
      <w:r w:rsidRPr="003623F3">
        <w:rPr>
          <w:rStyle w:val="Strong"/>
          <w:b w:val="0"/>
          <w:bCs w:val="0"/>
        </w:rPr>
        <w:t>The range of reasonableness of the settlement in light of all the attendant risks of litigation.</w:t>
      </w:r>
    </w:p>
    <w:p w14:paraId="1BFB7674" w14:textId="77777777" w:rsidR="00DD0F04" w:rsidRPr="003623F3" w:rsidRDefault="00DD0F04" w:rsidP="00B73434">
      <w:pPr>
        <w:pStyle w:val="BodyTextnonum"/>
        <w:numPr>
          <w:ilvl w:val="3"/>
          <w:numId w:val="52"/>
        </w:numPr>
        <w:rPr>
          <w:rStyle w:val="Strong"/>
          <w:b w:val="0"/>
          <w:bCs w:val="0"/>
        </w:rPr>
      </w:pPr>
      <w:r w:rsidRPr="003623F3">
        <w:rPr>
          <w:rStyle w:val="Strong"/>
          <w:b w:val="0"/>
          <w:bCs w:val="0"/>
        </w:rPr>
        <w:t xml:space="preserve">The terms of any advice received from counsel and/or any independent expert in relation to the issues which arise in the proceeding. </w:t>
      </w:r>
    </w:p>
    <w:p w14:paraId="18FC0155" w14:textId="5D338F30" w:rsidR="00DD0F04" w:rsidRPr="003623F3" w:rsidRDefault="00DD0F04" w:rsidP="00B73434">
      <w:pPr>
        <w:pStyle w:val="BodyText"/>
        <w:numPr>
          <w:ilvl w:val="1"/>
          <w:numId w:val="52"/>
        </w:numPr>
        <w:tabs>
          <w:tab w:val="left" w:pos="709"/>
        </w:tabs>
        <w:ind w:hanging="709"/>
        <w:rPr>
          <w:rStyle w:val="Strong"/>
          <w:b w:val="0"/>
          <w:bCs w:val="0"/>
        </w:rPr>
      </w:pPr>
      <w:r w:rsidRPr="003623F3">
        <w:rPr>
          <w:rStyle w:val="Strong"/>
          <w:b w:val="0"/>
          <w:bCs w:val="0"/>
        </w:rPr>
        <w:t xml:space="preserve">We think information of this nature would assist the court to assess the risks, costs and benefits of continuing with the proceeding. </w:t>
      </w:r>
      <w:r w:rsidR="009A08E1">
        <w:rPr>
          <w:rStyle w:val="Strong"/>
          <w:b w:val="0"/>
          <w:bCs w:val="0"/>
        </w:rPr>
        <w:t xml:space="preserve">Earlier in this chapter we proposed </w:t>
      </w:r>
      <w:r w:rsidRPr="003623F3">
        <w:rPr>
          <w:rStyle w:val="Strong"/>
          <w:b w:val="0"/>
          <w:bCs w:val="0"/>
        </w:rPr>
        <w:t xml:space="preserve">that an application for settlement approval should include information on the risks and benefits of continuing with the litigation. </w:t>
      </w:r>
    </w:p>
    <w:p w14:paraId="16CBCE68" w14:textId="77777777" w:rsidR="00DD0F04" w:rsidRPr="003623F3" w:rsidRDefault="00DD0F04" w:rsidP="00B73434">
      <w:pPr>
        <w:pStyle w:val="BodyText"/>
        <w:numPr>
          <w:ilvl w:val="1"/>
          <w:numId w:val="52"/>
        </w:numPr>
        <w:tabs>
          <w:tab w:val="left" w:pos="709"/>
        </w:tabs>
        <w:ind w:hanging="709"/>
        <w:rPr>
          <w:rStyle w:val="Strong"/>
          <w:b w:val="0"/>
          <w:bCs w:val="0"/>
        </w:rPr>
      </w:pPr>
      <w:r w:rsidRPr="003623F3">
        <w:rPr>
          <w:rStyle w:val="Strong"/>
          <w:b w:val="0"/>
          <w:bCs w:val="0"/>
        </w:rPr>
        <w:lastRenderedPageBreak/>
        <w:t xml:space="preserve">In some cases, a settlement will occur after the hearing on common issues and so there will be an evidential base for the court to rely upon. </w:t>
      </w:r>
    </w:p>
    <w:p w14:paraId="23BA2BEC" w14:textId="77777777" w:rsidR="00DD0F04" w:rsidRPr="003623F3" w:rsidRDefault="00DD0F04" w:rsidP="003623F3">
      <w:pPr>
        <w:pStyle w:val="Heading4"/>
        <w:rPr>
          <w:rStyle w:val="Strong"/>
          <w:rFonts w:ascii="Metropolis" w:hAnsi="Metropolis"/>
          <w:b/>
          <w:bCs w:val="0"/>
          <w:color w:val="73AB6E"/>
        </w:rPr>
      </w:pPr>
      <w:r w:rsidRPr="003623F3">
        <w:rPr>
          <w:rStyle w:val="Strong"/>
          <w:rFonts w:ascii="Metropolis" w:hAnsi="Metropolis"/>
          <w:b/>
          <w:bCs w:val="0"/>
          <w:color w:val="73AB6E"/>
        </w:rPr>
        <w:t xml:space="preserve">Views of class members </w:t>
      </w:r>
    </w:p>
    <w:p w14:paraId="3833C2CB" w14:textId="1CBFC28E" w:rsidR="00DD0F04" w:rsidRPr="003623F3" w:rsidRDefault="00BD5C95" w:rsidP="00B73434">
      <w:pPr>
        <w:pStyle w:val="BodyText"/>
        <w:numPr>
          <w:ilvl w:val="1"/>
          <w:numId w:val="52"/>
        </w:numPr>
        <w:tabs>
          <w:tab w:val="left" w:pos="709"/>
        </w:tabs>
        <w:ind w:hanging="709"/>
        <w:rPr>
          <w:rStyle w:val="Strong"/>
          <w:b w:val="0"/>
          <w:bCs w:val="0"/>
        </w:rPr>
      </w:pPr>
      <w:r>
        <w:rPr>
          <w:rStyle w:val="Strong"/>
          <w:rFonts w:ascii="ZWAdobeF" w:hAnsi="ZWAdobeF" w:cs="ZWAdobeF"/>
          <w:b w:val="0"/>
          <w:bCs w:val="0"/>
          <w:color w:val="auto"/>
          <w:sz w:val="2"/>
          <w:szCs w:val="2"/>
        </w:rPr>
        <w:t>511B</w:t>
      </w:r>
      <w:r w:rsidR="0049638A">
        <w:rPr>
          <w:rStyle w:val="Strong"/>
          <w:rFonts w:ascii="ZWAdobeF" w:hAnsi="ZWAdobeF" w:cs="ZWAdobeF"/>
          <w:b w:val="0"/>
          <w:bCs w:val="0"/>
          <w:color w:val="auto"/>
          <w:sz w:val="2"/>
          <w:szCs w:val="2"/>
        </w:rPr>
        <w:t>511B</w:t>
      </w:r>
      <w:r w:rsidR="00D629FA">
        <w:rPr>
          <w:rStyle w:val="Strong"/>
          <w:rFonts w:ascii="ZWAdobeF" w:hAnsi="ZWAdobeF" w:cs="ZWAdobeF"/>
          <w:b w:val="0"/>
          <w:bCs w:val="0"/>
          <w:color w:val="auto"/>
          <w:sz w:val="2"/>
          <w:szCs w:val="2"/>
        </w:rPr>
        <w:t>511B</w:t>
      </w:r>
      <w:r w:rsidR="00DD0F04" w:rsidRPr="003623F3">
        <w:rPr>
          <w:rStyle w:val="Strong"/>
          <w:b w:val="0"/>
          <w:bCs w:val="0"/>
        </w:rPr>
        <w:t>We think the court should also consider any views expressed by class members, whether in favour of the settlement or opposed.</w:t>
      </w:r>
      <w:r w:rsidR="00D629FA">
        <w:rPr>
          <w:rStyle w:val="Strong"/>
          <w:rFonts w:ascii="ZWAdobeF" w:hAnsi="ZWAdobeF" w:cs="ZWAdobeF"/>
          <w:b w:val="0"/>
          <w:bCs w:val="0"/>
          <w:color w:val="auto"/>
          <w:sz w:val="2"/>
          <w:szCs w:val="2"/>
        </w:rPr>
        <w:t>817F</w:t>
      </w:r>
      <w:r w:rsidR="007A330E">
        <w:rPr>
          <w:rStyle w:val="Strong"/>
          <w:rFonts w:ascii="ZWAdobeF" w:hAnsi="ZWAdobeF" w:cs="ZWAdobeF"/>
          <w:b w:val="0"/>
          <w:bCs w:val="0"/>
          <w:color w:val="auto"/>
          <w:sz w:val="2"/>
          <w:szCs w:val="2"/>
        </w:rPr>
        <w:t>817F</w:t>
      </w:r>
      <w:r w:rsidR="00317AE4">
        <w:rPr>
          <w:rStyle w:val="Strong"/>
          <w:rFonts w:ascii="ZWAdobeF" w:hAnsi="ZWAdobeF" w:cs="ZWAdobeF"/>
          <w:b w:val="0"/>
          <w:bCs w:val="0"/>
          <w:color w:val="auto"/>
          <w:sz w:val="2"/>
          <w:szCs w:val="2"/>
        </w:rPr>
        <w:t>817F</w:t>
      </w:r>
      <w:r w:rsidR="00DD0F04" w:rsidRPr="00C73509">
        <w:rPr>
          <w:rStyle w:val="FootnoteReference"/>
        </w:rPr>
        <w:footnoteReference w:id="819"/>
      </w:r>
      <w:r w:rsidR="00DD0F04" w:rsidRPr="003623F3">
        <w:rPr>
          <w:rStyle w:val="Strong"/>
          <w:b w:val="0"/>
          <w:bCs w:val="0"/>
        </w:rPr>
        <w:t xml:space="preserve"> As we have explained above, we consider that class members should have a right to object to a settlement, so the court is able to hear any opposing views. We have also noted the difficulties that exist for class members in objecting to a settlement. One way of addressing this is for counsel assisting the court to be appointed, with class members being able to communicate any concerns about the settlement to them.</w:t>
      </w:r>
      <w:r w:rsidR="00D629FA">
        <w:rPr>
          <w:rStyle w:val="Strong"/>
          <w:rFonts w:ascii="ZWAdobeF" w:hAnsi="ZWAdobeF" w:cs="ZWAdobeF"/>
          <w:b w:val="0"/>
          <w:bCs w:val="0"/>
          <w:color w:val="auto"/>
          <w:sz w:val="2"/>
          <w:szCs w:val="2"/>
        </w:rPr>
        <w:t>818F</w:t>
      </w:r>
      <w:r w:rsidR="007A330E">
        <w:rPr>
          <w:rStyle w:val="Strong"/>
          <w:rFonts w:ascii="ZWAdobeF" w:hAnsi="ZWAdobeF" w:cs="ZWAdobeF"/>
          <w:b w:val="0"/>
          <w:bCs w:val="0"/>
          <w:color w:val="auto"/>
          <w:sz w:val="2"/>
          <w:szCs w:val="2"/>
        </w:rPr>
        <w:t>818F</w:t>
      </w:r>
      <w:r w:rsidR="00317AE4">
        <w:rPr>
          <w:rStyle w:val="Strong"/>
          <w:rFonts w:ascii="ZWAdobeF" w:hAnsi="ZWAdobeF" w:cs="ZWAdobeF"/>
          <w:b w:val="0"/>
          <w:bCs w:val="0"/>
          <w:color w:val="auto"/>
          <w:sz w:val="2"/>
          <w:szCs w:val="2"/>
        </w:rPr>
        <w:t>818F</w:t>
      </w:r>
      <w:r w:rsidR="00DD0F04" w:rsidRPr="00C73509">
        <w:rPr>
          <w:rStyle w:val="FootnoteReference"/>
        </w:rPr>
        <w:footnoteReference w:id="820"/>
      </w:r>
    </w:p>
    <w:p w14:paraId="34C4B938" w14:textId="77777777" w:rsidR="00DD0F04" w:rsidRPr="003623F3" w:rsidRDefault="00DD0F04" w:rsidP="003623F3">
      <w:pPr>
        <w:pStyle w:val="Heading4"/>
        <w:rPr>
          <w:rStyle w:val="Strong"/>
          <w:rFonts w:ascii="Metropolis" w:hAnsi="Metropolis"/>
          <w:b/>
          <w:bCs w:val="0"/>
          <w:color w:val="73AB6E"/>
        </w:rPr>
      </w:pPr>
      <w:r w:rsidRPr="003623F3">
        <w:rPr>
          <w:rStyle w:val="Strong"/>
          <w:rFonts w:ascii="Metropolis" w:hAnsi="Metropolis"/>
          <w:b/>
          <w:bCs w:val="0"/>
          <w:color w:val="73AB6E"/>
        </w:rPr>
        <w:t xml:space="preserve">Process of settlement negotiation </w:t>
      </w:r>
    </w:p>
    <w:p w14:paraId="7A025A27" w14:textId="7FDB50CF" w:rsidR="00DD0F04" w:rsidRPr="003623F3" w:rsidRDefault="00BD5C95" w:rsidP="00B73434">
      <w:pPr>
        <w:pStyle w:val="BodyText"/>
        <w:numPr>
          <w:ilvl w:val="1"/>
          <w:numId w:val="52"/>
        </w:numPr>
        <w:tabs>
          <w:tab w:val="left" w:pos="709"/>
        </w:tabs>
        <w:ind w:hanging="709"/>
        <w:rPr>
          <w:rStyle w:val="Strong"/>
          <w:b w:val="0"/>
          <w:bCs w:val="0"/>
        </w:rPr>
      </w:pPr>
      <w:r>
        <w:rPr>
          <w:rStyle w:val="Strong"/>
          <w:rFonts w:ascii="ZWAdobeF" w:hAnsi="ZWAdobeF" w:cs="ZWAdobeF"/>
          <w:b w:val="0"/>
          <w:bCs w:val="0"/>
          <w:color w:val="auto"/>
          <w:sz w:val="2"/>
          <w:szCs w:val="2"/>
        </w:rPr>
        <w:t>512B</w:t>
      </w:r>
      <w:r w:rsidR="0049638A">
        <w:rPr>
          <w:rStyle w:val="Strong"/>
          <w:rFonts w:ascii="ZWAdobeF" w:hAnsi="ZWAdobeF" w:cs="ZWAdobeF"/>
          <w:b w:val="0"/>
          <w:bCs w:val="0"/>
          <w:color w:val="auto"/>
          <w:sz w:val="2"/>
          <w:szCs w:val="2"/>
        </w:rPr>
        <w:t>512B</w:t>
      </w:r>
      <w:r w:rsidR="00D629FA">
        <w:rPr>
          <w:rStyle w:val="Strong"/>
          <w:rFonts w:ascii="ZWAdobeF" w:hAnsi="ZWAdobeF" w:cs="ZWAdobeF"/>
          <w:b w:val="0"/>
          <w:bCs w:val="0"/>
          <w:color w:val="auto"/>
          <w:sz w:val="2"/>
          <w:szCs w:val="2"/>
        </w:rPr>
        <w:t>512B</w:t>
      </w:r>
      <w:r w:rsidR="00DD0F04" w:rsidRPr="003623F3">
        <w:rPr>
          <w:rStyle w:val="Strong"/>
          <w:b w:val="0"/>
          <w:bCs w:val="0"/>
        </w:rPr>
        <w:t>Our final factor is the process by which the settlement was reached, including whether any potential conflicts of interest were properly managed.</w:t>
      </w:r>
      <w:r w:rsidR="00D629FA">
        <w:rPr>
          <w:rStyle w:val="Strong"/>
          <w:rFonts w:ascii="ZWAdobeF" w:hAnsi="ZWAdobeF" w:cs="ZWAdobeF"/>
          <w:b w:val="0"/>
          <w:bCs w:val="0"/>
          <w:color w:val="auto"/>
          <w:sz w:val="2"/>
          <w:szCs w:val="2"/>
        </w:rPr>
        <w:t>819F</w:t>
      </w:r>
      <w:r w:rsidR="007A330E">
        <w:rPr>
          <w:rStyle w:val="Strong"/>
          <w:rFonts w:ascii="ZWAdobeF" w:hAnsi="ZWAdobeF" w:cs="ZWAdobeF"/>
          <w:b w:val="0"/>
          <w:bCs w:val="0"/>
          <w:color w:val="auto"/>
          <w:sz w:val="2"/>
          <w:szCs w:val="2"/>
        </w:rPr>
        <w:t>819F</w:t>
      </w:r>
      <w:r w:rsidR="00317AE4">
        <w:rPr>
          <w:rStyle w:val="Strong"/>
          <w:rFonts w:ascii="ZWAdobeF" w:hAnsi="ZWAdobeF" w:cs="ZWAdobeF"/>
          <w:b w:val="0"/>
          <w:bCs w:val="0"/>
          <w:color w:val="auto"/>
          <w:sz w:val="2"/>
          <w:szCs w:val="2"/>
        </w:rPr>
        <w:t>819F</w:t>
      </w:r>
      <w:r w:rsidR="00DD0F04" w:rsidRPr="00C73509">
        <w:rPr>
          <w:rStyle w:val="FootnoteReference"/>
        </w:rPr>
        <w:footnoteReference w:id="821"/>
      </w:r>
      <w:r w:rsidR="00DD0F04" w:rsidRPr="003623F3">
        <w:rPr>
          <w:rStyle w:val="Strong"/>
          <w:b w:val="0"/>
          <w:bCs w:val="0"/>
        </w:rPr>
        <w:t xml:space="preserve"> Our intention is to ensure that any conflicts of interest have not improperly influenced the settlement. In some jurisdictions, courts will consider the process of settlement negotiation. For example, Canadian courts will consider the presence of good faith, arm</w:t>
      </w:r>
      <w:r w:rsidR="00387173">
        <w:rPr>
          <w:rStyle w:val="Strong"/>
          <w:b w:val="0"/>
          <w:bCs w:val="0"/>
        </w:rPr>
        <w:t>’</w:t>
      </w:r>
      <w:r w:rsidR="00DD0F04" w:rsidRPr="003623F3">
        <w:rPr>
          <w:rStyle w:val="Strong"/>
          <w:b w:val="0"/>
          <w:bCs w:val="0"/>
        </w:rPr>
        <w:t>s length bargaining and the absence of collusion.</w:t>
      </w:r>
      <w:r w:rsidR="00D629FA">
        <w:rPr>
          <w:rStyle w:val="Strong"/>
          <w:rFonts w:ascii="ZWAdobeF" w:hAnsi="ZWAdobeF" w:cs="ZWAdobeF"/>
          <w:b w:val="0"/>
          <w:bCs w:val="0"/>
          <w:color w:val="auto"/>
          <w:sz w:val="2"/>
          <w:szCs w:val="2"/>
        </w:rPr>
        <w:t>820F</w:t>
      </w:r>
      <w:r w:rsidR="007A330E">
        <w:rPr>
          <w:rStyle w:val="Strong"/>
          <w:rFonts w:ascii="ZWAdobeF" w:hAnsi="ZWAdobeF" w:cs="ZWAdobeF"/>
          <w:b w:val="0"/>
          <w:bCs w:val="0"/>
          <w:color w:val="auto"/>
          <w:sz w:val="2"/>
          <w:szCs w:val="2"/>
        </w:rPr>
        <w:t>820F</w:t>
      </w:r>
      <w:r w:rsidR="00317AE4">
        <w:rPr>
          <w:rStyle w:val="Strong"/>
          <w:rFonts w:ascii="ZWAdobeF" w:hAnsi="ZWAdobeF" w:cs="ZWAdobeF"/>
          <w:b w:val="0"/>
          <w:bCs w:val="0"/>
          <w:color w:val="auto"/>
          <w:sz w:val="2"/>
          <w:szCs w:val="2"/>
        </w:rPr>
        <w:t>820F</w:t>
      </w:r>
      <w:r w:rsidR="00DD0F04" w:rsidRPr="00C73509">
        <w:rPr>
          <w:rStyle w:val="FootnoteReference"/>
        </w:rPr>
        <w:footnoteReference w:id="822"/>
      </w:r>
      <w:r w:rsidR="00DD0F04" w:rsidRPr="003623F3">
        <w:rPr>
          <w:rStyle w:val="Strong"/>
          <w:b w:val="0"/>
          <w:bCs w:val="0"/>
        </w:rPr>
        <w:t xml:space="preserve"> In the United States, courts will consider whether there was “arm’s length negotiation</w:t>
      </w:r>
      <w:r w:rsidR="000A6BBD">
        <w:rPr>
          <w:rStyle w:val="Strong"/>
          <w:b w:val="0"/>
          <w:bCs w:val="0"/>
        </w:rPr>
        <w:t>”.</w:t>
      </w:r>
      <w:r w:rsidR="00D629FA">
        <w:rPr>
          <w:rStyle w:val="Strong"/>
          <w:rFonts w:ascii="ZWAdobeF" w:hAnsi="ZWAdobeF" w:cs="ZWAdobeF"/>
          <w:b w:val="0"/>
          <w:bCs w:val="0"/>
          <w:color w:val="auto"/>
          <w:sz w:val="2"/>
          <w:szCs w:val="2"/>
        </w:rPr>
        <w:t>821F</w:t>
      </w:r>
      <w:r w:rsidR="007A330E">
        <w:rPr>
          <w:rStyle w:val="Strong"/>
          <w:rFonts w:ascii="ZWAdobeF" w:hAnsi="ZWAdobeF" w:cs="ZWAdobeF"/>
          <w:b w:val="0"/>
          <w:bCs w:val="0"/>
          <w:color w:val="auto"/>
          <w:sz w:val="2"/>
          <w:szCs w:val="2"/>
        </w:rPr>
        <w:t>821F</w:t>
      </w:r>
      <w:r w:rsidR="00317AE4">
        <w:rPr>
          <w:rStyle w:val="Strong"/>
          <w:rFonts w:ascii="ZWAdobeF" w:hAnsi="ZWAdobeF" w:cs="ZWAdobeF"/>
          <w:b w:val="0"/>
          <w:bCs w:val="0"/>
          <w:color w:val="auto"/>
          <w:sz w:val="2"/>
          <w:szCs w:val="2"/>
        </w:rPr>
        <w:t>821F</w:t>
      </w:r>
      <w:r w:rsidR="00DD0F04" w:rsidRPr="00703389">
        <w:rPr>
          <w:rStyle w:val="FootnoteReference"/>
        </w:rPr>
        <w:footnoteReference w:id="823"/>
      </w:r>
      <w:r w:rsidR="00DD0F04" w:rsidRPr="003623F3">
        <w:rPr>
          <w:rStyle w:val="Strong"/>
          <w:b w:val="0"/>
          <w:bCs w:val="0"/>
        </w:rPr>
        <w:t xml:space="preserve"> </w:t>
      </w:r>
      <w:bookmarkStart w:id="102" w:name="_Hlk80966711"/>
    </w:p>
    <w:bookmarkEnd w:id="102"/>
    <w:p w14:paraId="47498EF1" w14:textId="5A58A9BF" w:rsidR="00DD0F04" w:rsidRDefault="00DD0F04" w:rsidP="00B73434">
      <w:pPr>
        <w:pStyle w:val="BodyText"/>
        <w:numPr>
          <w:ilvl w:val="1"/>
          <w:numId w:val="52"/>
        </w:numPr>
        <w:tabs>
          <w:tab w:val="left" w:pos="709"/>
        </w:tabs>
        <w:ind w:hanging="709"/>
        <w:rPr>
          <w:rStyle w:val="Strong"/>
          <w:b w:val="0"/>
          <w:bCs w:val="0"/>
        </w:rPr>
      </w:pPr>
      <w:r w:rsidRPr="003623F3">
        <w:rPr>
          <w:rStyle w:val="Strong"/>
          <w:b w:val="0"/>
          <w:bCs w:val="0"/>
        </w:rPr>
        <w:t xml:space="preserve">We think the court could consider matters such as: whether there was any independent valuation of the settlement amount, whether there was any third-party evaluation of the settlement terms (such as by a senior lawyer) and whether any related cases were settled at the same time. </w:t>
      </w:r>
    </w:p>
    <w:p w14:paraId="1674EE43" w14:textId="59DB1B03" w:rsidR="00416FCA" w:rsidRDefault="00416FCA">
      <w:pPr>
        <w:widowControl w:val="0"/>
        <w:spacing w:after="200" w:line="276" w:lineRule="auto"/>
        <w:rPr>
          <w:rStyle w:val="Strong"/>
          <w:b w:val="0"/>
          <w:bCs w:val="0"/>
        </w:rPr>
      </w:pPr>
      <w:r>
        <w:rPr>
          <w:rStyle w:val="Strong"/>
          <w:b w:val="0"/>
          <w:bCs w:val="0"/>
        </w:rPr>
        <w:br w:type="page"/>
      </w:r>
    </w:p>
    <w:p w14:paraId="2AAD3492" w14:textId="686E1FAB" w:rsidR="00F95162" w:rsidRDefault="00F95162" w:rsidP="00F95162">
      <w:pPr>
        <w:pStyle w:val="QuestionBox"/>
        <w:rPr>
          <w:rStyle w:val="Strong"/>
          <w:b w:val="0"/>
          <w:bCs w:val="0"/>
          <w:color w:val="000000" w:themeColor="text1"/>
        </w:rPr>
      </w:pPr>
      <w:r>
        <w:rPr>
          <w:noProof/>
        </w:rPr>
        <w:lastRenderedPageBreak/>
        <mc:AlternateContent>
          <mc:Choice Requires="wpg">
            <w:drawing>
              <wp:anchor distT="0" distB="0" distL="114300" distR="114300" simplePos="0" relativeHeight="251652183" behindDoc="1" locked="0" layoutInCell="1" allowOverlap="1" wp14:anchorId="63C1DB01" wp14:editId="18387E5C">
                <wp:simplePos x="0" y="0"/>
                <wp:positionH relativeFrom="column">
                  <wp:posOffset>5715</wp:posOffset>
                </wp:positionH>
                <wp:positionV relativeFrom="paragraph">
                  <wp:posOffset>3810</wp:posOffset>
                </wp:positionV>
                <wp:extent cx="5760085" cy="3259259"/>
                <wp:effectExtent l="0" t="0" r="0" b="0"/>
                <wp:wrapNone/>
                <wp:docPr id="764518031" name="Group 764518031"/>
                <wp:cNvGraphicFramePr/>
                <a:graphic xmlns:a="http://schemas.openxmlformats.org/drawingml/2006/main">
                  <a:graphicData uri="http://schemas.microsoft.com/office/word/2010/wordprocessingGroup">
                    <wpg:wgp>
                      <wpg:cNvGrpSpPr/>
                      <wpg:grpSpPr>
                        <a:xfrm>
                          <a:off x="0" y="0"/>
                          <a:ext cx="5760085" cy="3259259"/>
                          <a:chOff x="0" y="62865"/>
                          <a:chExt cx="5760085" cy="3259590"/>
                        </a:xfrm>
                      </wpg:grpSpPr>
                      <wps:wsp>
                        <wps:cNvPr id="76451803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204365" w14:textId="77777777" w:rsidR="00A55F53" w:rsidRDefault="00A55F53" w:rsidP="00F95162">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33" name="Group 53"/>
                        <wpg:cNvGrpSpPr>
                          <a:grpSpLocks/>
                        </wpg:cNvGrpSpPr>
                        <wpg:grpSpPr bwMode="auto">
                          <a:xfrm>
                            <a:off x="0" y="316263"/>
                            <a:ext cx="5760085" cy="3006192"/>
                            <a:chOff x="1837" y="1792"/>
                            <a:chExt cx="9302" cy="32472"/>
                          </a:xfrm>
                        </wpg:grpSpPr>
                        <wps:wsp>
                          <wps:cNvPr id="764518034" name="Freeform 54"/>
                          <wps:cNvSpPr>
                            <a:spLocks/>
                          </wps:cNvSpPr>
                          <wps:spPr bwMode="auto">
                            <a:xfrm>
                              <a:off x="1837" y="1792"/>
                              <a:ext cx="9302" cy="3247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35" name="Group 764518035"/>
                        <wpg:cNvGrpSpPr/>
                        <wpg:grpSpPr>
                          <a:xfrm>
                            <a:off x="0" y="494036"/>
                            <a:ext cx="1443794" cy="252000"/>
                            <a:chOff x="-15880" y="0"/>
                            <a:chExt cx="1444379" cy="252068"/>
                          </a:xfrm>
                        </wpg:grpSpPr>
                        <wps:wsp>
                          <wps:cNvPr id="764518036"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37" name="Freeform 66"/>
                          <wps:cNvSpPr>
                            <a:spLocks/>
                          </wps:cNvSpPr>
                          <wps:spPr bwMode="auto">
                            <a:xfrm>
                              <a:off x="-15880" y="0"/>
                              <a:ext cx="432175"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BEC2BF" w14:textId="1C587333" w:rsidR="00A55F53" w:rsidRPr="00E700FF" w:rsidRDefault="00A55F53" w:rsidP="00F95162">
                                <w:pPr>
                                  <w:pStyle w:val="BoxTitle"/>
                                  <w:spacing w:before="0" w:beforeAutospacing="0"/>
                                </w:pPr>
                                <w:r w:rsidRPr="001C1B37">
                                  <w:t>Q</w:t>
                                </w:r>
                                <w:r>
                                  <w:t>44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3C1DB01" id="Group 764518031" o:spid="_x0000_s1508" style="position:absolute;left:0;text-align:left;margin-left:.45pt;margin-top:.3pt;width:453.55pt;height:256.65pt;z-index:-251664297;mso-height-relative:margin" coordorigin=",628" coordsize="57600,3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">
                <v:shape id="_x0000_s150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1204365" w14:textId="77777777" w:rsidR="00A55F53" w:rsidRDefault="00A55F53" w:rsidP="00F95162">
                        <w:pPr>
                          <w:pStyle w:val="BoxTitle"/>
                          <w:spacing w:before="0" w:beforeAutospacing="0"/>
                        </w:pPr>
                        <w:r w:rsidRPr="007F6876">
                          <w:t>QUESTION</w:t>
                        </w:r>
                      </w:p>
                    </w:txbxContent>
                  </v:textbox>
                </v:shape>
                <v:group id="Group 53" o:spid="_x0000_s1510" style="position:absolute;top:3162;width:57600;height:30062" coordorigin="1837,1792" coordsize="9302,3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">
                  <v:shape id="Freeform 54" o:spid="_x0000_s1511" style="position:absolute;left:1837;top:1792;width:9302;height:3247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" path="m,l9354,r,7809l,7809,,e" fillcolor="#edf2ea" stroked="f">
                    <v:path arrowok="t" o:connecttype="custom" o:connectlocs="0,4158;9302,4158;9302,36630;0,36630;0,4158" o:connectangles="0,0,0,0,0"/>
                  </v:shape>
                </v:group>
                <v:group id="Group 764518035" o:spid="_x0000_s151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">
                  <v:shape id="Freeform 58" o:spid="_x0000_s1513"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" path="m,l1815,e" filled="f" strokecolor="#72ab6a" strokeweight=".5pt">
                    <v:path arrowok="t" o:connecttype="custom" o:connectlocs="0,0;1073495,0" o:connectangles="0,0"/>
                  </v:shape>
                  <v:shape id="Freeform 66" o:spid="_x0000_s1514" style="position:absolute;left:-158;width:4320;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" adj="-11796480,,5400" path="m,470r642,l642,,,,,470e" fillcolor="#72ab6a" stroked="f">
                    <v:stroke joinstyle="round"/>
                    <v:formulas/>
                    <v:path arrowok="t" o:connecttype="custom" o:connectlocs="0,2317953;431503,2317953;431503,2065885;0,2065885;0,2317953" o:connectangles="0,0,0,0,0" textboxrect="0,0,643,470"/>
                    <v:textbox inset="1.5mm,2.3mm">
                      <w:txbxContent>
                        <w:p w14:paraId="0BBEC2BF" w14:textId="1C587333" w:rsidR="00A55F53" w:rsidRPr="00E700FF" w:rsidRDefault="00A55F53" w:rsidP="00F95162">
                          <w:pPr>
                            <w:pStyle w:val="BoxTitle"/>
                            <w:spacing w:before="0" w:beforeAutospacing="0"/>
                          </w:pPr>
                          <w:r w:rsidRPr="001C1B37">
                            <w:t>Q</w:t>
                          </w:r>
                          <w:r>
                            <w:t>44</w:t>
                          </w:r>
                        </w:p>
                      </w:txbxContent>
                    </v:textbox>
                  </v:shape>
                </v:group>
              </v:group>
            </w:pict>
          </mc:Fallback>
        </mc:AlternateContent>
      </w:r>
    </w:p>
    <w:p w14:paraId="4763221B" w14:textId="77777777" w:rsidR="00F95162" w:rsidRDefault="00F95162" w:rsidP="00F95162">
      <w:pPr>
        <w:pStyle w:val="QuestionBox"/>
        <w:rPr>
          <w:rStyle w:val="Strong"/>
          <w:b w:val="0"/>
          <w:bCs w:val="0"/>
          <w:color w:val="000000" w:themeColor="text1"/>
        </w:rPr>
      </w:pPr>
    </w:p>
    <w:p w14:paraId="6BFD884B" w14:textId="7EFE86CD" w:rsidR="00DD0F04" w:rsidRPr="002757B9" w:rsidRDefault="00DD0F04" w:rsidP="00F95162">
      <w:pPr>
        <w:pStyle w:val="QuestionBox"/>
        <w:rPr>
          <w:rStyle w:val="Strong"/>
          <w:b w:val="0"/>
          <w:bCs w:val="0"/>
        </w:rPr>
      </w:pPr>
      <w:r w:rsidRPr="00F95162">
        <w:rPr>
          <w:rStyle w:val="Strong"/>
          <w:b w:val="0"/>
          <w:bCs w:val="0"/>
          <w:color w:val="000000" w:themeColor="text1"/>
        </w:rPr>
        <w:t>Should there be specific factors a court must consider when deciding whether a settlement is fair, reasonable and in the interests of the class as a whole? For example, should the court consider:</w:t>
      </w:r>
    </w:p>
    <w:p w14:paraId="78628FCB" w14:textId="77777777" w:rsidR="00DD0F04" w:rsidRPr="001808AC" w:rsidRDefault="00DD0F04" w:rsidP="00B73434">
      <w:pPr>
        <w:pStyle w:val="Questionabc"/>
        <w:numPr>
          <w:ilvl w:val="0"/>
          <w:numId w:val="62"/>
        </w:numPr>
        <w:ind w:left="1418" w:hanging="425"/>
        <w:rPr>
          <w:rStyle w:val="Strong"/>
          <w:b w:val="0"/>
          <w:bCs w:val="0"/>
        </w:rPr>
      </w:pPr>
      <w:r w:rsidRPr="00F95162">
        <w:rPr>
          <w:rStyle w:val="Strong"/>
          <w:b w:val="0"/>
          <w:bCs w:val="0"/>
          <w:color w:val="000000" w:themeColor="text1"/>
        </w:rPr>
        <w:t>The terms and conditions of the settlement.</w:t>
      </w:r>
    </w:p>
    <w:p w14:paraId="783343F9" w14:textId="77777777" w:rsidR="00DD0F04" w:rsidRPr="00B3448C" w:rsidRDefault="00DD0F04" w:rsidP="00B73434">
      <w:pPr>
        <w:pStyle w:val="Questionabc"/>
        <w:numPr>
          <w:ilvl w:val="0"/>
          <w:numId w:val="62"/>
        </w:numPr>
        <w:ind w:left="1418" w:hanging="425"/>
        <w:rPr>
          <w:rStyle w:val="Strong"/>
          <w:b w:val="0"/>
          <w:bCs w:val="0"/>
        </w:rPr>
      </w:pPr>
      <w:r w:rsidRPr="00F95162">
        <w:rPr>
          <w:rStyle w:val="Strong"/>
          <w:b w:val="0"/>
          <w:bCs w:val="0"/>
        </w:rPr>
        <w:t xml:space="preserve">Any legal fees and litigation funding commissions that will be deducted from class member relief. </w:t>
      </w:r>
    </w:p>
    <w:p w14:paraId="61C39094" w14:textId="77777777" w:rsidR="00DD0F04" w:rsidRPr="001808AC" w:rsidRDefault="00DD0F04" w:rsidP="00B73434">
      <w:pPr>
        <w:pStyle w:val="Questionabc"/>
        <w:numPr>
          <w:ilvl w:val="0"/>
          <w:numId w:val="62"/>
        </w:numPr>
        <w:ind w:left="1418" w:hanging="425"/>
        <w:rPr>
          <w:rStyle w:val="Strong"/>
          <w:b w:val="0"/>
          <w:bCs w:val="0"/>
        </w:rPr>
      </w:pPr>
      <w:r w:rsidRPr="00F95162">
        <w:rPr>
          <w:rStyle w:val="Strong"/>
          <w:b w:val="0"/>
          <w:bCs w:val="0"/>
          <w:color w:val="000000" w:themeColor="text1"/>
        </w:rPr>
        <w:t>Any information readily available to the court on the potential risks, costs and benefits of continuing with the litigation.</w:t>
      </w:r>
    </w:p>
    <w:p w14:paraId="268E77FA" w14:textId="77777777" w:rsidR="00DD0F04" w:rsidRPr="001808AC" w:rsidRDefault="00DD0F04" w:rsidP="00B73434">
      <w:pPr>
        <w:pStyle w:val="Questionabc"/>
        <w:numPr>
          <w:ilvl w:val="0"/>
          <w:numId w:val="62"/>
        </w:numPr>
        <w:ind w:left="1418" w:hanging="425"/>
        <w:rPr>
          <w:rStyle w:val="Strong"/>
          <w:b w:val="0"/>
          <w:bCs w:val="0"/>
        </w:rPr>
      </w:pPr>
      <w:r w:rsidRPr="00F95162">
        <w:rPr>
          <w:rStyle w:val="Strong"/>
          <w:b w:val="0"/>
          <w:bCs w:val="0"/>
          <w:color w:val="000000" w:themeColor="text1"/>
        </w:rPr>
        <w:t>Any views of class members.</w:t>
      </w:r>
    </w:p>
    <w:p w14:paraId="429D6F1D" w14:textId="6A2DCFD2" w:rsidR="00DD0F04" w:rsidRPr="008E4C3B" w:rsidRDefault="00DD0F04" w:rsidP="00B73434">
      <w:pPr>
        <w:pStyle w:val="Questionabc"/>
        <w:numPr>
          <w:ilvl w:val="0"/>
          <w:numId w:val="62"/>
        </w:numPr>
        <w:ind w:left="1418" w:hanging="425"/>
        <w:rPr>
          <w:rStyle w:val="Strong"/>
          <w:b w:val="0"/>
          <w:bCs w:val="0"/>
        </w:rPr>
      </w:pPr>
      <w:r w:rsidRPr="00F95162">
        <w:rPr>
          <w:rStyle w:val="Strong"/>
          <w:b w:val="0"/>
          <w:bCs w:val="0"/>
          <w:color w:val="000000" w:themeColor="text1"/>
        </w:rPr>
        <w:t xml:space="preserve">The process by which </w:t>
      </w:r>
      <w:r w:rsidR="006376AC">
        <w:rPr>
          <w:rStyle w:val="Strong"/>
          <w:b w:val="0"/>
          <w:bCs w:val="0"/>
          <w:color w:val="000000" w:themeColor="text1"/>
        </w:rPr>
        <w:t xml:space="preserve">the </w:t>
      </w:r>
      <w:r w:rsidRPr="00F95162">
        <w:rPr>
          <w:rStyle w:val="Strong"/>
          <w:b w:val="0"/>
          <w:bCs w:val="0"/>
          <w:color w:val="000000" w:themeColor="text1"/>
        </w:rPr>
        <w:t xml:space="preserve">settlement was reached. </w:t>
      </w:r>
    </w:p>
    <w:p w14:paraId="2CBC7557" w14:textId="77777777" w:rsidR="00DD0F04" w:rsidRPr="00F95162" w:rsidRDefault="00DD0F04" w:rsidP="00B73434">
      <w:pPr>
        <w:pStyle w:val="Questionabc"/>
        <w:numPr>
          <w:ilvl w:val="0"/>
          <w:numId w:val="62"/>
        </w:numPr>
        <w:ind w:left="1418" w:hanging="425"/>
        <w:rPr>
          <w:rStyle w:val="Strong"/>
          <w:b w:val="0"/>
          <w:bCs w:val="0"/>
          <w:color w:val="000000" w:themeColor="text1"/>
        </w:rPr>
      </w:pPr>
      <w:r w:rsidRPr="00F95162">
        <w:rPr>
          <w:rStyle w:val="Strong"/>
          <w:b w:val="0"/>
          <w:bCs w:val="0"/>
          <w:color w:val="000000" w:themeColor="text1"/>
        </w:rPr>
        <w:t xml:space="preserve">Any other factors it considers relevant. </w:t>
      </w:r>
    </w:p>
    <w:p w14:paraId="4BDF5A3B" w14:textId="77777777" w:rsidR="00F95162" w:rsidRPr="00F95162" w:rsidRDefault="00F95162" w:rsidP="00F95162">
      <w:pPr>
        <w:pStyle w:val="QuestionBox"/>
        <w:rPr>
          <w:b/>
          <w:bCs/>
        </w:rPr>
      </w:pPr>
    </w:p>
    <w:p w14:paraId="03576BEE" w14:textId="05DC360C" w:rsidR="00A465DA" w:rsidRDefault="00A465DA" w:rsidP="00A465DA">
      <w:pPr>
        <w:pStyle w:val="Heading3"/>
      </w:pPr>
      <w:r w:rsidRPr="00A465DA">
        <w:t>Court’s powers in approving settlement</w:t>
      </w:r>
    </w:p>
    <w:p w14:paraId="5814A0A5" w14:textId="1BB805D2" w:rsidR="00DD0F04" w:rsidRDefault="00BD5C95" w:rsidP="00B73434">
      <w:pPr>
        <w:pStyle w:val="BodyText"/>
        <w:numPr>
          <w:ilvl w:val="1"/>
          <w:numId w:val="52"/>
        </w:numPr>
        <w:tabs>
          <w:tab w:val="left" w:pos="709"/>
        </w:tabs>
        <w:ind w:hanging="709"/>
      </w:pPr>
      <w:r>
        <w:rPr>
          <w:rFonts w:ascii="ZWAdobeF" w:hAnsi="ZWAdobeF" w:cs="ZWAdobeF"/>
          <w:color w:val="auto"/>
          <w:sz w:val="2"/>
          <w:szCs w:val="2"/>
        </w:rPr>
        <w:t>513B</w:t>
      </w:r>
      <w:r w:rsidR="0049638A">
        <w:rPr>
          <w:rFonts w:ascii="ZWAdobeF" w:hAnsi="ZWAdobeF" w:cs="ZWAdobeF"/>
          <w:color w:val="auto"/>
          <w:sz w:val="2"/>
          <w:szCs w:val="2"/>
        </w:rPr>
        <w:t>513B</w:t>
      </w:r>
      <w:r w:rsidR="00D629FA">
        <w:rPr>
          <w:rFonts w:ascii="ZWAdobeF" w:hAnsi="ZWAdobeF" w:cs="ZWAdobeF"/>
          <w:color w:val="auto"/>
          <w:sz w:val="2"/>
          <w:szCs w:val="2"/>
        </w:rPr>
        <w:t>513B</w:t>
      </w:r>
      <w:r w:rsidR="00DD0F04">
        <w:t xml:space="preserve">In </w:t>
      </w:r>
      <w:r w:rsidR="00DD0F04" w:rsidRPr="00A9225E">
        <w:t>other</w:t>
      </w:r>
      <w:r w:rsidR="00DD0F04">
        <w:t xml:space="preserve"> jurisdictions, the court’s power is generally limited to approving or declining to approve a class action settlement and a judge cannot rewrite the terms of the settlement agreement. If the court has concerns about a settlement that prevents it from providing approval, the judge may communicate those concerns to the parties so they can decide whether to renegotiate the settlement to address those concerns.</w:t>
      </w:r>
      <w:r w:rsidR="00D629FA">
        <w:rPr>
          <w:rFonts w:ascii="ZWAdobeF" w:hAnsi="ZWAdobeF" w:cs="ZWAdobeF"/>
          <w:color w:val="auto"/>
          <w:sz w:val="2"/>
          <w:szCs w:val="2"/>
        </w:rPr>
        <w:t>822F</w:t>
      </w:r>
      <w:r w:rsidR="007A330E">
        <w:rPr>
          <w:rFonts w:ascii="ZWAdobeF" w:hAnsi="ZWAdobeF" w:cs="ZWAdobeF"/>
          <w:color w:val="auto"/>
          <w:sz w:val="2"/>
          <w:szCs w:val="2"/>
        </w:rPr>
        <w:t>822F</w:t>
      </w:r>
      <w:r w:rsidR="00317AE4">
        <w:rPr>
          <w:rFonts w:ascii="ZWAdobeF" w:hAnsi="ZWAdobeF" w:cs="ZWAdobeF"/>
          <w:color w:val="auto"/>
          <w:sz w:val="2"/>
          <w:szCs w:val="2"/>
        </w:rPr>
        <w:t>822F</w:t>
      </w:r>
      <w:r w:rsidR="00DD0F04">
        <w:rPr>
          <w:rStyle w:val="FootnoteReference"/>
        </w:rPr>
        <w:footnoteReference w:id="824"/>
      </w:r>
      <w:r w:rsidR="00DD0F04">
        <w:t xml:space="preserve"> In general we think this approach is appropriate as the settlement agreement will be the result of negotiations between the plaintiff and defendant and the agreement may not be acceptable to both parties if one or more terms is changed. </w:t>
      </w:r>
    </w:p>
    <w:p w14:paraId="2A63CB16" w14:textId="1A5AB93C" w:rsidR="00DD0F04" w:rsidRDefault="00BD5C95" w:rsidP="00B73434">
      <w:pPr>
        <w:pStyle w:val="BodyText"/>
        <w:numPr>
          <w:ilvl w:val="1"/>
          <w:numId w:val="52"/>
        </w:numPr>
        <w:tabs>
          <w:tab w:val="left" w:pos="709"/>
        </w:tabs>
        <w:ind w:hanging="709"/>
        <w:rPr>
          <w:lang w:eastAsia="zh-CN" w:bidi="th-TH"/>
        </w:rPr>
      </w:pPr>
      <w:r>
        <w:rPr>
          <w:rFonts w:ascii="ZWAdobeF" w:hAnsi="ZWAdobeF" w:cs="ZWAdobeF"/>
          <w:color w:val="auto"/>
          <w:sz w:val="2"/>
          <w:szCs w:val="2"/>
        </w:rPr>
        <w:t>514B</w:t>
      </w:r>
      <w:r w:rsidR="0049638A">
        <w:rPr>
          <w:rFonts w:ascii="ZWAdobeF" w:hAnsi="ZWAdobeF" w:cs="ZWAdobeF"/>
          <w:color w:val="auto"/>
          <w:sz w:val="2"/>
          <w:szCs w:val="2"/>
        </w:rPr>
        <w:t>514B</w:t>
      </w:r>
      <w:r w:rsidR="00D629FA">
        <w:rPr>
          <w:rFonts w:ascii="ZWAdobeF" w:hAnsi="ZWAdobeF" w:cs="ZWAdobeF"/>
          <w:color w:val="auto"/>
          <w:sz w:val="2"/>
          <w:szCs w:val="2"/>
        </w:rPr>
        <w:t>514B</w:t>
      </w:r>
      <w:r w:rsidR="00DD0F04" w:rsidRPr="00157591">
        <w:t>One</w:t>
      </w:r>
      <w:r w:rsidR="00DD0F04" w:rsidRPr="00340B76">
        <w:rPr>
          <w:lang w:eastAsia="zh-CN" w:bidi="th-TH"/>
        </w:rPr>
        <w:t xml:space="preserve"> </w:t>
      </w:r>
      <w:r w:rsidR="00DD0F04" w:rsidRPr="00A9225E">
        <w:t>exception</w:t>
      </w:r>
      <w:r w:rsidR="00DD0F04" w:rsidRPr="00340B76">
        <w:rPr>
          <w:lang w:eastAsia="zh-CN" w:bidi="th-TH"/>
        </w:rPr>
        <w:t xml:space="preserve"> to this may be </w:t>
      </w:r>
      <w:r w:rsidR="00DD0F04">
        <w:rPr>
          <w:lang w:eastAsia="zh-CN" w:bidi="th-TH"/>
        </w:rPr>
        <w:t xml:space="preserve">the </w:t>
      </w:r>
      <w:r w:rsidR="00DD0F04" w:rsidRPr="00340B76">
        <w:rPr>
          <w:lang w:eastAsia="zh-CN" w:bidi="th-TH"/>
        </w:rPr>
        <w:t xml:space="preserve">litigation funding </w:t>
      </w:r>
      <w:r w:rsidR="00DD0F04">
        <w:rPr>
          <w:lang w:eastAsia="zh-CN" w:bidi="th-TH"/>
        </w:rPr>
        <w:t>commission payable in connection with a settlement</w:t>
      </w:r>
      <w:r w:rsidR="00DD0F04" w:rsidRPr="00340B76">
        <w:rPr>
          <w:lang w:eastAsia="zh-CN" w:bidi="th-TH"/>
        </w:rPr>
        <w:t xml:space="preserve">. </w:t>
      </w:r>
      <w:r w:rsidR="00DD0F04" w:rsidRPr="00045D44">
        <w:t>We</w:t>
      </w:r>
      <w:r w:rsidR="00DD0F04" w:rsidRPr="00340B76">
        <w:rPr>
          <w:rFonts w:ascii="Calibri" w:hAnsi="Calibri" w:cs="Calibri"/>
          <w:lang w:eastAsia="zh-CN" w:bidi="th-TH"/>
        </w:rPr>
        <w:t> </w:t>
      </w:r>
      <w:r w:rsidR="00DD0F04" w:rsidRPr="00340B76">
        <w:rPr>
          <w:lang w:eastAsia="zh-CN" w:bidi="th-TH"/>
        </w:rPr>
        <w:t xml:space="preserve">seek submitters views on what powers the court should have if it </w:t>
      </w:r>
      <w:r w:rsidR="00A2769A">
        <w:rPr>
          <w:lang w:eastAsia="zh-CN" w:bidi="th-TH"/>
        </w:rPr>
        <w:t xml:space="preserve">considers the </w:t>
      </w:r>
      <w:r w:rsidR="00DD0F04">
        <w:t xml:space="preserve">funding commission that would be deducted from settlement payments </w:t>
      </w:r>
      <w:r w:rsidR="00A2769A">
        <w:t xml:space="preserve">means the settlement is not </w:t>
      </w:r>
      <w:r w:rsidR="00DD0F04">
        <w:t>fair, reasonable and in the interests of the class as a whole</w:t>
      </w:r>
      <w:r w:rsidR="00DD0F04" w:rsidRPr="00340B76">
        <w:rPr>
          <w:lang w:eastAsia="zh-CN" w:bidi="th-TH"/>
        </w:rPr>
        <w:t xml:space="preserve">. </w:t>
      </w:r>
    </w:p>
    <w:p w14:paraId="5172C91B" w14:textId="197E38EE" w:rsidR="00DD0F04" w:rsidRDefault="00BD5C95" w:rsidP="00B73434">
      <w:pPr>
        <w:pStyle w:val="BodyText"/>
        <w:numPr>
          <w:ilvl w:val="1"/>
          <w:numId w:val="52"/>
        </w:numPr>
        <w:tabs>
          <w:tab w:val="left" w:pos="709"/>
        </w:tabs>
        <w:ind w:hanging="709"/>
      </w:pPr>
      <w:r>
        <w:rPr>
          <w:rFonts w:ascii="ZWAdobeF" w:hAnsi="ZWAdobeF" w:cs="ZWAdobeF"/>
          <w:color w:val="auto"/>
          <w:sz w:val="2"/>
          <w:szCs w:val="2"/>
          <w:lang w:eastAsia="zh-CN" w:bidi="th-TH"/>
        </w:rPr>
        <w:t>515B</w:t>
      </w:r>
      <w:r w:rsidR="0049638A">
        <w:rPr>
          <w:rFonts w:ascii="ZWAdobeF" w:hAnsi="ZWAdobeF" w:cs="ZWAdobeF"/>
          <w:color w:val="auto"/>
          <w:sz w:val="2"/>
          <w:szCs w:val="2"/>
          <w:lang w:eastAsia="zh-CN" w:bidi="th-TH"/>
        </w:rPr>
        <w:t>515B</w:t>
      </w:r>
      <w:r w:rsidR="00D629FA">
        <w:rPr>
          <w:rFonts w:ascii="ZWAdobeF" w:hAnsi="ZWAdobeF" w:cs="ZWAdobeF"/>
          <w:color w:val="auto"/>
          <w:sz w:val="2"/>
          <w:szCs w:val="2"/>
          <w:lang w:eastAsia="zh-CN" w:bidi="th-TH"/>
        </w:rPr>
        <w:t>515B</w:t>
      </w:r>
      <w:r w:rsidR="00DD0F04" w:rsidRPr="00332481">
        <w:rPr>
          <w:lang w:eastAsia="zh-CN" w:bidi="th-TH"/>
        </w:rPr>
        <w:t xml:space="preserve">One </w:t>
      </w:r>
      <w:r w:rsidR="00DD0F04" w:rsidRPr="00A9225E">
        <w:t>option</w:t>
      </w:r>
      <w:r w:rsidR="00DD0F04" w:rsidRPr="00332481">
        <w:rPr>
          <w:lang w:eastAsia="zh-CN" w:bidi="th-TH"/>
        </w:rPr>
        <w:t xml:space="preserve"> is</w:t>
      </w:r>
      <w:r w:rsidR="00DD0F04" w:rsidRPr="00332481">
        <w:rPr>
          <w:rFonts w:ascii="Calibri" w:hAnsi="Calibri" w:cs="Calibri"/>
          <w:lang w:eastAsia="zh-CN" w:bidi="th-TH"/>
        </w:rPr>
        <w:t> </w:t>
      </w:r>
      <w:r w:rsidR="00DD0F04" w:rsidRPr="00332481">
        <w:rPr>
          <w:lang w:eastAsia="zh-CN" w:bidi="th-TH"/>
        </w:rPr>
        <w:t>for</w:t>
      </w:r>
      <w:r w:rsidR="00DD0F04" w:rsidRPr="00332481">
        <w:rPr>
          <w:rFonts w:ascii="Calibri" w:hAnsi="Calibri" w:cs="Calibri"/>
          <w:lang w:eastAsia="zh-CN" w:bidi="th-TH"/>
        </w:rPr>
        <w:t> </w:t>
      </w:r>
      <w:r w:rsidR="00DD0F04" w:rsidRPr="00332481">
        <w:rPr>
          <w:lang w:eastAsia="zh-CN" w:bidi="th-TH"/>
        </w:rPr>
        <w:t>the judge</w:t>
      </w:r>
      <w:r w:rsidR="00DD0F04" w:rsidRPr="00332481">
        <w:rPr>
          <w:rFonts w:ascii="Calibri" w:hAnsi="Calibri" w:cs="Calibri"/>
          <w:lang w:eastAsia="zh-CN" w:bidi="th-TH"/>
        </w:rPr>
        <w:t> </w:t>
      </w:r>
      <w:r w:rsidR="00DD0F04" w:rsidRPr="00332481">
        <w:rPr>
          <w:lang w:eastAsia="zh-CN" w:bidi="th-TH"/>
        </w:rPr>
        <w:t>to</w:t>
      </w:r>
      <w:r w:rsidR="00DD0F04" w:rsidRPr="00332481">
        <w:rPr>
          <w:rFonts w:ascii="Calibri" w:hAnsi="Calibri" w:cs="Calibri"/>
          <w:lang w:eastAsia="zh-CN" w:bidi="th-TH"/>
        </w:rPr>
        <w:t> </w:t>
      </w:r>
      <w:r w:rsidR="00DD0F04" w:rsidRPr="00332481">
        <w:rPr>
          <w:lang w:eastAsia="zh-CN" w:bidi="th-TH"/>
        </w:rPr>
        <w:t xml:space="preserve">simply decline to approve the settlement and convey </w:t>
      </w:r>
      <w:r w:rsidR="00A2769A">
        <w:rPr>
          <w:lang w:eastAsia="zh-CN" w:bidi="th-TH"/>
        </w:rPr>
        <w:t>their</w:t>
      </w:r>
      <w:r w:rsidR="00DD0F04" w:rsidRPr="00332481">
        <w:rPr>
          <w:lang w:eastAsia="zh-CN" w:bidi="th-TH"/>
        </w:rPr>
        <w:t xml:space="preserve"> concerns about the funding commission to the parties so they can decide whether to submit a new application for settlement approval with a reduced </w:t>
      </w:r>
      <w:r w:rsidR="00DD0F04">
        <w:rPr>
          <w:lang w:eastAsia="zh-CN" w:bidi="th-TH"/>
        </w:rPr>
        <w:t xml:space="preserve">litigation </w:t>
      </w:r>
      <w:r w:rsidR="00DD0F04" w:rsidRPr="00332481">
        <w:rPr>
          <w:lang w:eastAsia="zh-CN" w:bidi="th-TH"/>
        </w:rPr>
        <w:t>funding</w:t>
      </w:r>
      <w:r w:rsidR="00DD0F04" w:rsidRPr="00332481">
        <w:rPr>
          <w:rFonts w:ascii="Calibri" w:hAnsi="Calibri" w:cs="Calibri"/>
          <w:lang w:eastAsia="zh-CN" w:bidi="th-TH"/>
        </w:rPr>
        <w:t> </w:t>
      </w:r>
      <w:r w:rsidR="00DD0F04" w:rsidRPr="00332481">
        <w:rPr>
          <w:lang w:eastAsia="zh-CN" w:bidi="th-TH"/>
        </w:rPr>
        <w:t>commission.</w:t>
      </w:r>
      <w:r w:rsidR="00DD0F04" w:rsidRPr="00332481">
        <w:rPr>
          <w:rFonts w:ascii="Calibri" w:hAnsi="Calibri" w:cs="Calibri"/>
          <w:lang w:eastAsia="zh-CN" w:bidi="th-TH"/>
        </w:rPr>
        <w:t>  </w:t>
      </w:r>
      <w:r w:rsidR="00DD0F04">
        <w:t xml:space="preserve">Alternatively, the court could have a power to amend litigation funding commission at settlement. This could occur through a common fund order or through a separate power to amend funding commission at settlement. </w:t>
      </w:r>
    </w:p>
    <w:p w14:paraId="3B9A00E7" w14:textId="77777777" w:rsidR="00DD0F04" w:rsidRDefault="00DD0F04" w:rsidP="007952DD">
      <w:pPr>
        <w:pStyle w:val="Heading4"/>
      </w:pPr>
      <w:r>
        <w:lastRenderedPageBreak/>
        <w:t xml:space="preserve">Common fund orders </w:t>
      </w:r>
    </w:p>
    <w:p w14:paraId="1E216D92" w14:textId="62D03C5B" w:rsidR="00DD0F04" w:rsidRDefault="00BD5C95" w:rsidP="00B73434">
      <w:pPr>
        <w:pStyle w:val="BodyText"/>
        <w:numPr>
          <w:ilvl w:val="1"/>
          <w:numId w:val="52"/>
        </w:numPr>
        <w:tabs>
          <w:tab w:val="left" w:pos="709"/>
        </w:tabs>
        <w:ind w:hanging="709"/>
      </w:pPr>
      <w:r>
        <w:rPr>
          <w:rFonts w:ascii="ZWAdobeF" w:hAnsi="ZWAdobeF" w:cs="ZWAdobeF"/>
          <w:color w:val="auto"/>
          <w:sz w:val="2"/>
          <w:szCs w:val="2"/>
        </w:rPr>
        <w:t>516B</w:t>
      </w:r>
      <w:r w:rsidR="0049638A">
        <w:rPr>
          <w:rFonts w:ascii="ZWAdobeF" w:hAnsi="ZWAdobeF" w:cs="ZWAdobeF"/>
          <w:color w:val="auto"/>
          <w:sz w:val="2"/>
          <w:szCs w:val="2"/>
        </w:rPr>
        <w:t>516B</w:t>
      </w:r>
      <w:r w:rsidR="00D629FA">
        <w:rPr>
          <w:rFonts w:ascii="ZWAdobeF" w:hAnsi="ZWAdobeF" w:cs="ZWAdobeF"/>
          <w:color w:val="auto"/>
          <w:sz w:val="2"/>
          <w:szCs w:val="2"/>
        </w:rPr>
        <w:t>516B</w:t>
      </w:r>
      <w:r w:rsidR="00DD0F04">
        <w:t>In some jurisdictions, the court has a power to make a common fund order.</w:t>
      </w:r>
      <w:r w:rsidR="00D629FA">
        <w:rPr>
          <w:rFonts w:ascii="ZWAdobeF" w:hAnsi="ZWAdobeF" w:cs="ZWAdobeF"/>
          <w:color w:val="auto"/>
          <w:sz w:val="2"/>
          <w:szCs w:val="2"/>
        </w:rPr>
        <w:t>823F</w:t>
      </w:r>
      <w:r w:rsidR="007A330E">
        <w:rPr>
          <w:rFonts w:ascii="ZWAdobeF" w:hAnsi="ZWAdobeF" w:cs="ZWAdobeF"/>
          <w:color w:val="auto"/>
          <w:sz w:val="2"/>
          <w:szCs w:val="2"/>
        </w:rPr>
        <w:t>823F</w:t>
      </w:r>
      <w:r w:rsidR="00317AE4">
        <w:rPr>
          <w:rFonts w:ascii="ZWAdobeF" w:hAnsi="ZWAdobeF" w:cs="ZWAdobeF"/>
          <w:color w:val="auto"/>
          <w:sz w:val="2"/>
          <w:szCs w:val="2"/>
        </w:rPr>
        <w:t>823F</w:t>
      </w:r>
      <w:r w:rsidR="00DD0F04">
        <w:rPr>
          <w:rStyle w:val="FootnoteReference"/>
        </w:rPr>
        <w:footnoteReference w:id="825"/>
      </w:r>
      <w:r w:rsidR="00DD0F04">
        <w:t xml:space="preserve"> A common fund order requires all class members to pay the litigation funder a commission from the settlement or judgment proceeds, regardless of whether the class members signed a litigation funding agreement. The purpose of a common fund order is to ensure the costs of the litigation are equitably shared by all those who will benefit from the settlement or judgment. A common fund order would generally only be necessary in an opt-out class action as signing a litigation funding agreement is often a condition of signing up to an opt-in class action.</w:t>
      </w:r>
      <w:r w:rsidR="00D629FA">
        <w:rPr>
          <w:rFonts w:ascii="ZWAdobeF" w:hAnsi="ZWAdobeF" w:cs="ZWAdobeF"/>
          <w:color w:val="auto"/>
          <w:sz w:val="2"/>
          <w:szCs w:val="2"/>
        </w:rPr>
        <w:t>824F</w:t>
      </w:r>
      <w:r w:rsidR="007A330E">
        <w:rPr>
          <w:rFonts w:ascii="ZWAdobeF" w:hAnsi="ZWAdobeF" w:cs="ZWAdobeF"/>
          <w:color w:val="auto"/>
          <w:sz w:val="2"/>
          <w:szCs w:val="2"/>
        </w:rPr>
        <w:t>824F</w:t>
      </w:r>
      <w:r w:rsidR="00317AE4">
        <w:rPr>
          <w:rFonts w:ascii="ZWAdobeF" w:hAnsi="ZWAdobeF" w:cs="ZWAdobeF"/>
          <w:color w:val="auto"/>
          <w:sz w:val="2"/>
          <w:szCs w:val="2"/>
        </w:rPr>
        <w:t>824F</w:t>
      </w:r>
      <w:r w:rsidR="00DD0F04">
        <w:rPr>
          <w:rStyle w:val="FootnoteReference"/>
        </w:rPr>
        <w:footnoteReference w:id="826"/>
      </w:r>
    </w:p>
    <w:p w14:paraId="037530BE" w14:textId="69A85E7A" w:rsidR="00DD0F04" w:rsidRDefault="00BD5C95" w:rsidP="00B73434">
      <w:pPr>
        <w:pStyle w:val="BodyText"/>
        <w:numPr>
          <w:ilvl w:val="1"/>
          <w:numId w:val="52"/>
        </w:numPr>
        <w:tabs>
          <w:tab w:val="left" w:pos="709"/>
        </w:tabs>
        <w:ind w:hanging="709"/>
      </w:pPr>
      <w:r>
        <w:rPr>
          <w:rFonts w:ascii="ZWAdobeF" w:hAnsi="ZWAdobeF" w:cs="ZWAdobeF"/>
          <w:color w:val="auto"/>
          <w:sz w:val="2"/>
          <w:szCs w:val="2"/>
        </w:rPr>
        <w:t>517B</w:t>
      </w:r>
      <w:r w:rsidR="0049638A">
        <w:rPr>
          <w:rFonts w:ascii="ZWAdobeF" w:hAnsi="ZWAdobeF" w:cs="ZWAdobeF"/>
          <w:color w:val="auto"/>
          <w:sz w:val="2"/>
          <w:szCs w:val="2"/>
        </w:rPr>
        <w:t>517B</w:t>
      </w:r>
      <w:r w:rsidR="00D629FA">
        <w:rPr>
          <w:rFonts w:ascii="ZWAdobeF" w:hAnsi="ZWAdobeF" w:cs="ZWAdobeF"/>
          <w:color w:val="auto"/>
          <w:sz w:val="2"/>
          <w:szCs w:val="2"/>
        </w:rPr>
        <w:t>517B</w:t>
      </w:r>
      <w:r w:rsidR="00DD0F04">
        <w:t>If a common fund order is made, the funding commission rate will need to be approved by the court to ensure that the order benefits class members and does not cause material detriment to their interests. It is likely the court approved funding commission will be lower than the commission applicable under the funding agreement, as the order will allow the funder to claim its commission from more people. There are several points at which the funding commission could be set, with one option being at the settlement approval stage.</w:t>
      </w:r>
      <w:r w:rsidR="00D629FA">
        <w:rPr>
          <w:rFonts w:ascii="ZWAdobeF" w:hAnsi="ZWAdobeF" w:cs="ZWAdobeF"/>
          <w:color w:val="auto"/>
          <w:sz w:val="2"/>
          <w:szCs w:val="2"/>
        </w:rPr>
        <w:t>825F</w:t>
      </w:r>
      <w:r w:rsidR="007A330E">
        <w:rPr>
          <w:rFonts w:ascii="ZWAdobeF" w:hAnsi="ZWAdobeF" w:cs="ZWAdobeF"/>
          <w:color w:val="auto"/>
          <w:sz w:val="2"/>
          <w:szCs w:val="2"/>
        </w:rPr>
        <w:t>825F</w:t>
      </w:r>
      <w:r w:rsidR="00317AE4">
        <w:rPr>
          <w:rFonts w:ascii="ZWAdobeF" w:hAnsi="ZWAdobeF" w:cs="ZWAdobeF"/>
          <w:color w:val="auto"/>
          <w:sz w:val="2"/>
          <w:szCs w:val="2"/>
        </w:rPr>
        <w:t>825F</w:t>
      </w:r>
      <w:r w:rsidR="00DD0F04">
        <w:rPr>
          <w:rStyle w:val="FootnoteReference"/>
        </w:rPr>
        <w:footnoteReference w:id="827"/>
      </w:r>
      <w:r w:rsidR="00DD0F04">
        <w:t xml:space="preserve"> We discuss common fund orders in detail in Chapter 4 and seek feedback on whether and how they should be used in Aotearoa New Zealand. </w:t>
      </w:r>
    </w:p>
    <w:p w14:paraId="41DB8D10" w14:textId="77777777" w:rsidR="00DD0F04" w:rsidRDefault="00DD0F04" w:rsidP="00A465DA">
      <w:pPr>
        <w:pStyle w:val="Heading4"/>
      </w:pPr>
      <w:r>
        <w:t>Power to amend litigation funding commission at settlement</w:t>
      </w:r>
    </w:p>
    <w:p w14:paraId="1EBF86D1" w14:textId="31C113C2" w:rsidR="00DD0F04" w:rsidRDefault="00BD5C95" w:rsidP="00B73434">
      <w:pPr>
        <w:pStyle w:val="BodyText"/>
        <w:numPr>
          <w:ilvl w:val="1"/>
          <w:numId w:val="52"/>
        </w:numPr>
        <w:tabs>
          <w:tab w:val="left" w:pos="709"/>
        </w:tabs>
        <w:ind w:hanging="709"/>
      </w:pPr>
      <w:r>
        <w:rPr>
          <w:rFonts w:ascii="ZWAdobeF" w:hAnsi="ZWAdobeF" w:cs="ZWAdobeF"/>
          <w:color w:val="auto"/>
          <w:sz w:val="2"/>
          <w:szCs w:val="2"/>
        </w:rPr>
        <w:t>518B</w:t>
      </w:r>
      <w:r w:rsidR="0049638A">
        <w:rPr>
          <w:rFonts w:ascii="ZWAdobeF" w:hAnsi="ZWAdobeF" w:cs="ZWAdobeF"/>
          <w:color w:val="auto"/>
          <w:sz w:val="2"/>
          <w:szCs w:val="2"/>
        </w:rPr>
        <w:t>518B</w:t>
      </w:r>
      <w:r w:rsidR="00D629FA">
        <w:rPr>
          <w:rFonts w:ascii="ZWAdobeF" w:hAnsi="ZWAdobeF" w:cs="ZWAdobeF"/>
          <w:color w:val="auto"/>
          <w:sz w:val="2"/>
          <w:szCs w:val="2"/>
        </w:rPr>
        <w:t>518B</w:t>
      </w:r>
      <w:r w:rsidR="00DD0F04">
        <w:t>Another option is to give the court an express power to amend litigation funding commission</w:t>
      </w:r>
      <w:r w:rsidR="00A77A9F">
        <w:t>s</w:t>
      </w:r>
      <w:r w:rsidR="00DD0F04">
        <w:t xml:space="preserve"> at settlement in all cases. If a common fund order mechanism is also available, this power might only be appropriate in cases where there is no common fund order in place.  </w:t>
      </w:r>
    </w:p>
    <w:p w14:paraId="34A3B7E6" w14:textId="7B3D4BFA" w:rsidR="00DD0F04" w:rsidRDefault="00BD5C95" w:rsidP="00B73434">
      <w:pPr>
        <w:pStyle w:val="BodyText"/>
        <w:numPr>
          <w:ilvl w:val="1"/>
          <w:numId w:val="52"/>
        </w:numPr>
        <w:tabs>
          <w:tab w:val="left" w:pos="709"/>
        </w:tabs>
        <w:ind w:hanging="709"/>
      </w:pPr>
      <w:r>
        <w:rPr>
          <w:rFonts w:ascii="ZWAdobeF" w:hAnsi="ZWAdobeF" w:cs="ZWAdobeF"/>
          <w:color w:val="auto"/>
          <w:sz w:val="2"/>
          <w:szCs w:val="2"/>
        </w:rPr>
        <w:t>519B</w:t>
      </w:r>
      <w:r w:rsidR="0049638A">
        <w:rPr>
          <w:rFonts w:ascii="ZWAdobeF" w:hAnsi="ZWAdobeF" w:cs="ZWAdobeF"/>
          <w:color w:val="auto"/>
          <w:sz w:val="2"/>
          <w:szCs w:val="2"/>
        </w:rPr>
        <w:t>519B</w:t>
      </w:r>
      <w:r w:rsidR="00D629FA">
        <w:rPr>
          <w:rFonts w:ascii="ZWAdobeF" w:hAnsi="ZWAdobeF" w:cs="ZWAdobeF"/>
          <w:color w:val="auto"/>
          <w:sz w:val="2"/>
          <w:szCs w:val="2"/>
        </w:rPr>
        <w:t>519B</w:t>
      </w:r>
      <w:r w:rsidR="00DD0F04">
        <w:t>The benefit of allowing the court to vary funding commission</w:t>
      </w:r>
      <w:r w:rsidR="00A77A9F">
        <w:t>s</w:t>
      </w:r>
      <w:r w:rsidR="00DD0F04">
        <w:t xml:space="preserve"> at settlement is that it could safeguard the interests of class members by ensuring that the net compensation they receive from a settlement is fair. </w:t>
      </w:r>
      <w:r w:rsidR="00DD0F04" w:rsidRPr="00EB4378">
        <w:t xml:space="preserve">While class members may have knowingly signed up to a litigation funding agreement, they may have </w:t>
      </w:r>
      <w:r w:rsidR="00DD0F04">
        <w:t xml:space="preserve">had </w:t>
      </w:r>
      <w:r w:rsidR="00DD0F04" w:rsidRPr="00EB4378">
        <w:t xml:space="preserve">little bargaining power to negotiate a </w:t>
      </w:r>
      <w:r w:rsidR="00DD0F04">
        <w:t>funding commission</w:t>
      </w:r>
      <w:r w:rsidR="00DD0F04" w:rsidRPr="00EB4378">
        <w:t xml:space="preserve"> and limited alternative options for funding litigation. The fact that a class member has agreed to a litigation funding </w:t>
      </w:r>
      <w:r w:rsidR="00DD0F04">
        <w:t xml:space="preserve">commission may </w:t>
      </w:r>
      <w:r w:rsidR="00DD0F04" w:rsidRPr="00EB4378">
        <w:t>not necessarily mean it is fair and reasonable</w:t>
      </w:r>
      <w:r w:rsidR="00DD0F04">
        <w:t>.</w:t>
      </w:r>
      <w:r w:rsidR="00D629FA">
        <w:rPr>
          <w:rFonts w:ascii="ZWAdobeF" w:hAnsi="ZWAdobeF" w:cs="ZWAdobeF"/>
          <w:color w:val="auto"/>
          <w:sz w:val="2"/>
          <w:szCs w:val="2"/>
        </w:rPr>
        <w:t>826F</w:t>
      </w:r>
      <w:r w:rsidR="007A330E">
        <w:rPr>
          <w:rFonts w:ascii="ZWAdobeF" w:hAnsi="ZWAdobeF" w:cs="ZWAdobeF"/>
          <w:color w:val="auto"/>
          <w:sz w:val="2"/>
          <w:szCs w:val="2"/>
        </w:rPr>
        <w:t>826F</w:t>
      </w:r>
      <w:r w:rsidR="00317AE4">
        <w:rPr>
          <w:rFonts w:ascii="ZWAdobeF" w:hAnsi="ZWAdobeF" w:cs="ZWAdobeF"/>
          <w:color w:val="auto"/>
          <w:sz w:val="2"/>
          <w:szCs w:val="2"/>
        </w:rPr>
        <w:t>826F</w:t>
      </w:r>
      <w:r w:rsidR="00DD0F04">
        <w:rPr>
          <w:rStyle w:val="FootnoteReference"/>
        </w:rPr>
        <w:footnoteReference w:id="828"/>
      </w:r>
      <w:r w:rsidR="00DD0F04">
        <w:t xml:space="preserve"> We note, however, that a competitive market for litigation funding would help to reduce litigation funding commissions. A power for the court to vary funding commissions may be more efficient for the court and the parties than the alternative of the court declining to approve the litigation funding agreement and requiring a new application for settlement approval to be made.  </w:t>
      </w:r>
    </w:p>
    <w:p w14:paraId="07D2C056" w14:textId="7998B7F8" w:rsidR="00DD0F04" w:rsidRDefault="00BD5C95" w:rsidP="00B73434">
      <w:pPr>
        <w:pStyle w:val="BodyText"/>
        <w:numPr>
          <w:ilvl w:val="1"/>
          <w:numId w:val="52"/>
        </w:numPr>
        <w:tabs>
          <w:tab w:val="left" w:pos="709"/>
        </w:tabs>
        <w:ind w:hanging="709"/>
        <w:rPr>
          <w:color w:val="000000"/>
        </w:rPr>
      </w:pPr>
      <w:r>
        <w:rPr>
          <w:rFonts w:ascii="ZWAdobeF" w:hAnsi="ZWAdobeF" w:cs="ZWAdobeF"/>
          <w:color w:val="auto"/>
          <w:sz w:val="2"/>
          <w:szCs w:val="2"/>
        </w:rPr>
        <w:t>520B</w:t>
      </w:r>
      <w:r w:rsidR="0049638A">
        <w:rPr>
          <w:rFonts w:ascii="ZWAdobeF" w:hAnsi="ZWAdobeF" w:cs="ZWAdobeF"/>
          <w:color w:val="auto"/>
          <w:sz w:val="2"/>
          <w:szCs w:val="2"/>
        </w:rPr>
        <w:t>520B</w:t>
      </w:r>
      <w:r w:rsidR="00D629FA">
        <w:rPr>
          <w:rFonts w:ascii="ZWAdobeF" w:hAnsi="ZWAdobeF" w:cs="ZWAdobeF"/>
          <w:color w:val="auto"/>
          <w:sz w:val="2"/>
          <w:szCs w:val="2"/>
        </w:rPr>
        <w:t>520B</w:t>
      </w:r>
      <w:r w:rsidR="00DD0F04">
        <w:t xml:space="preserve">Allowing the court to vary funding rates at settlement could introduce commercial uncertainty for litigation funders which may deter them from funding class actions in Aotearoa New Zealand. </w:t>
      </w:r>
      <w:r w:rsidR="00DD0F04">
        <w:rPr>
          <w:color w:val="000000"/>
        </w:rPr>
        <w:t>T</w:t>
      </w:r>
      <w:r w:rsidR="00DD0F04" w:rsidRPr="007F64D8">
        <w:rPr>
          <w:color w:val="000000"/>
        </w:rPr>
        <w:t xml:space="preserve">here may </w:t>
      </w:r>
      <w:r w:rsidR="00354875">
        <w:rPr>
          <w:color w:val="000000"/>
        </w:rPr>
        <w:t>also</w:t>
      </w:r>
      <w:r w:rsidR="009B3382">
        <w:rPr>
          <w:color w:val="000000"/>
        </w:rPr>
        <w:t xml:space="preserve"> </w:t>
      </w:r>
      <w:r w:rsidR="00DD0F04" w:rsidRPr="007F64D8">
        <w:rPr>
          <w:color w:val="000000"/>
        </w:rPr>
        <w:t xml:space="preserve">be a risk of hindsight bias </w:t>
      </w:r>
      <w:r w:rsidR="00DD0F04">
        <w:rPr>
          <w:color w:val="000000"/>
        </w:rPr>
        <w:t>if the courts can vary</w:t>
      </w:r>
      <w:r w:rsidR="00DD0F04" w:rsidRPr="007F64D8">
        <w:rPr>
          <w:color w:val="000000"/>
        </w:rPr>
        <w:t xml:space="preserve"> </w:t>
      </w:r>
      <w:r w:rsidR="00DD0F04" w:rsidRPr="007F64D8">
        <w:rPr>
          <w:color w:val="000000"/>
        </w:rPr>
        <w:lastRenderedPageBreak/>
        <w:t xml:space="preserve">a </w:t>
      </w:r>
      <w:r w:rsidR="00DD0F04">
        <w:rPr>
          <w:color w:val="000000"/>
        </w:rPr>
        <w:t xml:space="preserve">litigation funding commission </w:t>
      </w:r>
      <w:r w:rsidR="00DD0F04" w:rsidRPr="007F64D8">
        <w:rPr>
          <w:color w:val="000000"/>
        </w:rPr>
        <w:t xml:space="preserve">at a late stage of the proceeding. </w:t>
      </w:r>
      <w:r w:rsidR="00DD0F04">
        <w:rPr>
          <w:color w:val="000000"/>
        </w:rPr>
        <w:t>If the court should have a power to vary funding rates in cases where a class member has signed up to the agreement, it may be more appropriate to exercise this at an early stage of proceedings.</w:t>
      </w:r>
      <w:r w:rsidR="00D629FA">
        <w:rPr>
          <w:rFonts w:ascii="ZWAdobeF" w:hAnsi="ZWAdobeF" w:cs="ZWAdobeF"/>
          <w:color w:val="auto"/>
          <w:sz w:val="2"/>
          <w:szCs w:val="2"/>
        </w:rPr>
        <w:t>827F</w:t>
      </w:r>
      <w:r w:rsidR="007A330E">
        <w:rPr>
          <w:rFonts w:ascii="ZWAdobeF" w:hAnsi="ZWAdobeF" w:cs="ZWAdobeF"/>
          <w:color w:val="auto"/>
          <w:sz w:val="2"/>
          <w:szCs w:val="2"/>
        </w:rPr>
        <w:t>827F</w:t>
      </w:r>
      <w:r w:rsidR="00317AE4">
        <w:rPr>
          <w:rFonts w:ascii="ZWAdobeF" w:hAnsi="ZWAdobeF" w:cs="ZWAdobeF"/>
          <w:color w:val="auto"/>
          <w:sz w:val="2"/>
          <w:szCs w:val="2"/>
        </w:rPr>
        <w:t>827F</w:t>
      </w:r>
      <w:r w:rsidR="00DD0F04">
        <w:rPr>
          <w:rStyle w:val="FootnoteReference"/>
        </w:rPr>
        <w:footnoteReference w:id="829"/>
      </w:r>
      <w:r w:rsidR="00DD0F04">
        <w:rPr>
          <w:color w:val="000000"/>
        </w:rPr>
        <w:t xml:space="preserve"> </w:t>
      </w:r>
      <w:r w:rsidR="00DD0F04" w:rsidRPr="007F64D8">
        <w:rPr>
          <w:color w:val="000000"/>
        </w:rPr>
        <w:t xml:space="preserve">There is also a question of whether setting litigation funding rates is within the institutional competence of courts, although this could be addressed by appointing a court expert to assist with assessing funding rates. </w:t>
      </w:r>
      <w:r w:rsidR="00DD0F04">
        <w:rPr>
          <w:color w:val="000000"/>
        </w:rPr>
        <w:t>While these risks also exist with common fund orders, they may be justified because of the corresponding benefit to litigation funders of allowing them to collect a commission from all class members.</w:t>
      </w:r>
    </w:p>
    <w:p w14:paraId="3B29452F" w14:textId="72D69290" w:rsidR="00DD0F04" w:rsidRPr="00523C33" w:rsidRDefault="00BD5C95" w:rsidP="00B73434">
      <w:pPr>
        <w:pStyle w:val="BodyText"/>
        <w:numPr>
          <w:ilvl w:val="1"/>
          <w:numId w:val="52"/>
        </w:numPr>
        <w:tabs>
          <w:tab w:val="left" w:pos="709"/>
        </w:tabs>
        <w:ind w:hanging="709"/>
        <w:rPr>
          <w:color w:val="000000"/>
        </w:rPr>
      </w:pPr>
      <w:r>
        <w:rPr>
          <w:rFonts w:ascii="ZWAdobeF" w:hAnsi="ZWAdobeF" w:cs="ZWAdobeF"/>
          <w:color w:val="auto"/>
          <w:sz w:val="2"/>
          <w:szCs w:val="2"/>
        </w:rPr>
        <w:t>521B</w:t>
      </w:r>
      <w:r w:rsidR="0049638A">
        <w:rPr>
          <w:rFonts w:ascii="ZWAdobeF" w:hAnsi="ZWAdobeF" w:cs="ZWAdobeF"/>
          <w:color w:val="auto"/>
          <w:sz w:val="2"/>
          <w:szCs w:val="2"/>
        </w:rPr>
        <w:t>521B</w:t>
      </w:r>
      <w:r w:rsidR="00D629FA">
        <w:rPr>
          <w:rFonts w:ascii="ZWAdobeF" w:hAnsi="ZWAdobeF" w:cs="ZWAdobeF"/>
          <w:color w:val="auto"/>
          <w:sz w:val="2"/>
          <w:szCs w:val="2"/>
        </w:rPr>
        <w:t>521B</w:t>
      </w:r>
      <w:r w:rsidR="00DD0F04">
        <w:t>Giving the court a power to vary funding commissions at settlement may be particularly controversial in cases where class members have actively signed up to the terms of the funding agreement and agreed to the funding commission (such as in opt-in class actions).</w:t>
      </w:r>
      <w:r w:rsidR="00DD0F04">
        <w:rPr>
          <w:color w:val="000000"/>
        </w:rPr>
        <w:t xml:space="preserve"> </w:t>
      </w:r>
      <w:r w:rsidR="00DD0F04">
        <w:t xml:space="preserve">In Australia, there is some uncertainty as to whether </w:t>
      </w:r>
      <w:r w:rsidR="00DD0F04" w:rsidRPr="00936BF5">
        <w:rPr>
          <w:lang w:val="mi-NZ"/>
        </w:rPr>
        <w:t>courts have the power at settlement to vary the funding commission rate in a litigation funding agreement that class members have signed up to.</w:t>
      </w:r>
      <w:r w:rsidR="00D629FA">
        <w:rPr>
          <w:rFonts w:ascii="ZWAdobeF" w:hAnsi="ZWAdobeF" w:cs="ZWAdobeF"/>
          <w:color w:val="auto"/>
          <w:sz w:val="2"/>
          <w:szCs w:val="2"/>
          <w:lang w:val="mi-NZ"/>
        </w:rPr>
        <w:t>828F</w:t>
      </w:r>
      <w:r w:rsidR="007A330E">
        <w:rPr>
          <w:rFonts w:ascii="ZWAdobeF" w:hAnsi="ZWAdobeF" w:cs="ZWAdobeF"/>
          <w:color w:val="auto"/>
          <w:sz w:val="2"/>
          <w:szCs w:val="2"/>
          <w:lang w:val="mi-NZ"/>
        </w:rPr>
        <w:t>828F</w:t>
      </w:r>
      <w:r w:rsidR="00317AE4">
        <w:rPr>
          <w:rFonts w:ascii="ZWAdobeF" w:hAnsi="ZWAdobeF" w:cs="ZWAdobeF"/>
          <w:color w:val="auto"/>
          <w:sz w:val="2"/>
          <w:szCs w:val="2"/>
          <w:lang w:val="mi-NZ"/>
        </w:rPr>
        <w:t>828F</w:t>
      </w:r>
      <w:r w:rsidR="00DD0F04" w:rsidRPr="00387B91">
        <w:rPr>
          <w:vertAlign w:val="superscript"/>
          <w:lang w:val="mi-NZ"/>
        </w:rPr>
        <w:footnoteReference w:id="830"/>
      </w:r>
      <w:r w:rsidR="00DD0F04" w:rsidRPr="00936BF5">
        <w:rPr>
          <w:lang w:val="mi-NZ"/>
        </w:rPr>
        <w:t xml:space="preserve"> </w:t>
      </w:r>
    </w:p>
    <w:p w14:paraId="2E3211F5" w14:textId="1572AFBE" w:rsidR="00F95162" w:rsidRDefault="00F95162" w:rsidP="00F95162">
      <w:pPr>
        <w:pStyle w:val="QuestionBox"/>
      </w:pPr>
      <w:r>
        <w:rPr>
          <w:noProof/>
        </w:rPr>
        <mc:AlternateContent>
          <mc:Choice Requires="wpg">
            <w:drawing>
              <wp:anchor distT="0" distB="0" distL="114300" distR="114300" simplePos="0" relativeHeight="251652184" behindDoc="1" locked="0" layoutInCell="1" allowOverlap="1" wp14:anchorId="6BCCB7EE" wp14:editId="4A54496B">
                <wp:simplePos x="0" y="0"/>
                <wp:positionH relativeFrom="column">
                  <wp:posOffset>-3810</wp:posOffset>
                </wp:positionH>
                <wp:positionV relativeFrom="paragraph">
                  <wp:posOffset>3810</wp:posOffset>
                </wp:positionV>
                <wp:extent cx="5760085" cy="1063625"/>
                <wp:effectExtent l="0" t="0" r="0" b="3175"/>
                <wp:wrapNone/>
                <wp:docPr id="764518038" name="Group 764518038"/>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76451803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CD483C" w14:textId="77777777" w:rsidR="00A55F53" w:rsidRDefault="00A55F53" w:rsidP="00F95162">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40" name="Group 53"/>
                        <wpg:cNvGrpSpPr>
                          <a:grpSpLocks/>
                        </wpg:cNvGrpSpPr>
                        <wpg:grpSpPr bwMode="auto">
                          <a:xfrm>
                            <a:off x="0" y="316263"/>
                            <a:ext cx="5760085" cy="810335"/>
                            <a:chOff x="1837" y="1792"/>
                            <a:chExt cx="9302" cy="8753"/>
                          </a:xfrm>
                        </wpg:grpSpPr>
                        <wps:wsp>
                          <wps:cNvPr id="764518041"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42" name="Group 764518042"/>
                        <wpg:cNvGrpSpPr/>
                        <wpg:grpSpPr>
                          <a:xfrm>
                            <a:off x="0" y="494036"/>
                            <a:ext cx="1443794" cy="252000"/>
                            <a:chOff x="-15880" y="0"/>
                            <a:chExt cx="1444379" cy="252068"/>
                          </a:xfrm>
                        </wpg:grpSpPr>
                        <wps:wsp>
                          <wps:cNvPr id="76451804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46" name="Freeform 66"/>
                          <wps:cNvSpPr>
                            <a:spLocks/>
                          </wps:cNvSpPr>
                          <wps:spPr bwMode="auto">
                            <a:xfrm>
                              <a:off x="-15880" y="0"/>
                              <a:ext cx="432175"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540D65" w14:textId="304984AD" w:rsidR="00A55F53" w:rsidRPr="00E700FF" w:rsidRDefault="00A55F53" w:rsidP="00F95162">
                                <w:pPr>
                                  <w:pStyle w:val="BoxTitle"/>
                                  <w:spacing w:before="0" w:beforeAutospacing="0"/>
                                </w:pPr>
                                <w:r w:rsidRPr="001C1B37">
                                  <w:t>Q</w:t>
                                </w:r>
                                <w:r>
                                  <w:t>45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BCCB7EE" id="Group 764518038" o:spid="_x0000_s1515" style="position:absolute;left:0;text-align:left;margin-left:-.3pt;margin-top:.3pt;width:453.55pt;height:83.75pt;z-index:-251664296;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">
                <v:shape id="_x0000_s151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ECD483C" w14:textId="77777777" w:rsidR="00A55F53" w:rsidRDefault="00A55F53" w:rsidP="00F95162">
                        <w:pPr>
                          <w:pStyle w:val="BoxTitle"/>
                          <w:spacing w:before="0" w:beforeAutospacing="0"/>
                        </w:pPr>
                        <w:r w:rsidRPr="007F6876">
                          <w:t>QUESTION</w:t>
                        </w:r>
                      </w:p>
                    </w:txbxContent>
                  </v:textbox>
                </v:shape>
                <v:group id="Group 53" o:spid="_x0000_s1517"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">
                  <v:shape id="Freeform 54" o:spid="_x0000_s1518"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" path="m,l9354,r,7809l,7809,,e" fillcolor="#edf2ea" stroked="f">
                    <v:path arrowok="t" o:connecttype="custom" o:connectlocs="0,1121;9302,1121;9302,9874;0,9874;0,1121" o:connectangles="0,0,0,0,0"/>
                  </v:shape>
                </v:group>
                <v:group id="Group 764518042" o:spid="_x0000_s151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">
                  <v:shape id="Freeform 58" o:spid="_x0000_s1520"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" path="m,l1815,e" filled="f" strokecolor="#72ab6a" strokeweight=".5pt">
                    <v:path arrowok="t" o:connecttype="custom" o:connectlocs="0,0;1073495,0" o:connectangles="0,0"/>
                  </v:shape>
                  <v:shape id="Freeform 66" o:spid="_x0000_s1521" style="position:absolute;left:-158;width:4320;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" adj="-11796480,,5400" path="m,470r642,l642,,,,,470e" fillcolor="#72ab6a" stroked="f">
                    <v:stroke joinstyle="round"/>
                    <v:formulas/>
                    <v:path arrowok="t" o:connecttype="custom" o:connectlocs="0,2317953;431503,2317953;431503,2065885;0,2065885;0,2317953" o:connectangles="0,0,0,0,0" textboxrect="0,0,643,470"/>
                    <v:textbox inset="1.5mm,2.3mm">
                      <w:txbxContent>
                        <w:p w14:paraId="54540D65" w14:textId="304984AD" w:rsidR="00A55F53" w:rsidRPr="00E700FF" w:rsidRDefault="00A55F53" w:rsidP="00F95162">
                          <w:pPr>
                            <w:pStyle w:val="BoxTitle"/>
                            <w:spacing w:before="0" w:beforeAutospacing="0"/>
                          </w:pPr>
                          <w:r w:rsidRPr="001C1B37">
                            <w:t>Q</w:t>
                          </w:r>
                          <w:r>
                            <w:t>45</w:t>
                          </w:r>
                        </w:p>
                      </w:txbxContent>
                    </v:textbox>
                  </v:shape>
                </v:group>
              </v:group>
            </w:pict>
          </mc:Fallback>
        </mc:AlternateContent>
      </w:r>
    </w:p>
    <w:p w14:paraId="420EDD47" w14:textId="77777777" w:rsidR="00F95162" w:rsidRDefault="00F95162" w:rsidP="00F95162">
      <w:pPr>
        <w:pStyle w:val="QuestionBox"/>
      </w:pPr>
    </w:p>
    <w:p w14:paraId="395000C7" w14:textId="48FA4260" w:rsidR="00DD0F04" w:rsidRPr="00FA2CA0" w:rsidRDefault="00BD5C95" w:rsidP="00F95162">
      <w:pPr>
        <w:pStyle w:val="QuestionBox"/>
      </w:pPr>
      <w:r>
        <w:rPr>
          <w:rFonts w:ascii="ZWAdobeF" w:hAnsi="ZWAdobeF" w:cs="ZWAdobeF"/>
          <w:color w:val="auto"/>
          <w:sz w:val="2"/>
          <w:szCs w:val="2"/>
        </w:rPr>
        <w:t>1450B</w:t>
      </w:r>
      <w:r w:rsidR="0049638A">
        <w:rPr>
          <w:rFonts w:ascii="ZWAdobeF" w:hAnsi="ZWAdobeF" w:cs="ZWAdobeF"/>
          <w:color w:val="auto"/>
          <w:sz w:val="2"/>
          <w:szCs w:val="2"/>
        </w:rPr>
        <w:t>1450B</w:t>
      </w:r>
      <w:r w:rsidR="00D629FA">
        <w:rPr>
          <w:rFonts w:ascii="ZWAdobeF" w:hAnsi="ZWAdobeF" w:cs="ZWAdobeF"/>
          <w:color w:val="auto"/>
          <w:sz w:val="2"/>
          <w:szCs w:val="2"/>
        </w:rPr>
        <w:t>1450B</w:t>
      </w:r>
      <w:r w:rsidR="00DD0F04">
        <w:t>Should the court have an express power to amend litigation funding commission</w:t>
      </w:r>
      <w:r w:rsidR="009862E2">
        <w:t>s</w:t>
      </w:r>
      <w:r w:rsidR="00DD0F04">
        <w:t xml:space="preserve"> at settlement</w:t>
      </w:r>
      <w:r w:rsidR="00DD0F04" w:rsidDel="00E50154">
        <w:t xml:space="preserve">? </w:t>
      </w:r>
    </w:p>
    <w:p w14:paraId="2B82AA55" w14:textId="77777777" w:rsidR="00F95162" w:rsidRPr="00FA2CA0" w:rsidRDefault="00F95162" w:rsidP="00F95162">
      <w:pPr>
        <w:pStyle w:val="QuestionBox"/>
      </w:pPr>
    </w:p>
    <w:p w14:paraId="4D3AB0ED" w14:textId="77777777" w:rsidR="00DD0F04" w:rsidRDefault="00DD0F04" w:rsidP="00A465DA">
      <w:pPr>
        <w:pStyle w:val="Heading2"/>
      </w:pPr>
      <w:bookmarkStart w:id="103" w:name="_Toc83895463"/>
      <w:r>
        <w:t>Finalising the class for settlement</w:t>
      </w:r>
      <w:bookmarkEnd w:id="103"/>
    </w:p>
    <w:p w14:paraId="5FA25DBF" w14:textId="35924F55" w:rsidR="00DD0F04" w:rsidRDefault="00BD5C95" w:rsidP="00B73434">
      <w:pPr>
        <w:pStyle w:val="BodyText"/>
        <w:numPr>
          <w:ilvl w:val="1"/>
          <w:numId w:val="52"/>
        </w:numPr>
        <w:tabs>
          <w:tab w:val="left" w:pos="709"/>
        </w:tabs>
        <w:ind w:hanging="709"/>
      </w:pPr>
      <w:r>
        <w:rPr>
          <w:rFonts w:ascii="ZWAdobeF" w:hAnsi="ZWAdobeF" w:cs="ZWAdobeF"/>
          <w:color w:val="auto"/>
          <w:sz w:val="2"/>
          <w:szCs w:val="2"/>
        </w:rPr>
        <w:t>522B</w:t>
      </w:r>
      <w:r w:rsidR="0049638A">
        <w:rPr>
          <w:rFonts w:ascii="ZWAdobeF" w:hAnsi="ZWAdobeF" w:cs="ZWAdobeF"/>
          <w:color w:val="auto"/>
          <w:sz w:val="2"/>
          <w:szCs w:val="2"/>
        </w:rPr>
        <w:t>522B</w:t>
      </w:r>
      <w:r w:rsidR="00D629FA">
        <w:rPr>
          <w:rFonts w:ascii="ZWAdobeF" w:hAnsi="ZWAdobeF" w:cs="ZWAdobeF"/>
          <w:color w:val="auto"/>
          <w:sz w:val="2"/>
          <w:szCs w:val="2"/>
        </w:rPr>
        <w:t>522B</w:t>
      </w:r>
      <w:r w:rsidR="00DD0F04">
        <w:t>In this section we discuss several issues associated with finalising the class for settlement:</w:t>
      </w:r>
    </w:p>
    <w:p w14:paraId="72F34692" w14:textId="38B291DB" w:rsidR="00DD0F04" w:rsidRDefault="00BD5C95" w:rsidP="00932DB9">
      <w:pPr>
        <w:pStyle w:val="BodyTextnonum"/>
        <w:numPr>
          <w:ilvl w:val="3"/>
          <w:numId w:val="15"/>
        </w:numPr>
      </w:pPr>
      <w:r>
        <w:rPr>
          <w:rFonts w:ascii="ZWAdobeF" w:hAnsi="ZWAdobeF" w:cs="ZWAdobeF"/>
          <w:color w:val="auto"/>
          <w:sz w:val="2"/>
          <w:szCs w:val="2"/>
        </w:rPr>
        <w:t>838B</w:t>
      </w:r>
      <w:r w:rsidR="0049638A">
        <w:rPr>
          <w:rFonts w:ascii="ZWAdobeF" w:hAnsi="ZWAdobeF" w:cs="ZWAdobeF"/>
          <w:color w:val="auto"/>
          <w:sz w:val="2"/>
          <w:szCs w:val="2"/>
        </w:rPr>
        <w:t>838B</w:t>
      </w:r>
      <w:r w:rsidR="00D629FA">
        <w:rPr>
          <w:rFonts w:ascii="ZWAdobeF" w:hAnsi="ZWAdobeF" w:cs="ZWAdobeF"/>
          <w:color w:val="auto"/>
          <w:sz w:val="2"/>
          <w:szCs w:val="2"/>
        </w:rPr>
        <w:t>838B</w:t>
      </w:r>
      <w:r w:rsidR="00DD0F04">
        <w:t xml:space="preserve">Whether there should be a power to convert an opt-out class action to </w:t>
      </w:r>
      <w:r w:rsidR="00214409">
        <w:t xml:space="preserve">an </w:t>
      </w:r>
      <w:r w:rsidR="00DD0F04">
        <w:t xml:space="preserve">opt-in </w:t>
      </w:r>
      <w:r w:rsidR="00214409">
        <w:t xml:space="preserve">class action </w:t>
      </w:r>
      <w:r w:rsidR="00DD0F04">
        <w:t>for the purposes of settlement.</w:t>
      </w:r>
    </w:p>
    <w:p w14:paraId="79E7353D" w14:textId="510144A0" w:rsidR="00DD0F04" w:rsidRDefault="00BD5C95" w:rsidP="00932DB9">
      <w:pPr>
        <w:pStyle w:val="BodyTextnonum"/>
        <w:numPr>
          <w:ilvl w:val="3"/>
          <w:numId w:val="15"/>
        </w:numPr>
      </w:pPr>
      <w:r>
        <w:rPr>
          <w:rFonts w:ascii="ZWAdobeF" w:hAnsi="ZWAdobeF" w:cs="ZWAdobeF"/>
          <w:color w:val="auto"/>
          <w:sz w:val="2"/>
          <w:szCs w:val="2"/>
        </w:rPr>
        <w:t>839B</w:t>
      </w:r>
      <w:r w:rsidR="0049638A">
        <w:rPr>
          <w:rFonts w:ascii="ZWAdobeF" w:hAnsi="ZWAdobeF" w:cs="ZWAdobeF"/>
          <w:color w:val="auto"/>
          <w:sz w:val="2"/>
          <w:szCs w:val="2"/>
        </w:rPr>
        <w:t>839B</w:t>
      </w:r>
      <w:r w:rsidR="00D629FA">
        <w:rPr>
          <w:rFonts w:ascii="ZWAdobeF" w:hAnsi="ZWAdobeF" w:cs="ZWAdobeF"/>
          <w:color w:val="auto"/>
          <w:sz w:val="2"/>
          <w:szCs w:val="2"/>
        </w:rPr>
        <w:t>839B</w:t>
      </w:r>
      <w:r w:rsidR="00DD0F04">
        <w:t>Whether class members should have an ability to opt</w:t>
      </w:r>
      <w:r w:rsidR="00414C1D">
        <w:t xml:space="preserve"> </w:t>
      </w:r>
      <w:r w:rsidR="00DD0F04">
        <w:t xml:space="preserve">out of a settlement.  </w:t>
      </w:r>
    </w:p>
    <w:p w14:paraId="35F25C13" w14:textId="433E8857" w:rsidR="00DD0F04" w:rsidRDefault="00BD5C95" w:rsidP="00932DB9">
      <w:pPr>
        <w:pStyle w:val="BodyTextnonum"/>
        <w:numPr>
          <w:ilvl w:val="3"/>
          <w:numId w:val="15"/>
        </w:numPr>
      </w:pPr>
      <w:r>
        <w:rPr>
          <w:rFonts w:ascii="ZWAdobeF" w:hAnsi="ZWAdobeF" w:cs="ZWAdobeF"/>
          <w:color w:val="auto"/>
          <w:sz w:val="2"/>
          <w:szCs w:val="2"/>
        </w:rPr>
        <w:t>840B</w:t>
      </w:r>
      <w:r w:rsidR="0049638A">
        <w:rPr>
          <w:rFonts w:ascii="ZWAdobeF" w:hAnsi="ZWAdobeF" w:cs="ZWAdobeF"/>
          <w:color w:val="auto"/>
          <w:sz w:val="2"/>
          <w:szCs w:val="2"/>
        </w:rPr>
        <w:t>840B</w:t>
      </w:r>
      <w:r w:rsidR="00D629FA">
        <w:rPr>
          <w:rFonts w:ascii="ZWAdobeF" w:hAnsi="ZWAdobeF" w:cs="ZWAdobeF"/>
          <w:color w:val="auto"/>
          <w:sz w:val="2"/>
          <w:szCs w:val="2"/>
        </w:rPr>
        <w:t>840B</w:t>
      </w:r>
      <w:r w:rsidR="00DD0F04">
        <w:t xml:space="preserve">Certification for the purposes of settlement.  </w:t>
      </w:r>
    </w:p>
    <w:p w14:paraId="2DC30292" w14:textId="77777777" w:rsidR="00DD0F04" w:rsidRDefault="00DD0F04" w:rsidP="00194C9B">
      <w:pPr>
        <w:pStyle w:val="Heading3"/>
      </w:pPr>
      <w:r>
        <w:t>Converting an opt-out class action to opt-in for settlement</w:t>
      </w:r>
    </w:p>
    <w:p w14:paraId="2D466153" w14:textId="32A3714E" w:rsidR="00DD0F04" w:rsidRDefault="00BD5C95" w:rsidP="00B73434">
      <w:pPr>
        <w:pStyle w:val="BodyText"/>
        <w:numPr>
          <w:ilvl w:val="1"/>
          <w:numId w:val="52"/>
        </w:numPr>
        <w:tabs>
          <w:tab w:val="left" w:pos="709"/>
        </w:tabs>
        <w:ind w:hanging="709"/>
      </w:pPr>
      <w:r>
        <w:rPr>
          <w:rFonts w:ascii="ZWAdobeF" w:hAnsi="ZWAdobeF" w:cs="ZWAdobeF"/>
          <w:color w:val="auto"/>
          <w:sz w:val="2"/>
          <w:szCs w:val="2"/>
        </w:rPr>
        <w:t>523B</w:t>
      </w:r>
      <w:r w:rsidR="0049638A">
        <w:rPr>
          <w:rFonts w:ascii="ZWAdobeF" w:hAnsi="ZWAdobeF" w:cs="ZWAdobeF"/>
          <w:color w:val="auto"/>
          <w:sz w:val="2"/>
          <w:szCs w:val="2"/>
        </w:rPr>
        <w:t>523B</w:t>
      </w:r>
      <w:r w:rsidR="00D629FA">
        <w:rPr>
          <w:rFonts w:ascii="ZWAdobeF" w:hAnsi="ZWAdobeF" w:cs="ZWAdobeF"/>
          <w:color w:val="auto"/>
          <w:sz w:val="2"/>
          <w:szCs w:val="2"/>
        </w:rPr>
        <w:t>523B</w:t>
      </w:r>
      <w:r w:rsidR="00DD0F04">
        <w:t xml:space="preserve">In an opt-out class action, the identity of many class members and the circumstances of their claims will likely be unknown. This lack of information can inhibit settlement discussions as parties may be reluctant to agree to settlement proposals without knowing how many class members could be eligible and the details of their claims. </w:t>
      </w:r>
    </w:p>
    <w:p w14:paraId="00106F2B" w14:textId="48E8CD27" w:rsidR="00DD0F04" w:rsidRDefault="00BD5C95" w:rsidP="00B73434">
      <w:pPr>
        <w:pStyle w:val="BodyText"/>
        <w:numPr>
          <w:ilvl w:val="1"/>
          <w:numId w:val="52"/>
        </w:numPr>
        <w:tabs>
          <w:tab w:val="left" w:pos="709"/>
        </w:tabs>
        <w:ind w:hanging="709"/>
      </w:pPr>
      <w:r>
        <w:rPr>
          <w:rFonts w:ascii="ZWAdobeF" w:hAnsi="ZWAdobeF" w:cs="ZWAdobeF"/>
          <w:color w:val="auto"/>
          <w:sz w:val="2"/>
          <w:szCs w:val="2"/>
        </w:rPr>
        <w:t>524B</w:t>
      </w:r>
      <w:r w:rsidR="0049638A">
        <w:rPr>
          <w:rFonts w:ascii="ZWAdobeF" w:hAnsi="ZWAdobeF" w:cs="ZWAdobeF"/>
          <w:color w:val="auto"/>
          <w:sz w:val="2"/>
          <w:szCs w:val="2"/>
        </w:rPr>
        <w:t>524B</w:t>
      </w:r>
      <w:r w:rsidR="00D629FA">
        <w:rPr>
          <w:rFonts w:ascii="ZWAdobeF" w:hAnsi="ZWAdobeF" w:cs="ZWAdobeF"/>
          <w:color w:val="auto"/>
          <w:sz w:val="2"/>
          <w:szCs w:val="2"/>
        </w:rPr>
        <w:t>524B</w:t>
      </w:r>
      <w:r w:rsidR="00DD0F04">
        <w:t xml:space="preserve">In Australia, the parties have managed this issue by seeking class closure orders from the courts. A class closure order effectively converts an opt-out class action to an opt-in class action for the purposes of settlement. Class closure orders are commonly sought to facilitate a mediation or settlement but may also be sought as part of the settlement </w:t>
      </w:r>
      <w:r w:rsidR="00DD0F04">
        <w:lastRenderedPageBreak/>
        <w:t>approval process or after the court has given judgment on the common issues.</w:t>
      </w:r>
      <w:r w:rsidR="00D629FA">
        <w:rPr>
          <w:rFonts w:ascii="ZWAdobeF" w:hAnsi="ZWAdobeF" w:cs="ZWAdobeF"/>
          <w:color w:val="auto"/>
          <w:sz w:val="2"/>
          <w:szCs w:val="2"/>
        </w:rPr>
        <w:t>829F</w:t>
      </w:r>
      <w:r w:rsidR="007A330E">
        <w:rPr>
          <w:rFonts w:ascii="ZWAdobeF" w:hAnsi="ZWAdobeF" w:cs="ZWAdobeF"/>
          <w:color w:val="auto"/>
          <w:sz w:val="2"/>
          <w:szCs w:val="2"/>
        </w:rPr>
        <w:t>829F</w:t>
      </w:r>
      <w:r w:rsidR="00317AE4">
        <w:rPr>
          <w:rFonts w:ascii="ZWAdobeF" w:hAnsi="ZWAdobeF" w:cs="ZWAdobeF"/>
          <w:color w:val="auto"/>
          <w:sz w:val="2"/>
          <w:szCs w:val="2"/>
        </w:rPr>
        <w:t>829F</w:t>
      </w:r>
      <w:r w:rsidR="00DD0F04">
        <w:rPr>
          <w:rStyle w:val="FootnoteReference"/>
        </w:rPr>
        <w:footnoteReference w:id="831"/>
      </w:r>
      <w:r w:rsidR="00DD0F04">
        <w:t xml:space="preserve"> One form of class closure order requires class members to identify themselves and provide specified information about their claim by a certain date. If a class member fails to do so, they will not be eligible for any benefit from the settlement but will still be bound by its terms, so cannot not bring a subsequent claim.</w:t>
      </w:r>
      <w:r w:rsidR="00D629FA">
        <w:rPr>
          <w:rFonts w:ascii="ZWAdobeF" w:hAnsi="ZWAdobeF" w:cs="ZWAdobeF"/>
          <w:color w:val="auto"/>
          <w:sz w:val="2"/>
          <w:szCs w:val="2"/>
        </w:rPr>
        <w:t>830F</w:t>
      </w:r>
      <w:r w:rsidR="007A330E">
        <w:rPr>
          <w:rFonts w:ascii="ZWAdobeF" w:hAnsi="ZWAdobeF" w:cs="ZWAdobeF"/>
          <w:color w:val="auto"/>
          <w:sz w:val="2"/>
          <w:szCs w:val="2"/>
        </w:rPr>
        <w:t>830F</w:t>
      </w:r>
      <w:r w:rsidR="00317AE4">
        <w:rPr>
          <w:rFonts w:ascii="ZWAdobeF" w:hAnsi="ZWAdobeF" w:cs="ZWAdobeF"/>
          <w:color w:val="auto"/>
          <w:sz w:val="2"/>
          <w:szCs w:val="2"/>
        </w:rPr>
        <w:t>830F</w:t>
      </w:r>
      <w:r w:rsidR="00DD0F04">
        <w:rPr>
          <w:rStyle w:val="FootnoteReference"/>
        </w:rPr>
        <w:footnoteReference w:id="832"/>
      </w:r>
      <w:r w:rsidR="00DD0F04">
        <w:t xml:space="preserve"> Another way of closing the class is to amend the class definition so it is limited to those who have registered to participate in the class action. Those who do not register cannot participate in the settlement but are not bound by it and do not have their claim extinguished.</w:t>
      </w:r>
      <w:r w:rsidR="00D629FA">
        <w:rPr>
          <w:rFonts w:ascii="ZWAdobeF" w:hAnsi="ZWAdobeF" w:cs="ZWAdobeF"/>
          <w:color w:val="auto"/>
          <w:sz w:val="2"/>
          <w:szCs w:val="2"/>
        </w:rPr>
        <w:t>831F</w:t>
      </w:r>
      <w:r w:rsidR="007A330E">
        <w:rPr>
          <w:rFonts w:ascii="ZWAdobeF" w:hAnsi="ZWAdobeF" w:cs="ZWAdobeF"/>
          <w:color w:val="auto"/>
          <w:sz w:val="2"/>
          <w:szCs w:val="2"/>
        </w:rPr>
        <w:t>831F</w:t>
      </w:r>
      <w:r w:rsidR="00317AE4">
        <w:rPr>
          <w:rFonts w:ascii="ZWAdobeF" w:hAnsi="ZWAdobeF" w:cs="ZWAdobeF"/>
          <w:color w:val="auto"/>
          <w:sz w:val="2"/>
          <w:szCs w:val="2"/>
        </w:rPr>
        <w:t>831F</w:t>
      </w:r>
      <w:r w:rsidR="00DD0F04">
        <w:rPr>
          <w:rStyle w:val="FootnoteReference"/>
        </w:rPr>
        <w:footnoteReference w:id="833"/>
      </w:r>
    </w:p>
    <w:p w14:paraId="11857913" w14:textId="4B2E9D53" w:rsidR="00DD0F04" w:rsidRDefault="00BD5C95" w:rsidP="00B73434">
      <w:pPr>
        <w:pStyle w:val="BodyText"/>
        <w:numPr>
          <w:ilvl w:val="1"/>
          <w:numId w:val="52"/>
        </w:numPr>
        <w:tabs>
          <w:tab w:val="left" w:pos="709"/>
        </w:tabs>
        <w:ind w:hanging="709"/>
      </w:pPr>
      <w:r>
        <w:rPr>
          <w:rFonts w:ascii="ZWAdobeF" w:hAnsi="ZWAdobeF" w:cs="ZWAdobeF"/>
          <w:color w:val="auto"/>
          <w:sz w:val="2"/>
          <w:szCs w:val="2"/>
        </w:rPr>
        <w:t>525B</w:t>
      </w:r>
      <w:r w:rsidR="0049638A">
        <w:rPr>
          <w:rFonts w:ascii="ZWAdobeF" w:hAnsi="ZWAdobeF" w:cs="ZWAdobeF"/>
          <w:color w:val="auto"/>
          <w:sz w:val="2"/>
          <w:szCs w:val="2"/>
        </w:rPr>
        <w:t>525B</w:t>
      </w:r>
      <w:r w:rsidR="00D629FA">
        <w:rPr>
          <w:rFonts w:ascii="ZWAdobeF" w:hAnsi="ZWAdobeF" w:cs="ZWAdobeF"/>
          <w:color w:val="auto"/>
          <w:sz w:val="2"/>
          <w:szCs w:val="2"/>
        </w:rPr>
        <w:t>525B</w:t>
      </w:r>
      <w:r w:rsidR="00DD0F04">
        <w:t>The ALRC has noted that it has become routine for parties in shareholder class actions to apply for class closure prior to mediation because it would otherwise be difficult to assess how many individuals fall within the class definition and their estimated loss.</w:t>
      </w:r>
      <w:r w:rsidR="00D629FA">
        <w:rPr>
          <w:rFonts w:ascii="ZWAdobeF" w:hAnsi="ZWAdobeF" w:cs="ZWAdobeF"/>
          <w:color w:val="auto"/>
          <w:sz w:val="2"/>
          <w:szCs w:val="2"/>
        </w:rPr>
        <w:t>832F</w:t>
      </w:r>
      <w:r w:rsidR="007A330E">
        <w:rPr>
          <w:rFonts w:ascii="ZWAdobeF" w:hAnsi="ZWAdobeF" w:cs="ZWAdobeF"/>
          <w:color w:val="auto"/>
          <w:sz w:val="2"/>
          <w:szCs w:val="2"/>
        </w:rPr>
        <w:t>832F</w:t>
      </w:r>
      <w:r w:rsidR="00317AE4">
        <w:rPr>
          <w:rFonts w:ascii="ZWAdobeF" w:hAnsi="ZWAdobeF" w:cs="ZWAdobeF"/>
          <w:color w:val="auto"/>
          <w:sz w:val="2"/>
          <w:szCs w:val="2"/>
        </w:rPr>
        <w:t>832F</w:t>
      </w:r>
      <w:r w:rsidR="00DD0F04">
        <w:rPr>
          <w:rStyle w:val="FootnoteReference"/>
        </w:rPr>
        <w:footnoteReference w:id="834"/>
      </w:r>
      <w:r w:rsidR="00DD0F04">
        <w:t xml:space="preserve"> However, it said that class closure was not always necessary in other types of class actions where the parties agree to settle on an aggregate basis.</w:t>
      </w:r>
      <w:r w:rsidR="00D629FA">
        <w:rPr>
          <w:rFonts w:ascii="ZWAdobeF" w:hAnsi="ZWAdobeF" w:cs="ZWAdobeF"/>
          <w:color w:val="auto"/>
          <w:sz w:val="2"/>
          <w:szCs w:val="2"/>
        </w:rPr>
        <w:t>833F</w:t>
      </w:r>
      <w:r w:rsidR="007A330E">
        <w:rPr>
          <w:rFonts w:ascii="ZWAdobeF" w:hAnsi="ZWAdobeF" w:cs="ZWAdobeF"/>
          <w:color w:val="auto"/>
          <w:sz w:val="2"/>
          <w:szCs w:val="2"/>
        </w:rPr>
        <w:t>833F</w:t>
      </w:r>
      <w:r w:rsidR="00317AE4">
        <w:rPr>
          <w:rFonts w:ascii="ZWAdobeF" w:hAnsi="ZWAdobeF" w:cs="ZWAdobeF"/>
          <w:color w:val="auto"/>
          <w:sz w:val="2"/>
          <w:szCs w:val="2"/>
        </w:rPr>
        <w:t>833F</w:t>
      </w:r>
      <w:r w:rsidR="00DD0F04">
        <w:rPr>
          <w:rStyle w:val="FootnoteReference"/>
        </w:rPr>
        <w:footnoteReference w:id="835"/>
      </w:r>
      <w:r w:rsidR="00DD0F04">
        <w:t xml:space="preserve"> </w:t>
      </w:r>
    </w:p>
    <w:p w14:paraId="48828713" w14:textId="22C801C0" w:rsidR="00DD0F04" w:rsidRDefault="00BD5C95" w:rsidP="00B73434">
      <w:pPr>
        <w:pStyle w:val="BodyText"/>
        <w:numPr>
          <w:ilvl w:val="1"/>
          <w:numId w:val="52"/>
        </w:numPr>
        <w:tabs>
          <w:tab w:val="left" w:pos="709"/>
        </w:tabs>
        <w:ind w:hanging="709"/>
      </w:pPr>
      <w:r>
        <w:rPr>
          <w:rFonts w:ascii="ZWAdobeF" w:hAnsi="ZWAdobeF" w:cs="ZWAdobeF"/>
          <w:color w:val="auto"/>
          <w:sz w:val="2"/>
          <w:szCs w:val="2"/>
        </w:rPr>
        <w:t>526B</w:t>
      </w:r>
      <w:r w:rsidR="0049638A">
        <w:rPr>
          <w:rFonts w:ascii="ZWAdobeF" w:hAnsi="ZWAdobeF" w:cs="ZWAdobeF"/>
          <w:color w:val="auto"/>
          <w:sz w:val="2"/>
          <w:szCs w:val="2"/>
        </w:rPr>
        <w:t>526B</w:t>
      </w:r>
      <w:r w:rsidR="00D629FA">
        <w:rPr>
          <w:rFonts w:ascii="ZWAdobeF" w:hAnsi="ZWAdobeF" w:cs="ZWAdobeF"/>
          <w:color w:val="auto"/>
          <w:sz w:val="2"/>
          <w:szCs w:val="2"/>
        </w:rPr>
        <w:t>526B</w:t>
      </w:r>
      <w:r w:rsidR="00DD0F04">
        <w:t>The class actions regime in Victoria has an express power to make class closure orders.</w:t>
      </w:r>
      <w:r w:rsidR="00D629FA">
        <w:rPr>
          <w:rFonts w:ascii="ZWAdobeF" w:hAnsi="ZWAdobeF" w:cs="ZWAdobeF"/>
          <w:color w:val="auto"/>
          <w:sz w:val="2"/>
          <w:szCs w:val="2"/>
        </w:rPr>
        <w:t>834F</w:t>
      </w:r>
      <w:r w:rsidR="007A330E">
        <w:rPr>
          <w:rFonts w:ascii="ZWAdobeF" w:hAnsi="ZWAdobeF" w:cs="ZWAdobeF"/>
          <w:color w:val="auto"/>
          <w:sz w:val="2"/>
          <w:szCs w:val="2"/>
        </w:rPr>
        <w:t>834F</w:t>
      </w:r>
      <w:r w:rsidR="00317AE4">
        <w:rPr>
          <w:rFonts w:ascii="ZWAdobeF" w:hAnsi="ZWAdobeF" w:cs="ZWAdobeF"/>
          <w:color w:val="auto"/>
          <w:sz w:val="2"/>
          <w:szCs w:val="2"/>
        </w:rPr>
        <w:t>834F</w:t>
      </w:r>
      <w:r w:rsidR="00DD0F04">
        <w:rPr>
          <w:rStyle w:val="FootnoteReference"/>
        </w:rPr>
        <w:footnoteReference w:id="836"/>
      </w:r>
      <w:r w:rsidR="00DD0F04">
        <w:t xml:space="preserve"> There is no express power to make class closure orders in the federal legislation and so the Federal Court has relied on its general power to make orders in class actions.</w:t>
      </w:r>
      <w:r w:rsidR="00D629FA">
        <w:rPr>
          <w:rFonts w:ascii="ZWAdobeF" w:hAnsi="ZWAdobeF" w:cs="ZWAdobeF"/>
          <w:color w:val="auto"/>
          <w:sz w:val="2"/>
          <w:szCs w:val="2"/>
        </w:rPr>
        <w:t>835F</w:t>
      </w:r>
      <w:r w:rsidR="007A330E">
        <w:rPr>
          <w:rFonts w:ascii="ZWAdobeF" w:hAnsi="ZWAdobeF" w:cs="ZWAdobeF"/>
          <w:color w:val="auto"/>
          <w:sz w:val="2"/>
          <w:szCs w:val="2"/>
        </w:rPr>
        <w:t>835F</w:t>
      </w:r>
      <w:r w:rsidR="00317AE4">
        <w:rPr>
          <w:rFonts w:ascii="ZWAdobeF" w:hAnsi="ZWAdobeF" w:cs="ZWAdobeF"/>
          <w:color w:val="auto"/>
          <w:sz w:val="2"/>
          <w:szCs w:val="2"/>
        </w:rPr>
        <w:t>835F</w:t>
      </w:r>
      <w:r w:rsidR="00DD0F04">
        <w:rPr>
          <w:rStyle w:val="FootnoteReference"/>
        </w:rPr>
        <w:footnoteReference w:id="837"/>
      </w:r>
      <w:r w:rsidR="00DD0F04">
        <w:t xml:space="preserve"> However, recent court decisions indicate that the Federal Court may not have the power to order class closure prior to a settlement or judgment under its general power.</w:t>
      </w:r>
      <w:r w:rsidR="00D629FA">
        <w:rPr>
          <w:rFonts w:ascii="ZWAdobeF" w:hAnsi="ZWAdobeF" w:cs="ZWAdobeF"/>
          <w:color w:val="auto"/>
          <w:sz w:val="2"/>
          <w:szCs w:val="2"/>
        </w:rPr>
        <w:t>836F</w:t>
      </w:r>
      <w:r w:rsidR="007A330E">
        <w:rPr>
          <w:rFonts w:ascii="ZWAdobeF" w:hAnsi="ZWAdobeF" w:cs="ZWAdobeF"/>
          <w:color w:val="auto"/>
          <w:sz w:val="2"/>
          <w:szCs w:val="2"/>
        </w:rPr>
        <w:t>836F</w:t>
      </w:r>
      <w:r w:rsidR="00317AE4">
        <w:rPr>
          <w:rFonts w:ascii="ZWAdobeF" w:hAnsi="ZWAdobeF" w:cs="ZWAdobeF"/>
          <w:color w:val="auto"/>
          <w:sz w:val="2"/>
          <w:szCs w:val="2"/>
        </w:rPr>
        <w:t>836F</w:t>
      </w:r>
      <w:r w:rsidR="00DD0F04">
        <w:rPr>
          <w:rStyle w:val="FootnoteReference"/>
        </w:rPr>
        <w:footnoteReference w:id="838"/>
      </w:r>
      <w:r w:rsidR="00DD0F04">
        <w:t xml:space="preserve"> In light of this, the Australian Parliamentary Inquiry recommended that the federal legislation should be amended to introduce an express power to make class closure orders.</w:t>
      </w:r>
      <w:r w:rsidR="00D629FA">
        <w:rPr>
          <w:rFonts w:ascii="ZWAdobeF" w:hAnsi="ZWAdobeF" w:cs="ZWAdobeF"/>
          <w:color w:val="auto"/>
          <w:sz w:val="2"/>
          <w:szCs w:val="2"/>
        </w:rPr>
        <w:t>837F</w:t>
      </w:r>
      <w:r w:rsidR="007A330E">
        <w:rPr>
          <w:rFonts w:ascii="ZWAdobeF" w:hAnsi="ZWAdobeF" w:cs="ZWAdobeF"/>
          <w:color w:val="auto"/>
          <w:sz w:val="2"/>
          <w:szCs w:val="2"/>
        </w:rPr>
        <w:t>837F</w:t>
      </w:r>
      <w:r w:rsidR="00317AE4">
        <w:rPr>
          <w:rFonts w:ascii="ZWAdobeF" w:hAnsi="ZWAdobeF" w:cs="ZWAdobeF"/>
          <w:color w:val="auto"/>
          <w:sz w:val="2"/>
          <w:szCs w:val="2"/>
        </w:rPr>
        <w:t>837F</w:t>
      </w:r>
      <w:r w:rsidR="00DD0F04">
        <w:rPr>
          <w:rStyle w:val="FootnoteReference"/>
        </w:rPr>
        <w:footnoteReference w:id="839"/>
      </w:r>
      <w:r w:rsidR="00DD0F04">
        <w:t xml:space="preserve"> It said </w:t>
      </w:r>
      <w:r w:rsidR="00DD0F04">
        <w:lastRenderedPageBreak/>
        <w:t>that the ability to close the class was integral to facilitating settlements in ‘open’ (opt-out) class actions and to providing defendants with finality.</w:t>
      </w:r>
      <w:r w:rsidR="00D629FA">
        <w:rPr>
          <w:rFonts w:ascii="ZWAdobeF" w:hAnsi="ZWAdobeF" w:cs="ZWAdobeF"/>
          <w:color w:val="auto"/>
          <w:sz w:val="2"/>
          <w:szCs w:val="2"/>
        </w:rPr>
        <w:t>838F</w:t>
      </w:r>
      <w:r w:rsidR="007A330E">
        <w:rPr>
          <w:rFonts w:ascii="ZWAdobeF" w:hAnsi="ZWAdobeF" w:cs="ZWAdobeF"/>
          <w:color w:val="auto"/>
          <w:sz w:val="2"/>
          <w:szCs w:val="2"/>
        </w:rPr>
        <w:t>838F</w:t>
      </w:r>
      <w:r w:rsidR="00317AE4">
        <w:rPr>
          <w:rFonts w:ascii="ZWAdobeF" w:hAnsi="ZWAdobeF" w:cs="ZWAdobeF"/>
          <w:color w:val="auto"/>
          <w:sz w:val="2"/>
          <w:szCs w:val="2"/>
        </w:rPr>
        <w:t>838F</w:t>
      </w:r>
      <w:r w:rsidR="00DD0F04">
        <w:rPr>
          <w:rStyle w:val="FootnoteReference"/>
        </w:rPr>
        <w:footnoteReference w:id="840"/>
      </w:r>
      <w:r w:rsidR="00DD0F04">
        <w:t xml:space="preserve">  </w:t>
      </w:r>
    </w:p>
    <w:p w14:paraId="5284BBBC" w14:textId="0B63151C" w:rsidR="00DD0F04" w:rsidRDefault="00BD5C95" w:rsidP="00B73434">
      <w:pPr>
        <w:pStyle w:val="BodyText"/>
        <w:numPr>
          <w:ilvl w:val="1"/>
          <w:numId w:val="52"/>
        </w:numPr>
        <w:tabs>
          <w:tab w:val="left" w:pos="709"/>
        </w:tabs>
        <w:ind w:hanging="709"/>
      </w:pPr>
      <w:r>
        <w:rPr>
          <w:rFonts w:ascii="ZWAdobeF" w:hAnsi="ZWAdobeF" w:cs="ZWAdobeF"/>
          <w:color w:val="auto"/>
          <w:sz w:val="2"/>
          <w:szCs w:val="2"/>
        </w:rPr>
        <w:t>527B</w:t>
      </w:r>
      <w:r w:rsidR="0049638A">
        <w:rPr>
          <w:rFonts w:ascii="ZWAdobeF" w:hAnsi="ZWAdobeF" w:cs="ZWAdobeF"/>
          <w:color w:val="auto"/>
          <w:sz w:val="2"/>
          <w:szCs w:val="2"/>
        </w:rPr>
        <w:t>527B</w:t>
      </w:r>
      <w:r w:rsidR="00D629FA">
        <w:rPr>
          <w:rFonts w:ascii="ZWAdobeF" w:hAnsi="ZWAdobeF" w:cs="ZWAdobeF"/>
          <w:color w:val="auto"/>
          <w:sz w:val="2"/>
          <w:szCs w:val="2"/>
        </w:rPr>
        <w:t>527B</w:t>
      </w:r>
      <w:r w:rsidR="00DD0F04">
        <w:t xml:space="preserve">We acknowledge that in some cases it may be difficult for the parties to reach a settlement in an opt-out class action because of uncertainty about the size of the class and the nature of the claims. We think settlement of class actions should be facilitated because this can enable the cost-effective and timely resolution of claims and reduce the burden on courts. Therefore, we consider the representative plaintiff should be able to seek an order that an opt-out class action be converted to an opt-in class action for the purposes of facilitating settlement. Such an order could be sought at the outset of a mediation or other settlement negotiation process or as part of the settlement approval process. It would require notice to be given to class members and a sufficient opportunity to opt in. </w:t>
      </w:r>
    </w:p>
    <w:p w14:paraId="49230F23" w14:textId="71C0C56F" w:rsidR="00DD0F04" w:rsidRDefault="00BD5C95" w:rsidP="00B73434">
      <w:pPr>
        <w:pStyle w:val="BodyText"/>
        <w:numPr>
          <w:ilvl w:val="1"/>
          <w:numId w:val="52"/>
        </w:numPr>
        <w:tabs>
          <w:tab w:val="left" w:pos="709"/>
        </w:tabs>
        <w:ind w:hanging="709"/>
      </w:pPr>
      <w:r>
        <w:rPr>
          <w:rFonts w:ascii="ZWAdobeF" w:hAnsi="ZWAdobeF" w:cs="ZWAdobeF"/>
          <w:color w:val="auto"/>
          <w:sz w:val="2"/>
          <w:szCs w:val="2"/>
        </w:rPr>
        <w:t>528B</w:t>
      </w:r>
      <w:r w:rsidR="0049638A">
        <w:rPr>
          <w:rFonts w:ascii="ZWAdobeF" w:hAnsi="ZWAdobeF" w:cs="ZWAdobeF"/>
          <w:color w:val="auto"/>
          <w:sz w:val="2"/>
          <w:szCs w:val="2"/>
        </w:rPr>
        <w:t>528B</w:t>
      </w:r>
      <w:r w:rsidR="00D629FA">
        <w:rPr>
          <w:rFonts w:ascii="ZWAdobeF" w:hAnsi="ZWAdobeF" w:cs="ZWAdobeF"/>
          <w:color w:val="auto"/>
          <w:sz w:val="2"/>
          <w:szCs w:val="2"/>
        </w:rPr>
        <w:t>528B</w:t>
      </w:r>
      <w:r w:rsidR="00DD0F04">
        <w:t xml:space="preserve">A class member who does not opt in at settlement will not be eligible to receive the proceeds of settlement. However, we do not think they should be bound by the terms of the settlement. We think this would be unfair, given their lack of participation could result from not receiving or understanding a notice. </w:t>
      </w:r>
    </w:p>
    <w:p w14:paraId="61088482" w14:textId="2D64092D" w:rsidR="00DD0F04" w:rsidRDefault="00BD5C95" w:rsidP="00B73434">
      <w:pPr>
        <w:pStyle w:val="BodyText"/>
        <w:numPr>
          <w:ilvl w:val="1"/>
          <w:numId w:val="52"/>
        </w:numPr>
        <w:tabs>
          <w:tab w:val="left" w:pos="709"/>
        </w:tabs>
        <w:ind w:hanging="709"/>
      </w:pPr>
      <w:r>
        <w:rPr>
          <w:rFonts w:ascii="ZWAdobeF" w:hAnsi="ZWAdobeF" w:cs="ZWAdobeF"/>
          <w:color w:val="auto"/>
          <w:sz w:val="2"/>
          <w:szCs w:val="2"/>
        </w:rPr>
        <w:t>529B</w:t>
      </w:r>
      <w:r w:rsidR="0049638A">
        <w:rPr>
          <w:rFonts w:ascii="ZWAdobeF" w:hAnsi="ZWAdobeF" w:cs="ZWAdobeF"/>
          <w:color w:val="auto"/>
          <w:sz w:val="2"/>
          <w:szCs w:val="2"/>
        </w:rPr>
        <w:t>529B</w:t>
      </w:r>
      <w:r w:rsidR="00D629FA">
        <w:rPr>
          <w:rFonts w:ascii="ZWAdobeF" w:hAnsi="ZWAdobeF" w:cs="ZWAdobeF"/>
          <w:color w:val="auto"/>
          <w:sz w:val="2"/>
          <w:szCs w:val="2"/>
        </w:rPr>
        <w:t>529B</w:t>
      </w:r>
      <w:r w:rsidR="00DD0F04">
        <w:t>If a settlement is not reached or approved, a question arises as to whether the proceeding should remain as opt-in or should revert back to opt-out. We think this may depend on the stage of the proceeding and so we suggest the court has discretion as to whether a case should remain as opt-in. At the same time, we think it is undesirable for a proceeding to change between opt-in and opt-out on multiple occasions, as this will cause confusion for class members and increased cost and delay.</w:t>
      </w:r>
    </w:p>
    <w:p w14:paraId="1ED0646B" w14:textId="3BCFC923" w:rsidR="00DD0F04" w:rsidRDefault="00BD5C95" w:rsidP="00B73434">
      <w:pPr>
        <w:pStyle w:val="BodyText"/>
        <w:numPr>
          <w:ilvl w:val="1"/>
          <w:numId w:val="52"/>
        </w:numPr>
        <w:tabs>
          <w:tab w:val="left" w:pos="709"/>
        </w:tabs>
        <w:ind w:hanging="709"/>
      </w:pPr>
      <w:r>
        <w:rPr>
          <w:rFonts w:ascii="ZWAdobeF" w:hAnsi="ZWAdobeF" w:cs="ZWAdobeF"/>
          <w:color w:val="auto"/>
          <w:sz w:val="2"/>
          <w:szCs w:val="2"/>
        </w:rPr>
        <w:t>530B</w:t>
      </w:r>
      <w:r w:rsidR="0049638A">
        <w:rPr>
          <w:rFonts w:ascii="ZWAdobeF" w:hAnsi="ZWAdobeF" w:cs="ZWAdobeF"/>
          <w:color w:val="auto"/>
          <w:sz w:val="2"/>
          <w:szCs w:val="2"/>
        </w:rPr>
        <w:t>530B</w:t>
      </w:r>
      <w:r w:rsidR="00D629FA">
        <w:rPr>
          <w:rFonts w:ascii="ZWAdobeF" w:hAnsi="ZWAdobeF" w:cs="ZWAdobeF"/>
          <w:color w:val="auto"/>
          <w:sz w:val="2"/>
          <w:szCs w:val="2"/>
        </w:rPr>
        <w:t>530B</w:t>
      </w:r>
      <w:r w:rsidR="00DD0F04">
        <w:t>We do not think it will be necessary for an opt-out proceeding to convert to opt-in for settlement in all cases. For instance, it may not be necessary where:</w:t>
      </w:r>
    </w:p>
    <w:p w14:paraId="3BA913A5" w14:textId="6EE755B4"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841B</w:t>
      </w:r>
      <w:r w:rsidR="0049638A">
        <w:rPr>
          <w:rFonts w:ascii="ZWAdobeF" w:hAnsi="ZWAdobeF" w:cs="ZWAdobeF"/>
          <w:color w:val="auto"/>
          <w:sz w:val="2"/>
          <w:szCs w:val="2"/>
        </w:rPr>
        <w:t>841B</w:t>
      </w:r>
      <w:r w:rsidR="00D629FA">
        <w:rPr>
          <w:rFonts w:ascii="ZWAdobeF" w:hAnsi="ZWAdobeF" w:cs="ZWAdobeF"/>
          <w:color w:val="auto"/>
          <w:sz w:val="2"/>
          <w:szCs w:val="2"/>
        </w:rPr>
        <w:t>841B</w:t>
      </w:r>
      <w:r w:rsidR="00DD0F04">
        <w:t>The parties agree to settle on an aggregate sum basis, with individual entitlements determined by a formula.</w:t>
      </w:r>
    </w:p>
    <w:p w14:paraId="60637250" w14:textId="2CD47DB5"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842B</w:t>
      </w:r>
      <w:r w:rsidR="0049638A">
        <w:rPr>
          <w:rFonts w:ascii="ZWAdobeF" w:hAnsi="ZWAdobeF" w:cs="ZWAdobeF"/>
          <w:color w:val="auto"/>
          <w:sz w:val="2"/>
          <w:szCs w:val="2"/>
        </w:rPr>
        <w:t>842B</w:t>
      </w:r>
      <w:r w:rsidR="00D629FA">
        <w:rPr>
          <w:rFonts w:ascii="ZWAdobeF" w:hAnsi="ZWAdobeF" w:cs="ZWAdobeF"/>
          <w:color w:val="auto"/>
          <w:sz w:val="2"/>
          <w:szCs w:val="2"/>
        </w:rPr>
        <w:t>842B</w:t>
      </w:r>
      <w:r w:rsidR="00DD0F04">
        <w:t xml:space="preserve">The defendant holds information about class members (for example, because they are customers). </w:t>
      </w:r>
    </w:p>
    <w:p w14:paraId="62254AF1" w14:textId="6EFE4CC8"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843B</w:t>
      </w:r>
      <w:r w:rsidR="0049638A">
        <w:rPr>
          <w:rFonts w:ascii="ZWAdobeF" w:hAnsi="ZWAdobeF" w:cs="ZWAdobeF"/>
          <w:color w:val="auto"/>
          <w:sz w:val="2"/>
          <w:szCs w:val="2"/>
        </w:rPr>
        <w:t>843B</w:t>
      </w:r>
      <w:r w:rsidR="00D629FA">
        <w:rPr>
          <w:rFonts w:ascii="ZWAdobeF" w:hAnsi="ZWAdobeF" w:cs="ZWAdobeF"/>
          <w:color w:val="auto"/>
          <w:sz w:val="2"/>
          <w:szCs w:val="2"/>
        </w:rPr>
        <w:t>843B</w:t>
      </w:r>
      <w:r w:rsidR="00DD0F04">
        <w:t xml:space="preserve">The class size can be easily estimated and there are unlikely to be high degrees of individual variation among claims. </w:t>
      </w:r>
    </w:p>
    <w:p w14:paraId="4BB8DE42" w14:textId="4A3BB0E6" w:rsidR="00DD0F04" w:rsidRDefault="00BD5C95" w:rsidP="00B73434">
      <w:pPr>
        <w:pStyle w:val="BodyText"/>
        <w:numPr>
          <w:ilvl w:val="1"/>
          <w:numId w:val="52"/>
        </w:numPr>
        <w:ind w:hanging="709"/>
      </w:pPr>
      <w:r>
        <w:rPr>
          <w:rFonts w:ascii="ZWAdobeF" w:hAnsi="ZWAdobeF" w:cs="ZWAdobeF"/>
          <w:color w:val="auto"/>
          <w:sz w:val="2"/>
          <w:szCs w:val="2"/>
        </w:rPr>
        <w:t>531B</w:t>
      </w:r>
      <w:r w:rsidR="0049638A">
        <w:rPr>
          <w:rFonts w:ascii="ZWAdobeF" w:hAnsi="ZWAdobeF" w:cs="ZWAdobeF"/>
          <w:color w:val="auto"/>
          <w:sz w:val="2"/>
          <w:szCs w:val="2"/>
        </w:rPr>
        <w:t>531B</w:t>
      </w:r>
      <w:r w:rsidR="00D629FA">
        <w:rPr>
          <w:rFonts w:ascii="ZWAdobeF" w:hAnsi="ZWAdobeF" w:cs="ZWAdobeF"/>
          <w:color w:val="auto"/>
          <w:sz w:val="2"/>
          <w:szCs w:val="2"/>
        </w:rPr>
        <w:t>531B</w:t>
      </w:r>
      <w:r w:rsidR="00DD0F04">
        <w:t xml:space="preserve">We have not included a power to convert an opt-out proceeding to opt-in for the purposes of settlement in our draft settlement provisions as the parties may wish to seek an order at an earlier stage (such as when negotiating a settlement or entering into a mediation process). We suggest there could be a more general provision to seek an order that an opt-out </w:t>
      </w:r>
      <w:r w:rsidR="00AC19C2">
        <w:t>class action</w:t>
      </w:r>
      <w:r w:rsidR="00DD0F04">
        <w:t xml:space="preserve"> be converted to an opt-in </w:t>
      </w:r>
      <w:r w:rsidR="00AC19C2">
        <w:t>class action</w:t>
      </w:r>
      <w:r w:rsidR="00DD0F04">
        <w:t xml:space="preserve">. </w:t>
      </w:r>
    </w:p>
    <w:p w14:paraId="0A7C6904" w14:textId="3F42D68B" w:rsidR="00F95162" w:rsidRDefault="00F95162" w:rsidP="00F95162">
      <w:pPr>
        <w:pStyle w:val="QuestionBox"/>
      </w:pPr>
      <w:r>
        <w:rPr>
          <w:noProof/>
        </w:rPr>
        <mc:AlternateContent>
          <mc:Choice Requires="wpg">
            <w:drawing>
              <wp:anchor distT="0" distB="0" distL="114300" distR="114300" simplePos="0" relativeHeight="251652185" behindDoc="1" locked="0" layoutInCell="1" allowOverlap="1" wp14:anchorId="022D6FF0" wp14:editId="1E9157FA">
                <wp:simplePos x="0" y="0"/>
                <wp:positionH relativeFrom="column">
                  <wp:posOffset>4386</wp:posOffset>
                </wp:positionH>
                <wp:positionV relativeFrom="paragraph">
                  <wp:posOffset>2924</wp:posOffset>
                </wp:positionV>
                <wp:extent cx="5760085" cy="1063625"/>
                <wp:effectExtent l="0" t="0" r="0" b="3175"/>
                <wp:wrapNone/>
                <wp:docPr id="764518047" name="Group 764518047"/>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76451804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215ACB" w14:textId="77777777" w:rsidR="00A55F53" w:rsidRDefault="00A55F53" w:rsidP="00F95162">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49" name="Group 53"/>
                        <wpg:cNvGrpSpPr>
                          <a:grpSpLocks/>
                        </wpg:cNvGrpSpPr>
                        <wpg:grpSpPr bwMode="auto">
                          <a:xfrm>
                            <a:off x="0" y="316263"/>
                            <a:ext cx="5760085" cy="810335"/>
                            <a:chOff x="1837" y="1792"/>
                            <a:chExt cx="9302" cy="8753"/>
                          </a:xfrm>
                        </wpg:grpSpPr>
                        <wps:wsp>
                          <wps:cNvPr id="764518056"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57" name="Group 764518057"/>
                        <wpg:cNvGrpSpPr/>
                        <wpg:grpSpPr>
                          <a:xfrm>
                            <a:off x="0" y="494036"/>
                            <a:ext cx="1443794" cy="252000"/>
                            <a:chOff x="-15880" y="0"/>
                            <a:chExt cx="1444379" cy="252068"/>
                          </a:xfrm>
                        </wpg:grpSpPr>
                        <wps:wsp>
                          <wps:cNvPr id="76451805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62" name="Freeform 66"/>
                          <wps:cNvSpPr>
                            <a:spLocks/>
                          </wps:cNvSpPr>
                          <wps:spPr bwMode="auto">
                            <a:xfrm>
                              <a:off x="-15880" y="0"/>
                              <a:ext cx="432175"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59A295" w14:textId="099F0287" w:rsidR="00A55F53" w:rsidRPr="00E700FF" w:rsidRDefault="00A55F53" w:rsidP="00F95162">
                                <w:pPr>
                                  <w:pStyle w:val="BoxTitle"/>
                                  <w:spacing w:before="0" w:beforeAutospacing="0"/>
                                </w:pPr>
                                <w:r w:rsidRPr="001C1B37">
                                  <w:t>Q</w:t>
                                </w:r>
                                <w:r>
                                  <w:t>46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22D6FF0" id="Group 764518047" o:spid="_x0000_s1522" style="position:absolute;left:0;text-align:left;margin-left:.35pt;margin-top:.25pt;width:453.55pt;height:83.75pt;z-index:-251664295;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">
                <v:shape id="_x0000_s152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5215ACB" w14:textId="77777777" w:rsidR="00A55F53" w:rsidRDefault="00A55F53" w:rsidP="00F95162">
                        <w:pPr>
                          <w:pStyle w:val="BoxTitle"/>
                          <w:spacing w:before="0" w:beforeAutospacing="0"/>
                        </w:pPr>
                        <w:r w:rsidRPr="007F6876">
                          <w:t>QUESTION</w:t>
                        </w:r>
                      </w:p>
                    </w:txbxContent>
                  </v:textbox>
                </v:shape>
                <v:group id="Group 53" o:spid="_x0000_s1524"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">
                  <v:shape id="Freeform 54" o:spid="_x0000_s1525"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" path="m,l9354,r,7809l,7809,,e" fillcolor="#edf2ea" stroked="f">
                    <v:path arrowok="t" o:connecttype="custom" o:connectlocs="0,1121;9302,1121;9302,9874;0,9874;0,1121" o:connectangles="0,0,0,0,0"/>
                  </v:shape>
                </v:group>
                <v:group id="Group 764518057" o:spid="_x0000_s152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">
                  <v:shape id="Freeform 58" o:spid="_x0000_s152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" path="m,l1815,e" filled="f" strokecolor="#72ab6a" strokeweight=".5pt">
                    <v:path arrowok="t" o:connecttype="custom" o:connectlocs="0,0;1073495,0" o:connectangles="0,0"/>
                  </v:shape>
                  <v:shape id="Freeform 66" o:spid="_x0000_s1528" style="position:absolute;left:-158;width:4320;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" adj="-11796480,,5400" path="m,470r642,l642,,,,,470e" fillcolor="#72ab6a" stroked="f">
                    <v:stroke joinstyle="round"/>
                    <v:formulas/>
                    <v:path arrowok="t" o:connecttype="custom" o:connectlocs="0,2317953;431503,2317953;431503,2065885;0,2065885;0,2317953" o:connectangles="0,0,0,0,0" textboxrect="0,0,643,470"/>
                    <v:textbox inset="1.5mm,2.3mm">
                      <w:txbxContent>
                        <w:p w14:paraId="4059A295" w14:textId="099F0287" w:rsidR="00A55F53" w:rsidRPr="00E700FF" w:rsidRDefault="00A55F53" w:rsidP="00F95162">
                          <w:pPr>
                            <w:pStyle w:val="BoxTitle"/>
                            <w:spacing w:before="0" w:beforeAutospacing="0"/>
                          </w:pPr>
                          <w:r w:rsidRPr="001C1B37">
                            <w:t>Q</w:t>
                          </w:r>
                          <w:r>
                            <w:t>46</w:t>
                          </w:r>
                        </w:p>
                      </w:txbxContent>
                    </v:textbox>
                  </v:shape>
                </v:group>
              </v:group>
            </w:pict>
          </mc:Fallback>
        </mc:AlternateContent>
      </w:r>
    </w:p>
    <w:p w14:paraId="55861D5D" w14:textId="77777777" w:rsidR="00F95162" w:rsidRDefault="00F95162" w:rsidP="00F95162">
      <w:pPr>
        <w:pStyle w:val="QuestionBox"/>
      </w:pPr>
    </w:p>
    <w:p w14:paraId="0E337A99" w14:textId="526D6800" w:rsidR="00DD0F04" w:rsidRDefault="00BD5C95" w:rsidP="00F95162">
      <w:pPr>
        <w:pStyle w:val="QuestionBox"/>
      </w:pPr>
      <w:r>
        <w:rPr>
          <w:rFonts w:ascii="ZWAdobeF" w:hAnsi="ZWAdobeF" w:cs="ZWAdobeF"/>
          <w:color w:val="auto"/>
          <w:sz w:val="2"/>
          <w:szCs w:val="2"/>
        </w:rPr>
        <w:t>1451B</w:t>
      </w:r>
      <w:r w:rsidR="0049638A">
        <w:rPr>
          <w:rFonts w:ascii="ZWAdobeF" w:hAnsi="ZWAdobeF" w:cs="ZWAdobeF"/>
          <w:color w:val="auto"/>
          <w:sz w:val="2"/>
          <w:szCs w:val="2"/>
        </w:rPr>
        <w:t>1451B</w:t>
      </w:r>
      <w:r w:rsidR="00D629FA">
        <w:rPr>
          <w:rFonts w:ascii="ZWAdobeF" w:hAnsi="ZWAdobeF" w:cs="ZWAdobeF"/>
          <w:color w:val="auto"/>
          <w:sz w:val="2"/>
          <w:szCs w:val="2"/>
        </w:rPr>
        <w:t>1451B</w:t>
      </w:r>
      <w:r w:rsidR="00DD0F04">
        <w:t xml:space="preserve">Should the court have the power to convert an opt-out class action into an opt-in class action for the purposes of facilitating settlement? </w:t>
      </w:r>
    </w:p>
    <w:p w14:paraId="227F4029" w14:textId="77777777" w:rsidR="00F95162" w:rsidRDefault="00F95162" w:rsidP="00F95162">
      <w:pPr>
        <w:pStyle w:val="QuestionBox"/>
      </w:pPr>
    </w:p>
    <w:p w14:paraId="67F2F348" w14:textId="77777777" w:rsidR="00DD0F04" w:rsidRPr="00FE3345" w:rsidRDefault="00DD0F04" w:rsidP="00194C9B">
      <w:pPr>
        <w:pStyle w:val="Heading3"/>
      </w:pPr>
      <w:r>
        <w:lastRenderedPageBreak/>
        <w:t xml:space="preserve">Opting out of the settlement   </w:t>
      </w:r>
    </w:p>
    <w:p w14:paraId="6E6BF7BB" w14:textId="2BF433A1" w:rsidR="00DD0F04" w:rsidRDefault="00BD5C95" w:rsidP="00B73434">
      <w:pPr>
        <w:pStyle w:val="BodyText"/>
        <w:numPr>
          <w:ilvl w:val="1"/>
          <w:numId w:val="52"/>
        </w:numPr>
        <w:tabs>
          <w:tab w:val="left" w:pos="709"/>
        </w:tabs>
        <w:ind w:hanging="709"/>
      </w:pPr>
      <w:r>
        <w:rPr>
          <w:rFonts w:ascii="ZWAdobeF" w:hAnsi="ZWAdobeF" w:cs="ZWAdobeF"/>
          <w:color w:val="auto"/>
          <w:sz w:val="2"/>
          <w:szCs w:val="2"/>
        </w:rPr>
        <w:t>532B</w:t>
      </w:r>
      <w:r w:rsidR="0049638A">
        <w:rPr>
          <w:rFonts w:ascii="ZWAdobeF" w:hAnsi="ZWAdobeF" w:cs="ZWAdobeF"/>
          <w:color w:val="auto"/>
          <w:sz w:val="2"/>
          <w:szCs w:val="2"/>
        </w:rPr>
        <w:t>532B</w:t>
      </w:r>
      <w:r w:rsidR="00D629FA">
        <w:rPr>
          <w:rFonts w:ascii="ZWAdobeF" w:hAnsi="ZWAdobeF" w:cs="ZWAdobeF"/>
          <w:color w:val="auto"/>
          <w:sz w:val="2"/>
          <w:szCs w:val="2"/>
        </w:rPr>
        <w:t>532B</w:t>
      </w:r>
      <w:r w:rsidR="00DD0F04">
        <w:t xml:space="preserve">In an opt-out class action, class members could be given a second opportunity to opt out of the class action at settlement. Class members who have signed up to an opt-in </w:t>
      </w:r>
      <w:r w:rsidR="00DF0313">
        <w:t>class action</w:t>
      </w:r>
      <w:r w:rsidR="00DD0F04">
        <w:t xml:space="preserve"> could also be given the opportunity to opt out at settlement. Jurisdictions have taken different approaches to this issue. </w:t>
      </w:r>
    </w:p>
    <w:p w14:paraId="3F0BB453" w14:textId="70879AA0" w:rsidR="00DD0F04" w:rsidRDefault="00BD5C95" w:rsidP="00B73434">
      <w:pPr>
        <w:pStyle w:val="BodyText"/>
        <w:numPr>
          <w:ilvl w:val="1"/>
          <w:numId w:val="52"/>
        </w:numPr>
        <w:tabs>
          <w:tab w:val="left" w:pos="709"/>
        </w:tabs>
        <w:ind w:hanging="709"/>
      </w:pPr>
      <w:r>
        <w:rPr>
          <w:rFonts w:ascii="ZWAdobeF" w:hAnsi="ZWAdobeF" w:cs="ZWAdobeF"/>
          <w:color w:val="auto"/>
          <w:sz w:val="2"/>
          <w:szCs w:val="2"/>
        </w:rPr>
        <w:t>533B</w:t>
      </w:r>
      <w:r w:rsidR="0049638A">
        <w:rPr>
          <w:rFonts w:ascii="ZWAdobeF" w:hAnsi="ZWAdobeF" w:cs="ZWAdobeF"/>
          <w:color w:val="auto"/>
          <w:sz w:val="2"/>
          <w:szCs w:val="2"/>
        </w:rPr>
        <w:t>533B</w:t>
      </w:r>
      <w:r w:rsidR="00D629FA">
        <w:rPr>
          <w:rFonts w:ascii="ZWAdobeF" w:hAnsi="ZWAdobeF" w:cs="ZWAdobeF"/>
          <w:color w:val="auto"/>
          <w:sz w:val="2"/>
          <w:szCs w:val="2"/>
        </w:rPr>
        <w:t>533B</w:t>
      </w:r>
      <w:r w:rsidR="00DD0F04">
        <w:t>The Australian class action</w:t>
      </w:r>
      <w:r w:rsidR="009862E2">
        <w:t>s</w:t>
      </w:r>
      <w:r w:rsidR="00DD0F04">
        <w:t xml:space="preserve"> regimes do not provide an express right to opt out of a settlement, although it appears open to the parties to negotiate an opportunity for class members to opt out.</w:t>
      </w:r>
      <w:r w:rsidR="00D629FA">
        <w:rPr>
          <w:rFonts w:ascii="ZWAdobeF" w:hAnsi="ZWAdobeF" w:cs="ZWAdobeF"/>
          <w:color w:val="auto"/>
          <w:sz w:val="2"/>
          <w:szCs w:val="2"/>
        </w:rPr>
        <w:t>839F</w:t>
      </w:r>
      <w:r w:rsidR="007A330E">
        <w:rPr>
          <w:rFonts w:ascii="ZWAdobeF" w:hAnsi="ZWAdobeF" w:cs="ZWAdobeF"/>
          <w:color w:val="auto"/>
          <w:sz w:val="2"/>
          <w:szCs w:val="2"/>
        </w:rPr>
        <w:t>839F</w:t>
      </w:r>
      <w:r w:rsidR="00317AE4">
        <w:rPr>
          <w:rFonts w:ascii="ZWAdobeF" w:hAnsi="ZWAdobeF" w:cs="ZWAdobeF"/>
          <w:color w:val="auto"/>
          <w:sz w:val="2"/>
          <w:szCs w:val="2"/>
        </w:rPr>
        <w:t>839F</w:t>
      </w:r>
      <w:r w:rsidR="00DD0F04">
        <w:rPr>
          <w:rStyle w:val="FootnoteReference"/>
        </w:rPr>
        <w:footnoteReference w:id="841"/>
      </w:r>
      <w:r w:rsidR="00DD0F04">
        <w:t xml:space="preserve"> If class members had an initial opportunity to opt out of the class action, it is not routine to provide a second opportunity to opt out once a settlement has been approved.</w:t>
      </w:r>
      <w:r w:rsidR="00D629FA">
        <w:rPr>
          <w:rFonts w:ascii="ZWAdobeF" w:hAnsi="ZWAdobeF" w:cs="ZWAdobeF"/>
          <w:color w:val="auto"/>
          <w:sz w:val="2"/>
          <w:szCs w:val="2"/>
        </w:rPr>
        <w:t>840F</w:t>
      </w:r>
      <w:r w:rsidR="007A330E">
        <w:rPr>
          <w:rFonts w:ascii="ZWAdobeF" w:hAnsi="ZWAdobeF" w:cs="ZWAdobeF"/>
          <w:color w:val="auto"/>
          <w:sz w:val="2"/>
          <w:szCs w:val="2"/>
        </w:rPr>
        <w:t>840F</w:t>
      </w:r>
      <w:r w:rsidR="00317AE4">
        <w:rPr>
          <w:rFonts w:ascii="ZWAdobeF" w:hAnsi="ZWAdobeF" w:cs="ZWAdobeF"/>
          <w:color w:val="auto"/>
          <w:sz w:val="2"/>
          <w:szCs w:val="2"/>
        </w:rPr>
        <w:t>840F</w:t>
      </w:r>
      <w:r w:rsidR="00DD0F04">
        <w:rPr>
          <w:rStyle w:val="FootnoteReference"/>
        </w:rPr>
        <w:footnoteReference w:id="842"/>
      </w:r>
      <w:r w:rsidR="00DD0F04">
        <w:t xml:space="preserve"> Similarly, the Canadian regimes do not provide an express right to opt out of a settlement and courts have not developed a general practice of providing a second right to opt out.</w:t>
      </w:r>
      <w:r w:rsidR="00D629FA">
        <w:rPr>
          <w:rFonts w:ascii="ZWAdobeF" w:hAnsi="ZWAdobeF" w:cs="ZWAdobeF"/>
          <w:color w:val="auto"/>
          <w:sz w:val="2"/>
          <w:szCs w:val="2"/>
        </w:rPr>
        <w:t>841F</w:t>
      </w:r>
      <w:r w:rsidR="007A330E">
        <w:rPr>
          <w:rFonts w:ascii="ZWAdobeF" w:hAnsi="ZWAdobeF" w:cs="ZWAdobeF"/>
          <w:color w:val="auto"/>
          <w:sz w:val="2"/>
          <w:szCs w:val="2"/>
        </w:rPr>
        <w:t>841F</w:t>
      </w:r>
      <w:r w:rsidR="00317AE4">
        <w:rPr>
          <w:rFonts w:ascii="ZWAdobeF" w:hAnsi="ZWAdobeF" w:cs="ZWAdobeF"/>
          <w:color w:val="auto"/>
          <w:sz w:val="2"/>
          <w:szCs w:val="2"/>
        </w:rPr>
        <w:t>841F</w:t>
      </w:r>
      <w:r w:rsidR="00DD0F04">
        <w:rPr>
          <w:rStyle w:val="FootnoteReference"/>
        </w:rPr>
        <w:footnoteReference w:id="843"/>
      </w:r>
    </w:p>
    <w:p w14:paraId="3F11A380" w14:textId="54A8620D" w:rsidR="00DD0F04" w:rsidRDefault="00BD5C95" w:rsidP="00B73434">
      <w:pPr>
        <w:pStyle w:val="BodyText"/>
        <w:numPr>
          <w:ilvl w:val="1"/>
          <w:numId w:val="52"/>
        </w:numPr>
        <w:tabs>
          <w:tab w:val="left" w:pos="709"/>
        </w:tabs>
        <w:ind w:hanging="709"/>
      </w:pPr>
      <w:r>
        <w:rPr>
          <w:rFonts w:ascii="ZWAdobeF" w:hAnsi="ZWAdobeF" w:cs="ZWAdobeF"/>
          <w:color w:val="auto"/>
          <w:sz w:val="2"/>
          <w:szCs w:val="2"/>
        </w:rPr>
        <w:t>534B</w:t>
      </w:r>
      <w:r w:rsidR="0049638A">
        <w:rPr>
          <w:rFonts w:ascii="ZWAdobeF" w:hAnsi="ZWAdobeF" w:cs="ZWAdobeF"/>
          <w:color w:val="auto"/>
          <w:sz w:val="2"/>
          <w:szCs w:val="2"/>
        </w:rPr>
        <w:t>534B</w:t>
      </w:r>
      <w:r w:rsidR="00D629FA">
        <w:rPr>
          <w:rFonts w:ascii="ZWAdobeF" w:hAnsi="ZWAdobeF" w:cs="ZWAdobeF"/>
          <w:color w:val="auto"/>
          <w:sz w:val="2"/>
          <w:szCs w:val="2"/>
        </w:rPr>
        <w:t>534B</w:t>
      </w:r>
      <w:r w:rsidR="00DD0F04">
        <w:t>In the United States, it is up to the court whether to approve a settlement which does not include another opportunity to opt out.</w:t>
      </w:r>
      <w:r w:rsidR="00D629FA">
        <w:rPr>
          <w:rFonts w:ascii="ZWAdobeF" w:hAnsi="ZWAdobeF" w:cs="ZWAdobeF"/>
          <w:color w:val="auto"/>
          <w:sz w:val="2"/>
          <w:szCs w:val="2"/>
        </w:rPr>
        <w:t>842F</w:t>
      </w:r>
      <w:r w:rsidR="007A330E">
        <w:rPr>
          <w:rFonts w:ascii="ZWAdobeF" w:hAnsi="ZWAdobeF" w:cs="ZWAdobeF"/>
          <w:color w:val="auto"/>
          <w:sz w:val="2"/>
          <w:szCs w:val="2"/>
        </w:rPr>
        <w:t>842F</w:t>
      </w:r>
      <w:r w:rsidR="00317AE4">
        <w:rPr>
          <w:rFonts w:ascii="ZWAdobeF" w:hAnsi="ZWAdobeF" w:cs="ZWAdobeF"/>
          <w:color w:val="auto"/>
          <w:sz w:val="2"/>
          <w:szCs w:val="2"/>
        </w:rPr>
        <w:t>842F</w:t>
      </w:r>
      <w:r w:rsidR="00DD0F04">
        <w:rPr>
          <w:rStyle w:val="FootnoteReference"/>
        </w:rPr>
        <w:footnoteReference w:id="844"/>
      </w:r>
      <w:r w:rsidR="00DD0F04">
        <w:t xml:space="preserve"> Relevant factors include whether there have been any changes in the information available to class members since the first opportunity to opt out and the nature of the individual claims.</w:t>
      </w:r>
      <w:r w:rsidR="00D629FA">
        <w:rPr>
          <w:rFonts w:ascii="ZWAdobeF" w:hAnsi="ZWAdobeF" w:cs="ZWAdobeF"/>
          <w:color w:val="auto"/>
          <w:sz w:val="2"/>
          <w:szCs w:val="2"/>
        </w:rPr>
        <w:t>843F</w:t>
      </w:r>
      <w:r w:rsidR="007A330E">
        <w:rPr>
          <w:rFonts w:ascii="ZWAdobeF" w:hAnsi="ZWAdobeF" w:cs="ZWAdobeF"/>
          <w:color w:val="auto"/>
          <w:sz w:val="2"/>
          <w:szCs w:val="2"/>
        </w:rPr>
        <w:t>843F</w:t>
      </w:r>
      <w:r w:rsidR="00317AE4">
        <w:rPr>
          <w:rFonts w:ascii="ZWAdobeF" w:hAnsi="ZWAdobeF" w:cs="ZWAdobeF"/>
          <w:color w:val="auto"/>
          <w:sz w:val="2"/>
          <w:szCs w:val="2"/>
        </w:rPr>
        <w:t>843F</w:t>
      </w:r>
      <w:r w:rsidR="00DD0F04">
        <w:rPr>
          <w:rStyle w:val="FootnoteReference"/>
        </w:rPr>
        <w:footnoteReference w:id="845"/>
      </w:r>
      <w:r w:rsidR="00DD0F04">
        <w:t xml:space="preserve"> Commentary notes that in most class actions, a settlement is reached prior to certification and so class members will have a single opportunity to opt out of the ‘settlement class action’.</w:t>
      </w:r>
      <w:r w:rsidR="00D629FA">
        <w:rPr>
          <w:rFonts w:ascii="ZWAdobeF" w:hAnsi="ZWAdobeF" w:cs="ZWAdobeF"/>
          <w:color w:val="auto"/>
          <w:sz w:val="2"/>
          <w:szCs w:val="2"/>
        </w:rPr>
        <w:t>844F</w:t>
      </w:r>
      <w:r w:rsidR="007A330E">
        <w:rPr>
          <w:rFonts w:ascii="ZWAdobeF" w:hAnsi="ZWAdobeF" w:cs="ZWAdobeF"/>
          <w:color w:val="auto"/>
          <w:sz w:val="2"/>
          <w:szCs w:val="2"/>
        </w:rPr>
        <w:t>844F</w:t>
      </w:r>
      <w:r w:rsidR="00317AE4">
        <w:rPr>
          <w:rFonts w:ascii="ZWAdobeF" w:hAnsi="ZWAdobeF" w:cs="ZWAdobeF"/>
          <w:color w:val="auto"/>
          <w:sz w:val="2"/>
          <w:szCs w:val="2"/>
        </w:rPr>
        <w:t>844F</w:t>
      </w:r>
      <w:r w:rsidR="00DD0F04">
        <w:rPr>
          <w:rStyle w:val="FootnoteReference"/>
        </w:rPr>
        <w:footnoteReference w:id="846"/>
      </w:r>
    </w:p>
    <w:p w14:paraId="22BA4D0E" w14:textId="5AC681AF" w:rsidR="00DD0F04" w:rsidRDefault="00BD5C95" w:rsidP="00B73434">
      <w:pPr>
        <w:pStyle w:val="BodyText"/>
        <w:numPr>
          <w:ilvl w:val="1"/>
          <w:numId w:val="52"/>
        </w:numPr>
        <w:tabs>
          <w:tab w:val="left" w:pos="709"/>
        </w:tabs>
        <w:ind w:hanging="709"/>
      </w:pPr>
      <w:r>
        <w:rPr>
          <w:rFonts w:ascii="ZWAdobeF" w:hAnsi="ZWAdobeF" w:cs="ZWAdobeF"/>
          <w:color w:val="auto"/>
          <w:sz w:val="2"/>
          <w:szCs w:val="2"/>
        </w:rPr>
        <w:t>535B</w:t>
      </w:r>
      <w:r w:rsidR="0049638A">
        <w:rPr>
          <w:rFonts w:ascii="ZWAdobeF" w:hAnsi="ZWAdobeF" w:cs="ZWAdobeF"/>
          <w:color w:val="auto"/>
          <w:sz w:val="2"/>
          <w:szCs w:val="2"/>
        </w:rPr>
        <w:t>535B</w:t>
      </w:r>
      <w:r w:rsidR="00D629FA">
        <w:rPr>
          <w:rFonts w:ascii="ZWAdobeF" w:hAnsi="ZWAdobeF" w:cs="ZWAdobeF"/>
          <w:color w:val="auto"/>
          <w:sz w:val="2"/>
          <w:szCs w:val="2"/>
        </w:rPr>
        <w:t>535B</w:t>
      </w:r>
      <w:r w:rsidR="00DD0F04">
        <w:t>In the United Kingdom Competition Appeal Tribunal, class members will have an opportunity to opt out of the collective settlement after it has been approved, whether or not they objected to its terms at the settlement approval hearing.</w:t>
      </w:r>
      <w:r w:rsidR="00D629FA">
        <w:rPr>
          <w:rFonts w:ascii="ZWAdobeF" w:hAnsi="ZWAdobeF" w:cs="ZWAdobeF"/>
          <w:color w:val="auto"/>
          <w:sz w:val="2"/>
          <w:szCs w:val="2"/>
        </w:rPr>
        <w:t>845F</w:t>
      </w:r>
      <w:r w:rsidR="007A330E">
        <w:rPr>
          <w:rFonts w:ascii="ZWAdobeF" w:hAnsi="ZWAdobeF" w:cs="ZWAdobeF"/>
          <w:color w:val="auto"/>
          <w:sz w:val="2"/>
          <w:szCs w:val="2"/>
        </w:rPr>
        <w:t>845F</w:t>
      </w:r>
      <w:r w:rsidR="00317AE4">
        <w:rPr>
          <w:rFonts w:ascii="ZWAdobeF" w:hAnsi="ZWAdobeF" w:cs="ZWAdobeF"/>
          <w:color w:val="auto"/>
          <w:sz w:val="2"/>
          <w:szCs w:val="2"/>
        </w:rPr>
        <w:t>845F</w:t>
      </w:r>
      <w:r w:rsidR="00DD0F04">
        <w:rPr>
          <w:rStyle w:val="FootnoteReference"/>
        </w:rPr>
        <w:footnoteReference w:id="847"/>
      </w:r>
    </w:p>
    <w:p w14:paraId="602AC69C" w14:textId="0C6A052C" w:rsidR="00DD0F04" w:rsidRDefault="00BD5C95" w:rsidP="00B73434">
      <w:pPr>
        <w:pStyle w:val="BodyText"/>
        <w:numPr>
          <w:ilvl w:val="1"/>
          <w:numId w:val="52"/>
        </w:numPr>
        <w:tabs>
          <w:tab w:val="left" w:pos="709"/>
        </w:tabs>
        <w:ind w:hanging="709"/>
      </w:pPr>
      <w:r>
        <w:rPr>
          <w:rFonts w:ascii="ZWAdobeF" w:hAnsi="ZWAdobeF" w:cs="ZWAdobeF"/>
          <w:color w:val="auto"/>
          <w:sz w:val="2"/>
          <w:szCs w:val="2"/>
        </w:rPr>
        <w:t>536B</w:t>
      </w:r>
      <w:r w:rsidR="0049638A">
        <w:rPr>
          <w:rFonts w:ascii="ZWAdobeF" w:hAnsi="ZWAdobeF" w:cs="ZWAdobeF"/>
          <w:color w:val="auto"/>
          <w:sz w:val="2"/>
          <w:szCs w:val="2"/>
        </w:rPr>
        <w:t>536B</w:t>
      </w:r>
      <w:r w:rsidR="00D629FA">
        <w:rPr>
          <w:rFonts w:ascii="ZWAdobeF" w:hAnsi="ZWAdobeF" w:cs="ZWAdobeF"/>
          <w:color w:val="auto"/>
          <w:sz w:val="2"/>
          <w:szCs w:val="2"/>
        </w:rPr>
        <w:t>536B</w:t>
      </w:r>
      <w:r w:rsidR="00DD0F04">
        <w:t>We consider class members should be given an opportunity to opt out of a settlement so they can decide whether they prefer to settle their claim or preserve the ability to bring their own proceedings.</w:t>
      </w:r>
      <w:r w:rsidR="00D629FA">
        <w:rPr>
          <w:rFonts w:ascii="ZWAdobeF" w:hAnsi="ZWAdobeF" w:cs="ZWAdobeF"/>
          <w:color w:val="auto"/>
          <w:sz w:val="2"/>
          <w:szCs w:val="2"/>
        </w:rPr>
        <w:t>846F</w:t>
      </w:r>
      <w:r w:rsidR="007A330E">
        <w:rPr>
          <w:rFonts w:ascii="ZWAdobeF" w:hAnsi="ZWAdobeF" w:cs="ZWAdobeF"/>
          <w:color w:val="auto"/>
          <w:sz w:val="2"/>
          <w:szCs w:val="2"/>
        </w:rPr>
        <w:t>846F</w:t>
      </w:r>
      <w:r w:rsidR="00317AE4">
        <w:rPr>
          <w:rFonts w:ascii="ZWAdobeF" w:hAnsi="ZWAdobeF" w:cs="ZWAdobeF"/>
          <w:color w:val="auto"/>
          <w:sz w:val="2"/>
          <w:szCs w:val="2"/>
        </w:rPr>
        <w:t>846F</w:t>
      </w:r>
      <w:r w:rsidR="00DD0F04">
        <w:rPr>
          <w:rStyle w:val="FootnoteReference"/>
        </w:rPr>
        <w:footnoteReference w:id="848"/>
      </w:r>
      <w:r w:rsidR="00DD0F04">
        <w:t xml:space="preserve"> It is possible that a settlement will occur a long time after the initial opportunity to opt out of the class action and matters may have changed </w:t>
      </w:r>
      <w:r w:rsidR="00DD0F04">
        <w:lastRenderedPageBreak/>
        <w:t xml:space="preserve">considerably since then. If a class action settles prior to certification, class members will have the opportunity to consider the terms of a settlement when deciding whether to opt out. We think that if a matter settles post-certification, class members should have that same opportunity to decide whether to settle or not. We think the opportunity to opt out of a proceeding at settlement should apply to both opt-out and opt-in proceedings. </w:t>
      </w:r>
    </w:p>
    <w:p w14:paraId="17D6721A" w14:textId="6DF828BB" w:rsidR="00474F0F" w:rsidRDefault="00BD5C95" w:rsidP="00B73434">
      <w:pPr>
        <w:pStyle w:val="BodyText"/>
        <w:numPr>
          <w:ilvl w:val="1"/>
          <w:numId w:val="52"/>
        </w:numPr>
        <w:tabs>
          <w:tab w:val="left" w:pos="709"/>
        </w:tabs>
        <w:ind w:hanging="709"/>
      </w:pPr>
      <w:r>
        <w:rPr>
          <w:rFonts w:ascii="ZWAdobeF" w:hAnsi="ZWAdobeF" w:cs="ZWAdobeF"/>
          <w:color w:val="auto"/>
          <w:sz w:val="2"/>
          <w:szCs w:val="2"/>
        </w:rPr>
        <w:t>537B</w:t>
      </w:r>
      <w:r w:rsidR="0049638A">
        <w:rPr>
          <w:rFonts w:ascii="ZWAdobeF" w:hAnsi="ZWAdobeF" w:cs="ZWAdobeF"/>
          <w:color w:val="auto"/>
          <w:sz w:val="2"/>
          <w:szCs w:val="2"/>
        </w:rPr>
        <w:t>537B</w:t>
      </w:r>
      <w:r w:rsidR="00D629FA">
        <w:rPr>
          <w:rFonts w:ascii="ZWAdobeF" w:hAnsi="ZWAdobeF" w:cs="ZWAdobeF"/>
          <w:color w:val="auto"/>
          <w:sz w:val="2"/>
          <w:szCs w:val="2"/>
        </w:rPr>
        <w:t>537B</w:t>
      </w:r>
      <w:r w:rsidR="00474F0F">
        <w:t xml:space="preserve">We suggest </w:t>
      </w:r>
      <w:r w:rsidR="00AF7AF8">
        <w:t xml:space="preserve">the opt-out date should be after the </w:t>
      </w:r>
      <w:r w:rsidR="00474F0F">
        <w:t>settlement has been approved. Otherwise, class members could opt out of a class action on the basis of a settlement that is not ultimately approved by the court.</w:t>
      </w:r>
    </w:p>
    <w:p w14:paraId="6412352C" w14:textId="5A55205B" w:rsidR="00DD0F04" w:rsidRDefault="00BD5C95" w:rsidP="00B73434">
      <w:pPr>
        <w:pStyle w:val="BodyText"/>
        <w:numPr>
          <w:ilvl w:val="1"/>
          <w:numId w:val="52"/>
        </w:numPr>
        <w:tabs>
          <w:tab w:val="left" w:pos="709"/>
        </w:tabs>
        <w:ind w:hanging="709"/>
      </w:pPr>
      <w:r>
        <w:rPr>
          <w:rFonts w:ascii="ZWAdobeF" w:hAnsi="ZWAdobeF" w:cs="ZWAdobeF"/>
          <w:color w:val="auto"/>
          <w:sz w:val="2"/>
          <w:szCs w:val="2"/>
        </w:rPr>
        <w:t>538B</w:t>
      </w:r>
      <w:r w:rsidR="0049638A">
        <w:rPr>
          <w:rFonts w:ascii="ZWAdobeF" w:hAnsi="ZWAdobeF" w:cs="ZWAdobeF"/>
          <w:color w:val="auto"/>
          <w:sz w:val="2"/>
          <w:szCs w:val="2"/>
        </w:rPr>
        <w:t>538B</w:t>
      </w:r>
      <w:r w:rsidR="00D629FA">
        <w:rPr>
          <w:rFonts w:ascii="ZWAdobeF" w:hAnsi="ZWAdobeF" w:cs="ZWAdobeF"/>
          <w:color w:val="auto"/>
          <w:sz w:val="2"/>
          <w:szCs w:val="2"/>
        </w:rPr>
        <w:t>538B</w:t>
      </w:r>
      <w:r w:rsidR="00DD0F04">
        <w:t>There is one situation where we think it is unnecessary to allow class members to opt out after settlement. This is where settlement of an opt-in class action was reached prior to certification. In this case, class members will have been notified of the terms of a settlement prior to opting into the class action.</w:t>
      </w:r>
      <w:r w:rsidR="00D629FA">
        <w:rPr>
          <w:rFonts w:ascii="ZWAdobeF" w:hAnsi="ZWAdobeF" w:cs="ZWAdobeF"/>
          <w:color w:val="auto"/>
          <w:sz w:val="2"/>
          <w:szCs w:val="2"/>
        </w:rPr>
        <w:t>847F</w:t>
      </w:r>
      <w:r w:rsidR="007A330E">
        <w:rPr>
          <w:rFonts w:ascii="ZWAdobeF" w:hAnsi="ZWAdobeF" w:cs="ZWAdobeF"/>
          <w:color w:val="auto"/>
          <w:sz w:val="2"/>
          <w:szCs w:val="2"/>
        </w:rPr>
        <w:t>847F</w:t>
      </w:r>
      <w:r w:rsidR="00317AE4">
        <w:rPr>
          <w:rFonts w:ascii="ZWAdobeF" w:hAnsi="ZWAdobeF" w:cs="ZWAdobeF"/>
          <w:color w:val="auto"/>
          <w:sz w:val="2"/>
          <w:szCs w:val="2"/>
        </w:rPr>
        <w:t>847F</w:t>
      </w:r>
      <w:r w:rsidR="00DD0F04">
        <w:rPr>
          <w:rStyle w:val="FootnoteReference"/>
        </w:rPr>
        <w:footnoteReference w:id="849"/>
      </w:r>
    </w:p>
    <w:p w14:paraId="6537FA40" w14:textId="0EC725D1" w:rsidR="00DD0F04" w:rsidRDefault="00BD5C95" w:rsidP="00B73434">
      <w:pPr>
        <w:pStyle w:val="BodyText"/>
        <w:numPr>
          <w:ilvl w:val="1"/>
          <w:numId w:val="52"/>
        </w:numPr>
        <w:tabs>
          <w:tab w:val="left" w:pos="709"/>
        </w:tabs>
        <w:ind w:hanging="709"/>
      </w:pPr>
      <w:r>
        <w:rPr>
          <w:rFonts w:ascii="ZWAdobeF" w:hAnsi="ZWAdobeF" w:cs="ZWAdobeF"/>
          <w:color w:val="auto"/>
          <w:sz w:val="2"/>
          <w:szCs w:val="2"/>
        </w:rPr>
        <w:t>539B</w:t>
      </w:r>
      <w:r w:rsidR="0049638A">
        <w:rPr>
          <w:rFonts w:ascii="ZWAdobeF" w:hAnsi="ZWAdobeF" w:cs="ZWAdobeF"/>
          <w:color w:val="auto"/>
          <w:sz w:val="2"/>
          <w:szCs w:val="2"/>
        </w:rPr>
        <w:t>539B</w:t>
      </w:r>
      <w:r w:rsidR="00D629FA">
        <w:rPr>
          <w:rFonts w:ascii="ZWAdobeF" w:hAnsi="ZWAdobeF" w:cs="ZWAdobeF"/>
          <w:color w:val="auto"/>
          <w:sz w:val="2"/>
          <w:szCs w:val="2"/>
        </w:rPr>
        <w:t>539B</w:t>
      </w:r>
      <w:r w:rsidR="00DD0F04">
        <w:t>An associated issue is whether other potential class members should be allowed to opt into the proceeding at settlement (i.e. those who decided against participating in the proceeding at the initial opt-in or opt-out stage). We think a class action</w:t>
      </w:r>
      <w:r w:rsidR="00805C83">
        <w:t>s</w:t>
      </w:r>
      <w:r w:rsidR="00DD0F04">
        <w:t xml:space="preserve"> regime should allow this, although it should not be required.</w:t>
      </w:r>
      <w:r w:rsidR="00D629FA">
        <w:rPr>
          <w:rFonts w:ascii="ZWAdobeF" w:hAnsi="ZWAdobeF" w:cs="ZWAdobeF"/>
          <w:color w:val="auto"/>
          <w:sz w:val="2"/>
          <w:szCs w:val="2"/>
        </w:rPr>
        <w:t>848F</w:t>
      </w:r>
      <w:r w:rsidR="007A330E">
        <w:rPr>
          <w:rFonts w:ascii="ZWAdobeF" w:hAnsi="ZWAdobeF" w:cs="ZWAdobeF"/>
          <w:color w:val="auto"/>
          <w:sz w:val="2"/>
          <w:szCs w:val="2"/>
        </w:rPr>
        <w:t>848F</w:t>
      </w:r>
      <w:r w:rsidR="00317AE4">
        <w:rPr>
          <w:rFonts w:ascii="ZWAdobeF" w:hAnsi="ZWAdobeF" w:cs="ZWAdobeF"/>
          <w:color w:val="auto"/>
          <w:sz w:val="2"/>
          <w:szCs w:val="2"/>
        </w:rPr>
        <w:t>848F</w:t>
      </w:r>
      <w:r w:rsidR="00DD0F04">
        <w:rPr>
          <w:rStyle w:val="FootnoteReference"/>
        </w:rPr>
        <w:footnoteReference w:id="850"/>
      </w:r>
      <w:r w:rsidR="00DD0F04">
        <w:t xml:space="preserve"> We do not think there is any unfairness from excluding someone from a settlement who has decided to opt out of the proceeding, or decided not to opt into the proceeding, at an earlier stage. We also think this could deter class members from joining the class action at an earlier point, as they could simply wait and see if there is a settlement. However, there may be cases where a defendant would want a settlement to bind the widest group possible and so would seek to provide an additional opportunity for potential class members to opt into a class action at settlement. </w:t>
      </w:r>
    </w:p>
    <w:p w14:paraId="70AD7677" w14:textId="65651CF3" w:rsidR="00DD0F04" w:rsidRDefault="00DF1FDD" w:rsidP="00DF1FDD">
      <w:pPr>
        <w:pStyle w:val="BodyText"/>
        <w:numPr>
          <w:ilvl w:val="0"/>
          <w:numId w:val="0"/>
        </w:numPr>
        <w:ind w:left="709"/>
      </w:pPr>
      <w:r>
        <w:rPr>
          <w:noProof/>
        </w:rPr>
        <mc:AlternateContent>
          <mc:Choice Requires="wpg">
            <w:drawing>
              <wp:anchor distT="0" distB="0" distL="114300" distR="114300" simplePos="0" relativeHeight="251652186" behindDoc="1" locked="0" layoutInCell="1" allowOverlap="1" wp14:anchorId="40FD07A3" wp14:editId="48E8DDF2">
                <wp:simplePos x="0" y="0"/>
                <wp:positionH relativeFrom="column">
                  <wp:posOffset>25651</wp:posOffset>
                </wp:positionH>
                <wp:positionV relativeFrom="paragraph">
                  <wp:posOffset>-7709</wp:posOffset>
                </wp:positionV>
                <wp:extent cx="5760085" cy="1614888"/>
                <wp:effectExtent l="0" t="0" r="0" b="4445"/>
                <wp:wrapNone/>
                <wp:docPr id="764518115" name="Group 764518115"/>
                <wp:cNvGraphicFramePr/>
                <a:graphic xmlns:a="http://schemas.openxmlformats.org/drawingml/2006/main">
                  <a:graphicData uri="http://schemas.microsoft.com/office/word/2010/wordprocessingGroup">
                    <wpg:wgp>
                      <wpg:cNvGrpSpPr/>
                      <wpg:grpSpPr>
                        <a:xfrm>
                          <a:off x="0" y="0"/>
                          <a:ext cx="5760085" cy="1614888"/>
                          <a:chOff x="0" y="0"/>
                          <a:chExt cx="5760085" cy="1614888"/>
                        </a:xfrm>
                      </wpg:grpSpPr>
                      <wps:wsp>
                        <wps:cNvPr id="764518064" name="Freeform 52"/>
                        <wps:cNvSpPr>
                          <a:spLocks/>
                        </wps:cNvSpPr>
                        <wps:spPr bwMode="auto">
                          <a:xfrm>
                            <a:off x="0" y="0"/>
                            <a:ext cx="1440000" cy="251974"/>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0BE0D9" w14:textId="77777777" w:rsidR="00A55F53" w:rsidRDefault="00A55F53" w:rsidP="00F95162">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65" name="Group 53"/>
                        <wpg:cNvGrpSpPr>
                          <a:grpSpLocks/>
                        </wpg:cNvGrpSpPr>
                        <wpg:grpSpPr bwMode="auto">
                          <a:xfrm>
                            <a:off x="0" y="247650"/>
                            <a:ext cx="5760085" cy="1367238"/>
                            <a:chOff x="1837" y="1792"/>
                            <a:chExt cx="9302" cy="14770"/>
                          </a:xfrm>
                        </wpg:grpSpPr>
                        <wps:wsp>
                          <wps:cNvPr id="764518066" name="Freeform 54"/>
                          <wps:cNvSpPr>
                            <a:spLocks/>
                          </wps:cNvSpPr>
                          <wps:spPr bwMode="auto">
                            <a:xfrm>
                              <a:off x="1837" y="1792"/>
                              <a:ext cx="9302" cy="1477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67" name="Group 764518067"/>
                        <wpg:cNvGrpSpPr/>
                        <wpg:grpSpPr>
                          <a:xfrm>
                            <a:off x="0" y="428625"/>
                            <a:ext cx="1443794" cy="251974"/>
                            <a:chOff x="-15880" y="0"/>
                            <a:chExt cx="1444379" cy="252068"/>
                          </a:xfrm>
                        </wpg:grpSpPr>
                        <wps:wsp>
                          <wps:cNvPr id="76451806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9023E7" w14:textId="6695396C" w:rsidR="00A55F53" w:rsidRPr="00E700FF" w:rsidRDefault="00A55F53" w:rsidP="00F95162">
                                <w:pPr>
                                  <w:pStyle w:val="BoxTitle"/>
                                  <w:spacing w:before="0" w:beforeAutospacing="0"/>
                                </w:pPr>
                                <w:r w:rsidRPr="001C1B37">
                                  <w:t>Q</w:t>
                                </w:r>
                                <w:r>
                                  <w:t>47</w:t>
                                </w:r>
                              </w:p>
                            </w:txbxContent>
                          </wps:txbx>
                          <wps:bodyPr rot="0" vert="horz" wrap="square" lIns="54000" tIns="82800" rIns="91440" bIns="45720" anchor="ctr" anchorCtr="0" upright="1">
                            <a:noAutofit/>
                          </wps:bodyPr>
                        </wps:wsp>
                      </wpg:grpSp>
                      <wpg:grpSp>
                        <wpg:cNvPr id="764518111" name="Group 764518111"/>
                        <wpg:cNvGrpSpPr/>
                        <wpg:grpSpPr>
                          <a:xfrm>
                            <a:off x="0" y="1143000"/>
                            <a:ext cx="1443794" cy="251974"/>
                            <a:chOff x="-15880" y="0"/>
                            <a:chExt cx="1444379" cy="252068"/>
                          </a:xfrm>
                        </wpg:grpSpPr>
                        <wps:wsp>
                          <wps:cNvPr id="76451811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113" name="Freeform 66"/>
                          <wps:cNvSpPr>
                            <a:spLocks/>
                          </wps:cNvSpPr>
                          <wps:spPr bwMode="auto">
                            <a:xfrm>
                              <a:off x="-15880" y="0"/>
                              <a:ext cx="414168"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DF99EC" w14:textId="4EFED1DB" w:rsidR="00A55F53" w:rsidRPr="00E700FF" w:rsidRDefault="00A55F53" w:rsidP="007B406D">
                                <w:pPr>
                                  <w:pStyle w:val="BoxTitle"/>
                                  <w:spacing w:before="0" w:beforeAutospacing="0"/>
                                </w:pPr>
                                <w:r w:rsidRPr="001C1B37">
                                  <w:t>Q</w:t>
                                </w:r>
                                <w:r>
                                  <w:t>48</w:t>
                                </w:r>
                              </w:p>
                            </w:txbxContent>
                          </wps:txbx>
                          <wps:bodyPr rot="0" vert="horz" wrap="square" lIns="54000" tIns="82800" rIns="91440" bIns="45720" anchor="ctr" anchorCtr="0" upright="1">
                            <a:noAutofit/>
                          </wps:bodyPr>
                        </wps:wsp>
                      </wpg:grpSp>
                    </wpg:wgp>
                  </a:graphicData>
                </a:graphic>
              </wp:anchor>
            </w:drawing>
          </mc:Choice>
          <mc:Fallback>
            <w:pict>
              <v:group w14:anchorId="40FD07A3" id="Group 764518115" o:spid="_x0000_s1529" style="position:absolute;left:0;text-align:left;margin-left:2pt;margin-top:-.6pt;width:453.55pt;height:127.15pt;z-index:-251664294" coordsize="57600,1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">
                <v:shape id="_x0000_s1530" style="position:absolute;width:14400;height:2519;visibility:visible;mso-wrap-style:square;v-text-anchor:middle" coordsize="1440000,251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" adj="-11796480,,5400" path="m,l1314013,r125987,125987l1440000,251974,,251974,,xe" fillcolor="#72ab6a" stroked="f">
                  <v:stroke joinstyle="round"/>
                  <v:formulas/>
                  <v:path arrowok="t" o:connecttype="custom" o:connectlocs="0,0;1314013,0;1440000,125987;1440000,251974;0,251974;0,0" o:connectangles="0,0,0,0,0,0" textboxrect="0,0,1440000,251974"/>
                  <v:textbox inset=",0,0">
                    <w:txbxContent>
                      <w:p w14:paraId="430BE0D9" w14:textId="77777777" w:rsidR="00A55F53" w:rsidRDefault="00A55F53" w:rsidP="00F95162">
                        <w:pPr>
                          <w:pStyle w:val="BoxTitle"/>
                          <w:spacing w:before="0" w:beforeAutospacing="0"/>
                        </w:pPr>
                        <w:r w:rsidRPr="007F6876">
                          <w:t>QUESTION</w:t>
                        </w:r>
                      </w:p>
                    </w:txbxContent>
                  </v:textbox>
                </v:shape>
                <v:group id="Group 53" o:spid="_x0000_s1531" style="position:absolute;top:2476;width:57600;height:13672" coordorigin="1837,1792" coordsize="9302,1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">
                  <v:shape id="Freeform 54" o:spid="_x0000_s1532" style="position:absolute;left:1837;top:1792;width:9302;height:1477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" path="m,l9354,r,7809l,7809,,e" fillcolor="#edf2ea" stroked="f">
                    <v:path arrowok="t" o:connecttype="custom" o:connectlocs="0,1891;9302,1891;9302,16661;0,16661;0,1891" o:connectangles="0,0,0,0,0"/>
                  </v:shape>
                </v:group>
                <v:group id="Group 764518067" o:spid="_x0000_s1533" style="position:absolute;top:4286;width:14437;height:2519"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">
                  <v:shape id="Freeform 58" o:spid="_x0000_s153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" path="m,l1815,e" filled="f" strokecolor="#72ab6a" strokeweight=".5pt">
                    <v:path arrowok="t" o:connecttype="custom" o:connectlocs="0,0;1073495,0" o:connectangles="0,0"/>
                  </v:shape>
                  <v:shape id="Freeform 66" o:spid="_x0000_s153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19023E7" w14:textId="6695396C" w:rsidR="00A55F53" w:rsidRPr="00E700FF" w:rsidRDefault="00A55F53" w:rsidP="00F95162">
                          <w:pPr>
                            <w:pStyle w:val="BoxTitle"/>
                            <w:spacing w:before="0" w:beforeAutospacing="0"/>
                          </w:pPr>
                          <w:r w:rsidRPr="001C1B37">
                            <w:t>Q</w:t>
                          </w:r>
                          <w:r>
                            <w:t>47</w:t>
                          </w:r>
                        </w:p>
                      </w:txbxContent>
                    </v:textbox>
                  </v:shape>
                </v:group>
                <v:group id="Group 764518111" o:spid="_x0000_s1536" style="position:absolute;top:11430;width:14437;height:2519"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">
                  <v:shape id="Freeform 58" o:spid="_x0000_s1537"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" path="m,l1815,e" filled="f" strokecolor="#72ab6a" strokeweight=".5pt">
                    <v:path arrowok="t" o:connecttype="custom" o:connectlocs="0,0;1073495,0" o:connectangles="0,0"/>
                  </v:shape>
                  <v:shape id="Freeform 66" o:spid="_x0000_s1538" style="position:absolute;left:-158;width:4140;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" adj="-11796480,,5400" path="m,470r642,l642,,,,,470e" fillcolor="#72ab6a" stroked="f">
                    <v:stroke joinstyle="round"/>
                    <v:formulas/>
                    <v:path arrowok="t" o:connecttype="custom" o:connectlocs="0,2317953;413524,2317953;413524,2065885;0,2065885;0,2317953" o:connectangles="0,0,0,0,0" textboxrect="0,0,643,470"/>
                    <v:textbox inset="1.5mm,2.3mm">
                      <w:txbxContent>
                        <w:p w14:paraId="16DF99EC" w14:textId="4EFED1DB" w:rsidR="00A55F53" w:rsidRPr="00E700FF" w:rsidRDefault="00A55F53" w:rsidP="007B406D">
                          <w:pPr>
                            <w:pStyle w:val="BoxTitle"/>
                            <w:spacing w:before="0" w:beforeAutospacing="0"/>
                          </w:pPr>
                          <w:r w:rsidRPr="001C1B37">
                            <w:t>Q</w:t>
                          </w:r>
                          <w:r>
                            <w:t>48</w:t>
                          </w:r>
                        </w:p>
                      </w:txbxContent>
                    </v:textbox>
                  </v:shape>
                </v:group>
              </v:group>
            </w:pict>
          </mc:Fallback>
        </mc:AlternateContent>
      </w:r>
    </w:p>
    <w:p w14:paraId="02EB4D0E" w14:textId="7E7767EF" w:rsidR="00F95162" w:rsidRDefault="00F95162" w:rsidP="00F95162">
      <w:pPr>
        <w:pStyle w:val="QuestionBox"/>
      </w:pPr>
    </w:p>
    <w:p w14:paraId="2F88506D" w14:textId="03F20F3F" w:rsidR="00DD0F04" w:rsidRDefault="00BD5C95" w:rsidP="00F95162">
      <w:pPr>
        <w:pStyle w:val="QuestionBox"/>
      </w:pPr>
      <w:r>
        <w:rPr>
          <w:rFonts w:ascii="ZWAdobeF" w:hAnsi="ZWAdobeF" w:cs="ZWAdobeF"/>
          <w:color w:val="auto"/>
          <w:sz w:val="2"/>
          <w:szCs w:val="2"/>
        </w:rPr>
        <w:t>1452B</w:t>
      </w:r>
      <w:r w:rsidR="0049638A">
        <w:rPr>
          <w:rFonts w:ascii="ZWAdobeF" w:hAnsi="ZWAdobeF" w:cs="ZWAdobeF"/>
          <w:color w:val="auto"/>
          <w:sz w:val="2"/>
          <w:szCs w:val="2"/>
        </w:rPr>
        <w:t>1452B</w:t>
      </w:r>
      <w:r w:rsidR="00D629FA">
        <w:rPr>
          <w:rFonts w:ascii="ZWAdobeF" w:hAnsi="ZWAdobeF" w:cs="ZWAdobeF"/>
          <w:color w:val="auto"/>
          <w:sz w:val="2"/>
          <w:szCs w:val="2"/>
        </w:rPr>
        <w:t>1452B</w:t>
      </w:r>
      <w:r w:rsidR="00DD0F04" w:rsidRPr="00514088">
        <w:t>Do you agree that</w:t>
      </w:r>
      <w:r w:rsidR="00DD0F04">
        <w:t xml:space="preserve"> class members </w:t>
      </w:r>
      <w:r w:rsidR="00DD0F04" w:rsidRPr="00514088">
        <w:t>should be able</w:t>
      </w:r>
      <w:r w:rsidR="00DD0F04">
        <w:t xml:space="preserve"> to opt out of a class action settlement</w:t>
      </w:r>
      <w:r w:rsidR="00DD0F04" w:rsidRPr="00514088">
        <w:t xml:space="preserve"> once it is approved</w:t>
      </w:r>
      <w:r w:rsidR="00DD0F04">
        <w:t>?</w:t>
      </w:r>
    </w:p>
    <w:p w14:paraId="1481C93E" w14:textId="4C88164E" w:rsidR="00F95162" w:rsidRDefault="00F95162" w:rsidP="00F95162">
      <w:pPr>
        <w:pStyle w:val="QuestionBox"/>
      </w:pPr>
    </w:p>
    <w:p w14:paraId="1B824403" w14:textId="19B305CB" w:rsidR="00DD0F04" w:rsidRDefault="00BD5C95" w:rsidP="00F95162">
      <w:pPr>
        <w:pStyle w:val="QuestionBox"/>
      </w:pPr>
      <w:r>
        <w:rPr>
          <w:rFonts w:ascii="ZWAdobeF" w:hAnsi="ZWAdobeF" w:cs="ZWAdobeF"/>
          <w:color w:val="auto"/>
          <w:sz w:val="2"/>
          <w:szCs w:val="2"/>
        </w:rPr>
        <w:t>1453B</w:t>
      </w:r>
      <w:r w:rsidR="0049638A">
        <w:rPr>
          <w:rFonts w:ascii="ZWAdobeF" w:hAnsi="ZWAdobeF" w:cs="ZWAdobeF"/>
          <w:color w:val="auto"/>
          <w:sz w:val="2"/>
          <w:szCs w:val="2"/>
        </w:rPr>
        <w:t>1453B</w:t>
      </w:r>
      <w:r w:rsidR="00D629FA">
        <w:rPr>
          <w:rFonts w:ascii="ZWAdobeF" w:hAnsi="ZWAdobeF" w:cs="ZWAdobeF"/>
          <w:color w:val="auto"/>
          <w:sz w:val="2"/>
          <w:szCs w:val="2"/>
        </w:rPr>
        <w:t>1453B</w:t>
      </w:r>
      <w:r w:rsidR="00DD0F04">
        <w:t>Should other potential class members have an opportunity to opt in at settlement?</w:t>
      </w:r>
    </w:p>
    <w:p w14:paraId="19FE122C" w14:textId="77777777" w:rsidR="00F95162" w:rsidRDefault="00F95162" w:rsidP="00F95162">
      <w:pPr>
        <w:pStyle w:val="QuestionBox"/>
      </w:pPr>
    </w:p>
    <w:p w14:paraId="6F77D578" w14:textId="77777777" w:rsidR="00DD0F04" w:rsidRDefault="00DD0F04" w:rsidP="00194C9B">
      <w:pPr>
        <w:pStyle w:val="Heading3"/>
        <w:rPr>
          <w:highlight w:val="yellow"/>
        </w:rPr>
      </w:pPr>
      <w:r w:rsidRPr="009E2522">
        <w:t xml:space="preserve">Certification for the purposes of settlement </w:t>
      </w:r>
    </w:p>
    <w:p w14:paraId="63454724" w14:textId="693B0EC8" w:rsidR="00DD0F04" w:rsidRPr="00732CCF" w:rsidRDefault="00BD5C95" w:rsidP="00B73434">
      <w:pPr>
        <w:pStyle w:val="BodyText"/>
        <w:numPr>
          <w:ilvl w:val="1"/>
          <w:numId w:val="52"/>
        </w:numPr>
        <w:tabs>
          <w:tab w:val="left" w:pos="709"/>
        </w:tabs>
        <w:ind w:hanging="709"/>
      </w:pPr>
      <w:r>
        <w:rPr>
          <w:rFonts w:ascii="ZWAdobeF" w:hAnsi="ZWAdobeF" w:cs="ZWAdobeF"/>
          <w:color w:val="auto"/>
          <w:sz w:val="2"/>
          <w:szCs w:val="2"/>
        </w:rPr>
        <w:t>540B</w:t>
      </w:r>
      <w:r w:rsidR="0049638A">
        <w:rPr>
          <w:rFonts w:ascii="ZWAdobeF" w:hAnsi="ZWAdobeF" w:cs="ZWAdobeF"/>
          <w:color w:val="auto"/>
          <w:sz w:val="2"/>
          <w:szCs w:val="2"/>
        </w:rPr>
        <w:t>540B</w:t>
      </w:r>
      <w:r w:rsidR="00D629FA">
        <w:rPr>
          <w:rFonts w:ascii="ZWAdobeF" w:hAnsi="ZWAdobeF" w:cs="ZWAdobeF"/>
          <w:color w:val="auto"/>
          <w:sz w:val="2"/>
          <w:szCs w:val="2"/>
        </w:rPr>
        <w:t>540B</w:t>
      </w:r>
      <w:r w:rsidR="00DD0F04" w:rsidRPr="00732CCF">
        <w:t>Earlier in this chapter</w:t>
      </w:r>
      <w:r w:rsidR="00DD0F04">
        <w:t>,</w:t>
      </w:r>
      <w:r w:rsidR="00DD0F04" w:rsidRPr="00732CCF">
        <w:t xml:space="preserve"> we proposed that court approval should be required </w:t>
      </w:r>
      <w:r w:rsidR="00DD0F04">
        <w:t>if</w:t>
      </w:r>
      <w:r w:rsidR="00DD0F04" w:rsidRPr="00732CCF">
        <w:t xml:space="preserve"> a settlement </w:t>
      </w:r>
      <w:r w:rsidR="000438D6">
        <w:t xml:space="preserve">of a class action is </w:t>
      </w:r>
      <w:r w:rsidR="00DD0F04" w:rsidRPr="00732CCF">
        <w:t xml:space="preserve">reached prior to certification. In this situation, there will need to be a process for certifying or approving the </w:t>
      </w:r>
      <w:r w:rsidR="00A131E0">
        <w:t xml:space="preserve">class for </w:t>
      </w:r>
      <w:r w:rsidR="00DD0F04" w:rsidRPr="00732CCF">
        <w:t xml:space="preserve">settlement, so it is clear who the settlement is binding upon. </w:t>
      </w:r>
    </w:p>
    <w:p w14:paraId="73C7154E" w14:textId="50AFC439" w:rsidR="00DD0F04" w:rsidRPr="00732CCF" w:rsidRDefault="00BD5C95" w:rsidP="00B73434">
      <w:pPr>
        <w:pStyle w:val="BodyText"/>
        <w:numPr>
          <w:ilvl w:val="1"/>
          <w:numId w:val="52"/>
        </w:numPr>
        <w:tabs>
          <w:tab w:val="left" w:pos="709"/>
        </w:tabs>
        <w:ind w:hanging="709"/>
      </w:pPr>
      <w:r>
        <w:rPr>
          <w:rFonts w:ascii="ZWAdobeF" w:hAnsi="ZWAdobeF" w:cs="ZWAdobeF"/>
          <w:color w:val="auto"/>
          <w:sz w:val="2"/>
          <w:szCs w:val="2"/>
        </w:rPr>
        <w:t>541B</w:t>
      </w:r>
      <w:r w:rsidR="0049638A">
        <w:rPr>
          <w:rFonts w:ascii="ZWAdobeF" w:hAnsi="ZWAdobeF" w:cs="ZWAdobeF"/>
          <w:color w:val="auto"/>
          <w:sz w:val="2"/>
          <w:szCs w:val="2"/>
        </w:rPr>
        <w:t>541B</w:t>
      </w:r>
      <w:r w:rsidR="00D629FA">
        <w:rPr>
          <w:rFonts w:ascii="ZWAdobeF" w:hAnsi="ZWAdobeF" w:cs="ZWAdobeF"/>
          <w:color w:val="auto"/>
          <w:sz w:val="2"/>
          <w:szCs w:val="2"/>
        </w:rPr>
        <w:t>541B</w:t>
      </w:r>
      <w:r w:rsidR="00DD0F04" w:rsidRPr="00732CCF">
        <w:t>One approach is to have certification occur before the court considers whether to approve the settlement. In the United Kingdom Competition Appeal</w:t>
      </w:r>
      <w:r w:rsidR="00DD0F04">
        <w:t xml:space="preserve"> Tribunal</w:t>
      </w:r>
      <w:r w:rsidR="00DD0F04" w:rsidRPr="00732CCF">
        <w:t xml:space="preserve">, if the parties </w:t>
      </w:r>
      <w:r w:rsidR="00DD0F04" w:rsidRPr="00732CCF">
        <w:lastRenderedPageBreak/>
        <w:t xml:space="preserve">reach a settlement prior to certification, the plaintiff must </w:t>
      </w:r>
      <w:r w:rsidR="00DD0F04">
        <w:t>apply</w:t>
      </w:r>
      <w:r w:rsidR="00DD0F04" w:rsidRPr="00732CCF">
        <w:t xml:space="preserve"> for a collective settlement order, appointing them as settlement representative.</w:t>
      </w:r>
      <w:r w:rsidR="00D629FA">
        <w:rPr>
          <w:rFonts w:ascii="ZWAdobeF" w:hAnsi="ZWAdobeF" w:cs="ZWAdobeF"/>
          <w:color w:val="auto"/>
          <w:sz w:val="2"/>
          <w:szCs w:val="2"/>
        </w:rPr>
        <w:t>849F</w:t>
      </w:r>
      <w:r w:rsidR="007A330E">
        <w:rPr>
          <w:rFonts w:ascii="ZWAdobeF" w:hAnsi="ZWAdobeF" w:cs="ZWAdobeF"/>
          <w:color w:val="auto"/>
          <w:sz w:val="2"/>
          <w:szCs w:val="2"/>
        </w:rPr>
        <w:t>849F</w:t>
      </w:r>
      <w:r w:rsidR="00317AE4">
        <w:rPr>
          <w:rFonts w:ascii="ZWAdobeF" w:hAnsi="ZWAdobeF" w:cs="ZWAdobeF"/>
          <w:color w:val="auto"/>
          <w:sz w:val="2"/>
          <w:szCs w:val="2"/>
        </w:rPr>
        <w:t>849F</w:t>
      </w:r>
      <w:r w:rsidR="00DD0F04" w:rsidRPr="00732CCF">
        <w:rPr>
          <w:rStyle w:val="FootnoteReference"/>
        </w:rPr>
        <w:footnoteReference w:id="851"/>
      </w:r>
      <w:r w:rsidR="00DD0F04" w:rsidRPr="00732CCF">
        <w:t xml:space="preserve"> The criteria for approving a settlement representative are broadly the same as the certification criteria.</w:t>
      </w:r>
      <w:r w:rsidR="00D629FA">
        <w:rPr>
          <w:rFonts w:ascii="ZWAdobeF" w:hAnsi="ZWAdobeF" w:cs="ZWAdobeF"/>
          <w:color w:val="auto"/>
          <w:sz w:val="2"/>
          <w:szCs w:val="2"/>
        </w:rPr>
        <w:t>850F</w:t>
      </w:r>
      <w:r w:rsidR="007A330E">
        <w:rPr>
          <w:rFonts w:ascii="ZWAdobeF" w:hAnsi="ZWAdobeF" w:cs="ZWAdobeF"/>
          <w:color w:val="auto"/>
          <w:sz w:val="2"/>
          <w:szCs w:val="2"/>
        </w:rPr>
        <w:t>850F</w:t>
      </w:r>
      <w:r w:rsidR="00317AE4">
        <w:rPr>
          <w:rFonts w:ascii="ZWAdobeF" w:hAnsi="ZWAdobeF" w:cs="ZWAdobeF"/>
          <w:color w:val="auto"/>
          <w:sz w:val="2"/>
          <w:szCs w:val="2"/>
        </w:rPr>
        <w:t>850F</w:t>
      </w:r>
      <w:r w:rsidR="00DD0F04" w:rsidRPr="00732CCF">
        <w:rPr>
          <w:rStyle w:val="FootnoteReference"/>
        </w:rPr>
        <w:footnoteReference w:id="852"/>
      </w:r>
      <w:r w:rsidR="00DD0F04" w:rsidRPr="00732CCF">
        <w:t xml:space="preserve"> If the court grants the collective settlement order, the settlement representative and the defendant may then apply for an order approving the settlement.</w:t>
      </w:r>
      <w:r w:rsidR="00D629FA">
        <w:rPr>
          <w:rFonts w:ascii="ZWAdobeF" w:hAnsi="ZWAdobeF" w:cs="ZWAdobeF"/>
          <w:color w:val="auto"/>
          <w:sz w:val="2"/>
          <w:szCs w:val="2"/>
        </w:rPr>
        <w:t>851F</w:t>
      </w:r>
      <w:r w:rsidR="007A330E">
        <w:rPr>
          <w:rFonts w:ascii="ZWAdobeF" w:hAnsi="ZWAdobeF" w:cs="ZWAdobeF"/>
          <w:color w:val="auto"/>
          <w:sz w:val="2"/>
          <w:szCs w:val="2"/>
        </w:rPr>
        <w:t>851F</w:t>
      </w:r>
      <w:r w:rsidR="00317AE4">
        <w:rPr>
          <w:rFonts w:ascii="ZWAdobeF" w:hAnsi="ZWAdobeF" w:cs="ZWAdobeF"/>
          <w:color w:val="auto"/>
          <w:sz w:val="2"/>
          <w:szCs w:val="2"/>
        </w:rPr>
        <w:t>851F</w:t>
      </w:r>
      <w:r w:rsidR="00DD0F04" w:rsidRPr="00732CCF">
        <w:rPr>
          <w:rStyle w:val="FootnoteReference"/>
        </w:rPr>
        <w:footnoteReference w:id="853"/>
      </w:r>
    </w:p>
    <w:p w14:paraId="37893A63" w14:textId="16C573E2" w:rsidR="00DD0F04" w:rsidRDefault="00BD5C95" w:rsidP="00B73434">
      <w:pPr>
        <w:pStyle w:val="BodyText"/>
        <w:numPr>
          <w:ilvl w:val="1"/>
          <w:numId w:val="52"/>
        </w:numPr>
        <w:tabs>
          <w:tab w:val="left" w:pos="709"/>
        </w:tabs>
        <w:ind w:hanging="709"/>
      </w:pPr>
      <w:r>
        <w:rPr>
          <w:rFonts w:ascii="ZWAdobeF" w:hAnsi="ZWAdobeF" w:cs="ZWAdobeF"/>
          <w:color w:val="auto"/>
          <w:sz w:val="2"/>
          <w:szCs w:val="2"/>
        </w:rPr>
        <w:t>542B</w:t>
      </w:r>
      <w:r w:rsidR="0049638A">
        <w:rPr>
          <w:rFonts w:ascii="ZWAdobeF" w:hAnsi="ZWAdobeF" w:cs="ZWAdobeF"/>
          <w:color w:val="auto"/>
          <w:sz w:val="2"/>
          <w:szCs w:val="2"/>
        </w:rPr>
        <w:t>542B</w:t>
      </w:r>
      <w:r w:rsidR="00D629FA">
        <w:rPr>
          <w:rFonts w:ascii="ZWAdobeF" w:hAnsi="ZWAdobeF" w:cs="ZWAdobeF"/>
          <w:color w:val="auto"/>
          <w:sz w:val="2"/>
          <w:szCs w:val="2"/>
        </w:rPr>
        <w:t>542B</w:t>
      </w:r>
      <w:r w:rsidR="00DD0F04" w:rsidRPr="00732CCF">
        <w:t>Another approach is for the court to make a conditional or preliminary certification order prior to the settlement approval hearing, with a final determination on certification when the settlement is approved. This is the approach taken in the United States. At the preliminary approval stage the court will consider whether it will likely be able to certify the class for the purposes of settlement.</w:t>
      </w:r>
      <w:r w:rsidR="00D629FA">
        <w:rPr>
          <w:rFonts w:ascii="ZWAdobeF" w:hAnsi="ZWAdobeF" w:cs="ZWAdobeF"/>
          <w:color w:val="auto"/>
          <w:sz w:val="2"/>
          <w:szCs w:val="2"/>
        </w:rPr>
        <w:t>852F</w:t>
      </w:r>
      <w:r w:rsidR="007A330E">
        <w:rPr>
          <w:rFonts w:ascii="ZWAdobeF" w:hAnsi="ZWAdobeF" w:cs="ZWAdobeF"/>
          <w:color w:val="auto"/>
          <w:sz w:val="2"/>
          <w:szCs w:val="2"/>
        </w:rPr>
        <w:t>852F</w:t>
      </w:r>
      <w:r w:rsidR="00317AE4">
        <w:rPr>
          <w:rFonts w:ascii="ZWAdobeF" w:hAnsi="ZWAdobeF" w:cs="ZWAdobeF"/>
          <w:color w:val="auto"/>
          <w:sz w:val="2"/>
          <w:szCs w:val="2"/>
        </w:rPr>
        <w:t>852F</w:t>
      </w:r>
      <w:r w:rsidR="00DD0F04" w:rsidRPr="00732CCF">
        <w:rPr>
          <w:rStyle w:val="FootnoteReference"/>
        </w:rPr>
        <w:footnoteReference w:id="854"/>
      </w:r>
      <w:r w:rsidR="00DD0F04" w:rsidRPr="00732CCF">
        <w:t xml:space="preserve"> This is sometimes referred to as </w:t>
      </w:r>
      <w:r w:rsidR="005E2CAE">
        <w:t>‘</w:t>
      </w:r>
      <w:r w:rsidR="00DD0F04" w:rsidRPr="00732CCF">
        <w:t>conditional certification</w:t>
      </w:r>
      <w:r w:rsidR="005E2CAE">
        <w:t>’</w:t>
      </w:r>
      <w:r w:rsidR="00DD0F04" w:rsidRPr="00732CCF">
        <w:t xml:space="preserve"> or a </w:t>
      </w:r>
      <w:r w:rsidR="005E2CAE">
        <w:t>‘</w:t>
      </w:r>
      <w:r w:rsidR="00DD0F04" w:rsidRPr="00732CCF">
        <w:t>preliminary determination</w:t>
      </w:r>
      <w:r w:rsidR="005E2CAE">
        <w:t>’</w:t>
      </w:r>
      <w:r w:rsidR="00DD0F04" w:rsidRPr="00732CCF">
        <w:t xml:space="preserve"> on class certification.</w:t>
      </w:r>
      <w:r w:rsidR="00D629FA">
        <w:rPr>
          <w:rFonts w:ascii="ZWAdobeF" w:hAnsi="ZWAdobeF" w:cs="ZWAdobeF"/>
          <w:color w:val="auto"/>
          <w:sz w:val="2"/>
          <w:szCs w:val="2"/>
        </w:rPr>
        <w:t>853F</w:t>
      </w:r>
      <w:r w:rsidR="007A330E">
        <w:rPr>
          <w:rFonts w:ascii="ZWAdobeF" w:hAnsi="ZWAdobeF" w:cs="ZWAdobeF"/>
          <w:color w:val="auto"/>
          <w:sz w:val="2"/>
          <w:szCs w:val="2"/>
        </w:rPr>
        <w:t>853F</w:t>
      </w:r>
      <w:r w:rsidR="00317AE4">
        <w:rPr>
          <w:rFonts w:ascii="ZWAdobeF" w:hAnsi="ZWAdobeF" w:cs="ZWAdobeF"/>
          <w:color w:val="auto"/>
          <w:sz w:val="2"/>
          <w:szCs w:val="2"/>
        </w:rPr>
        <w:t>853F</w:t>
      </w:r>
      <w:r w:rsidR="00DD0F04" w:rsidRPr="00732CCF">
        <w:rPr>
          <w:rStyle w:val="FootnoteReference"/>
        </w:rPr>
        <w:footnoteReference w:id="855"/>
      </w:r>
      <w:r w:rsidR="00DD0F04" w:rsidRPr="00732CCF">
        <w:t xml:space="preserve"> The court will apply the certification criteria, with the exception of the requirement that a class action trial will be manageable.</w:t>
      </w:r>
      <w:r w:rsidR="00D629FA">
        <w:rPr>
          <w:rFonts w:ascii="ZWAdobeF" w:hAnsi="ZWAdobeF" w:cs="ZWAdobeF"/>
          <w:color w:val="auto"/>
          <w:sz w:val="2"/>
          <w:szCs w:val="2"/>
        </w:rPr>
        <w:t>854F</w:t>
      </w:r>
      <w:r w:rsidR="007A330E">
        <w:rPr>
          <w:rFonts w:ascii="ZWAdobeF" w:hAnsi="ZWAdobeF" w:cs="ZWAdobeF"/>
          <w:color w:val="auto"/>
          <w:sz w:val="2"/>
          <w:szCs w:val="2"/>
        </w:rPr>
        <w:t>854F</w:t>
      </w:r>
      <w:r w:rsidR="00317AE4">
        <w:rPr>
          <w:rFonts w:ascii="ZWAdobeF" w:hAnsi="ZWAdobeF" w:cs="ZWAdobeF"/>
          <w:color w:val="auto"/>
          <w:sz w:val="2"/>
          <w:szCs w:val="2"/>
        </w:rPr>
        <w:t>854F</w:t>
      </w:r>
      <w:r w:rsidR="00DD0F04" w:rsidRPr="00732CCF">
        <w:rPr>
          <w:rStyle w:val="FootnoteReference"/>
        </w:rPr>
        <w:footnoteReference w:id="856"/>
      </w:r>
      <w:r w:rsidR="00DD0F04" w:rsidRPr="00732CCF">
        <w:t xml:space="preserve"> </w:t>
      </w:r>
      <w:r w:rsidR="00DD0F04">
        <w:t>Other aspects of the certification criteria require “undiluted, even heightened” attention when the court is considering certification for settlement, because the court will not have the opportunity to adjust the class as the case unfolds.</w:t>
      </w:r>
      <w:r w:rsidR="00D629FA">
        <w:rPr>
          <w:rFonts w:ascii="ZWAdobeF" w:hAnsi="ZWAdobeF" w:cs="ZWAdobeF"/>
          <w:color w:val="auto"/>
          <w:sz w:val="2"/>
          <w:szCs w:val="2"/>
        </w:rPr>
        <w:t>855F</w:t>
      </w:r>
      <w:r w:rsidR="007A330E">
        <w:rPr>
          <w:rFonts w:ascii="ZWAdobeF" w:hAnsi="ZWAdobeF" w:cs="ZWAdobeF"/>
          <w:color w:val="auto"/>
          <w:sz w:val="2"/>
          <w:szCs w:val="2"/>
        </w:rPr>
        <w:t>855F</w:t>
      </w:r>
      <w:r w:rsidR="00317AE4">
        <w:rPr>
          <w:rFonts w:ascii="ZWAdobeF" w:hAnsi="ZWAdobeF" w:cs="ZWAdobeF"/>
          <w:color w:val="auto"/>
          <w:sz w:val="2"/>
          <w:szCs w:val="2"/>
        </w:rPr>
        <w:t>855F</w:t>
      </w:r>
      <w:r w:rsidR="00DD0F04">
        <w:rPr>
          <w:rStyle w:val="FootnoteReference"/>
        </w:rPr>
        <w:footnoteReference w:id="857"/>
      </w:r>
      <w:r w:rsidR="00DD0F04">
        <w:t xml:space="preserve"> </w:t>
      </w:r>
      <w:r w:rsidR="00DD0F04" w:rsidRPr="00732CCF">
        <w:t>The defendant will not contest certification but will usually insist on retaining the right to oppose certification if the settlement is not approved.</w:t>
      </w:r>
      <w:r w:rsidR="00D629FA">
        <w:rPr>
          <w:rFonts w:ascii="ZWAdobeF" w:hAnsi="ZWAdobeF" w:cs="ZWAdobeF"/>
          <w:color w:val="auto"/>
          <w:sz w:val="2"/>
          <w:szCs w:val="2"/>
        </w:rPr>
        <w:t>856F</w:t>
      </w:r>
      <w:r w:rsidR="007A330E">
        <w:rPr>
          <w:rFonts w:ascii="ZWAdobeF" w:hAnsi="ZWAdobeF" w:cs="ZWAdobeF"/>
          <w:color w:val="auto"/>
          <w:sz w:val="2"/>
          <w:szCs w:val="2"/>
        </w:rPr>
        <w:t>856F</w:t>
      </w:r>
      <w:r w:rsidR="00317AE4">
        <w:rPr>
          <w:rFonts w:ascii="ZWAdobeF" w:hAnsi="ZWAdobeF" w:cs="ZWAdobeF"/>
          <w:color w:val="auto"/>
          <w:sz w:val="2"/>
          <w:szCs w:val="2"/>
        </w:rPr>
        <w:t>856F</w:t>
      </w:r>
      <w:r w:rsidR="00DD0F04" w:rsidRPr="00732CCF">
        <w:rPr>
          <w:rStyle w:val="FootnoteReference"/>
        </w:rPr>
        <w:footnoteReference w:id="858"/>
      </w:r>
      <w:r w:rsidR="00DD0F04" w:rsidRPr="00732CCF">
        <w:t xml:space="preserve"> At the final approval stage, the court will decide whether to certify the class (as well as approve the settlement).</w:t>
      </w:r>
      <w:r w:rsidR="00D629FA">
        <w:rPr>
          <w:rFonts w:ascii="ZWAdobeF" w:hAnsi="ZWAdobeF" w:cs="ZWAdobeF"/>
          <w:color w:val="auto"/>
          <w:sz w:val="2"/>
          <w:szCs w:val="2"/>
        </w:rPr>
        <w:t>857F</w:t>
      </w:r>
      <w:r w:rsidR="007A330E">
        <w:rPr>
          <w:rFonts w:ascii="ZWAdobeF" w:hAnsi="ZWAdobeF" w:cs="ZWAdobeF"/>
          <w:color w:val="auto"/>
          <w:sz w:val="2"/>
          <w:szCs w:val="2"/>
        </w:rPr>
        <w:t>857F</w:t>
      </w:r>
      <w:r w:rsidR="00317AE4">
        <w:rPr>
          <w:rFonts w:ascii="ZWAdobeF" w:hAnsi="ZWAdobeF" w:cs="ZWAdobeF"/>
          <w:color w:val="auto"/>
          <w:sz w:val="2"/>
          <w:szCs w:val="2"/>
        </w:rPr>
        <w:t>857F</w:t>
      </w:r>
      <w:r w:rsidR="00DD0F04" w:rsidRPr="00732CCF">
        <w:rPr>
          <w:rStyle w:val="FootnoteReference"/>
        </w:rPr>
        <w:footnoteReference w:id="859"/>
      </w:r>
      <w:r w:rsidR="00DD0F04" w:rsidRPr="00732CCF">
        <w:t xml:space="preserve"> </w:t>
      </w:r>
    </w:p>
    <w:p w14:paraId="2691B4EB" w14:textId="58093CDE" w:rsidR="00DD0F04" w:rsidRPr="00732CCF" w:rsidRDefault="00BD5C95" w:rsidP="00B73434">
      <w:pPr>
        <w:pStyle w:val="BodyText"/>
        <w:numPr>
          <w:ilvl w:val="1"/>
          <w:numId w:val="52"/>
        </w:numPr>
        <w:tabs>
          <w:tab w:val="left" w:pos="709"/>
        </w:tabs>
        <w:ind w:hanging="709"/>
      </w:pPr>
      <w:r>
        <w:rPr>
          <w:rFonts w:ascii="ZWAdobeF" w:hAnsi="ZWAdobeF" w:cs="ZWAdobeF"/>
          <w:color w:val="auto"/>
          <w:sz w:val="2"/>
          <w:szCs w:val="2"/>
        </w:rPr>
        <w:t>543B</w:t>
      </w:r>
      <w:r w:rsidR="0049638A">
        <w:rPr>
          <w:rFonts w:ascii="ZWAdobeF" w:hAnsi="ZWAdobeF" w:cs="ZWAdobeF"/>
          <w:color w:val="auto"/>
          <w:sz w:val="2"/>
          <w:szCs w:val="2"/>
        </w:rPr>
        <w:t>543B</w:t>
      </w:r>
      <w:r w:rsidR="00D629FA">
        <w:rPr>
          <w:rFonts w:ascii="ZWAdobeF" w:hAnsi="ZWAdobeF" w:cs="ZWAdobeF"/>
          <w:color w:val="auto"/>
          <w:sz w:val="2"/>
          <w:szCs w:val="2"/>
        </w:rPr>
        <w:t>543B</w:t>
      </w:r>
      <w:r w:rsidR="00DD0F04">
        <w:t>In Canada, the parties will typically bring an application to certify the class action for settlement purposes only.</w:t>
      </w:r>
      <w:r w:rsidR="00D629FA">
        <w:rPr>
          <w:rFonts w:ascii="ZWAdobeF" w:hAnsi="ZWAdobeF" w:cs="ZWAdobeF"/>
          <w:color w:val="auto"/>
          <w:sz w:val="2"/>
          <w:szCs w:val="2"/>
        </w:rPr>
        <w:t>858F</w:t>
      </w:r>
      <w:r w:rsidR="007A330E">
        <w:rPr>
          <w:rFonts w:ascii="ZWAdobeF" w:hAnsi="ZWAdobeF" w:cs="ZWAdobeF"/>
          <w:color w:val="auto"/>
          <w:sz w:val="2"/>
          <w:szCs w:val="2"/>
        </w:rPr>
        <w:t>858F</w:t>
      </w:r>
      <w:r w:rsidR="00317AE4">
        <w:rPr>
          <w:rFonts w:ascii="ZWAdobeF" w:hAnsi="ZWAdobeF" w:cs="ZWAdobeF"/>
          <w:color w:val="auto"/>
          <w:sz w:val="2"/>
          <w:szCs w:val="2"/>
        </w:rPr>
        <w:t>858F</w:t>
      </w:r>
      <w:r w:rsidR="00DD0F04" w:rsidRPr="00732CCF">
        <w:rPr>
          <w:rStyle w:val="FootnoteReference"/>
        </w:rPr>
        <w:footnoteReference w:id="860"/>
      </w:r>
      <w:r w:rsidR="00DD0F04">
        <w:t xml:space="preserve"> The court does not need to apply the certification criteria as rigorously when determining certification for settlement, because the concerns about manageability of a class action are removed.</w:t>
      </w:r>
      <w:r w:rsidR="00D629FA">
        <w:rPr>
          <w:rFonts w:ascii="ZWAdobeF" w:hAnsi="ZWAdobeF" w:cs="ZWAdobeF"/>
          <w:color w:val="auto"/>
          <w:sz w:val="2"/>
          <w:szCs w:val="2"/>
        </w:rPr>
        <w:t>859F</w:t>
      </w:r>
      <w:r w:rsidR="007A330E">
        <w:rPr>
          <w:rFonts w:ascii="ZWAdobeF" w:hAnsi="ZWAdobeF" w:cs="ZWAdobeF"/>
          <w:color w:val="auto"/>
          <w:sz w:val="2"/>
          <w:szCs w:val="2"/>
        </w:rPr>
        <w:t>859F</w:t>
      </w:r>
      <w:r w:rsidR="00317AE4">
        <w:rPr>
          <w:rFonts w:ascii="ZWAdobeF" w:hAnsi="ZWAdobeF" w:cs="ZWAdobeF"/>
          <w:color w:val="auto"/>
          <w:sz w:val="2"/>
          <w:szCs w:val="2"/>
        </w:rPr>
        <w:t>859F</w:t>
      </w:r>
      <w:r w:rsidR="00DD0F04">
        <w:rPr>
          <w:rStyle w:val="FootnoteReference"/>
        </w:rPr>
        <w:footnoteReference w:id="861"/>
      </w:r>
      <w:r w:rsidR="00DD0F04">
        <w:t xml:space="preserve"> </w:t>
      </w:r>
    </w:p>
    <w:p w14:paraId="3ED663C1" w14:textId="0AC06DFA" w:rsidR="00DD0F04" w:rsidRPr="00732CCF" w:rsidRDefault="00BD5C95" w:rsidP="00B73434">
      <w:pPr>
        <w:pStyle w:val="BodyText"/>
        <w:numPr>
          <w:ilvl w:val="1"/>
          <w:numId w:val="52"/>
        </w:numPr>
        <w:tabs>
          <w:tab w:val="left" w:pos="709"/>
        </w:tabs>
        <w:ind w:hanging="709"/>
      </w:pPr>
      <w:r>
        <w:rPr>
          <w:rFonts w:ascii="ZWAdobeF" w:hAnsi="ZWAdobeF" w:cs="ZWAdobeF"/>
          <w:color w:val="auto"/>
          <w:sz w:val="2"/>
          <w:szCs w:val="2"/>
        </w:rPr>
        <w:t>544B</w:t>
      </w:r>
      <w:r w:rsidR="0049638A">
        <w:rPr>
          <w:rFonts w:ascii="ZWAdobeF" w:hAnsi="ZWAdobeF" w:cs="ZWAdobeF"/>
          <w:color w:val="auto"/>
          <w:sz w:val="2"/>
          <w:szCs w:val="2"/>
        </w:rPr>
        <w:t>544B</w:t>
      </w:r>
      <w:r w:rsidR="00D629FA">
        <w:rPr>
          <w:rFonts w:ascii="ZWAdobeF" w:hAnsi="ZWAdobeF" w:cs="ZWAdobeF"/>
          <w:color w:val="auto"/>
          <w:sz w:val="2"/>
          <w:szCs w:val="2"/>
        </w:rPr>
        <w:t>544B</w:t>
      </w:r>
      <w:r w:rsidR="00DD0F04">
        <w:t>We propose</w:t>
      </w:r>
      <w:r w:rsidR="00DD0F04" w:rsidRPr="00732CCF">
        <w:t xml:space="preserve"> that when the parties seek to settle a proceeding prior to certification, the court should decide whether to certify the class for the purposes of settlement.</w:t>
      </w:r>
      <w:r w:rsidR="00D629FA">
        <w:rPr>
          <w:rFonts w:ascii="ZWAdobeF" w:hAnsi="ZWAdobeF" w:cs="ZWAdobeF"/>
          <w:color w:val="auto"/>
          <w:sz w:val="2"/>
          <w:szCs w:val="2"/>
        </w:rPr>
        <w:t>860F</w:t>
      </w:r>
      <w:r w:rsidR="007A330E">
        <w:rPr>
          <w:rFonts w:ascii="ZWAdobeF" w:hAnsi="ZWAdobeF" w:cs="ZWAdobeF"/>
          <w:color w:val="auto"/>
          <w:sz w:val="2"/>
          <w:szCs w:val="2"/>
        </w:rPr>
        <w:t>860F</w:t>
      </w:r>
      <w:r w:rsidR="00317AE4">
        <w:rPr>
          <w:rFonts w:ascii="ZWAdobeF" w:hAnsi="ZWAdobeF" w:cs="ZWAdobeF"/>
          <w:color w:val="auto"/>
          <w:sz w:val="2"/>
          <w:szCs w:val="2"/>
        </w:rPr>
        <w:t>860F</w:t>
      </w:r>
      <w:r w:rsidR="00DD0F04" w:rsidRPr="00732CCF">
        <w:rPr>
          <w:rStyle w:val="FootnoteReference"/>
        </w:rPr>
        <w:footnoteReference w:id="862"/>
      </w:r>
      <w:r w:rsidR="00DD0F04" w:rsidRPr="00732CCF">
        <w:t xml:space="preserve"> The court would apply the usual certification criteria with any necessary modifications (for example, the court would not need to consider </w:t>
      </w:r>
      <w:r w:rsidR="00DD0F04">
        <w:t xml:space="preserve">whether </w:t>
      </w:r>
      <w:r w:rsidR="00DD0F04" w:rsidRPr="00732CCF">
        <w:t>the time and cost of a class action</w:t>
      </w:r>
      <w:r w:rsidR="00DD0F04">
        <w:t xml:space="preserve"> is proportionate to the remed</w:t>
      </w:r>
      <w:r w:rsidR="00037CE5">
        <w:t>ies</w:t>
      </w:r>
      <w:r w:rsidR="00DD0F04">
        <w:t xml:space="preserve"> sought</w:t>
      </w:r>
      <w:r w:rsidR="00DD0F04" w:rsidRPr="00732CCF">
        <w:t>).</w:t>
      </w:r>
      <w:r w:rsidR="00D629FA">
        <w:rPr>
          <w:rFonts w:ascii="ZWAdobeF" w:hAnsi="ZWAdobeF" w:cs="ZWAdobeF"/>
          <w:color w:val="auto"/>
          <w:sz w:val="2"/>
          <w:szCs w:val="2"/>
        </w:rPr>
        <w:t>861F</w:t>
      </w:r>
      <w:r w:rsidR="007A330E">
        <w:rPr>
          <w:rFonts w:ascii="ZWAdobeF" w:hAnsi="ZWAdobeF" w:cs="ZWAdobeF"/>
          <w:color w:val="auto"/>
          <w:sz w:val="2"/>
          <w:szCs w:val="2"/>
        </w:rPr>
        <w:t>861F</w:t>
      </w:r>
      <w:r w:rsidR="00317AE4">
        <w:rPr>
          <w:rFonts w:ascii="ZWAdobeF" w:hAnsi="ZWAdobeF" w:cs="ZWAdobeF"/>
          <w:color w:val="auto"/>
          <w:sz w:val="2"/>
          <w:szCs w:val="2"/>
        </w:rPr>
        <w:t>861F</w:t>
      </w:r>
      <w:r w:rsidR="00DD0F04">
        <w:rPr>
          <w:rStyle w:val="FootnoteReference"/>
        </w:rPr>
        <w:footnoteReference w:id="863"/>
      </w:r>
      <w:r w:rsidR="00DD0F04" w:rsidRPr="00732CCF">
        <w:t xml:space="preserve"> A hearing may be required to determine </w:t>
      </w:r>
      <w:r w:rsidR="00DD0F04">
        <w:lastRenderedPageBreak/>
        <w:t>certification for settlement</w:t>
      </w:r>
      <w:r w:rsidR="00DD0F04" w:rsidRPr="00732CCF">
        <w:t>, although we envisage this would be shorter than a normal certification hearing as the defendant is likely to consent to certification for the purposes of settlement.</w:t>
      </w:r>
    </w:p>
    <w:p w14:paraId="41BDA86C" w14:textId="1347D62E" w:rsidR="00DD0F04" w:rsidRDefault="00BD5C95" w:rsidP="00B73434">
      <w:pPr>
        <w:pStyle w:val="BodyText"/>
        <w:numPr>
          <w:ilvl w:val="1"/>
          <w:numId w:val="52"/>
        </w:numPr>
        <w:tabs>
          <w:tab w:val="left" w:pos="709"/>
        </w:tabs>
        <w:ind w:hanging="709"/>
      </w:pPr>
      <w:r>
        <w:rPr>
          <w:rFonts w:ascii="ZWAdobeF" w:hAnsi="ZWAdobeF" w:cs="ZWAdobeF"/>
          <w:color w:val="auto"/>
          <w:sz w:val="2"/>
          <w:szCs w:val="2"/>
        </w:rPr>
        <w:t>545B</w:t>
      </w:r>
      <w:r w:rsidR="0049638A">
        <w:rPr>
          <w:rFonts w:ascii="ZWAdobeF" w:hAnsi="ZWAdobeF" w:cs="ZWAdobeF"/>
          <w:color w:val="auto"/>
          <w:sz w:val="2"/>
          <w:szCs w:val="2"/>
        </w:rPr>
        <w:t>545B</w:t>
      </w:r>
      <w:r w:rsidR="00D629FA">
        <w:rPr>
          <w:rFonts w:ascii="ZWAdobeF" w:hAnsi="ZWAdobeF" w:cs="ZWAdobeF"/>
          <w:color w:val="auto"/>
          <w:sz w:val="2"/>
          <w:szCs w:val="2"/>
        </w:rPr>
        <w:t>545B</w:t>
      </w:r>
      <w:r w:rsidR="00DD0F04" w:rsidRPr="00732CCF">
        <w:t xml:space="preserve">The </w:t>
      </w:r>
      <w:r w:rsidR="00DD0F04">
        <w:t xml:space="preserve">notice of proposed </w:t>
      </w:r>
      <w:r w:rsidR="00DD0F04" w:rsidRPr="00A0148E">
        <w:t xml:space="preserve">settlement </w:t>
      </w:r>
      <w:r w:rsidR="00DD0F04">
        <w:t>would also need to</w:t>
      </w:r>
      <w:r w:rsidR="00A80D46">
        <w:t xml:space="preserve"> advise</w:t>
      </w:r>
      <w:r w:rsidR="00DD0F04">
        <w:t xml:space="preserve"> that the </w:t>
      </w:r>
      <w:r w:rsidR="00DD0F04" w:rsidRPr="00A0148E">
        <w:t xml:space="preserve">class </w:t>
      </w:r>
      <w:r w:rsidR="00DD0F04">
        <w:t>action has been certified for the purposes of settlement and that a representative plaintiff has been appointed</w:t>
      </w:r>
      <w:r w:rsidR="00DD0F04" w:rsidRPr="00A0148E">
        <w:t>.</w:t>
      </w:r>
      <w:r w:rsidR="00D629FA">
        <w:rPr>
          <w:rFonts w:ascii="ZWAdobeF" w:hAnsi="ZWAdobeF" w:cs="ZWAdobeF"/>
          <w:color w:val="auto"/>
          <w:sz w:val="2"/>
          <w:szCs w:val="2"/>
        </w:rPr>
        <w:t>862F</w:t>
      </w:r>
      <w:r w:rsidR="007A330E">
        <w:rPr>
          <w:rFonts w:ascii="ZWAdobeF" w:hAnsi="ZWAdobeF" w:cs="ZWAdobeF"/>
          <w:color w:val="auto"/>
          <w:sz w:val="2"/>
          <w:szCs w:val="2"/>
        </w:rPr>
        <w:t>862F</w:t>
      </w:r>
      <w:r w:rsidR="00317AE4">
        <w:rPr>
          <w:rFonts w:ascii="ZWAdobeF" w:hAnsi="ZWAdobeF" w:cs="ZWAdobeF"/>
          <w:color w:val="auto"/>
          <w:sz w:val="2"/>
          <w:szCs w:val="2"/>
        </w:rPr>
        <w:t>862F</w:t>
      </w:r>
      <w:r w:rsidR="00DD0F04" w:rsidRPr="00A0148E">
        <w:rPr>
          <w:rStyle w:val="FootnoteReference"/>
        </w:rPr>
        <w:footnoteReference w:id="864"/>
      </w:r>
      <w:r w:rsidR="00DD0F04" w:rsidRPr="00A0148E">
        <w:t xml:space="preserve"> Th</w:t>
      </w:r>
      <w:r w:rsidR="00DD0F04">
        <w:t>e notice</w:t>
      </w:r>
      <w:r w:rsidR="00DD0F04" w:rsidRPr="00A0148E">
        <w:t xml:space="preserve"> would need to include the process for opting in or opting out as appropriate</w:t>
      </w:r>
      <w:r w:rsidR="00DD0F04">
        <w:t xml:space="preserve">. </w:t>
      </w:r>
    </w:p>
    <w:p w14:paraId="23F311C0" w14:textId="45F06BB1" w:rsidR="00DD0F04" w:rsidRPr="00A0148E" w:rsidRDefault="00BD5C95" w:rsidP="00B73434">
      <w:pPr>
        <w:pStyle w:val="BodyText"/>
        <w:numPr>
          <w:ilvl w:val="1"/>
          <w:numId w:val="52"/>
        </w:numPr>
        <w:tabs>
          <w:tab w:val="left" w:pos="709"/>
        </w:tabs>
        <w:ind w:hanging="709"/>
      </w:pPr>
      <w:r>
        <w:rPr>
          <w:rFonts w:ascii="ZWAdobeF" w:hAnsi="ZWAdobeF" w:cs="ZWAdobeF"/>
          <w:color w:val="auto"/>
          <w:sz w:val="2"/>
          <w:szCs w:val="2"/>
        </w:rPr>
        <w:t>546B</w:t>
      </w:r>
      <w:r w:rsidR="0049638A">
        <w:rPr>
          <w:rFonts w:ascii="ZWAdobeF" w:hAnsi="ZWAdobeF" w:cs="ZWAdobeF"/>
          <w:color w:val="auto"/>
          <w:sz w:val="2"/>
          <w:szCs w:val="2"/>
        </w:rPr>
        <w:t>546B</w:t>
      </w:r>
      <w:r w:rsidR="00D629FA">
        <w:rPr>
          <w:rFonts w:ascii="ZWAdobeF" w:hAnsi="ZWAdobeF" w:cs="ZWAdobeF"/>
          <w:color w:val="auto"/>
          <w:sz w:val="2"/>
          <w:szCs w:val="2"/>
        </w:rPr>
        <w:t>546B</w:t>
      </w:r>
      <w:r w:rsidR="00DD0F04">
        <w:t>In</w:t>
      </w:r>
      <w:r w:rsidR="00DD0F04" w:rsidRPr="00A0148E">
        <w:t xml:space="preserve"> an opt-in </w:t>
      </w:r>
      <w:r w:rsidR="00DD0F04">
        <w:t>case</w:t>
      </w:r>
      <w:r w:rsidR="00DD0F04" w:rsidRPr="00A0148E">
        <w:t xml:space="preserve">, we envisage that the date for opting in would be prior to the settlement </w:t>
      </w:r>
      <w:r w:rsidR="00DD0F04">
        <w:t xml:space="preserve">approval </w:t>
      </w:r>
      <w:r w:rsidR="00DD0F04" w:rsidRPr="00A0148E">
        <w:t xml:space="preserve">hearing. This would enable the parties to know the size of the class prior to the hearing, which is one of the benefits of having an opt-in class. It would also give class members who have opted in standing to be heard on the proposal. </w:t>
      </w:r>
      <w:r w:rsidR="00DD0F04">
        <w:t>As noted above, in an opt-in case where settlement is reached prior to certification, we do not think it is necessary to provide an opportunity to opt out if the settlement is approved. This is because class members were aware of the settlement when deciding to opt in.</w:t>
      </w:r>
      <w:r w:rsidR="00D629FA">
        <w:rPr>
          <w:rFonts w:ascii="ZWAdobeF" w:hAnsi="ZWAdobeF" w:cs="ZWAdobeF"/>
          <w:color w:val="auto"/>
          <w:sz w:val="2"/>
          <w:szCs w:val="2"/>
        </w:rPr>
        <w:t>863F</w:t>
      </w:r>
      <w:r w:rsidR="007A330E">
        <w:rPr>
          <w:rFonts w:ascii="ZWAdobeF" w:hAnsi="ZWAdobeF" w:cs="ZWAdobeF"/>
          <w:color w:val="auto"/>
          <w:sz w:val="2"/>
          <w:szCs w:val="2"/>
        </w:rPr>
        <w:t>863F</w:t>
      </w:r>
      <w:r w:rsidR="00317AE4">
        <w:rPr>
          <w:rFonts w:ascii="ZWAdobeF" w:hAnsi="ZWAdobeF" w:cs="ZWAdobeF"/>
          <w:color w:val="auto"/>
          <w:sz w:val="2"/>
          <w:szCs w:val="2"/>
        </w:rPr>
        <w:t>863F</w:t>
      </w:r>
      <w:r w:rsidR="00DD0F04">
        <w:rPr>
          <w:rStyle w:val="FootnoteReference"/>
        </w:rPr>
        <w:footnoteReference w:id="865"/>
      </w:r>
    </w:p>
    <w:p w14:paraId="3EFCB669" w14:textId="59C3E545" w:rsidR="00DD0F04" w:rsidRPr="00A0148E" w:rsidRDefault="00416FCA" w:rsidP="006E5481">
      <w:pPr>
        <w:pStyle w:val="BodyText"/>
      </w:pPr>
      <w:r>
        <w:rPr>
          <w:noProof/>
        </w:rPr>
        <mc:AlternateContent>
          <mc:Choice Requires="wpg">
            <w:drawing>
              <wp:anchor distT="0" distB="0" distL="114300" distR="114300" simplePos="0" relativeHeight="251652187" behindDoc="1" locked="0" layoutInCell="1" allowOverlap="1" wp14:anchorId="2489AB05" wp14:editId="28977BBC">
                <wp:simplePos x="0" y="0"/>
                <wp:positionH relativeFrom="column">
                  <wp:posOffset>6793</wp:posOffset>
                </wp:positionH>
                <wp:positionV relativeFrom="paragraph">
                  <wp:posOffset>430099</wp:posOffset>
                </wp:positionV>
                <wp:extent cx="5760085" cy="1138698"/>
                <wp:effectExtent l="0" t="0" r="0" b="4445"/>
                <wp:wrapNone/>
                <wp:docPr id="133" name="Group 133"/>
                <wp:cNvGraphicFramePr/>
                <a:graphic xmlns:a="http://schemas.openxmlformats.org/drawingml/2006/main">
                  <a:graphicData uri="http://schemas.microsoft.com/office/word/2010/wordprocessingGroup">
                    <wpg:wgp>
                      <wpg:cNvGrpSpPr/>
                      <wpg:grpSpPr>
                        <a:xfrm>
                          <a:off x="0" y="0"/>
                          <a:ext cx="5760085" cy="1138698"/>
                          <a:chOff x="0" y="62865"/>
                          <a:chExt cx="5760085" cy="1138814"/>
                        </a:xfrm>
                      </wpg:grpSpPr>
                      <wps:wsp>
                        <wps:cNvPr id="13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ABD0A3" w14:textId="77777777" w:rsidR="00A55F53" w:rsidRDefault="00A55F53" w:rsidP="00F95162">
                              <w:pPr>
                                <w:pStyle w:val="BoxTitle"/>
                                <w:spacing w:before="0" w:beforeAutospacing="0"/>
                              </w:pPr>
                              <w:r w:rsidRPr="007F6876">
                                <w:t>QUESTION</w:t>
                              </w:r>
                            </w:p>
                          </w:txbxContent>
                        </wps:txbx>
                        <wps:bodyPr rot="0" vert="horz" wrap="square" lIns="91440" tIns="0" rIns="0" bIns="45720" anchor="ctr" anchorCtr="0" upright="1">
                          <a:noAutofit/>
                        </wps:bodyPr>
                      </wps:wsp>
                      <wpg:grpSp>
                        <wpg:cNvPr id="135" name="Group 53"/>
                        <wpg:cNvGrpSpPr>
                          <a:grpSpLocks/>
                        </wpg:cNvGrpSpPr>
                        <wpg:grpSpPr bwMode="auto">
                          <a:xfrm>
                            <a:off x="0" y="316263"/>
                            <a:ext cx="5760085" cy="885416"/>
                            <a:chOff x="1837" y="1792"/>
                            <a:chExt cx="9302" cy="9564"/>
                          </a:xfrm>
                        </wpg:grpSpPr>
                        <wps:wsp>
                          <wps:cNvPr id="136" name="Freeform 54"/>
                          <wps:cNvSpPr>
                            <a:spLocks/>
                          </wps:cNvSpPr>
                          <wps:spPr bwMode="auto">
                            <a:xfrm>
                              <a:off x="1837" y="1792"/>
                              <a:ext cx="9302" cy="956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38"/>
                        <wpg:cNvGrpSpPr/>
                        <wpg:grpSpPr>
                          <a:xfrm>
                            <a:off x="0" y="494036"/>
                            <a:ext cx="1443794" cy="252000"/>
                            <a:chOff x="-15880" y="0"/>
                            <a:chExt cx="1444379" cy="252068"/>
                          </a:xfrm>
                        </wpg:grpSpPr>
                        <wps:wsp>
                          <wps:cNvPr id="14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66"/>
                          <wps:cNvSpPr>
                            <a:spLocks/>
                          </wps:cNvSpPr>
                          <wps:spPr bwMode="auto">
                            <a:xfrm>
                              <a:off x="-15880" y="0"/>
                              <a:ext cx="432175"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77DE55" w14:textId="5ACC1379" w:rsidR="00A55F53" w:rsidRPr="00E700FF" w:rsidRDefault="00A55F53" w:rsidP="00F95162">
                                <w:pPr>
                                  <w:pStyle w:val="BoxTitle"/>
                                  <w:spacing w:before="0" w:beforeAutospacing="0"/>
                                </w:pPr>
                                <w:r w:rsidRPr="001C1B37">
                                  <w:t>Q</w:t>
                                </w:r>
                                <w:r>
                                  <w:t>49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489AB05" id="Group 133" o:spid="_x0000_s1539" style="position:absolute;left:0;text-align:left;margin-left:.55pt;margin-top:33.85pt;width:453.55pt;height:89.65pt;z-index:-251664293;mso-height-relative:margin" coordorigin=",628" coordsize="57600,1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">
                <v:shape id="_x0000_s154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AABD0A3" w14:textId="77777777" w:rsidR="00A55F53" w:rsidRDefault="00A55F53" w:rsidP="00F95162">
                        <w:pPr>
                          <w:pStyle w:val="BoxTitle"/>
                          <w:spacing w:before="0" w:beforeAutospacing="0"/>
                        </w:pPr>
                        <w:r w:rsidRPr="007F6876">
                          <w:t>QUESTION</w:t>
                        </w:r>
                      </w:p>
                    </w:txbxContent>
                  </v:textbox>
                </v:shape>
                <v:group id="Group 53" o:spid="_x0000_s1541" style="position:absolute;top:3162;width:57600;height:8854" coordorigin="1837,1792" coordsize="9302,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54" o:spid="_x0000_s1542" style="position:absolute;left:1837;top:1792;width:9302;height:956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" path="m,l9354,r,7809l,7809,,e" fillcolor="#edf2ea" stroked="f">
                    <v:path arrowok="t" o:connecttype="custom" o:connectlocs="0,1225;9302,1225;9302,10789;0,10789;0,1225" o:connectangles="0,0,0,0,0"/>
                  </v:shape>
                </v:group>
                <v:group id="Group 138" o:spid="_x0000_s154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58" o:spid="_x0000_s1544"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" path="m,l1815,e" filled="f" strokecolor="#72ab6a" strokeweight=".5pt">
                    <v:path arrowok="t" o:connecttype="custom" o:connectlocs="0,0;1073495,0" o:connectangles="0,0"/>
                  </v:shape>
                  <v:shape id="Freeform 66" o:spid="_x0000_s1545" style="position:absolute;left:-158;width:4320;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" adj="-11796480,,5400" path="m,470r642,l642,,,,,470e" fillcolor="#72ab6a" stroked="f">
                    <v:stroke joinstyle="round"/>
                    <v:formulas/>
                    <v:path arrowok="t" o:connecttype="custom" o:connectlocs="0,2317953;431503,2317953;431503,2065885;0,2065885;0,2317953" o:connectangles="0,0,0,0,0" textboxrect="0,0,643,470"/>
                    <v:textbox inset="1.5mm,2.3mm">
                      <w:txbxContent>
                        <w:p w14:paraId="0777DE55" w14:textId="5ACC1379" w:rsidR="00A55F53" w:rsidRPr="00E700FF" w:rsidRDefault="00A55F53" w:rsidP="00F95162">
                          <w:pPr>
                            <w:pStyle w:val="BoxTitle"/>
                            <w:spacing w:before="0" w:beforeAutospacing="0"/>
                          </w:pPr>
                          <w:r w:rsidRPr="001C1B37">
                            <w:t>Q</w:t>
                          </w:r>
                          <w:r>
                            <w:t>49</w:t>
                          </w:r>
                        </w:p>
                      </w:txbxContent>
                    </v:textbox>
                  </v:shape>
                </v:group>
              </v:group>
            </w:pict>
          </mc:Fallback>
        </mc:AlternateContent>
      </w:r>
      <w:r w:rsidR="00BD5C95">
        <w:rPr>
          <w:rFonts w:ascii="ZWAdobeF" w:hAnsi="ZWAdobeF" w:cs="ZWAdobeF"/>
          <w:color w:val="auto"/>
          <w:sz w:val="2"/>
          <w:szCs w:val="2"/>
        </w:rPr>
        <w:t>547B</w:t>
      </w:r>
      <w:r w:rsidR="0049638A">
        <w:rPr>
          <w:rFonts w:ascii="ZWAdobeF" w:hAnsi="ZWAdobeF" w:cs="ZWAdobeF"/>
          <w:color w:val="auto"/>
          <w:sz w:val="2"/>
          <w:szCs w:val="2"/>
        </w:rPr>
        <w:t>547B</w:t>
      </w:r>
      <w:r w:rsidR="00D629FA">
        <w:rPr>
          <w:rFonts w:ascii="ZWAdobeF" w:hAnsi="ZWAdobeF" w:cs="ZWAdobeF"/>
          <w:color w:val="auto"/>
          <w:sz w:val="2"/>
          <w:szCs w:val="2"/>
        </w:rPr>
        <w:t>547B</w:t>
      </w:r>
      <w:r w:rsidR="00DD0F04">
        <w:t>In an opt-out case</w:t>
      </w:r>
      <w:r w:rsidR="00DD0F04" w:rsidRPr="00A0148E">
        <w:t>, we envisage that the date for opting out would be after the settlement is approved.</w:t>
      </w:r>
    </w:p>
    <w:p w14:paraId="261A277F" w14:textId="55D6F430" w:rsidR="00F95162" w:rsidRDefault="00F95162" w:rsidP="00416FCA">
      <w:pPr>
        <w:pStyle w:val="BodyText"/>
        <w:numPr>
          <w:ilvl w:val="0"/>
          <w:numId w:val="0"/>
        </w:numPr>
        <w:tabs>
          <w:tab w:val="clear" w:pos="709"/>
        </w:tabs>
      </w:pPr>
    </w:p>
    <w:p w14:paraId="0113C06E" w14:textId="77777777" w:rsidR="00F95162" w:rsidRDefault="00F95162" w:rsidP="00F95162">
      <w:pPr>
        <w:pStyle w:val="QuestionBox"/>
      </w:pPr>
    </w:p>
    <w:p w14:paraId="7FEEB4CE" w14:textId="7AC10403" w:rsidR="00DD0F04" w:rsidRDefault="00BD5C95" w:rsidP="00F95162">
      <w:pPr>
        <w:pStyle w:val="QuestionBox"/>
      </w:pPr>
      <w:r>
        <w:rPr>
          <w:rFonts w:ascii="ZWAdobeF" w:hAnsi="ZWAdobeF" w:cs="ZWAdobeF"/>
          <w:color w:val="auto"/>
          <w:sz w:val="2"/>
          <w:szCs w:val="2"/>
        </w:rPr>
        <w:t>1454B</w:t>
      </w:r>
      <w:r w:rsidR="0049638A">
        <w:rPr>
          <w:rFonts w:ascii="ZWAdobeF" w:hAnsi="ZWAdobeF" w:cs="ZWAdobeF"/>
          <w:color w:val="auto"/>
          <w:sz w:val="2"/>
          <w:szCs w:val="2"/>
        </w:rPr>
        <w:t>1454B</w:t>
      </w:r>
      <w:r w:rsidR="00D629FA">
        <w:rPr>
          <w:rFonts w:ascii="ZWAdobeF" w:hAnsi="ZWAdobeF" w:cs="ZWAdobeF"/>
          <w:color w:val="auto"/>
          <w:sz w:val="2"/>
          <w:szCs w:val="2"/>
        </w:rPr>
        <w:t>1454B</w:t>
      </w:r>
      <w:r w:rsidR="00DD0F04">
        <w:t>When a settlement is reached prior to certification, do you agree that the court should consider whether to certify it for the purposes of settlement?</w:t>
      </w:r>
    </w:p>
    <w:p w14:paraId="780D20AF" w14:textId="77777777" w:rsidR="00F95162" w:rsidRDefault="00F95162" w:rsidP="00F95162">
      <w:pPr>
        <w:pStyle w:val="QuestionBox"/>
      </w:pPr>
    </w:p>
    <w:p w14:paraId="039B3ACD" w14:textId="77777777" w:rsidR="00DD0F04" w:rsidRDefault="00DD0F04" w:rsidP="00DF1FDD">
      <w:pPr>
        <w:pStyle w:val="Heading2"/>
      </w:pPr>
      <w:bookmarkStart w:id="105" w:name="_Toc83895464"/>
      <w:r>
        <w:t>Settlement distribution and administration</w:t>
      </w:r>
      <w:bookmarkEnd w:id="105"/>
      <w:r>
        <w:t xml:space="preserve"> </w:t>
      </w:r>
    </w:p>
    <w:p w14:paraId="752B769A" w14:textId="0BD1629E" w:rsidR="00DD0F04" w:rsidRDefault="00BD5C95" w:rsidP="00B73434">
      <w:pPr>
        <w:pStyle w:val="BodyText"/>
        <w:numPr>
          <w:ilvl w:val="1"/>
          <w:numId w:val="52"/>
        </w:numPr>
        <w:tabs>
          <w:tab w:val="left" w:pos="709"/>
        </w:tabs>
        <w:ind w:hanging="709"/>
      </w:pPr>
      <w:r>
        <w:rPr>
          <w:rFonts w:ascii="ZWAdobeF" w:hAnsi="ZWAdobeF" w:cs="ZWAdobeF"/>
          <w:color w:val="auto"/>
          <w:sz w:val="2"/>
          <w:szCs w:val="2"/>
        </w:rPr>
        <w:t>548B</w:t>
      </w:r>
      <w:r w:rsidR="0049638A">
        <w:rPr>
          <w:rFonts w:ascii="ZWAdobeF" w:hAnsi="ZWAdobeF" w:cs="ZWAdobeF"/>
          <w:color w:val="auto"/>
          <w:sz w:val="2"/>
          <w:szCs w:val="2"/>
        </w:rPr>
        <w:t>548B</w:t>
      </w:r>
      <w:r w:rsidR="00D629FA">
        <w:rPr>
          <w:rFonts w:ascii="ZWAdobeF" w:hAnsi="ZWAdobeF" w:cs="ZWAdobeF"/>
          <w:color w:val="auto"/>
          <w:sz w:val="2"/>
          <w:szCs w:val="2"/>
        </w:rPr>
        <w:t>548B</w:t>
      </w:r>
      <w:r w:rsidR="00DD0F04">
        <w:t>Once a settlement is approved by the court, the terms of the settlement will need to be implemented. This will include distributing any settlement sum to class members. Earlier in this chapter we proposed that the court should consider the proposed method of settlement distribution as part of its assessment of the terms and conditions of a settlement.</w:t>
      </w:r>
    </w:p>
    <w:p w14:paraId="1F71F1A0" w14:textId="39083B22" w:rsidR="00DD0F04" w:rsidRDefault="00BD5C95" w:rsidP="00B73434">
      <w:pPr>
        <w:pStyle w:val="BodyText"/>
        <w:numPr>
          <w:ilvl w:val="1"/>
          <w:numId w:val="52"/>
        </w:numPr>
        <w:tabs>
          <w:tab w:val="left" w:pos="709"/>
        </w:tabs>
        <w:ind w:hanging="709"/>
      </w:pPr>
      <w:r>
        <w:rPr>
          <w:rFonts w:ascii="ZWAdobeF" w:hAnsi="ZWAdobeF" w:cs="ZWAdobeF"/>
          <w:color w:val="auto"/>
          <w:sz w:val="2"/>
          <w:szCs w:val="2"/>
        </w:rPr>
        <w:t>549B</w:t>
      </w:r>
      <w:r w:rsidR="0049638A">
        <w:rPr>
          <w:rFonts w:ascii="ZWAdobeF" w:hAnsi="ZWAdobeF" w:cs="ZWAdobeF"/>
          <w:color w:val="auto"/>
          <w:sz w:val="2"/>
          <w:szCs w:val="2"/>
        </w:rPr>
        <w:t>549B</w:t>
      </w:r>
      <w:r w:rsidR="00D629FA">
        <w:rPr>
          <w:rFonts w:ascii="ZWAdobeF" w:hAnsi="ZWAdobeF" w:cs="ZWAdobeF"/>
          <w:color w:val="auto"/>
          <w:sz w:val="2"/>
          <w:szCs w:val="2"/>
        </w:rPr>
        <w:t>549B</w:t>
      </w:r>
      <w:r w:rsidR="00DD0F04">
        <w:t xml:space="preserve">In this section we discuss the following aspects of settlement distribution and administration:  </w:t>
      </w:r>
    </w:p>
    <w:p w14:paraId="714F4E61" w14:textId="1D755345" w:rsidR="00DD0F04" w:rsidRDefault="00BD5C95" w:rsidP="00B73434">
      <w:pPr>
        <w:pStyle w:val="BodyTextnonum"/>
        <w:numPr>
          <w:ilvl w:val="3"/>
          <w:numId w:val="61"/>
        </w:numPr>
        <w:tabs>
          <w:tab w:val="clear" w:pos="709"/>
          <w:tab w:val="clear" w:pos="992"/>
        </w:tabs>
        <w:ind w:left="1134"/>
      </w:pPr>
      <w:r>
        <w:rPr>
          <w:rFonts w:ascii="ZWAdobeF" w:hAnsi="ZWAdobeF" w:cs="ZWAdobeF"/>
          <w:color w:val="auto"/>
          <w:sz w:val="2"/>
          <w:szCs w:val="2"/>
        </w:rPr>
        <w:t>844B</w:t>
      </w:r>
      <w:r w:rsidR="0049638A">
        <w:rPr>
          <w:rFonts w:ascii="ZWAdobeF" w:hAnsi="ZWAdobeF" w:cs="ZWAdobeF"/>
          <w:color w:val="auto"/>
          <w:sz w:val="2"/>
          <w:szCs w:val="2"/>
        </w:rPr>
        <w:t>844B</w:t>
      </w:r>
      <w:r w:rsidR="00D629FA">
        <w:rPr>
          <w:rFonts w:ascii="ZWAdobeF" w:hAnsi="ZWAdobeF" w:cs="ZWAdobeF"/>
          <w:color w:val="auto"/>
          <w:sz w:val="2"/>
          <w:szCs w:val="2"/>
        </w:rPr>
        <w:t>844B</w:t>
      </w:r>
      <w:r w:rsidR="00DD0F04">
        <w:t>Court supervision and monitoring of settlement.</w:t>
      </w:r>
    </w:p>
    <w:p w14:paraId="0A7ED57B" w14:textId="79466A9F" w:rsidR="00DD0F04" w:rsidRDefault="00BD5C95" w:rsidP="00B73434">
      <w:pPr>
        <w:pStyle w:val="BodyTextnonum"/>
        <w:numPr>
          <w:ilvl w:val="3"/>
          <w:numId w:val="61"/>
        </w:numPr>
        <w:tabs>
          <w:tab w:val="clear" w:pos="709"/>
          <w:tab w:val="clear" w:pos="992"/>
        </w:tabs>
        <w:ind w:left="1134"/>
      </w:pPr>
      <w:r>
        <w:rPr>
          <w:rFonts w:ascii="ZWAdobeF" w:hAnsi="ZWAdobeF" w:cs="ZWAdobeF"/>
          <w:color w:val="auto"/>
          <w:sz w:val="2"/>
          <w:szCs w:val="2"/>
        </w:rPr>
        <w:t>845B</w:t>
      </w:r>
      <w:r w:rsidR="0049638A">
        <w:rPr>
          <w:rFonts w:ascii="ZWAdobeF" w:hAnsi="ZWAdobeF" w:cs="ZWAdobeF"/>
          <w:color w:val="auto"/>
          <w:sz w:val="2"/>
          <w:szCs w:val="2"/>
        </w:rPr>
        <w:t>845B</w:t>
      </w:r>
      <w:r w:rsidR="00D629FA">
        <w:rPr>
          <w:rFonts w:ascii="ZWAdobeF" w:hAnsi="ZWAdobeF" w:cs="ZWAdobeF"/>
          <w:color w:val="auto"/>
          <w:sz w:val="2"/>
          <w:szCs w:val="2"/>
        </w:rPr>
        <w:t>845B</w:t>
      </w:r>
      <w:r w:rsidR="00DD0F04">
        <w:t xml:space="preserve">The role of a settlement administrator. </w:t>
      </w:r>
    </w:p>
    <w:p w14:paraId="3ED07513" w14:textId="51B3C982" w:rsidR="00DD0F04" w:rsidRDefault="00BD5C95" w:rsidP="00B73434">
      <w:pPr>
        <w:pStyle w:val="BodyTextnonum"/>
        <w:numPr>
          <w:ilvl w:val="3"/>
          <w:numId w:val="61"/>
        </w:numPr>
        <w:tabs>
          <w:tab w:val="clear" w:pos="709"/>
          <w:tab w:val="clear" w:pos="992"/>
        </w:tabs>
        <w:ind w:left="1134"/>
      </w:pPr>
      <w:r>
        <w:rPr>
          <w:rFonts w:ascii="ZWAdobeF" w:hAnsi="ZWAdobeF" w:cs="ZWAdobeF"/>
          <w:color w:val="auto"/>
          <w:sz w:val="2"/>
          <w:szCs w:val="2"/>
        </w:rPr>
        <w:t>846B</w:t>
      </w:r>
      <w:r w:rsidR="0049638A">
        <w:rPr>
          <w:rFonts w:ascii="ZWAdobeF" w:hAnsi="ZWAdobeF" w:cs="ZWAdobeF"/>
          <w:color w:val="auto"/>
          <w:sz w:val="2"/>
          <w:szCs w:val="2"/>
        </w:rPr>
        <w:t>846B</w:t>
      </w:r>
      <w:r w:rsidR="00D629FA">
        <w:rPr>
          <w:rFonts w:ascii="ZWAdobeF" w:hAnsi="ZWAdobeF" w:cs="ZWAdobeF"/>
          <w:color w:val="auto"/>
          <w:sz w:val="2"/>
          <w:szCs w:val="2"/>
        </w:rPr>
        <w:t>846B</w:t>
      </w:r>
      <w:r w:rsidR="00DD0F04">
        <w:t>Requirements for reporting on the outcome of the settlement process.</w:t>
      </w:r>
    </w:p>
    <w:p w14:paraId="5E2825E1" w14:textId="77777777" w:rsidR="00DD0F04" w:rsidRDefault="00DD0F04" w:rsidP="00227A5B">
      <w:pPr>
        <w:pStyle w:val="Heading3"/>
      </w:pPr>
      <w:r>
        <w:t xml:space="preserve">Court supervision and monitoring of settlement  </w:t>
      </w:r>
    </w:p>
    <w:p w14:paraId="4542099F" w14:textId="33603BFE" w:rsidR="00DD0F04" w:rsidRDefault="00BD5C95" w:rsidP="00B73434">
      <w:pPr>
        <w:pStyle w:val="BodyText"/>
        <w:numPr>
          <w:ilvl w:val="1"/>
          <w:numId w:val="52"/>
        </w:numPr>
        <w:tabs>
          <w:tab w:val="left" w:pos="709"/>
        </w:tabs>
        <w:ind w:hanging="709"/>
      </w:pPr>
      <w:r>
        <w:rPr>
          <w:rFonts w:ascii="ZWAdobeF" w:hAnsi="ZWAdobeF" w:cs="ZWAdobeF"/>
          <w:color w:val="auto"/>
          <w:sz w:val="2"/>
          <w:szCs w:val="2"/>
        </w:rPr>
        <w:t>550B</w:t>
      </w:r>
      <w:r w:rsidR="0049638A">
        <w:rPr>
          <w:rFonts w:ascii="ZWAdobeF" w:hAnsi="ZWAdobeF" w:cs="ZWAdobeF"/>
          <w:color w:val="auto"/>
          <w:sz w:val="2"/>
          <w:szCs w:val="2"/>
        </w:rPr>
        <w:t>550B</w:t>
      </w:r>
      <w:r w:rsidR="00D629FA">
        <w:rPr>
          <w:rFonts w:ascii="ZWAdobeF" w:hAnsi="ZWAdobeF" w:cs="ZWAdobeF"/>
          <w:color w:val="auto"/>
          <w:sz w:val="2"/>
          <w:szCs w:val="2"/>
        </w:rPr>
        <w:t>550B</w:t>
      </w:r>
      <w:r w:rsidR="00DD0F04">
        <w:t xml:space="preserve">We consider the court should maintain oversight of the administration and implementation of the settlement, to ensure that class member interests are protected and to respond to any issues that arise. For example, there could be a dispute about the </w:t>
      </w:r>
      <w:r w:rsidR="00DD0F04">
        <w:lastRenderedPageBreak/>
        <w:t xml:space="preserve">effect of a particular term in the settlement agreement, or implementation issues that were not contemplated by the settlement. Our draft </w:t>
      </w:r>
      <w:r w:rsidR="00394157">
        <w:t>provision</w:t>
      </w:r>
      <w:r w:rsidR="00DD0F04">
        <w:t xml:space="preserve"> provides that the court must supervise the administration and implementation of a settlement, based on a similar Ontario provision.</w:t>
      </w:r>
      <w:r w:rsidR="00D629FA">
        <w:rPr>
          <w:rFonts w:ascii="ZWAdobeF" w:hAnsi="ZWAdobeF" w:cs="ZWAdobeF"/>
          <w:color w:val="auto"/>
          <w:sz w:val="2"/>
          <w:szCs w:val="2"/>
        </w:rPr>
        <w:t>864F</w:t>
      </w:r>
      <w:r w:rsidR="007A330E">
        <w:rPr>
          <w:rFonts w:ascii="ZWAdobeF" w:hAnsi="ZWAdobeF" w:cs="ZWAdobeF"/>
          <w:color w:val="auto"/>
          <w:sz w:val="2"/>
          <w:szCs w:val="2"/>
        </w:rPr>
        <w:t>864F</w:t>
      </w:r>
      <w:r w:rsidR="00317AE4">
        <w:rPr>
          <w:rFonts w:ascii="ZWAdobeF" w:hAnsi="ZWAdobeF" w:cs="ZWAdobeF"/>
          <w:color w:val="auto"/>
          <w:sz w:val="2"/>
          <w:szCs w:val="2"/>
        </w:rPr>
        <w:t>864F</w:t>
      </w:r>
      <w:r w:rsidR="00DD0F04">
        <w:rPr>
          <w:rStyle w:val="FootnoteReference"/>
        </w:rPr>
        <w:footnoteReference w:id="866"/>
      </w:r>
      <w:r w:rsidR="00DD0F04">
        <w:t xml:space="preserve"> </w:t>
      </w:r>
    </w:p>
    <w:p w14:paraId="1177ED49" w14:textId="735254BB" w:rsidR="00DD0F04" w:rsidRPr="00D030CE" w:rsidRDefault="00BD5C95" w:rsidP="00B73434">
      <w:pPr>
        <w:pStyle w:val="BodyText"/>
        <w:numPr>
          <w:ilvl w:val="1"/>
          <w:numId w:val="52"/>
        </w:numPr>
        <w:tabs>
          <w:tab w:val="left" w:pos="709"/>
        </w:tabs>
        <w:ind w:hanging="709"/>
        <w:rPr>
          <w:color w:val="0D0D0D" w:themeColor="text1" w:themeTint="F2"/>
        </w:rPr>
      </w:pPr>
      <w:r>
        <w:rPr>
          <w:rFonts w:ascii="ZWAdobeF" w:hAnsi="ZWAdobeF" w:cs="ZWAdobeF"/>
          <w:color w:val="auto"/>
          <w:sz w:val="2"/>
          <w:szCs w:val="2"/>
        </w:rPr>
        <w:t>551B</w:t>
      </w:r>
      <w:r w:rsidR="0049638A">
        <w:rPr>
          <w:rFonts w:ascii="ZWAdobeF" w:hAnsi="ZWAdobeF" w:cs="ZWAdobeF"/>
          <w:color w:val="auto"/>
          <w:sz w:val="2"/>
          <w:szCs w:val="2"/>
        </w:rPr>
        <w:t>551B</w:t>
      </w:r>
      <w:r w:rsidR="00D629FA">
        <w:rPr>
          <w:rFonts w:ascii="ZWAdobeF" w:hAnsi="ZWAdobeF" w:cs="ZWAdobeF"/>
          <w:color w:val="auto"/>
          <w:sz w:val="2"/>
          <w:szCs w:val="2"/>
        </w:rPr>
        <w:t>551B</w:t>
      </w:r>
      <w:r w:rsidR="00DD0F04">
        <w:t>We also propose the court should have the power to make any o</w:t>
      </w:r>
      <w:r w:rsidR="00DD0F04" w:rsidRPr="00007423">
        <w:t xml:space="preserve">rders it considers appropriate with respect to </w:t>
      </w:r>
      <w:r w:rsidR="00DD0F04">
        <w:t>the administration and implementation of a settlement.</w:t>
      </w:r>
      <w:r w:rsidR="00D629FA">
        <w:rPr>
          <w:rFonts w:ascii="ZWAdobeF" w:hAnsi="ZWAdobeF" w:cs="ZWAdobeF"/>
          <w:color w:val="auto"/>
          <w:sz w:val="2"/>
          <w:szCs w:val="2"/>
        </w:rPr>
        <w:t>865F</w:t>
      </w:r>
      <w:r w:rsidR="007A330E">
        <w:rPr>
          <w:rFonts w:ascii="ZWAdobeF" w:hAnsi="ZWAdobeF" w:cs="ZWAdobeF"/>
          <w:color w:val="auto"/>
          <w:sz w:val="2"/>
          <w:szCs w:val="2"/>
        </w:rPr>
        <w:t>865F</w:t>
      </w:r>
      <w:r w:rsidR="00317AE4">
        <w:rPr>
          <w:rFonts w:ascii="ZWAdobeF" w:hAnsi="ZWAdobeF" w:cs="ZWAdobeF"/>
          <w:color w:val="auto"/>
          <w:sz w:val="2"/>
          <w:szCs w:val="2"/>
        </w:rPr>
        <w:t>865F</w:t>
      </w:r>
      <w:r w:rsidR="00DD0F04">
        <w:rPr>
          <w:rStyle w:val="FootnoteReference"/>
        </w:rPr>
        <w:footnoteReference w:id="867"/>
      </w:r>
      <w:r w:rsidR="00DD0F04">
        <w:t xml:space="preserve"> </w:t>
      </w:r>
      <w:r w:rsidR="00DD0F04" w:rsidRPr="00007423">
        <w:t>We note that in Australia, the court has an express power to make “such orders as are just” with respect to distribution of a settlement.</w:t>
      </w:r>
      <w:r w:rsidR="00D629FA">
        <w:rPr>
          <w:rFonts w:ascii="ZWAdobeF" w:hAnsi="ZWAdobeF" w:cs="ZWAdobeF"/>
          <w:color w:val="auto"/>
          <w:sz w:val="2"/>
          <w:szCs w:val="2"/>
        </w:rPr>
        <w:t>866F</w:t>
      </w:r>
      <w:r w:rsidR="007A330E">
        <w:rPr>
          <w:rFonts w:ascii="ZWAdobeF" w:hAnsi="ZWAdobeF" w:cs="ZWAdobeF"/>
          <w:color w:val="auto"/>
          <w:sz w:val="2"/>
          <w:szCs w:val="2"/>
        </w:rPr>
        <w:t>866F</w:t>
      </w:r>
      <w:r w:rsidR="00317AE4">
        <w:rPr>
          <w:rFonts w:ascii="ZWAdobeF" w:hAnsi="ZWAdobeF" w:cs="ZWAdobeF"/>
          <w:color w:val="auto"/>
          <w:sz w:val="2"/>
          <w:szCs w:val="2"/>
        </w:rPr>
        <w:t>866F</w:t>
      </w:r>
      <w:r w:rsidR="00DD0F04" w:rsidRPr="00007423">
        <w:rPr>
          <w:rStyle w:val="FootnoteReference"/>
        </w:rPr>
        <w:footnoteReference w:id="868"/>
      </w:r>
      <w:r w:rsidR="00DD0F04">
        <w:t xml:space="preserve"> We consider our proposed power would </w:t>
      </w:r>
      <w:r w:rsidR="00817E30">
        <w:t xml:space="preserve">enable </w:t>
      </w:r>
      <w:r w:rsidR="00DD0F04">
        <w:t xml:space="preserve">the court to make orders with respect to distribution of a settlement, as well as orders on non-monetary aspects of a settlement. As we noted earlier in this chapter, it is likely </w:t>
      </w:r>
      <w:r w:rsidR="00DD0F04" w:rsidRPr="00007423">
        <w:t xml:space="preserve">that some details of the distribution will need to be worked out after the settlement has been approved. </w:t>
      </w:r>
      <w:r w:rsidR="00DD0F04">
        <w:t xml:space="preserve">We also noted that </w:t>
      </w:r>
      <w:r w:rsidR="00DD0F04">
        <w:rPr>
          <w:color w:val="0D0D0D" w:themeColor="text1" w:themeTint="F2"/>
        </w:rPr>
        <w:t>i</w:t>
      </w:r>
      <w:r w:rsidR="00DD0F04" w:rsidRPr="00007423">
        <w:t xml:space="preserve">f only a small proportion of class members claim compensation, </w:t>
      </w:r>
      <w:r w:rsidR="00DD0F04">
        <w:t xml:space="preserve">it may be desirable for the court to consider whether any additional steps should be taken </w:t>
      </w:r>
      <w:r w:rsidR="007B7AB7">
        <w:t xml:space="preserve">before </w:t>
      </w:r>
      <w:r w:rsidR="00DD0F04" w:rsidRPr="00007423">
        <w:t xml:space="preserve">unclaimed funds are distributed. </w:t>
      </w:r>
      <w:r w:rsidR="00DD0F04">
        <w:t>This could include more extensive notice to class members or extending the claims period</w:t>
      </w:r>
      <w:r w:rsidR="00DD0F04" w:rsidRPr="00007423">
        <w:t xml:space="preserve">. </w:t>
      </w:r>
      <w:r w:rsidR="00DD0F04">
        <w:t xml:space="preserve">Our proposed power would </w:t>
      </w:r>
      <w:r w:rsidR="00817E30">
        <w:t xml:space="preserve">enable </w:t>
      </w:r>
      <w:r w:rsidR="00DD0F04">
        <w:t>the court to address these issues.</w:t>
      </w:r>
    </w:p>
    <w:p w14:paraId="40D6B8CD" w14:textId="38896ECA" w:rsidR="00DD0F04" w:rsidRDefault="00BD5C95" w:rsidP="00B73434">
      <w:pPr>
        <w:pStyle w:val="BodyText"/>
        <w:numPr>
          <w:ilvl w:val="1"/>
          <w:numId w:val="52"/>
        </w:numPr>
        <w:tabs>
          <w:tab w:val="left" w:pos="709"/>
        </w:tabs>
        <w:ind w:hanging="709"/>
      </w:pPr>
      <w:r>
        <w:rPr>
          <w:rFonts w:ascii="ZWAdobeF" w:hAnsi="ZWAdobeF" w:cs="ZWAdobeF"/>
          <w:color w:val="auto"/>
          <w:sz w:val="2"/>
          <w:szCs w:val="2"/>
        </w:rPr>
        <w:t>552B</w:t>
      </w:r>
      <w:r w:rsidR="0049638A">
        <w:rPr>
          <w:rFonts w:ascii="ZWAdobeF" w:hAnsi="ZWAdobeF" w:cs="ZWAdobeF"/>
          <w:color w:val="auto"/>
          <w:sz w:val="2"/>
          <w:szCs w:val="2"/>
        </w:rPr>
        <w:t>552B</w:t>
      </w:r>
      <w:r w:rsidR="00D629FA">
        <w:rPr>
          <w:rFonts w:ascii="ZWAdobeF" w:hAnsi="ZWAdobeF" w:cs="ZWAdobeF"/>
          <w:color w:val="auto"/>
          <w:sz w:val="2"/>
          <w:szCs w:val="2"/>
        </w:rPr>
        <w:t>552B</w:t>
      </w:r>
      <w:r w:rsidR="00DD0F04">
        <w:t>We note the comments of the VLRC that the extent to which the court will need to supervise settlement distribution will depend on the type of case. For example, while the court may need to maintain close supervision of a settlement involving highly individualised loss assessments, settlement distribution may be more straightforward in other class actions and intensive court supervision may increase cost and delay.</w:t>
      </w:r>
      <w:r w:rsidR="00D629FA">
        <w:rPr>
          <w:rFonts w:ascii="ZWAdobeF" w:hAnsi="ZWAdobeF" w:cs="ZWAdobeF"/>
          <w:color w:val="auto"/>
          <w:sz w:val="2"/>
          <w:szCs w:val="2"/>
        </w:rPr>
        <w:t>867F</w:t>
      </w:r>
      <w:r w:rsidR="007A330E">
        <w:rPr>
          <w:rFonts w:ascii="ZWAdobeF" w:hAnsi="ZWAdobeF" w:cs="ZWAdobeF"/>
          <w:color w:val="auto"/>
          <w:sz w:val="2"/>
          <w:szCs w:val="2"/>
        </w:rPr>
        <w:t>867F</w:t>
      </w:r>
      <w:r w:rsidR="00317AE4">
        <w:rPr>
          <w:rFonts w:ascii="ZWAdobeF" w:hAnsi="ZWAdobeF" w:cs="ZWAdobeF"/>
          <w:color w:val="auto"/>
          <w:sz w:val="2"/>
          <w:szCs w:val="2"/>
        </w:rPr>
        <w:t>867F</w:t>
      </w:r>
      <w:r w:rsidR="00DD0F04">
        <w:rPr>
          <w:rStyle w:val="FootnoteReference"/>
        </w:rPr>
        <w:footnoteReference w:id="869"/>
      </w:r>
      <w:r w:rsidR="00DD0F04">
        <w:t xml:space="preserve"> We agree that the court’s role in supervising implementation of a settlement will vary depending on the case and we think our draft </w:t>
      </w:r>
      <w:r w:rsidR="00394157">
        <w:t xml:space="preserve">provision </w:t>
      </w:r>
      <w:r w:rsidR="00DD0F04">
        <w:t xml:space="preserve">provides sufficient flexibility. </w:t>
      </w:r>
    </w:p>
    <w:p w14:paraId="1A743819" w14:textId="5800228B" w:rsidR="00F95162" w:rsidRDefault="00F95162" w:rsidP="00F95162">
      <w:pPr>
        <w:pStyle w:val="QuestionBox"/>
      </w:pPr>
      <w:r>
        <w:rPr>
          <w:noProof/>
        </w:rPr>
        <mc:AlternateContent>
          <mc:Choice Requires="wpg">
            <w:drawing>
              <wp:anchor distT="0" distB="0" distL="114300" distR="114300" simplePos="0" relativeHeight="251652188" behindDoc="1" locked="0" layoutInCell="1" allowOverlap="1" wp14:anchorId="183A2496" wp14:editId="5672A793">
                <wp:simplePos x="0" y="0"/>
                <wp:positionH relativeFrom="column">
                  <wp:posOffset>4386</wp:posOffset>
                </wp:positionH>
                <wp:positionV relativeFrom="paragraph">
                  <wp:posOffset>-620</wp:posOffset>
                </wp:positionV>
                <wp:extent cx="5760085" cy="1063625"/>
                <wp:effectExtent l="0" t="0" r="0" b="3175"/>
                <wp:wrapNone/>
                <wp:docPr id="155" name="Group 155"/>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15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8F8877" w14:textId="77777777" w:rsidR="00A55F53" w:rsidRDefault="00A55F53" w:rsidP="00F95162">
                              <w:pPr>
                                <w:pStyle w:val="BoxTitle"/>
                                <w:spacing w:before="0" w:beforeAutospacing="0"/>
                              </w:pPr>
                              <w:r w:rsidRPr="007F6876">
                                <w:t>QUESTION</w:t>
                              </w:r>
                            </w:p>
                          </w:txbxContent>
                        </wps:txbx>
                        <wps:bodyPr rot="0" vert="horz" wrap="square" lIns="91440" tIns="0" rIns="0" bIns="45720" anchor="ctr" anchorCtr="0" upright="1">
                          <a:noAutofit/>
                        </wps:bodyPr>
                      </wps:wsp>
                      <wpg:grpSp>
                        <wpg:cNvPr id="165" name="Group 53"/>
                        <wpg:cNvGrpSpPr>
                          <a:grpSpLocks/>
                        </wpg:cNvGrpSpPr>
                        <wpg:grpSpPr bwMode="auto">
                          <a:xfrm>
                            <a:off x="0" y="316263"/>
                            <a:ext cx="5760085" cy="810335"/>
                            <a:chOff x="1837" y="1792"/>
                            <a:chExt cx="9302" cy="8753"/>
                          </a:xfrm>
                        </wpg:grpSpPr>
                        <wps:wsp>
                          <wps:cNvPr id="166"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70"/>
                        <wpg:cNvGrpSpPr/>
                        <wpg:grpSpPr>
                          <a:xfrm>
                            <a:off x="0" y="494036"/>
                            <a:ext cx="1443794" cy="252000"/>
                            <a:chOff x="-15880" y="0"/>
                            <a:chExt cx="1444379" cy="252068"/>
                          </a:xfrm>
                        </wpg:grpSpPr>
                        <wps:wsp>
                          <wps:cNvPr id="174"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66"/>
                          <wps:cNvSpPr>
                            <a:spLocks/>
                          </wps:cNvSpPr>
                          <wps:spPr bwMode="auto">
                            <a:xfrm>
                              <a:off x="-15880" y="0"/>
                              <a:ext cx="432175"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D35B8A" w14:textId="11AD36EA" w:rsidR="00A55F53" w:rsidRPr="00E700FF" w:rsidRDefault="00A55F53" w:rsidP="00F95162">
                                <w:pPr>
                                  <w:pStyle w:val="BoxTitle"/>
                                  <w:spacing w:before="0" w:beforeAutospacing="0"/>
                                </w:pPr>
                                <w:r w:rsidRPr="001C1B37">
                                  <w:t>Q</w:t>
                                </w:r>
                                <w:r>
                                  <w:t>50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83A2496" id="Group 155" o:spid="_x0000_s1546" style="position:absolute;left:0;text-align:left;margin-left:.35pt;margin-top:-.05pt;width:453.55pt;height:83.75pt;z-index:-251664292;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">
                <v:shape id="_x0000_s154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B8F8877" w14:textId="77777777" w:rsidR="00A55F53" w:rsidRDefault="00A55F53" w:rsidP="00F95162">
                        <w:pPr>
                          <w:pStyle w:val="BoxTitle"/>
                          <w:spacing w:before="0" w:beforeAutospacing="0"/>
                        </w:pPr>
                        <w:r w:rsidRPr="007F6876">
                          <w:t>QUESTION</w:t>
                        </w:r>
                      </w:p>
                    </w:txbxContent>
                  </v:textbox>
                </v:shape>
                <v:group id="Group 53" o:spid="_x0000_s1548"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54" o:spid="_x0000_s1549"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" path="m,l9354,r,7809l,7809,,e" fillcolor="#edf2ea" stroked="f">
                    <v:path arrowok="t" o:connecttype="custom" o:connectlocs="0,1121;9302,1121;9302,9874;0,9874;0,1121" o:connectangles="0,0,0,0,0"/>
                  </v:shape>
                </v:group>
                <v:group id="Group 170" o:spid="_x0000_s155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58" o:spid="_x0000_s1551"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" path="m,l1815,e" filled="f" strokecolor="#72ab6a" strokeweight=".5pt">
                    <v:path arrowok="t" o:connecttype="custom" o:connectlocs="0,0;1073495,0" o:connectangles="0,0"/>
                  </v:shape>
                  <v:shape id="Freeform 66" o:spid="_x0000_s1552" style="position:absolute;left:-158;width:4320;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" adj="-11796480,,5400" path="m,470r642,l642,,,,,470e" fillcolor="#72ab6a" stroked="f">
                    <v:stroke joinstyle="round"/>
                    <v:formulas/>
                    <v:path arrowok="t" o:connecttype="custom" o:connectlocs="0,2317953;431503,2317953;431503,2065885;0,2065885;0,2317953" o:connectangles="0,0,0,0,0" textboxrect="0,0,643,470"/>
                    <v:textbox inset="1.5mm,2.3mm">
                      <w:txbxContent>
                        <w:p w14:paraId="03D35B8A" w14:textId="11AD36EA" w:rsidR="00A55F53" w:rsidRPr="00E700FF" w:rsidRDefault="00A55F53" w:rsidP="00F95162">
                          <w:pPr>
                            <w:pStyle w:val="BoxTitle"/>
                            <w:spacing w:before="0" w:beforeAutospacing="0"/>
                          </w:pPr>
                          <w:r w:rsidRPr="001C1B37">
                            <w:t>Q</w:t>
                          </w:r>
                          <w:r>
                            <w:t>50</w:t>
                          </w:r>
                        </w:p>
                      </w:txbxContent>
                    </v:textbox>
                  </v:shape>
                </v:group>
              </v:group>
            </w:pict>
          </mc:Fallback>
        </mc:AlternateContent>
      </w:r>
    </w:p>
    <w:p w14:paraId="3C6BB871" w14:textId="77777777" w:rsidR="00F95162" w:rsidRDefault="00F95162" w:rsidP="00F95162">
      <w:pPr>
        <w:pStyle w:val="QuestionBox"/>
      </w:pPr>
    </w:p>
    <w:p w14:paraId="087C5B8E" w14:textId="7C5CA200" w:rsidR="00DD0F04" w:rsidRDefault="00BD5C95" w:rsidP="00F95162">
      <w:pPr>
        <w:pStyle w:val="QuestionBox"/>
      </w:pPr>
      <w:r>
        <w:rPr>
          <w:rFonts w:ascii="ZWAdobeF" w:hAnsi="ZWAdobeF" w:cs="ZWAdobeF"/>
          <w:color w:val="auto"/>
          <w:sz w:val="2"/>
          <w:szCs w:val="2"/>
        </w:rPr>
        <w:t>1455B</w:t>
      </w:r>
      <w:r w:rsidR="0049638A">
        <w:rPr>
          <w:rFonts w:ascii="ZWAdobeF" w:hAnsi="ZWAdobeF" w:cs="ZWAdobeF"/>
          <w:color w:val="auto"/>
          <w:sz w:val="2"/>
          <w:szCs w:val="2"/>
        </w:rPr>
        <w:t>1455B</w:t>
      </w:r>
      <w:r w:rsidR="00D629FA">
        <w:rPr>
          <w:rFonts w:ascii="ZWAdobeF" w:hAnsi="ZWAdobeF" w:cs="ZWAdobeF"/>
          <w:color w:val="auto"/>
          <w:sz w:val="2"/>
          <w:szCs w:val="2"/>
        </w:rPr>
        <w:t>1455B</w:t>
      </w:r>
      <w:r w:rsidR="00DD0F04">
        <w:t xml:space="preserve">Should the court supervise the administration and implementation of a class action settlement? </w:t>
      </w:r>
    </w:p>
    <w:p w14:paraId="0162E430" w14:textId="77777777" w:rsidR="00F95162" w:rsidRDefault="00F95162" w:rsidP="00F95162">
      <w:pPr>
        <w:pStyle w:val="QuestionBox"/>
      </w:pPr>
    </w:p>
    <w:p w14:paraId="25D10A37" w14:textId="77777777" w:rsidR="00DD0F04" w:rsidRPr="007E1AB5" w:rsidRDefault="00DD0F04" w:rsidP="006E5481">
      <w:pPr>
        <w:pStyle w:val="Heading3"/>
      </w:pPr>
      <w:r>
        <w:t>Appointing a s</w:t>
      </w:r>
      <w:r w:rsidRPr="007E1AB5">
        <w:t>ettlement administrat</w:t>
      </w:r>
      <w:r>
        <w:t>or</w:t>
      </w:r>
    </w:p>
    <w:p w14:paraId="5F819939" w14:textId="61F12D1D" w:rsidR="00DD0F04" w:rsidRDefault="00BD5C95" w:rsidP="00B73434">
      <w:pPr>
        <w:pStyle w:val="BodyText"/>
        <w:numPr>
          <w:ilvl w:val="1"/>
          <w:numId w:val="52"/>
        </w:numPr>
        <w:tabs>
          <w:tab w:val="left" w:pos="709"/>
        </w:tabs>
        <w:ind w:hanging="709"/>
      </w:pPr>
      <w:r>
        <w:rPr>
          <w:rFonts w:ascii="ZWAdobeF" w:hAnsi="ZWAdobeF" w:cs="ZWAdobeF"/>
          <w:color w:val="auto"/>
          <w:sz w:val="2"/>
          <w:szCs w:val="2"/>
        </w:rPr>
        <w:t>553B</w:t>
      </w:r>
      <w:r w:rsidR="0049638A">
        <w:rPr>
          <w:rFonts w:ascii="ZWAdobeF" w:hAnsi="ZWAdobeF" w:cs="ZWAdobeF"/>
          <w:color w:val="auto"/>
          <w:sz w:val="2"/>
          <w:szCs w:val="2"/>
        </w:rPr>
        <w:t>553B</w:t>
      </w:r>
      <w:r w:rsidR="00D629FA">
        <w:rPr>
          <w:rFonts w:ascii="ZWAdobeF" w:hAnsi="ZWAdobeF" w:cs="ZWAdobeF"/>
          <w:color w:val="auto"/>
          <w:sz w:val="2"/>
          <w:szCs w:val="2"/>
        </w:rPr>
        <w:t>553B</w:t>
      </w:r>
      <w:r w:rsidR="00DD0F04">
        <w:t xml:space="preserve">In some cases it will be appropriate to appoint an administrator to carry out the process of assessing individual claims and arranging for payment to class members. There will be situations where this is not necessary, such as where the defendant can pay class members directly without a claim being required. </w:t>
      </w:r>
    </w:p>
    <w:p w14:paraId="09E01739" w14:textId="0C5FC00F" w:rsidR="00DD0F04" w:rsidRDefault="00BD5C95" w:rsidP="00B73434">
      <w:pPr>
        <w:pStyle w:val="BodyText"/>
        <w:numPr>
          <w:ilvl w:val="1"/>
          <w:numId w:val="52"/>
        </w:numPr>
        <w:tabs>
          <w:tab w:val="left" w:pos="709"/>
        </w:tabs>
        <w:ind w:hanging="709"/>
      </w:pPr>
      <w:r>
        <w:rPr>
          <w:rFonts w:ascii="ZWAdobeF" w:hAnsi="ZWAdobeF" w:cs="ZWAdobeF"/>
          <w:color w:val="auto"/>
          <w:sz w:val="2"/>
          <w:szCs w:val="2"/>
        </w:rPr>
        <w:t>554B</w:t>
      </w:r>
      <w:r w:rsidR="0049638A">
        <w:rPr>
          <w:rFonts w:ascii="ZWAdobeF" w:hAnsi="ZWAdobeF" w:cs="ZWAdobeF"/>
          <w:color w:val="auto"/>
          <w:sz w:val="2"/>
          <w:szCs w:val="2"/>
        </w:rPr>
        <w:t>554B</w:t>
      </w:r>
      <w:r w:rsidR="00D629FA">
        <w:rPr>
          <w:rFonts w:ascii="ZWAdobeF" w:hAnsi="ZWAdobeF" w:cs="ZWAdobeF"/>
          <w:color w:val="auto"/>
          <w:sz w:val="2"/>
          <w:szCs w:val="2"/>
        </w:rPr>
        <w:t>554B</w:t>
      </w:r>
      <w:r w:rsidR="00DD0F04">
        <w:t xml:space="preserve">Settlement administration needs to be carried out in a way that is accurate and efficient. The cost of settlement administration is also relevant as this is generally deducted from </w:t>
      </w:r>
      <w:r w:rsidR="00DD0F04">
        <w:lastRenderedPageBreak/>
        <w:t>the total settlement sum.</w:t>
      </w:r>
      <w:r w:rsidR="00D629FA">
        <w:rPr>
          <w:rFonts w:ascii="ZWAdobeF" w:hAnsi="ZWAdobeF" w:cs="ZWAdobeF"/>
          <w:color w:val="auto"/>
          <w:sz w:val="2"/>
          <w:szCs w:val="2"/>
        </w:rPr>
        <w:t>868F</w:t>
      </w:r>
      <w:r w:rsidR="007A330E">
        <w:rPr>
          <w:rFonts w:ascii="ZWAdobeF" w:hAnsi="ZWAdobeF" w:cs="ZWAdobeF"/>
          <w:color w:val="auto"/>
          <w:sz w:val="2"/>
          <w:szCs w:val="2"/>
        </w:rPr>
        <w:t>868F</w:t>
      </w:r>
      <w:r w:rsidR="00317AE4">
        <w:rPr>
          <w:rFonts w:ascii="ZWAdobeF" w:hAnsi="ZWAdobeF" w:cs="ZWAdobeF"/>
          <w:color w:val="auto"/>
          <w:sz w:val="2"/>
          <w:szCs w:val="2"/>
        </w:rPr>
        <w:t>868F</w:t>
      </w:r>
      <w:r w:rsidR="00DD0F04">
        <w:rPr>
          <w:rStyle w:val="FootnoteReference"/>
        </w:rPr>
        <w:footnoteReference w:id="870"/>
      </w:r>
      <w:r w:rsidR="00DD0F04">
        <w:t xml:space="preserve"> In Australia, administration costs have generally been less than three per cent of the total settlement, but they have sometimes been higher (such as five to seven per cent).</w:t>
      </w:r>
      <w:r w:rsidR="00D629FA">
        <w:rPr>
          <w:rFonts w:ascii="ZWAdobeF" w:hAnsi="ZWAdobeF" w:cs="ZWAdobeF"/>
          <w:color w:val="auto"/>
          <w:sz w:val="2"/>
          <w:szCs w:val="2"/>
        </w:rPr>
        <w:t>869F</w:t>
      </w:r>
      <w:r w:rsidR="007A330E">
        <w:rPr>
          <w:rFonts w:ascii="ZWAdobeF" w:hAnsi="ZWAdobeF" w:cs="ZWAdobeF"/>
          <w:color w:val="auto"/>
          <w:sz w:val="2"/>
          <w:szCs w:val="2"/>
        </w:rPr>
        <w:t>869F</w:t>
      </w:r>
      <w:r w:rsidR="00317AE4">
        <w:rPr>
          <w:rFonts w:ascii="ZWAdobeF" w:hAnsi="ZWAdobeF" w:cs="ZWAdobeF"/>
          <w:color w:val="auto"/>
          <w:sz w:val="2"/>
          <w:szCs w:val="2"/>
        </w:rPr>
        <w:t>869F</w:t>
      </w:r>
      <w:r w:rsidR="00DD0F04">
        <w:rPr>
          <w:rStyle w:val="FootnoteReference"/>
        </w:rPr>
        <w:footnoteReference w:id="871"/>
      </w:r>
      <w:r w:rsidR="00DD0F04">
        <w:t xml:space="preserve"> Shareholder class actions using a formula have generally been cheaper to administer than claims requiring individual assessment.</w:t>
      </w:r>
      <w:r w:rsidR="00D629FA">
        <w:rPr>
          <w:rFonts w:ascii="ZWAdobeF" w:hAnsi="ZWAdobeF" w:cs="ZWAdobeF"/>
          <w:color w:val="auto"/>
          <w:sz w:val="2"/>
          <w:szCs w:val="2"/>
        </w:rPr>
        <w:t>870F</w:t>
      </w:r>
      <w:r w:rsidR="007A330E">
        <w:rPr>
          <w:rFonts w:ascii="ZWAdobeF" w:hAnsi="ZWAdobeF" w:cs="ZWAdobeF"/>
          <w:color w:val="auto"/>
          <w:sz w:val="2"/>
          <w:szCs w:val="2"/>
        </w:rPr>
        <w:t>870F</w:t>
      </w:r>
      <w:r w:rsidR="00317AE4">
        <w:rPr>
          <w:rFonts w:ascii="ZWAdobeF" w:hAnsi="ZWAdobeF" w:cs="ZWAdobeF"/>
          <w:color w:val="auto"/>
          <w:sz w:val="2"/>
          <w:szCs w:val="2"/>
        </w:rPr>
        <w:t>870F</w:t>
      </w:r>
      <w:r w:rsidR="00DD0F04">
        <w:rPr>
          <w:rStyle w:val="FootnoteReference"/>
        </w:rPr>
        <w:footnoteReference w:id="872"/>
      </w:r>
      <w:r w:rsidR="00DD0F04">
        <w:t xml:space="preserve"> </w:t>
      </w:r>
    </w:p>
    <w:p w14:paraId="74E78E51" w14:textId="0C2942A8" w:rsidR="00DD0F04" w:rsidRDefault="00BD5C95" w:rsidP="00B73434">
      <w:pPr>
        <w:pStyle w:val="BodyText"/>
        <w:numPr>
          <w:ilvl w:val="1"/>
          <w:numId w:val="52"/>
        </w:numPr>
        <w:tabs>
          <w:tab w:val="left" w:pos="709"/>
        </w:tabs>
        <w:ind w:hanging="709"/>
      </w:pPr>
      <w:r>
        <w:rPr>
          <w:rFonts w:ascii="ZWAdobeF" w:hAnsi="ZWAdobeF" w:cs="ZWAdobeF"/>
          <w:color w:val="auto"/>
          <w:sz w:val="2"/>
          <w:szCs w:val="2"/>
        </w:rPr>
        <w:t>555B</w:t>
      </w:r>
      <w:r w:rsidR="0049638A">
        <w:rPr>
          <w:rFonts w:ascii="ZWAdobeF" w:hAnsi="ZWAdobeF" w:cs="ZWAdobeF"/>
          <w:color w:val="auto"/>
          <w:sz w:val="2"/>
          <w:szCs w:val="2"/>
        </w:rPr>
        <w:t>555B</w:t>
      </w:r>
      <w:r w:rsidR="00D629FA">
        <w:rPr>
          <w:rFonts w:ascii="ZWAdobeF" w:hAnsi="ZWAdobeF" w:cs="ZWAdobeF"/>
          <w:color w:val="auto"/>
          <w:sz w:val="2"/>
          <w:szCs w:val="2"/>
        </w:rPr>
        <w:t>555B</w:t>
      </w:r>
      <w:r w:rsidR="00DD0F04">
        <w:t>In Australia it is common for the plaintiff’s law firm to carry out settlement administration.</w:t>
      </w:r>
      <w:r w:rsidR="00D629FA">
        <w:rPr>
          <w:rFonts w:ascii="ZWAdobeF" w:hAnsi="ZWAdobeF" w:cs="ZWAdobeF"/>
          <w:color w:val="auto"/>
          <w:sz w:val="2"/>
          <w:szCs w:val="2"/>
        </w:rPr>
        <w:t>871F</w:t>
      </w:r>
      <w:r w:rsidR="007A330E">
        <w:rPr>
          <w:rFonts w:ascii="ZWAdobeF" w:hAnsi="ZWAdobeF" w:cs="ZWAdobeF"/>
          <w:color w:val="auto"/>
          <w:sz w:val="2"/>
          <w:szCs w:val="2"/>
        </w:rPr>
        <w:t>871F</w:t>
      </w:r>
      <w:r w:rsidR="00317AE4">
        <w:rPr>
          <w:rFonts w:ascii="ZWAdobeF" w:hAnsi="ZWAdobeF" w:cs="ZWAdobeF"/>
          <w:color w:val="auto"/>
          <w:sz w:val="2"/>
          <w:szCs w:val="2"/>
        </w:rPr>
        <w:t>871F</w:t>
      </w:r>
      <w:r w:rsidR="00DD0F04">
        <w:rPr>
          <w:rStyle w:val="FootnoteReference"/>
        </w:rPr>
        <w:footnoteReference w:id="873"/>
      </w:r>
      <w:r w:rsidR="00DD0F04">
        <w:t xml:space="preserve"> The VLRC said class members could perceive this as ‘double dipping’ by lawyers and said that settlement distribution did not always require legal expertise.</w:t>
      </w:r>
      <w:r w:rsidR="00D629FA">
        <w:rPr>
          <w:rFonts w:ascii="ZWAdobeF" w:hAnsi="ZWAdobeF" w:cs="ZWAdobeF"/>
          <w:color w:val="auto"/>
          <w:sz w:val="2"/>
          <w:szCs w:val="2"/>
        </w:rPr>
        <w:t>872F</w:t>
      </w:r>
      <w:r w:rsidR="007A330E">
        <w:rPr>
          <w:rFonts w:ascii="ZWAdobeF" w:hAnsi="ZWAdobeF" w:cs="ZWAdobeF"/>
          <w:color w:val="auto"/>
          <w:sz w:val="2"/>
          <w:szCs w:val="2"/>
        </w:rPr>
        <w:t>872F</w:t>
      </w:r>
      <w:r w:rsidR="00317AE4">
        <w:rPr>
          <w:rFonts w:ascii="ZWAdobeF" w:hAnsi="ZWAdobeF" w:cs="ZWAdobeF"/>
          <w:color w:val="auto"/>
          <w:sz w:val="2"/>
          <w:szCs w:val="2"/>
        </w:rPr>
        <w:t>872F</w:t>
      </w:r>
      <w:r w:rsidR="00DD0F04">
        <w:rPr>
          <w:rStyle w:val="FootnoteReference"/>
        </w:rPr>
        <w:footnoteReference w:id="874"/>
      </w:r>
      <w:r w:rsidR="00DD0F04">
        <w:t xml:space="preserve"> The ALRC said the court should be able to have a tender process for a settlement administrator and that this might assist to reduce the cost of settlement administration and improve the efficiency of the process.</w:t>
      </w:r>
      <w:r w:rsidR="00D629FA">
        <w:rPr>
          <w:rFonts w:ascii="ZWAdobeF" w:hAnsi="ZWAdobeF" w:cs="ZWAdobeF"/>
          <w:color w:val="auto"/>
          <w:sz w:val="2"/>
          <w:szCs w:val="2"/>
        </w:rPr>
        <w:t>873F</w:t>
      </w:r>
      <w:r w:rsidR="007A330E">
        <w:rPr>
          <w:rFonts w:ascii="ZWAdobeF" w:hAnsi="ZWAdobeF" w:cs="ZWAdobeF"/>
          <w:color w:val="auto"/>
          <w:sz w:val="2"/>
          <w:szCs w:val="2"/>
        </w:rPr>
        <w:t>873F</w:t>
      </w:r>
      <w:r w:rsidR="00317AE4">
        <w:rPr>
          <w:rFonts w:ascii="ZWAdobeF" w:hAnsi="ZWAdobeF" w:cs="ZWAdobeF"/>
          <w:color w:val="auto"/>
          <w:sz w:val="2"/>
          <w:szCs w:val="2"/>
        </w:rPr>
        <w:t>873F</w:t>
      </w:r>
      <w:r w:rsidR="00DD0F04">
        <w:rPr>
          <w:rStyle w:val="FootnoteReference"/>
        </w:rPr>
        <w:footnoteReference w:id="875"/>
      </w:r>
      <w:r w:rsidR="00DD0F04">
        <w:t xml:space="preserve"> It said that in shareholder class actions, an accounting firm, share registry service or claims administration company might be able to undertake settlement administration as competently as the plaintiff’s firm and with greater cost efficiency.</w:t>
      </w:r>
      <w:r w:rsidR="00D629FA">
        <w:rPr>
          <w:rFonts w:ascii="ZWAdobeF" w:hAnsi="ZWAdobeF" w:cs="ZWAdobeF"/>
          <w:color w:val="auto"/>
          <w:sz w:val="2"/>
          <w:szCs w:val="2"/>
        </w:rPr>
        <w:t>874F</w:t>
      </w:r>
      <w:r w:rsidR="007A330E">
        <w:rPr>
          <w:rFonts w:ascii="ZWAdobeF" w:hAnsi="ZWAdobeF" w:cs="ZWAdobeF"/>
          <w:color w:val="auto"/>
          <w:sz w:val="2"/>
          <w:szCs w:val="2"/>
        </w:rPr>
        <w:t>874F</w:t>
      </w:r>
      <w:r w:rsidR="00317AE4">
        <w:rPr>
          <w:rFonts w:ascii="ZWAdobeF" w:hAnsi="ZWAdobeF" w:cs="ZWAdobeF"/>
          <w:color w:val="auto"/>
          <w:sz w:val="2"/>
          <w:szCs w:val="2"/>
        </w:rPr>
        <w:t>874F</w:t>
      </w:r>
      <w:r w:rsidR="00DD0F04">
        <w:rPr>
          <w:rStyle w:val="FootnoteReference"/>
        </w:rPr>
        <w:footnoteReference w:id="876"/>
      </w:r>
      <w:r w:rsidR="00DD0F04">
        <w:t xml:space="preserve"> </w:t>
      </w:r>
    </w:p>
    <w:p w14:paraId="724BA47F" w14:textId="2CCEB49F" w:rsidR="00DD0F04" w:rsidRDefault="00BD5C95" w:rsidP="00B73434">
      <w:pPr>
        <w:pStyle w:val="BodyText"/>
        <w:numPr>
          <w:ilvl w:val="1"/>
          <w:numId w:val="52"/>
        </w:numPr>
        <w:tabs>
          <w:tab w:val="left" w:pos="709"/>
        </w:tabs>
        <w:ind w:hanging="709"/>
      </w:pPr>
      <w:r>
        <w:rPr>
          <w:rFonts w:ascii="ZWAdobeF" w:hAnsi="ZWAdobeF" w:cs="ZWAdobeF"/>
          <w:color w:val="auto"/>
          <w:sz w:val="2"/>
          <w:szCs w:val="2"/>
        </w:rPr>
        <w:t>556B</w:t>
      </w:r>
      <w:r w:rsidR="0049638A">
        <w:rPr>
          <w:rFonts w:ascii="ZWAdobeF" w:hAnsi="ZWAdobeF" w:cs="ZWAdobeF"/>
          <w:color w:val="auto"/>
          <w:sz w:val="2"/>
          <w:szCs w:val="2"/>
        </w:rPr>
        <w:t>556B</w:t>
      </w:r>
      <w:r w:rsidR="00D629FA">
        <w:rPr>
          <w:rFonts w:ascii="ZWAdobeF" w:hAnsi="ZWAdobeF" w:cs="ZWAdobeF"/>
          <w:color w:val="auto"/>
          <w:sz w:val="2"/>
          <w:szCs w:val="2"/>
        </w:rPr>
        <w:t>556B</w:t>
      </w:r>
      <w:r w:rsidR="00DD0F04">
        <w:t>In Ontario and the United States, the court may appoint a private company known as a claims administrator to manage the settlement distribution process.</w:t>
      </w:r>
      <w:r w:rsidR="00D629FA">
        <w:rPr>
          <w:rFonts w:ascii="ZWAdobeF" w:hAnsi="ZWAdobeF" w:cs="ZWAdobeF"/>
          <w:color w:val="auto"/>
          <w:sz w:val="2"/>
          <w:szCs w:val="2"/>
        </w:rPr>
        <w:t>875F</w:t>
      </w:r>
      <w:r w:rsidR="007A330E">
        <w:rPr>
          <w:rFonts w:ascii="ZWAdobeF" w:hAnsi="ZWAdobeF" w:cs="ZWAdobeF"/>
          <w:color w:val="auto"/>
          <w:sz w:val="2"/>
          <w:szCs w:val="2"/>
        </w:rPr>
        <w:t>875F</w:t>
      </w:r>
      <w:r w:rsidR="00317AE4">
        <w:rPr>
          <w:rFonts w:ascii="ZWAdobeF" w:hAnsi="ZWAdobeF" w:cs="ZWAdobeF"/>
          <w:color w:val="auto"/>
          <w:sz w:val="2"/>
          <w:szCs w:val="2"/>
        </w:rPr>
        <w:t>875F</w:t>
      </w:r>
      <w:r w:rsidR="00DD0F04">
        <w:rPr>
          <w:rStyle w:val="FootnoteReference"/>
        </w:rPr>
        <w:footnoteReference w:id="877"/>
      </w:r>
      <w:r w:rsidR="00DD0F04">
        <w:t xml:space="preserve"> Claims administrators in Ontario have a statutory duty to administer the distribution “in a competent and diligent manner”.</w:t>
      </w:r>
      <w:r w:rsidR="00D629FA">
        <w:rPr>
          <w:rFonts w:ascii="ZWAdobeF" w:hAnsi="ZWAdobeF" w:cs="ZWAdobeF"/>
          <w:color w:val="auto"/>
          <w:sz w:val="2"/>
          <w:szCs w:val="2"/>
        </w:rPr>
        <w:t>876F</w:t>
      </w:r>
      <w:r w:rsidR="007A330E">
        <w:rPr>
          <w:rFonts w:ascii="ZWAdobeF" w:hAnsi="ZWAdobeF" w:cs="ZWAdobeF"/>
          <w:color w:val="auto"/>
          <w:sz w:val="2"/>
          <w:szCs w:val="2"/>
        </w:rPr>
        <w:t>876F</w:t>
      </w:r>
      <w:r w:rsidR="00317AE4">
        <w:rPr>
          <w:rFonts w:ascii="ZWAdobeF" w:hAnsi="ZWAdobeF" w:cs="ZWAdobeF"/>
          <w:color w:val="auto"/>
          <w:sz w:val="2"/>
          <w:szCs w:val="2"/>
        </w:rPr>
        <w:t>876F</w:t>
      </w:r>
      <w:r w:rsidR="00DD0F04">
        <w:rPr>
          <w:rStyle w:val="FootnoteReference"/>
        </w:rPr>
        <w:footnoteReference w:id="878"/>
      </w:r>
      <w:r w:rsidR="00DD0F04">
        <w:t xml:space="preserve"> This followed a recommendation by the LCO, which considered there should be more consistency and transparency of the role of </w:t>
      </w:r>
      <w:r w:rsidR="00DD0F04">
        <w:lastRenderedPageBreak/>
        <w:t>administrators.</w:t>
      </w:r>
      <w:r w:rsidR="00D629FA">
        <w:rPr>
          <w:rFonts w:ascii="ZWAdobeF" w:hAnsi="ZWAdobeF" w:cs="ZWAdobeF"/>
          <w:color w:val="auto"/>
          <w:sz w:val="2"/>
          <w:szCs w:val="2"/>
        </w:rPr>
        <w:t>877F</w:t>
      </w:r>
      <w:r w:rsidR="007A330E">
        <w:rPr>
          <w:rFonts w:ascii="ZWAdobeF" w:hAnsi="ZWAdobeF" w:cs="ZWAdobeF"/>
          <w:color w:val="auto"/>
          <w:sz w:val="2"/>
          <w:szCs w:val="2"/>
        </w:rPr>
        <w:t>877F</w:t>
      </w:r>
      <w:r w:rsidR="00317AE4">
        <w:rPr>
          <w:rFonts w:ascii="ZWAdobeF" w:hAnsi="ZWAdobeF" w:cs="ZWAdobeF"/>
          <w:color w:val="auto"/>
          <w:sz w:val="2"/>
          <w:szCs w:val="2"/>
        </w:rPr>
        <w:t>877F</w:t>
      </w:r>
      <w:r w:rsidR="00DD0F04">
        <w:rPr>
          <w:rStyle w:val="FootnoteReference"/>
        </w:rPr>
        <w:footnoteReference w:id="879"/>
      </w:r>
      <w:r w:rsidR="00DD0F04">
        <w:t xml:space="preserve">  In the United States, administrators have an obligation to perform their duties in good faith.</w:t>
      </w:r>
      <w:r w:rsidR="00D629FA">
        <w:rPr>
          <w:rFonts w:ascii="ZWAdobeF" w:hAnsi="ZWAdobeF" w:cs="ZWAdobeF"/>
          <w:color w:val="auto"/>
          <w:sz w:val="2"/>
          <w:szCs w:val="2"/>
        </w:rPr>
        <w:t>878F</w:t>
      </w:r>
      <w:r w:rsidR="007A330E">
        <w:rPr>
          <w:rFonts w:ascii="ZWAdobeF" w:hAnsi="ZWAdobeF" w:cs="ZWAdobeF"/>
          <w:color w:val="auto"/>
          <w:sz w:val="2"/>
          <w:szCs w:val="2"/>
        </w:rPr>
        <w:t>878F</w:t>
      </w:r>
      <w:r w:rsidR="00317AE4">
        <w:rPr>
          <w:rFonts w:ascii="ZWAdobeF" w:hAnsi="ZWAdobeF" w:cs="ZWAdobeF"/>
          <w:color w:val="auto"/>
          <w:sz w:val="2"/>
          <w:szCs w:val="2"/>
        </w:rPr>
        <w:t>878F</w:t>
      </w:r>
      <w:r w:rsidR="00DD0F04">
        <w:rPr>
          <w:rStyle w:val="FootnoteReference"/>
        </w:rPr>
        <w:footnoteReference w:id="880"/>
      </w:r>
    </w:p>
    <w:p w14:paraId="5AF28BB4" w14:textId="10F3F91A" w:rsidR="00DD0F04" w:rsidRDefault="00BD5C95" w:rsidP="00B73434">
      <w:pPr>
        <w:pStyle w:val="BodyText"/>
        <w:numPr>
          <w:ilvl w:val="1"/>
          <w:numId w:val="52"/>
        </w:numPr>
        <w:tabs>
          <w:tab w:val="left" w:pos="709"/>
        </w:tabs>
        <w:ind w:hanging="709"/>
      </w:pPr>
      <w:r>
        <w:rPr>
          <w:rFonts w:ascii="ZWAdobeF" w:hAnsi="ZWAdobeF" w:cs="ZWAdobeF"/>
          <w:color w:val="auto"/>
          <w:sz w:val="2"/>
          <w:szCs w:val="2"/>
        </w:rPr>
        <w:t>557B</w:t>
      </w:r>
      <w:r w:rsidR="0049638A">
        <w:rPr>
          <w:rFonts w:ascii="ZWAdobeF" w:hAnsi="ZWAdobeF" w:cs="ZWAdobeF"/>
          <w:color w:val="auto"/>
          <w:sz w:val="2"/>
          <w:szCs w:val="2"/>
        </w:rPr>
        <w:t>557B</w:t>
      </w:r>
      <w:r w:rsidR="00D629FA">
        <w:rPr>
          <w:rFonts w:ascii="ZWAdobeF" w:hAnsi="ZWAdobeF" w:cs="ZWAdobeF"/>
          <w:color w:val="auto"/>
          <w:sz w:val="2"/>
          <w:szCs w:val="2"/>
        </w:rPr>
        <w:t>557B</w:t>
      </w:r>
      <w:r w:rsidR="00DD0F04">
        <w:t xml:space="preserve">Our draft </w:t>
      </w:r>
      <w:r w:rsidR="00394157">
        <w:t>provision</w:t>
      </w:r>
      <w:r w:rsidR="00DD0F04">
        <w:t xml:space="preserve"> would enable a court to appoint a person as settlement administrator, based on an Ontario provision.</w:t>
      </w:r>
      <w:r w:rsidR="00D629FA">
        <w:rPr>
          <w:rFonts w:ascii="ZWAdobeF" w:hAnsi="ZWAdobeF" w:cs="ZWAdobeF"/>
          <w:color w:val="auto"/>
          <w:sz w:val="2"/>
          <w:szCs w:val="2"/>
        </w:rPr>
        <w:t>879F</w:t>
      </w:r>
      <w:r w:rsidR="007A330E">
        <w:rPr>
          <w:rFonts w:ascii="ZWAdobeF" w:hAnsi="ZWAdobeF" w:cs="ZWAdobeF"/>
          <w:color w:val="auto"/>
          <w:sz w:val="2"/>
          <w:szCs w:val="2"/>
        </w:rPr>
        <w:t>879F</w:t>
      </w:r>
      <w:r w:rsidR="00317AE4">
        <w:rPr>
          <w:rFonts w:ascii="ZWAdobeF" w:hAnsi="ZWAdobeF" w:cs="ZWAdobeF"/>
          <w:color w:val="auto"/>
          <w:sz w:val="2"/>
          <w:szCs w:val="2"/>
        </w:rPr>
        <w:t>879F</w:t>
      </w:r>
      <w:r w:rsidR="00DD0F04">
        <w:rPr>
          <w:rStyle w:val="FootnoteReference"/>
        </w:rPr>
        <w:footnoteReference w:id="881"/>
      </w:r>
      <w:r w:rsidR="00DD0F04">
        <w:t xml:space="preserve"> This is not mandatory as in some cases, distribution can take place without any kind of claims process. The role of settlement administrator could be performed by a range of people, including a barrister, accountant or corporate trustee. In some cases, the court might also consider it appropriate for the plaintiff’s law firm to fulfil the role of settlement administrator. We think the court should have discretion as to who is appointed as settlement administrator, as the appropriate administrator will differ depending on the nature of the case. However, we envisage that an appropriate administrator would be able to distribute settlement funds in an accurate and efficient way, make it easy for class members to engage with the process and charge a fee that is reasonable. We envisage the parties would propose an administrator and the court would consider whether that person is suitable for the role.</w:t>
      </w:r>
    </w:p>
    <w:p w14:paraId="28838138" w14:textId="50E5D72F" w:rsidR="00AE4954" w:rsidRDefault="00AE4954" w:rsidP="00AE4954">
      <w:pPr>
        <w:pStyle w:val="QuestionBox"/>
      </w:pPr>
      <w:r>
        <w:rPr>
          <w:noProof/>
        </w:rPr>
        <mc:AlternateContent>
          <mc:Choice Requires="wpg">
            <w:drawing>
              <wp:anchor distT="0" distB="0" distL="114300" distR="114300" simplePos="0" relativeHeight="251652189" behindDoc="1" locked="0" layoutInCell="1" allowOverlap="1" wp14:anchorId="1C7D1592" wp14:editId="079388CC">
                <wp:simplePos x="0" y="0"/>
                <wp:positionH relativeFrom="column">
                  <wp:posOffset>0</wp:posOffset>
                </wp:positionH>
                <wp:positionV relativeFrom="paragraph">
                  <wp:posOffset>-635</wp:posOffset>
                </wp:positionV>
                <wp:extent cx="5760085" cy="1063625"/>
                <wp:effectExtent l="0" t="0" r="0" b="3175"/>
                <wp:wrapNone/>
                <wp:docPr id="176" name="Group 176"/>
                <wp:cNvGraphicFramePr/>
                <a:graphic xmlns:a="http://schemas.openxmlformats.org/drawingml/2006/main">
                  <a:graphicData uri="http://schemas.microsoft.com/office/word/2010/wordprocessingGroup">
                    <wpg:wgp>
                      <wpg:cNvGrpSpPr/>
                      <wpg:grpSpPr>
                        <a:xfrm>
                          <a:off x="0" y="0"/>
                          <a:ext cx="5760085" cy="1063625"/>
                          <a:chOff x="0" y="62865"/>
                          <a:chExt cx="5760085" cy="1063733"/>
                        </a:xfrm>
                      </wpg:grpSpPr>
                      <wps:wsp>
                        <wps:cNvPr id="19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6E6DE6" w14:textId="77777777" w:rsidR="00A55F53" w:rsidRDefault="00A55F53" w:rsidP="00AE4954">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85" name="Group 53"/>
                        <wpg:cNvGrpSpPr>
                          <a:grpSpLocks/>
                        </wpg:cNvGrpSpPr>
                        <wpg:grpSpPr bwMode="auto">
                          <a:xfrm>
                            <a:off x="0" y="316263"/>
                            <a:ext cx="5760085" cy="810335"/>
                            <a:chOff x="1837" y="1792"/>
                            <a:chExt cx="9302" cy="8753"/>
                          </a:xfrm>
                        </wpg:grpSpPr>
                        <wps:wsp>
                          <wps:cNvPr id="764518086" name="Freeform 54"/>
                          <wps:cNvSpPr>
                            <a:spLocks/>
                          </wps:cNvSpPr>
                          <wps:spPr bwMode="auto">
                            <a:xfrm>
                              <a:off x="1837" y="1792"/>
                              <a:ext cx="9302" cy="87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87" name="Group 764518087"/>
                        <wpg:cNvGrpSpPr/>
                        <wpg:grpSpPr>
                          <a:xfrm>
                            <a:off x="0" y="494036"/>
                            <a:ext cx="1443794" cy="252000"/>
                            <a:chOff x="-15880" y="0"/>
                            <a:chExt cx="1444379" cy="252068"/>
                          </a:xfrm>
                        </wpg:grpSpPr>
                        <wps:wsp>
                          <wps:cNvPr id="764518088"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8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5C4C67" w14:textId="29721F12" w:rsidR="00A55F53" w:rsidRPr="00E700FF" w:rsidRDefault="00A55F53" w:rsidP="00AE4954">
                                <w:pPr>
                                  <w:pStyle w:val="BoxTitle"/>
                                  <w:spacing w:before="0" w:beforeAutospacing="0"/>
                                </w:pPr>
                                <w:r w:rsidRPr="001C1B37">
                                  <w:t>Q</w:t>
                                </w:r>
                                <w:r>
                                  <w:t>51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C7D1592" id="Group 176" o:spid="_x0000_s1553" style="position:absolute;left:0;text-align:left;margin-left:0;margin-top:-.05pt;width:453.55pt;height:83.75pt;z-index:-251664291;mso-height-relative:margin" coordorigin=",628" coordsize="57600,1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">
                <v:shape id="_x0000_s155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36E6DE6" w14:textId="77777777" w:rsidR="00A55F53" w:rsidRDefault="00A55F53" w:rsidP="00AE4954">
                        <w:pPr>
                          <w:pStyle w:val="BoxTitle"/>
                          <w:spacing w:before="0" w:beforeAutospacing="0"/>
                        </w:pPr>
                        <w:r w:rsidRPr="007F6876">
                          <w:t>QUESTION</w:t>
                        </w:r>
                      </w:p>
                    </w:txbxContent>
                  </v:textbox>
                </v:shape>
                <v:group id="Group 53" o:spid="_x0000_s1555" style="position:absolute;top:3162;width:57600;height:8103" coordorigin="1837,1792" coordsize="9302,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">
                  <v:shape id="Freeform 54" o:spid="_x0000_s1556" style="position:absolute;left:1837;top:1792;width:9302;height:87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" path="m,l9354,r,7809l,7809,,e" fillcolor="#edf2ea" stroked="f">
                    <v:path arrowok="t" o:connecttype="custom" o:connectlocs="0,1121;9302,1121;9302,9874;0,9874;0,1121" o:connectangles="0,0,0,0,0"/>
                  </v:shape>
                </v:group>
                <v:group id="Group 764518087" o:spid="_x0000_s155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">
                  <v:shape id="Freeform 58" o:spid="_x0000_s1558"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" path="m,l1815,e" filled="f" strokecolor="#72ab6a" strokeweight=".5pt">
                    <v:path arrowok="t" o:connecttype="custom" o:connectlocs="0,0;1073495,0" o:connectangles="0,0"/>
                  </v:shape>
                  <v:shape id="Freeform 66" o:spid="_x0000_s155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D5C4C67" w14:textId="29721F12" w:rsidR="00A55F53" w:rsidRPr="00E700FF" w:rsidRDefault="00A55F53" w:rsidP="00AE4954">
                          <w:pPr>
                            <w:pStyle w:val="BoxTitle"/>
                            <w:spacing w:before="0" w:beforeAutospacing="0"/>
                          </w:pPr>
                          <w:r w:rsidRPr="001C1B37">
                            <w:t>Q</w:t>
                          </w:r>
                          <w:r>
                            <w:t>51</w:t>
                          </w:r>
                        </w:p>
                      </w:txbxContent>
                    </v:textbox>
                  </v:shape>
                </v:group>
              </v:group>
            </w:pict>
          </mc:Fallback>
        </mc:AlternateContent>
      </w:r>
    </w:p>
    <w:p w14:paraId="3CDBB2FD" w14:textId="77777777" w:rsidR="00AE4954" w:rsidRDefault="00AE4954" w:rsidP="00AE4954">
      <w:pPr>
        <w:pStyle w:val="QuestionBox"/>
      </w:pPr>
    </w:p>
    <w:p w14:paraId="25E66411" w14:textId="5B09B968" w:rsidR="00DD0F04" w:rsidRDefault="00BD5C95" w:rsidP="00AE4954">
      <w:pPr>
        <w:pStyle w:val="QuestionBox"/>
      </w:pPr>
      <w:r>
        <w:rPr>
          <w:rFonts w:ascii="ZWAdobeF" w:hAnsi="ZWAdobeF" w:cs="ZWAdobeF"/>
          <w:color w:val="auto"/>
          <w:sz w:val="2"/>
          <w:szCs w:val="2"/>
        </w:rPr>
        <w:t>1456B</w:t>
      </w:r>
      <w:r w:rsidR="0049638A">
        <w:rPr>
          <w:rFonts w:ascii="ZWAdobeF" w:hAnsi="ZWAdobeF" w:cs="ZWAdobeF"/>
          <w:color w:val="auto"/>
          <w:sz w:val="2"/>
          <w:szCs w:val="2"/>
        </w:rPr>
        <w:t>1456B</w:t>
      </w:r>
      <w:r w:rsidR="00D629FA">
        <w:rPr>
          <w:rFonts w:ascii="ZWAdobeF" w:hAnsi="ZWAdobeF" w:cs="ZWAdobeF"/>
          <w:color w:val="auto"/>
          <w:sz w:val="2"/>
          <w:szCs w:val="2"/>
        </w:rPr>
        <w:t>1456B</w:t>
      </w:r>
      <w:r w:rsidR="00DD0F04">
        <w:t xml:space="preserve">Should the court have a power to appoint a settlement administrator? Who would be appropriate to fulfil this role? </w:t>
      </w:r>
    </w:p>
    <w:p w14:paraId="05625252" w14:textId="77777777" w:rsidR="00AE4954" w:rsidRDefault="00AE4954" w:rsidP="00AE4954">
      <w:pPr>
        <w:pStyle w:val="QuestionBox"/>
      </w:pPr>
    </w:p>
    <w:p w14:paraId="12999454" w14:textId="77777777" w:rsidR="00DD0F04" w:rsidRDefault="00DD0F04" w:rsidP="006E5481">
      <w:pPr>
        <w:pStyle w:val="Heading3"/>
      </w:pPr>
      <w:r>
        <w:t xml:space="preserve">Reporting requirements </w:t>
      </w:r>
    </w:p>
    <w:p w14:paraId="28DC1E2D" w14:textId="1E69CE8B" w:rsidR="00DD0F04" w:rsidRDefault="00BD5C95" w:rsidP="00B73434">
      <w:pPr>
        <w:pStyle w:val="BodyText"/>
        <w:numPr>
          <w:ilvl w:val="1"/>
          <w:numId w:val="52"/>
        </w:numPr>
        <w:tabs>
          <w:tab w:val="left" w:pos="709"/>
        </w:tabs>
        <w:ind w:hanging="709"/>
      </w:pPr>
      <w:r>
        <w:rPr>
          <w:rFonts w:ascii="ZWAdobeF" w:hAnsi="ZWAdobeF" w:cs="ZWAdobeF"/>
          <w:color w:val="auto"/>
          <w:sz w:val="2"/>
          <w:szCs w:val="2"/>
        </w:rPr>
        <w:t>558B</w:t>
      </w:r>
      <w:r w:rsidR="0049638A">
        <w:rPr>
          <w:rFonts w:ascii="ZWAdobeF" w:hAnsi="ZWAdobeF" w:cs="ZWAdobeF"/>
          <w:color w:val="auto"/>
          <w:sz w:val="2"/>
          <w:szCs w:val="2"/>
        </w:rPr>
        <w:t>558B</w:t>
      </w:r>
      <w:r w:rsidR="00D629FA">
        <w:rPr>
          <w:rFonts w:ascii="ZWAdobeF" w:hAnsi="ZWAdobeF" w:cs="ZWAdobeF"/>
          <w:color w:val="auto"/>
          <w:sz w:val="2"/>
          <w:szCs w:val="2"/>
        </w:rPr>
        <w:t>558B</w:t>
      </w:r>
      <w:r w:rsidR="00DD0F04">
        <w:t>We consider the court should be given information on the outcome of settlement implementation, including the extent to which class members received compensation from the settlement and the costs incurred in settlement administration. This will improve the transparency, monitoring and evaluation of settlements and enable the court to develop its expertise regarding the effectiveness of settlement distribution procedures.</w:t>
      </w:r>
      <w:r w:rsidR="00D629FA">
        <w:rPr>
          <w:rFonts w:ascii="ZWAdobeF" w:hAnsi="ZWAdobeF" w:cs="ZWAdobeF"/>
          <w:color w:val="auto"/>
          <w:sz w:val="2"/>
          <w:szCs w:val="2"/>
        </w:rPr>
        <w:t>880F</w:t>
      </w:r>
      <w:r w:rsidR="007A330E">
        <w:rPr>
          <w:rFonts w:ascii="ZWAdobeF" w:hAnsi="ZWAdobeF" w:cs="ZWAdobeF"/>
          <w:color w:val="auto"/>
          <w:sz w:val="2"/>
          <w:szCs w:val="2"/>
        </w:rPr>
        <w:t>880F</w:t>
      </w:r>
      <w:r w:rsidR="00317AE4">
        <w:rPr>
          <w:rFonts w:ascii="ZWAdobeF" w:hAnsi="ZWAdobeF" w:cs="ZWAdobeF"/>
          <w:color w:val="auto"/>
          <w:sz w:val="2"/>
          <w:szCs w:val="2"/>
        </w:rPr>
        <w:t>880F</w:t>
      </w:r>
      <w:r w:rsidR="00DD0F04">
        <w:rPr>
          <w:rStyle w:val="FootnoteReference"/>
        </w:rPr>
        <w:footnoteReference w:id="882"/>
      </w:r>
      <w:r w:rsidR="00DD0F04">
        <w:t xml:space="preserve"> We have therefore proposed that a settlement outcome report must be filed within 60 days of the settlement implementation process being completed. The Ontario legislation has this requirement, while the Federal Court of Australia class actions practice note requires the court to be advised of the performance of the settlement and the costs incurred in administering it.</w:t>
      </w:r>
      <w:r w:rsidR="00D629FA">
        <w:rPr>
          <w:rFonts w:ascii="ZWAdobeF" w:hAnsi="ZWAdobeF" w:cs="ZWAdobeF"/>
          <w:color w:val="auto"/>
          <w:sz w:val="2"/>
          <w:szCs w:val="2"/>
        </w:rPr>
        <w:t>881F</w:t>
      </w:r>
      <w:r w:rsidR="007A330E">
        <w:rPr>
          <w:rFonts w:ascii="ZWAdobeF" w:hAnsi="ZWAdobeF" w:cs="ZWAdobeF"/>
          <w:color w:val="auto"/>
          <w:sz w:val="2"/>
          <w:szCs w:val="2"/>
        </w:rPr>
        <w:t>881F</w:t>
      </w:r>
      <w:r w:rsidR="00317AE4">
        <w:rPr>
          <w:rFonts w:ascii="ZWAdobeF" w:hAnsi="ZWAdobeF" w:cs="ZWAdobeF"/>
          <w:color w:val="auto"/>
          <w:sz w:val="2"/>
          <w:szCs w:val="2"/>
        </w:rPr>
        <w:t>881F</w:t>
      </w:r>
      <w:r w:rsidR="00DD0F04">
        <w:rPr>
          <w:rStyle w:val="FootnoteReference"/>
        </w:rPr>
        <w:footnoteReference w:id="883"/>
      </w:r>
      <w:r w:rsidR="00DD0F04">
        <w:t xml:space="preserve"> </w:t>
      </w:r>
    </w:p>
    <w:p w14:paraId="1F7E7F03" w14:textId="68369B63" w:rsidR="00DD0F04" w:rsidRDefault="00BD5C95" w:rsidP="00B73434">
      <w:pPr>
        <w:pStyle w:val="BodyText"/>
        <w:numPr>
          <w:ilvl w:val="1"/>
          <w:numId w:val="52"/>
        </w:numPr>
        <w:tabs>
          <w:tab w:val="left" w:pos="709"/>
        </w:tabs>
        <w:ind w:hanging="709"/>
      </w:pPr>
      <w:r>
        <w:rPr>
          <w:rFonts w:ascii="ZWAdobeF" w:hAnsi="ZWAdobeF" w:cs="ZWAdobeF"/>
          <w:color w:val="auto"/>
          <w:sz w:val="2"/>
          <w:szCs w:val="2"/>
        </w:rPr>
        <w:lastRenderedPageBreak/>
        <w:t>559B</w:t>
      </w:r>
      <w:r w:rsidR="0049638A">
        <w:rPr>
          <w:rFonts w:ascii="ZWAdobeF" w:hAnsi="ZWAdobeF" w:cs="ZWAdobeF"/>
          <w:color w:val="auto"/>
          <w:sz w:val="2"/>
          <w:szCs w:val="2"/>
        </w:rPr>
        <w:t>559B</w:t>
      </w:r>
      <w:r w:rsidR="00D629FA">
        <w:rPr>
          <w:rFonts w:ascii="ZWAdobeF" w:hAnsi="ZWAdobeF" w:cs="ZWAdobeF"/>
          <w:color w:val="auto"/>
          <w:sz w:val="2"/>
          <w:szCs w:val="2"/>
        </w:rPr>
        <w:t>559B</w:t>
      </w:r>
      <w:r w:rsidR="00DD0F04">
        <w:t xml:space="preserve">The settlement outcome report could be filed by the settlement administrator, or by the parties if the court has not appointed a settlement administrator. We envisage that the report could include the following information: </w:t>
      </w:r>
    </w:p>
    <w:p w14:paraId="52DB67B0" w14:textId="45D06EC7"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847B</w:t>
      </w:r>
      <w:r w:rsidR="0049638A">
        <w:rPr>
          <w:rFonts w:ascii="ZWAdobeF" w:hAnsi="ZWAdobeF" w:cs="ZWAdobeF"/>
          <w:color w:val="auto"/>
          <w:sz w:val="2"/>
          <w:szCs w:val="2"/>
        </w:rPr>
        <w:t>847B</w:t>
      </w:r>
      <w:r w:rsidR="00D629FA">
        <w:rPr>
          <w:rFonts w:ascii="ZWAdobeF" w:hAnsi="ZWAdobeF" w:cs="ZWAdobeF"/>
          <w:color w:val="auto"/>
          <w:sz w:val="2"/>
          <w:szCs w:val="2"/>
        </w:rPr>
        <w:t>847B</w:t>
      </w:r>
      <w:r w:rsidR="00DD0F04">
        <w:t>Total amount in the settlement fund.</w:t>
      </w:r>
    </w:p>
    <w:p w14:paraId="46259D5C" w14:textId="74A3AA7D"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848B</w:t>
      </w:r>
      <w:r w:rsidR="0049638A">
        <w:rPr>
          <w:rFonts w:ascii="ZWAdobeF" w:hAnsi="ZWAdobeF" w:cs="ZWAdobeF"/>
          <w:color w:val="auto"/>
          <w:sz w:val="2"/>
          <w:szCs w:val="2"/>
        </w:rPr>
        <w:t>848B</w:t>
      </w:r>
      <w:r w:rsidR="00D629FA">
        <w:rPr>
          <w:rFonts w:ascii="ZWAdobeF" w:hAnsi="ZWAdobeF" w:cs="ZWAdobeF"/>
          <w:color w:val="auto"/>
          <w:sz w:val="2"/>
          <w:szCs w:val="2"/>
        </w:rPr>
        <w:t>848B</w:t>
      </w:r>
      <w:r w:rsidR="00DD0F04">
        <w:t>Total number of class members (or an estimate if this is unknown).</w:t>
      </w:r>
    </w:p>
    <w:p w14:paraId="2C12A4C5" w14:textId="3DA817BE"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849B</w:t>
      </w:r>
      <w:r w:rsidR="0049638A">
        <w:rPr>
          <w:rFonts w:ascii="ZWAdobeF" w:hAnsi="ZWAdobeF" w:cs="ZWAdobeF"/>
          <w:color w:val="auto"/>
          <w:sz w:val="2"/>
          <w:szCs w:val="2"/>
        </w:rPr>
        <w:t>849B</w:t>
      </w:r>
      <w:r w:rsidR="00D629FA">
        <w:rPr>
          <w:rFonts w:ascii="ZWAdobeF" w:hAnsi="ZWAdobeF" w:cs="ZWAdobeF"/>
          <w:color w:val="auto"/>
          <w:sz w:val="2"/>
          <w:szCs w:val="2"/>
        </w:rPr>
        <w:t>849B</w:t>
      </w:r>
      <w:r w:rsidR="00DD0F04">
        <w:t>Number of class members who opted out of the settlement.</w:t>
      </w:r>
    </w:p>
    <w:p w14:paraId="6247E4F1" w14:textId="3A85E4D2"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850B</w:t>
      </w:r>
      <w:r w:rsidR="0049638A">
        <w:rPr>
          <w:rFonts w:ascii="ZWAdobeF" w:hAnsi="ZWAdobeF" w:cs="ZWAdobeF"/>
          <w:color w:val="auto"/>
          <w:sz w:val="2"/>
          <w:szCs w:val="2"/>
        </w:rPr>
        <w:t>850B</w:t>
      </w:r>
      <w:r w:rsidR="00D629FA">
        <w:rPr>
          <w:rFonts w:ascii="ZWAdobeF" w:hAnsi="ZWAdobeF" w:cs="ZWAdobeF"/>
          <w:color w:val="auto"/>
          <w:sz w:val="2"/>
          <w:szCs w:val="2"/>
        </w:rPr>
        <w:t>850B</w:t>
      </w:r>
      <w:r w:rsidR="00DD0F04">
        <w:t xml:space="preserve">Number of class members who received a payment from the settlement. </w:t>
      </w:r>
    </w:p>
    <w:p w14:paraId="7B26E769" w14:textId="780031DD"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851B</w:t>
      </w:r>
      <w:r w:rsidR="0049638A">
        <w:rPr>
          <w:rFonts w:ascii="ZWAdobeF" w:hAnsi="ZWAdobeF" w:cs="ZWAdobeF"/>
          <w:color w:val="auto"/>
          <w:sz w:val="2"/>
          <w:szCs w:val="2"/>
        </w:rPr>
        <w:t>851B</w:t>
      </w:r>
      <w:r w:rsidR="00D629FA">
        <w:rPr>
          <w:rFonts w:ascii="ZWAdobeF" w:hAnsi="ZWAdobeF" w:cs="ZWAdobeF"/>
          <w:color w:val="auto"/>
          <w:sz w:val="2"/>
          <w:szCs w:val="2"/>
        </w:rPr>
        <w:t>851B</w:t>
      </w:r>
      <w:r w:rsidR="00DD0F04">
        <w:t>Number of class members who had their claim declined and the reasons for this.</w:t>
      </w:r>
    </w:p>
    <w:p w14:paraId="1E889CA2" w14:textId="6A4F1C5E"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852B</w:t>
      </w:r>
      <w:r w:rsidR="0049638A">
        <w:rPr>
          <w:rFonts w:ascii="ZWAdobeF" w:hAnsi="ZWAdobeF" w:cs="ZWAdobeF"/>
          <w:color w:val="auto"/>
          <w:sz w:val="2"/>
          <w:szCs w:val="2"/>
        </w:rPr>
        <w:t>852B</w:t>
      </w:r>
      <w:r w:rsidR="00D629FA">
        <w:rPr>
          <w:rFonts w:ascii="ZWAdobeF" w:hAnsi="ZWAdobeF" w:cs="ZWAdobeF"/>
          <w:color w:val="auto"/>
          <w:sz w:val="2"/>
          <w:szCs w:val="2"/>
        </w:rPr>
        <w:t>852B</w:t>
      </w:r>
      <w:r w:rsidR="00DD0F04">
        <w:t>Information about the size of payments received by class members (which could be broken into categories).</w:t>
      </w:r>
    </w:p>
    <w:p w14:paraId="79EDC57F" w14:textId="60319C89"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853B</w:t>
      </w:r>
      <w:r w:rsidR="0049638A">
        <w:rPr>
          <w:rFonts w:ascii="ZWAdobeF" w:hAnsi="ZWAdobeF" w:cs="ZWAdobeF"/>
          <w:color w:val="auto"/>
          <w:sz w:val="2"/>
          <w:szCs w:val="2"/>
        </w:rPr>
        <w:t>853B</w:t>
      </w:r>
      <w:r w:rsidR="00D629FA">
        <w:rPr>
          <w:rFonts w:ascii="ZWAdobeF" w:hAnsi="ZWAdobeF" w:cs="ZWAdobeF"/>
          <w:color w:val="auto"/>
          <w:sz w:val="2"/>
          <w:szCs w:val="2"/>
        </w:rPr>
        <w:t>853B</w:t>
      </w:r>
      <w:r w:rsidR="00DD0F04">
        <w:t>Information on implementation of any non-monetary aspects of the settlement.</w:t>
      </w:r>
    </w:p>
    <w:p w14:paraId="31BE8064" w14:textId="44D5FC01"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854B</w:t>
      </w:r>
      <w:r w:rsidR="0049638A">
        <w:rPr>
          <w:rFonts w:ascii="ZWAdobeF" w:hAnsi="ZWAdobeF" w:cs="ZWAdobeF"/>
          <w:color w:val="auto"/>
          <w:sz w:val="2"/>
          <w:szCs w:val="2"/>
        </w:rPr>
        <w:t>854B</w:t>
      </w:r>
      <w:r w:rsidR="00D629FA">
        <w:rPr>
          <w:rFonts w:ascii="ZWAdobeF" w:hAnsi="ZWAdobeF" w:cs="ZWAdobeF"/>
          <w:color w:val="auto"/>
          <w:sz w:val="2"/>
          <w:szCs w:val="2"/>
        </w:rPr>
        <w:t>854B</w:t>
      </w:r>
      <w:r w:rsidR="00DD0F04">
        <w:t>Cost of administering the settlement.</w:t>
      </w:r>
    </w:p>
    <w:p w14:paraId="74503B7D" w14:textId="2F78B574"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855B</w:t>
      </w:r>
      <w:r w:rsidR="0049638A">
        <w:rPr>
          <w:rFonts w:ascii="ZWAdobeF" w:hAnsi="ZWAdobeF" w:cs="ZWAdobeF"/>
          <w:color w:val="auto"/>
          <w:sz w:val="2"/>
          <w:szCs w:val="2"/>
        </w:rPr>
        <w:t>855B</w:t>
      </w:r>
      <w:r w:rsidR="00D629FA">
        <w:rPr>
          <w:rFonts w:ascii="ZWAdobeF" w:hAnsi="ZWAdobeF" w:cs="ZWAdobeF"/>
          <w:color w:val="auto"/>
          <w:sz w:val="2"/>
          <w:szCs w:val="2"/>
        </w:rPr>
        <w:t>855B</w:t>
      </w:r>
      <w:r w:rsidR="00DD0F04">
        <w:t>Amounts paid to litigation funders.</w:t>
      </w:r>
    </w:p>
    <w:p w14:paraId="45072F55" w14:textId="43870FDF"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856B</w:t>
      </w:r>
      <w:r w:rsidR="0049638A">
        <w:rPr>
          <w:rFonts w:ascii="ZWAdobeF" w:hAnsi="ZWAdobeF" w:cs="ZWAdobeF"/>
          <w:color w:val="auto"/>
          <w:sz w:val="2"/>
          <w:szCs w:val="2"/>
        </w:rPr>
        <w:t>856B</w:t>
      </w:r>
      <w:r w:rsidR="00D629FA">
        <w:rPr>
          <w:rFonts w:ascii="ZWAdobeF" w:hAnsi="ZWAdobeF" w:cs="ZWAdobeF"/>
          <w:color w:val="auto"/>
          <w:sz w:val="2"/>
          <w:szCs w:val="2"/>
        </w:rPr>
        <w:t>856B</w:t>
      </w:r>
      <w:r w:rsidR="00DD0F04">
        <w:t>Amounts paid to lawyers.</w:t>
      </w:r>
    </w:p>
    <w:p w14:paraId="3FAFB2B6" w14:textId="66401589" w:rsidR="00DD0F04" w:rsidRDefault="00BD5C95" w:rsidP="00B73434">
      <w:pPr>
        <w:pStyle w:val="BodyTextnonum"/>
        <w:numPr>
          <w:ilvl w:val="3"/>
          <w:numId w:val="61"/>
        </w:numPr>
        <w:tabs>
          <w:tab w:val="clear" w:pos="992"/>
        </w:tabs>
        <w:ind w:left="1134"/>
      </w:pPr>
      <w:r>
        <w:rPr>
          <w:rFonts w:ascii="ZWAdobeF" w:hAnsi="ZWAdobeF" w:cs="ZWAdobeF"/>
          <w:color w:val="auto"/>
          <w:sz w:val="2"/>
          <w:szCs w:val="2"/>
        </w:rPr>
        <w:t>857B</w:t>
      </w:r>
      <w:r w:rsidR="0049638A">
        <w:rPr>
          <w:rFonts w:ascii="ZWAdobeF" w:hAnsi="ZWAdobeF" w:cs="ZWAdobeF"/>
          <w:color w:val="auto"/>
          <w:sz w:val="2"/>
          <w:szCs w:val="2"/>
        </w:rPr>
        <w:t>857B</w:t>
      </w:r>
      <w:r w:rsidR="00D629FA">
        <w:rPr>
          <w:rFonts w:ascii="ZWAdobeF" w:hAnsi="ZWAdobeF" w:cs="ZWAdobeF"/>
          <w:color w:val="auto"/>
          <w:sz w:val="2"/>
          <w:szCs w:val="2"/>
        </w:rPr>
        <w:t>857B</w:t>
      </w:r>
      <w:r w:rsidR="00DD0F04">
        <w:t>Amount of unclaimed funds and how this was distributed.</w:t>
      </w:r>
    </w:p>
    <w:p w14:paraId="5267B9FF" w14:textId="5C257174" w:rsidR="00DD0F04" w:rsidRDefault="00BD5C95" w:rsidP="00B73434">
      <w:pPr>
        <w:pStyle w:val="BodyText"/>
        <w:numPr>
          <w:ilvl w:val="1"/>
          <w:numId w:val="52"/>
        </w:numPr>
        <w:ind w:hanging="709"/>
      </w:pPr>
      <w:r>
        <w:rPr>
          <w:rFonts w:ascii="ZWAdobeF" w:hAnsi="ZWAdobeF" w:cs="ZWAdobeF"/>
          <w:color w:val="auto"/>
          <w:sz w:val="2"/>
          <w:szCs w:val="2"/>
        </w:rPr>
        <w:t>560B</w:t>
      </w:r>
      <w:r w:rsidR="0049638A">
        <w:rPr>
          <w:rFonts w:ascii="ZWAdobeF" w:hAnsi="ZWAdobeF" w:cs="ZWAdobeF"/>
          <w:color w:val="auto"/>
          <w:sz w:val="2"/>
          <w:szCs w:val="2"/>
        </w:rPr>
        <w:t>560B</w:t>
      </w:r>
      <w:r w:rsidR="00D629FA">
        <w:rPr>
          <w:rFonts w:ascii="ZWAdobeF" w:hAnsi="ZWAdobeF" w:cs="ZWAdobeF"/>
          <w:color w:val="auto"/>
          <w:sz w:val="2"/>
          <w:szCs w:val="2"/>
        </w:rPr>
        <w:t>560B</w:t>
      </w:r>
      <w:r w:rsidR="00DD0F04">
        <w:t>Our draft provision simply requires the court to be provided with a settlement outcome report within 60 days of the settlement implementation process being completed.</w:t>
      </w:r>
      <w:r w:rsidR="00D629FA">
        <w:rPr>
          <w:rFonts w:ascii="ZWAdobeF" w:hAnsi="ZWAdobeF" w:cs="ZWAdobeF"/>
          <w:color w:val="auto"/>
          <w:sz w:val="2"/>
          <w:szCs w:val="2"/>
        </w:rPr>
        <w:t>882F</w:t>
      </w:r>
      <w:r w:rsidR="007A330E">
        <w:rPr>
          <w:rFonts w:ascii="ZWAdobeF" w:hAnsi="ZWAdobeF" w:cs="ZWAdobeF"/>
          <w:color w:val="auto"/>
          <w:sz w:val="2"/>
          <w:szCs w:val="2"/>
        </w:rPr>
        <w:t>882F</w:t>
      </w:r>
      <w:r w:rsidR="00317AE4">
        <w:rPr>
          <w:rFonts w:ascii="ZWAdobeF" w:hAnsi="ZWAdobeF" w:cs="ZWAdobeF"/>
          <w:color w:val="auto"/>
          <w:sz w:val="2"/>
          <w:szCs w:val="2"/>
        </w:rPr>
        <w:t>882F</w:t>
      </w:r>
      <w:r w:rsidR="00DD0F04">
        <w:rPr>
          <w:rStyle w:val="FootnoteReference"/>
        </w:rPr>
        <w:footnoteReference w:id="884"/>
      </w:r>
      <w:r w:rsidR="00DD0F04">
        <w:t xml:space="preserve"> We think more detailed requirements about the contents of the report would fit better in the High Court Rules. </w:t>
      </w:r>
    </w:p>
    <w:p w14:paraId="70574938" w14:textId="3ED6B5F3" w:rsidR="00DD0F04" w:rsidRDefault="00BD5C95" w:rsidP="00B73434">
      <w:pPr>
        <w:pStyle w:val="BodyText"/>
        <w:numPr>
          <w:ilvl w:val="1"/>
          <w:numId w:val="52"/>
        </w:numPr>
        <w:ind w:hanging="709"/>
      </w:pPr>
      <w:r>
        <w:rPr>
          <w:rFonts w:ascii="ZWAdobeF" w:hAnsi="ZWAdobeF" w:cs="ZWAdobeF"/>
          <w:color w:val="auto"/>
          <w:sz w:val="2"/>
          <w:szCs w:val="2"/>
        </w:rPr>
        <w:t>561B</w:t>
      </w:r>
      <w:r w:rsidR="0049638A">
        <w:rPr>
          <w:rFonts w:ascii="ZWAdobeF" w:hAnsi="ZWAdobeF" w:cs="ZWAdobeF"/>
          <w:color w:val="auto"/>
          <w:sz w:val="2"/>
          <w:szCs w:val="2"/>
        </w:rPr>
        <w:t>561B</w:t>
      </w:r>
      <w:r w:rsidR="00D629FA">
        <w:rPr>
          <w:rFonts w:ascii="ZWAdobeF" w:hAnsi="ZWAdobeF" w:cs="ZWAdobeF"/>
          <w:color w:val="auto"/>
          <w:sz w:val="2"/>
          <w:szCs w:val="2"/>
        </w:rPr>
        <w:t>561B</w:t>
      </w:r>
      <w:r w:rsidR="00DD0F04">
        <w:t>We think it is desirable for settlement outcome reports to be made available to class members as well as the wider public. This will help to foster transparency and provide valuable public policy information on the extent to which class actions enable substantive access to justice and to identify potential issues for reform. For example, outcome reports might indicate that in certain types of cases, only a small percentage of class members tend to submit a claim. We note that overseas law reform bodies have recommended that information on settlement outcomes should be publicly available.</w:t>
      </w:r>
      <w:r w:rsidR="00D629FA">
        <w:rPr>
          <w:rFonts w:ascii="ZWAdobeF" w:hAnsi="ZWAdobeF" w:cs="ZWAdobeF"/>
          <w:color w:val="auto"/>
          <w:sz w:val="2"/>
          <w:szCs w:val="2"/>
        </w:rPr>
        <w:t>883F</w:t>
      </w:r>
      <w:r w:rsidR="007A330E">
        <w:rPr>
          <w:rFonts w:ascii="ZWAdobeF" w:hAnsi="ZWAdobeF" w:cs="ZWAdobeF"/>
          <w:color w:val="auto"/>
          <w:sz w:val="2"/>
          <w:szCs w:val="2"/>
        </w:rPr>
        <w:t>883F</w:t>
      </w:r>
      <w:r w:rsidR="00317AE4">
        <w:rPr>
          <w:rFonts w:ascii="ZWAdobeF" w:hAnsi="ZWAdobeF" w:cs="ZWAdobeF"/>
          <w:color w:val="auto"/>
          <w:sz w:val="2"/>
          <w:szCs w:val="2"/>
        </w:rPr>
        <w:t>883F</w:t>
      </w:r>
      <w:r w:rsidR="00DD0F04">
        <w:rPr>
          <w:rStyle w:val="FootnoteReference"/>
        </w:rPr>
        <w:footnoteReference w:id="885"/>
      </w:r>
      <w:r w:rsidR="00DD0F04">
        <w:t xml:space="preserve"> In the United States, the Federal Judicial Center has recommended that judges should routinely order the parties to report information on claims rates and class member recoveries to the court and place it in the public record.</w:t>
      </w:r>
      <w:r w:rsidR="00D629FA">
        <w:rPr>
          <w:rFonts w:ascii="ZWAdobeF" w:hAnsi="ZWAdobeF" w:cs="ZWAdobeF"/>
          <w:color w:val="auto"/>
          <w:sz w:val="2"/>
          <w:szCs w:val="2"/>
        </w:rPr>
        <w:t>884F</w:t>
      </w:r>
      <w:r w:rsidR="007A330E">
        <w:rPr>
          <w:rFonts w:ascii="ZWAdobeF" w:hAnsi="ZWAdobeF" w:cs="ZWAdobeF"/>
          <w:color w:val="auto"/>
          <w:sz w:val="2"/>
          <w:szCs w:val="2"/>
        </w:rPr>
        <w:t>884F</w:t>
      </w:r>
      <w:r w:rsidR="00317AE4">
        <w:rPr>
          <w:rFonts w:ascii="ZWAdobeF" w:hAnsi="ZWAdobeF" w:cs="ZWAdobeF"/>
          <w:color w:val="auto"/>
          <w:sz w:val="2"/>
          <w:szCs w:val="2"/>
        </w:rPr>
        <w:t>884F</w:t>
      </w:r>
      <w:r w:rsidR="00DD0F04">
        <w:rPr>
          <w:rStyle w:val="FootnoteReference"/>
        </w:rPr>
        <w:footnoteReference w:id="886"/>
      </w:r>
    </w:p>
    <w:p w14:paraId="5FA0E486" w14:textId="14276330" w:rsidR="00DD0F04" w:rsidRDefault="00BD5C95" w:rsidP="00B73434">
      <w:pPr>
        <w:pStyle w:val="BodyText"/>
        <w:numPr>
          <w:ilvl w:val="1"/>
          <w:numId w:val="52"/>
        </w:numPr>
        <w:ind w:hanging="709"/>
      </w:pPr>
      <w:r>
        <w:rPr>
          <w:rFonts w:ascii="ZWAdobeF" w:hAnsi="ZWAdobeF" w:cs="ZWAdobeF"/>
          <w:color w:val="auto"/>
          <w:sz w:val="2"/>
          <w:szCs w:val="2"/>
        </w:rPr>
        <w:t>562B</w:t>
      </w:r>
      <w:r w:rsidR="0049638A">
        <w:rPr>
          <w:rFonts w:ascii="ZWAdobeF" w:hAnsi="ZWAdobeF" w:cs="ZWAdobeF"/>
          <w:color w:val="auto"/>
          <w:sz w:val="2"/>
          <w:szCs w:val="2"/>
        </w:rPr>
        <w:t>562B</w:t>
      </w:r>
      <w:r w:rsidR="00D629FA">
        <w:rPr>
          <w:rFonts w:ascii="ZWAdobeF" w:hAnsi="ZWAdobeF" w:cs="ZWAdobeF"/>
          <w:color w:val="auto"/>
          <w:sz w:val="2"/>
          <w:szCs w:val="2"/>
        </w:rPr>
        <w:t>562B</w:t>
      </w:r>
      <w:r w:rsidR="00DD0F04">
        <w:t>We recognise that settlements are usually confidential in ordinary civil litigation. However, we think there are differences in class actions that make it appropriate to have settlement outcomes made publicly available. These include:</w:t>
      </w:r>
    </w:p>
    <w:p w14:paraId="3A6BDA32" w14:textId="14441D5E" w:rsidR="00DD0F04" w:rsidRDefault="00BD5C95" w:rsidP="00B73434">
      <w:pPr>
        <w:pStyle w:val="BodyTextnonum"/>
        <w:numPr>
          <w:ilvl w:val="3"/>
          <w:numId w:val="52"/>
        </w:numPr>
        <w:tabs>
          <w:tab w:val="clear" w:pos="709"/>
        </w:tabs>
      </w:pPr>
      <w:r>
        <w:rPr>
          <w:rFonts w:ascii="ZWAdobeF" w:hAnsi="ZWAdobeF" w:cs="ZWAdobeF"/>
          <w:color w:val="auto"/>
          <w:sz w:val="2"/>
          <w:szCs w:val="2"/>
        </w:rPr>
        <w:lastRenderedPageBreak/>
        <w:t>858B</w:t>
      </w:r>
      <w:r w:rsidR="0049638A">
        <w:rPr>
          <w:rFonts w:ascii="ZWAdobeF" w:hAnsi="ZWAdobeF" w:cs="ZWAdobeF"/>
          <w:color w:val="auto"/>
          <w:sz w:val="2"/>
          <w:szCs w:val="2"/>
        </w:rPr>
        <w:t>858B</w:t>
      </w:r>
      <w:r w:rsidR="00D629FA">
        <w:rPr>
          <w:rFonts w:ascii="ZWAdobeF" w:hAnsi="ZWAdobeF" w:cs="ZWAdobeF"/>
          <w:color w:val="auto"/>
          <w:sz w:val="2"/>
          <w:szCs w:val="2"/>
        </w:rPr>
        <w:t>858B</w:t>
      </w:r>
      <w:r w:rsidR="00DD0F04">
        <w:t>A potentially large number of class members will have been advised of the terms of the settlement, making it difficult to assure confidentiality.</w:t>
      </w:r>
    </w:p>
    <w:p w14:paraId="569E911F" w14:textId="5604E14D" w:rsidR="00DD0F04" w:rsidRDefault="00BD5C95" w:rsidP="00B73434">
      <w:pPr>
        <w:pStyle w:val="BodyTextnonum"/>
        <w:numPr>
          <w:ilvl w:val="3"/>
          <w:numId w:val="52"/>
        </w:numPr>
        <w:tabs>
          <w:tab w:val="clear" w:pos="709"/>
        </w:tabs>
      </w:pPr>
      <w:r>
        <w:rPr>
          <w:rFonts w:ascii="ZWAdobeF" w:hAnsi="ZWAdobeF" w:cs="ZWAdobeF"/>
          <w:color w:val="auto"/>
          <w:sz w:val="2"/>
          <w:szCs w:val="2"/>
        </w:rPr>
        <w:t>859B</w:t>
      </w:r>
      <w:r w:rsidR="0049638A">
        <w:rPr>
          <w:rFonts w:ascii="ZWAdobeF" w:hAnsi="ZWAdobeF" w:cs="ZWAdobeF"/>
          <w:color w:val="auto"/>
          <w:sz w:val="2"/>
          <w:szCs w:val="2"/>
        </w:rPr>
        <w:t>859B</w:t>
      </w:r>
      <w:r w:rsidR="00D629FA">
        <w:rPr>
          <w:rFonts w:ascii="ZWAdobeF" w:hAnsi="ZWAdobeF" w:cs="ZWAdobeF"/>
          <w:color w:val="auto"/>
          <w:sz w:val="2"/>
          <w:szCs w:val="2"/>
        </w:rPr>
        <w:t>859B</w:t>
      </w:r>
      <w:r w:rsidR="00DD0F04">
        <w:t xml:space="preserve">Class action settlements are approved by the court, which does not usually occur with other forms of litigation. </w:t>
      </w:r>
    </w:p>
    <w:p w14:paraId="1C322DC0" w14:textId="05D84CBF" w:rsidR="00DD0F04" w:rsidRDefault="00BD5C95" w:rsidP="00B73434">
      <w:pPr>
        <w:pStyle w:val="BodyTextnonum"/>
        <w:numPr>
          <w:ilvl w:val="3"/>
          <w:numId w:val="52"/>
        </w:numPr>
        <w:tabs>
          <w:tab w:val="clear" w:pos="709"/>
        </w:tabs>
      </w:pPr>
      <w:r>
        <w:rPr>
          <w:rFonts w:ascii="ZWAdobeF" w:hAnsi="ZWAdobeF" w:cs="ZWAdobeF"/>
          <w:color w:val="auto"/>
          <w:sz w:val="2"/>
          <w:szCs w:val="2"/>
        </w:rPr>
        <w:t>860B</w:t>
      </w:r>
      <w:r w:rsidR="0049638A">
        <w:rPr>
          <w:rFonts w:ascii="ZWAdobeF" w:hAnsi="ZWAdobeF" w:cs="ZWAdobeF"/>
          <w:color w:val="auto"/>
          <w:sz w:val="2"/>
          <w:szCs w:val="2"/>
        </w:rPr>
        <w:t>860B</w:t>
      </w:r>
      <w:r w:rsidR="00D629FA">
        <w:rPr>
          <w:rFonts w:ascii="ZWAdobeF" w:hAnsi="ZWAdobeF" w:cs="ZWAdobeF"/>
          <w:color w:val="auto"/>
          <w:sz w:val="2"/>
          <w:szCs w:val="2"/>
        </w:rPr>
        <w:t>860B</w:t>
      </w:r>
      <w:r w:rsidR="00DD0F04">
        <w:t xml:space="preserve">The broader public interest in knowing the extent to which class actions fulfil the goals of improving access to justice and </w:t>
      </w:r>
      <w:r w:rsidR="00482831">
        <w:t xml:space="preserve">managing </w:t>
      </w:r>
      <w:r w:rsidR="00DD0F04">
        <w:t xml:space="preserve">multiple claims in an efficient way. </w:t>
      </w:r>
    </w:p>
    <w:p w14:paraId="4C11F046" w14:textId="55219EDC" w:rsidR="00DD0F04" w:rsidRDefault="00BD5C95" w:rsidP="00B73434">
      <w:pPr>
        <w:pStyle w:val="BodyTextnonum"/>
        <w:numPr>
          <w:ilvl w:val="3"/>
          <w:numId w:val="52"/>
        </w:numPr>
        <w:tabs>
          <w:tab w:val="clear" w:pos="709"/>
        </w:tabs>
      </w:pPr>
      <w:r>
        <w:rPr>
          <w:rFonts w:ascii="ZWAdobeF" w:hAnsi="ZWAdobeF" w:cs="ZWAdobeF"/>
          <w:color w:val="auto"/>
          <w:sz w:val="2"/>
          <w:szCs w:val="2"/>
        </w:rPr>
        <w:t>861B</w:t>
      </w:r>
      <w:r w:rsidR="0049638A">
        <w:rPr>
          <w:rFonts w:ascii="ZWAdobeF" w:hAnsi="ZWAdobeF" w:cs="ZWAdobeF"/>
          <w:color w:val="auto"/>
          <w:sz w:val="2"/>
          <w:szCs w:val="2"/>
        </w:rPr>
        <w:t>861B</w:t>
      </w:r>
      <w:r w:rsidR="00D629FA">
        <w:rPr>
          <w:rFonts w:ascii="ZWAdobeF" w:hAnsi="ZWAdobeF" w:cs="ZWAdobeF"/>
          <w:color w:val="auto"/>
          <w:sz w:val="2"/>
          <w:szCs w:val="2"/>
        </w:rPr>
        <w:t>861B</w:t>
      </w:r>
      <w:r w:rsidR="00DD0F04">
        <w:t xml:space="preserve">Payments to individual class members will often have litigation funding commission deducted, which could potentially include cases where individual class members did not expressly sign up to a litigation funding agreement. Transparency with respect to the compensation ultimately received by class members may help to facilitate competition amongst litigation funders.  </w:t>
      </w:r>
    </w:p>
    <w:p w14:paraId="673B78E1" w14:textId="3B15F9EC" w:rsidR="00DD0F04" w:rsidRDefault="00BD5C95" w:rsidP="00B73434">
      <w:pPr>
        <w:pStyle w:val="BodyTextnonum"/>
        <w:numPr>
          <w:ilvl w:val="3"/>
          <w:numId w:val="52"/>
        </w:numPr>
        <w:tabs>
          <w:tab w:val="clear" w:pos="709"/>
        </w:tabs>
      </w:pPr>
      <w:r>
        <w:rPr>
          <w:rFonts w:ascii="ZWAdobeF" w:hAnsi="ZWAdobeF" w:cs="ZWAdobeF"/>
          <w:color w:val="auto"/>
          <w:sz w:val="2"/>
          <w:szCs w:val="2"/>
        </w:rPr>
        <w:t>862B</w:t>
      </w:r>
      <w:r w:rsidR="0049638A">
        <w:rPr>
          <w:rFonts w:ascii="ZWAdobeF" w:hAnsi="ZWAdobeF" w:cs="ZWAdobeF"/>
          <w:color w:val="auto"/>
          <w:sz w:val="2"/>
          <w:szCs w:val="2"/>
        </w:rPr>
        <w:t>862B</w:t>
      </w:r>
      <w:r w:rsidR="00D629FA">
        <w:rPr>
          <w:rFonts w:ascii="ZWAdobeF" w:hAnsi="ZWAdobeF" w:cs="ZWAdobeF"/>
          <w:color w:val="auto"/>
          <w:sz w:val="2"/>
          <w:szCs w:val="2"/>
        </w:rPr>
        <w:t>862B</w:t>
      </w:r>
      <w:r w:rsidR="00DD0F04">
        <w:t xml:space="preserve">In future cases, it will provide class members, counsel assisting, court experts and courts with information to draw on when considering whether a proposed settlement is fair, reasonable and in the best interests of the class as a whole.  </w:t>
      </w:r>
    </w:p>
    <w:p w14:paraId="6F994C91" w14:textId="60C33004" w:rsidR="00DD0F04" w:rsidRDefault="00BD5C95" w:rsidP="00B73434">
      <w:pPr>
        <w:pStyle w:val="BodyText"/>
        <w:numPr>
          <w:ilvl w:val="1"/>
          <w:numId w:val="52"/>
        </w:numPr>
        <w:ind w:hanging="709"/>
      </w:pPr>
      <w:r>
        <w:rPr>
          <w:rFonts w:ascii="ZWAdobeF" w:hAnsi="ZWAdobeF" w:cs="ZWAdobeF"/>
          <w:color w:val="auto"/>
          <w:sz w:val="2"/>
          <w:szCs w:val="2"/>
        </w:rPr>
        <w:t>563B</w:t>
      </w:r>
      <w:r w:rsidR="0049638A">
        <w:rPr>
          <w:rFonts w:ascii="ZWAdobeF" w:hAnsi="ZWAdobeF" w:cs="ZWAdobeF"/>
          <w:color w:val="auto"/>
          <w:sz w:val="2"/>
          <w:szCs w:val="2"/>
        </w:rPr>
        <w:t>563B</w:t>
      </w:r>
      <w:r w:rsidR="00D629FA">
        <w:rPr>
          <w:rFonts w:ascii="ZWAdobeF" w:hAnsi="ZWAdobeF" w:cs="ZWAdobeF"/>
          <w:color w:val="auto"/>
          <w:sz w:val="2"/>
          <w:szCs w:val="2"/>
        </w:rPr>
        <w:t>563B</w:t>
      </w:r>
      <w:r w:rsidR="00DD0F04">
        <w:t>We recognise that in some cases, the court may make confidentiality orders which prevent all details of a settlement from being made public. However, to the extent possible, we think settlement outcome reports should be publicly available.</w:t>
      </w:r>
    </w:p>
    <w:p w14:paraId="1F852079" w14:textId="0BCB0F1F" w:rsidR="00AE4954" w:rsidRDefault="00AE4954" w:rsidP="00AE4954">
      <w:pPr>
        <w:pStyle w:val="QuestionBox"/>
      </w:pPr>
      <w:r>
        <w:rPr>
          <w:noProof/>
        </w:rPr>
        <mc:AlternateContent>
          <mc:Choice Requires="wpg">
            <w:drawing>
              <wp:anchor distT="0" distB="0" distL="114300" distR="114300" simplePos="0" relativeHeight="251652190" behindDoc="1" locked="0" layoutInCell="1" allowOverlap="1" wp14:anchorId="080FC081" wp14:editId="41F3BE25">
                <wp:simplePos x="0" y="0"/>
                <wp:positionH relativeFrom="column">
                  <wp:posOffset>4386</wp:posOffset>
                </wp:positionH>
                <wp:positionV relativeFrom="paragraph">
                  <wp:posOffset>3810</wp:posOffset>
                </wp:positionV>
                <wp:extent cx="5760085" cy="1137679"/>
                <wp:effectExtent l="0" t="0" r="0" b="5715"/>
                <wp:wrapNone/>
                <wp:docPr id="764518090" name="Group 764518090"/>
                <wp:cNvGraphicFramePr/>
                <a:graphic xmlns:a="http://schemas.openxmlformats.org/drawingml/2006/main">
                  <a:graphicData uri="http://schemas.microsoft.com/office/word/2010/wordprocessingGroup">
                    <wpg:wgp>
                      <wpg:cNvGrpSpPr/>
                      <wpg:grpSpPr>
                        <a:xfrm>
                          <a:off x="0" y="0"/>
                          <a:ext cx="5760085" cy="1137679"/>
                          <a:chOff x="0" y="62865"/>
                          <a:chExt cx="5760085" cy="1137795"/>
                        </a:xfrm>
                      </wpg:grpSpPr>
                      <wps:wsp>
                        <wps:cNvPr id="76451809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6F6988" w14:textId="77777777" w:rsidR="00A55F53" w:rsidRDefault="00A55F53" w:rsidP="00AE4954">
                              <w:pPr>
                                <w:pStyle w:val="BoxTitle"/>
                                <w:spacing w:before="0" w:beforeAutospacing="0"/>
                              </w:pPr>
                              <w:r w:rsidRPr="007F6876">
                                <w:t>QUESTION</w:t>
                              </w:r>
                            </w:p>
                          </w:txbxContent>
                        </wps:txbx>
                        <wps:bodyPr rot="0" vert="horz" wrap="square" lIns="91440" tIns="0" rIns="0" bIns="45720" anchor="ctr" anchorCtr="0" upright="1">
                          <a:noAutofit/>
                        </wps:bodyPr>
                      </wps:wsp>
                      <wpg:grpSp>
                        <wpg:cNvPr id="764518092" name="Group 53"/>
                        <wpg:cNvGrpSpPr>
                          <a:grpSpLocks/>
                        </wpg:cNvGrpSpPr>
                        <wpg:grpSpPr bwMode="auto">
                          <a:xfrm>
                            <a:off x="0" y="316263"/>
                            <a:ext cx="5760085" cy="884397"/>
                            <a:chOff x="1837" y="1792"/>
                            <a:chExt cx="9302" cy="9553"/>
                          </a:xfrm>
                        </wpg:grpSpPr>
                        <wps:wsp>
                          <wps:cNvPr id="764518093" name="Freeform 54"/>
                          <wps:cNvSpPr>
                            <a:spLocks/>
                          </wps:cNvSpPr>
                          <wps:spPr bwMode="auto">
                            <a:xfrm>
                              <a:off x="1837" y="1792"/>
                              <a:ext cx="9302" cy="95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518094" name="Group 764518094"/>
                        <wpg:cNvGrpSpPr/>
                        <wpg:grpSpPr>
                          <a:xfrm>
                            <a:off x="0" y="494036"/>
                            <a:ext cx="1443794" cy="252000"/>
                            <a:chOff x="-15880" y="0"/>
                            <a:chExt cx="1444379" cy="252068"/>
                          </a:xfrm>
                        </wpg:grpSpPr>
                        <wps:wsp>
                          <wps:cNvPr id="764518095"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09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D27A9D" w14:textId="7CC2ACCA" w:rsidR="00A55F53" w:rsidRPr="00E700FF" w:rsidRDefault="00A55F53" w:rsidP="00AE4954">
                                <w:pPr>
                                  <w:pStyle w:val="BoxTitle"/>
                                  <w:spacing w:before="0" w:beforeAutospacing="0"/>
                                </w:pPr>
                                <w:r w:rsidRPr="001C1B37">
                                  <w:t>Q</w:t>
                                </w:r>
                                <w:r>
                                  <w:t>52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80FC081" id="Group 764518090" o:spid="_x0000_s1560" style="position:absolute;left:0;text-align:left;margin-left:.35pt;margin-top:.3pt;width:453.55pt;height:89.6pt;z-index:-251664290;mso-height-relative:margin" coordorigin=",628" coordsize="57600,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">
                <v:shape id="_x0000_s156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66F6988" w14:textId="77777777" w:rsidR="00A55F53" w:rsidRDefault="00A55F53" w:rsidP="00AE4954">
                        <w:pPr>
                          <w:pStyle w:val="BoxTitle"/>
                          <w:spacing w:before="0" w:beforeAutospacing="0"/>
                        </w:pPr>
                        <w:r w:rsidRPr="007F6876">
                          <w:t>QUESTION</w:t>
                        </w:r>
                      </w:p>
                    </w:txbxContent>
                  </v:textbox>
                </v:shape>
                <v:group id="Group 53" o:spid="_x0000_s1562" style="position:absolute;top:3162;width:57600;height:8844" coordorigin="1837,1792" coordsize="9302,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">
                  <v:shape id="Freeform 54" o:spid="_x0000_s1563" style="position:absolute;left:1837;top:1792;width:9302;height:95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" path="m,l9354,r,7809l,7809,,e" fillcolor="#edf2ea" stroked="f">
                    <v:path arrowok="t" o:connecttype="custom" o:connectlocs="0,1223;9302,1223;9302,10776;0,10776;0,1223" o:connectangles="0,0,0,0,0"/>
                  </v:shape>
                </v:group>
                <v:group id="Group 764518094" o:spid="_x0000_s156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">
                  <v:shape id="Freeform 58" o:spid="_x0000_s1565"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" path="m,l1815,e" filled="f" strokecolor="#72ab6a" strokeweight=".5pt">
                    <v:path arrowok="t" o:connecttype="custom" o:connectlocs="0,0;1073495,0" o:connectangles="0,0"/>
                  </v:shape>
                  <v:shape id="Freeform 66" o:spid="_x0000_s156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7D27A9D" w14:textId="7CC2ACCA" w:rsidR="00A55F53" w:rsidRPr="00E700FF" w:rsidRDefault="00A55F53" w:rsidP="00AE4954">
                          <w:pPr>
                            <w:pStyle w:val="BoxTitle"/>
                            <w:spacing w:before="0" w:beforeAutospacing="0"/>
                          </w:pPr>
                          <w:r w:rsidRPr="001C1B37">
                            <w:t>Q</w:t>
                          </w:r>
                          <w:r>
                            <w:t>52</w:t>
                          </w:r>
                        </w:p>
                      </w:txbxContent>
                    </v:textbox>
                  </v:shape>
                </v:group>
              </v:group>
            </w:pict>
          </mc:Fallback>
        </mc:AlternateContent>
      </w:r>
    </w:p>
    <w:p w14:paraId="7228E894" w14:textId="77777777" w:rsidR="00AE4954" w:rsidRDefault="00AE4954" w:rsidP="00AE4954">
      <w:pPr>
        <w:pStyle w:val="QuestionBox"/>
      </w:pPr>
    </w:p>
    <w:p w14:paraId="671B480A" w14:textId="68C821BD" w:rsidR="00DD0F04" w:rsidRDefault="00BD5C95" w:rsidP="00AE4954">
      <w:pPr>
        <w:pStyle w:val="QuestionBox"/>
      </w:pPr>
      <w:r>
        <w:rPr>
          <w:rFonts w:ascii="ZWAdobeF" w:hAnsi="ZWAdobeF" w:cs="ZWAdobeF"/>
          <w:color w:val="auto"/>
          <w:sz w:val="2"/>
          <w:szCs w:val="2"/>
        </w:rPr>
        <w:t>1457B</w:t>
      </w:r>
      <w:r w:rsidR="0049638A">
        <w:rPr>
          <w:rFonts w:ascii="ZWAdobeF" w:hAnsi="ZWAdobeF" w:cs="ZWAdobeF"/>
          <w:color w:val="auto"/>
          <w:sz w:val="2"/>
          <w:szCs w:val="2"/>
        </w:rPr>
        <w:t>1457B</w:t>
      </w:r>
      <w:r w:rsidR="00D629FA">
        <w:rPr>
          <w:rFonts w:ascii="ZWAdobeF" w:hAnsi="ZWAdobeF" w:cs="ZWAdobeF"/>
          <w:color w:val="auto"/>
          <w:sz w:val="2"/>
          <w:szCs w:val="2"/>
        </w:rPr>
        <w:t>1457B</w:t>
      </w:r>
      <w:r w:rsidR="00DD0F04">
        <w:t>Should there be an obligation to provide a settlement outcome report to the court? Should this be made publicly available?</w:t>
      </w:r>
    </w:p>
    <w:p w14:paraId="1CA7A118" w14:textId="77777777" w:rsidR="00DD0F04" w:rsidRDefault="00DD0F04" w:rsidP="00B73434">
      <w:pPr>
        <w:pStyle w:val="BodyTextnonum"/>
        <w:numPr>
          <w:ilvl w:val="2"/>
          <w:numId w:val="52"/>
        </w:numPr>
      </w:pPr>
    </w:p>
    <w:p w14:paraId="65DBDA0D" w14:textId="77777777" w:rsidR="00DD0F04" w:rsidRDefault="00DD0F04" w:rsidP="00B8648D">
      <w:pPr>
        <w:pStyle w:val="Heading2"/>
      </w:pPr>
      <w:bookmarkStart w:id="106" w:name="_Toc83895465"/>
      <w:r>
        <w:t>Our draft settlement provisions</w:t>
      </w:r>
      <w:bookmarkEnd w:id="106"/>
      <w:r>
        <w:t xml:space="preserve"> </w:t>
      </w:r>
    </w:p>
    <w:p w14:paraId="3E4917BD" w14:textId="408FD416" w:rsidR="00DD0F04" w:rsidRPr="003C165F" w:rsidRDefault="00BD5C95" w:rsidP="00B73434">
      <w:pPr>
        <w:pStyle w:val="BodyText"/>
        <w:numPr>
          <w:ilvl w:val="1"/>
          <w:numId w:val="52"/>
        </w:numPr>
        <w:ind w:hanging="709"/>
        <w:rPr>
          <w:szCs w:val="20"/>
        </w:rPr>
      </w:pPr>
      <w:r>
        <w:rPr>
          <w:rFonts w:ascii="ZWAdobeF" w:hAnsi="ZWAdobeF" w:cs="ZWAdobeF"/>
          <w:color w:val="auto"/>
          <w:sz w:val="2"/>
          <w:szCs w:val="2"/>
        </w:rPr>
        <w:t>564B</w:t>
      </w:r>
      <w:r w:rsidR="0049638A">
        <w:rPr>
          <w:rFonts w:ascii="ZWAdobeF" w:hAnsi="ZWAdobeF" w:cs="ZWAdobeF"/>
          <w:color w:val="auto"/>
          <w:sz w:val="2"/>
          <w:szCs w:val="2"/>
        </w:rPr>
        <w:t>564B</w:t>
      </w:r>
      <w:r w:rsidR="00D629FA">
        <w:rPr>
          <w:rFonts w:ascii="ZWAdobeF" w:hAnsi="ZWAdobeF" w:cs="ZWAdobeF"/>
          <w:color w:val="auto"/>
          <w:sz w:val="2"/>
          <w:szCs w:val="2"/>
        </w:rPr>
        <w:t>564B</w:t>
      </w:r>
      <w:r w:rsidR="00DD0F04">
        <w:rPr>
          <w:szCs w:val="20"/>
        </w:rPr>
        <w:t xml:space="preserve">We set out below our draft settlement provisions, which give effect to the views we have expressed above.  </w:t>
      </w:r>
      <w:r w:rsidR="00F52714">
        <w:rPr>
          <w:szCs w:val="20"/>
        </w:rPr>
        <w:t xml:space="preserve">In Appendix </w:t>
      </w:r>
      <w:r w:rsidR="00AD2D9B">
        <w:rPr>
          <w:szCs w:val="20"/>
        </w:rPr>
        <w:t>One we also include a diagram which outlines our proposed settlement process (for a settlement that occurs post-certification).</w:t>
      </w:r>
    </w:p>
    <w:p w14:paraId="098FA7EF" w14:textId="6EA8B224" w:rsidR="00365FC4" w:rsidRPr="00B8648D" w:rsidRDefault="00F5771D" w:rsidP="001B7333">
      <w:pPr>
        <w:pStyle w:val="BodyText"/>
        <w:numPr>
          <w:ilvl w:val="0"/>
          <w:numId w:val="0"/>
        </w:numPr>
        <w:tabs>
          <w:tab w:val="clear" w:pos="709"/>
        </w:tabs>
        <w:rPr>
          <w:sz w:val="12"/>
          <w:szCs w:val="12"/>
        </w:rPr>
      </w:pPr>
      <w:r w:rsidRPr="00B8648D">
        <w:rPr>
          <w:noProof/>
          <w:sz w:val="12"/>
          <w:szCs w:val="16"/>
        </w:rPr>
        <mc:AlternateContent>
          <mc:Choice Requires="wps">
            <w:drawing>
              <wp:anchor distT="0" distB="0" distL="114300" distR="114300" simplePos="0" relativeHeight="251651100" behindDoc="1" locked="0" layoutInCell="1" allowOverlap="1" wp14:anchorId="694550D9" wp14:editId="3ED26895">
                <wp:simplePos x="0" y="0"/>
                <wp:positionH relativeFrom="column">
                  <wp:posOffset>6793</wp:posOffset>
                </wp:positionH>
                <wp:positionV relativeFrom="paragraph">
                  <wp:posOffset>82767</wp:posOffset>
                </wp:positionV>
                <wp:extent cx="5760085" cy="3079630"/>
                <wp:effectExtent l="0" t="0" r="0" b="6985"/>
                <wp:wrapNone/>
                <wp:docPr id="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307963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9A24D3D" id="Freeform 54" o:spid="_x0000_s1026" style="position:absolute;margin-left:.55pt;margin-top:6.5pt;width:453.55pt;height:242.5pt;z-index:-2516653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" path="m,l9354,r,7809l,7809,,e" fillcolor="#edf2ea" stroked="f">
                <v:path arrowok="t" o:connecttype="custom" o:connectlocs="0,394369;5760085,394369;5760085,3473999;0,3473999;0,394369" o:connectangles="0,0,0,0,0"/>
              </v:shape>
            </w:pict>
          </mc:Fallback>
        </mc:AlternateContent>
      </w:r>
    </w:p>
    <w:p w14:paraId="70F3BE60" w14:textId="79EAD239" w:rsidR="00365FC4" w:rsidRPr="00365FC4" w:rsidRDefault="00BD5C95" w:rsidP="00B73434">
      <w:pPr>
        <w:widowControl w:val="0"/>
        <w:numPr>
          <w:ilvl w:val="0"/>
          <w:numId w:val="55"/>
        </w:numPr>
        <w:tabs>
          <w:tab w:val="left" w:pos="905"/>
        </w:tabs>
        <w:autoSpaceDE w:val="0"/>
        <w:autoSpaceDN w:val="0"/>
        <w:spacing w:before="90"/>
        <w:ind w:hanging="601"/>
        <w:jc w:val="both"/>
        <w:outlineLvl w:val="2"/>
        <w:rPr>
          <w:rFonts w:ascii="Times New Roman" w:hAnsi="Times New Roman"/>
          <w:b/>
          <w:sz w:val="23"/>
          <w:szCs w:val="23"/>
          <w:lang w:val="en-US" w:bidi="en-US"/>
        </w:rPr>
      </w:pPr>
      <w:r>
        <w:rPr>
          <w:rFonts w:ascii="ZWAdobeF" w:hAnsi="ZWAdobeF" w:cs="ZWAdobeF"/>
          <w:color w:val="auto"/>
          <w:sz w:val="2"/>
          <w:szCs w:val="2"/>
          <w:lang w:val="en-US" w:bidi="en-US"/>
        </w:rPr>
        <w:t>1084B</w:t>
      </w:r>
      <w:r w:rsidR="0049638A">
        <w:rPr>
          <w:rFonts w:ascii="ZWAdobeF" w:hAnsi="ZWAdobeF" w:cs="ZWAdobeF"/>
          <w:color w:val="auto"/>
          <w:sz w:val="2"/>
          <w:szCs w:val="2"/>
          <w:lang w:val="en-US" w:bidi="en-US"/>
        </w:rPr>
        <w:t>1084B</w:t>
      </w:r>
      <w:r w:rsidR="00D629FA">
        <w:rPr>
          <w:rFonts w:ascii="ZWAdobeF" w:hAnsi="ZWAdobeF" w:cs="ZWAdobeF"/>
          <w:color w:val="auto"/>
          <w:sz w:val="2"/>
          <w:szCs w:val="2"/>
          <w:lang w:val="en-US" w:bidi="en-US"/>
        </w:rPr>
        <w:t>1084B</w:t>
      </w:r>
      <w:r w:rsidR="00365FC4" w:rsidRPr="00365FC4">
        <w:rPr>
          <w:rFonts w:ascii="Times New Roman" w:hAnsi="Times New Roman"/>
          <w:b/>
          <w:sz w:val="23"/>
          <w:szCs w:val="23"/>
          <w:lang w:val="en-US" w:bidi="en-US"/>
        </w:rPr>
        <w:t>Settlement of class</w:t>
      </w:r>
      <w:r w:rsidR="00365FC4" w:rsidRPr="00365FC4">
        <w:rPr>
          <w:rFonts w:ascii="Times New Roman" w:hAnsi="Times New Roman"/>
          <w:b/>
          <w:spacing w:val="-2"/>
          <w:sz w:val="23"/>
          <w:szCs w:val="23"/>
          <w:lang w:val="en-US" w:bidi="en-US"/>
        </w:rPr>
        <w:t xml:space="preserve"> </w:t>
      </w:r>
      <w:r w:rsidR="00365FC4" w:rsidRPr="00365FC4">
        <w:rPr>
          <w:rFonts w:ascii="Times New Roman" w:hAnsi="Times New Roman"/>
          <w:b/>
          <w:sz w:val="23"/>
          <w:szCs w:val="23"/>
          <w:lang w:val="en-US" w:bidi="en-US"/>
        </w:rPr>
        <w:t>action</w:t>
      </w:r>
    </w:p>
    <w:p w14:paraId="51DB56F2" w14:textId="47ED693B" w:rsidR="00365FC4" w:rsidRPr="00365FC4" w:rsidRDefault="00BD5C95" w:rsidP="00B73434">
      <w:pPr>
        <w:widowControl w:val="0"/>
        <w:numPr>
          <w:ilvl w:val="0"/>
          <w:numId w:val="65"/>
        </w:numPr>
        <w:tabs>
          <w:tab w:val="left" w:pos="905"/>
        </w:tabs>
        <w:autoSpaceDE w:val="0"/>
        <w:autoSpaceDN w:val="0"/>
        <w:spacing w:before="92"/>
        <w:ind w:hanging="601"/>
        <w:jc w:val="both"/>
        <w:rPr>
          <w:rFonts w:ascii="Times New Roman" w:hAnsi="Times New Roman"/>
          <w:sz w:val="23"/>
          <w:lang w:val="en-US" w:bidi="en-US"/>
        </w:rPr>
      </w:pPr>
      <w:r>
        <w:rPr>
          <w:rFonts w:ascii="ZWAdobeF" w:hAnsi="ZWAdobeF" w:cs="ZWAdobeF"/>
          <w:color w:val="auto"/>
          <w:sz w:val="2"/>
          <w:szCs w:val="2"/>
          <w:lang w:val="en-US" w:bidi="en-US"/>
        </w:rPr>
        <w:t>1085B</w:t>
      </w:r>
      <w:r w:rsidR="0049638A">
        <w:rPr>
          <w:rFonts w:ascii="ZWAdobeF" w:hAnsi="ZWAdobeF" w:cs="ZWAdobeF"/>
          <w:color w:val="auto"/>
          <w:sz w:val="2"/>
          <w:szCs w:val="2"/>
          <w:lang w:val="en-US" w:bidi="en-US"/>
        </w:rPr>
        <w:t>1085B</w:t>
      </w:r>
      <w:r w:rsidR="00D629FA">
        <w:rPr>
          <w:rFonts w:ascii="ZWAdobeF" w:hAnsi="ZWAdobeF" w:cs="ZWAdobeF"/>
          <w:color w:val="auto"/>
          <w:sz w:val="2"/>
          <w:szCs w:val="2"/>
          <w:lang w:val="en-US" w:bidi="en-US"/>
        </w:rPr>
        <w:t>1085B</w:t>
      </w:r>
      <w:r w:rsidR="00365FC4" w:rsidRPr="00365FC4">
        <w:rPr>
          <w:rFonts w:ascii="Times New Roman" w:hAnsi="Times New Roman"/>
          <w:sz w:val="23"/>
          <w:lang w:val="en-US" w:bidi="en-US"/>
        </w:rPr>
        <w:t>The settlement of a class action proceeding must be approved by a</w:t>
      </w:r>
      <w:r w:rsidR="00365FC4" w:rsidRPr="00365FC4">
        <w:rPr>
          <w:rFonts w:ascii="Times New Roman" w:hAnsi="Times New Roman"/>
          <w:spacing w:val="-5"/>
          <w:sz w:val="23"/>
          <w:lang w:val="en-US" w:bidi="en-US"/>
        </w:rPr>
        <w:t xml:space="preserve"> </w:t>
      </w:r>
      <w:r w:rsidR="00365FC4" w:rsidRPr="00365FC4">
        <w:rPr>
          <w:rFonts w:ascii="Times New Roman" w:hAnsi="Times New Roman"/>
          <w:sz w:val="23"/>
          <w:lang w:val="en-US" w:bidi="en-US"/>
        </w:rPr>
        <w:t>court.</w:t>
      </w:r>
    </w:p>
    <w:p w14:paraId="66A3554F" w14:textId="4F99520C" w:rsidR="00365FC4" w:rsidRPr="00365FC4" w:rsidRDefault="00BD5C95" w:rsidP="00B73434">
      <w:pPr>
        <w:widowControl w:val="0"/>
        <w:numPr>
          <w:ilvl w:val="0"/>
          <w:numId w:val="65"/>
        </w:numPr>
        <w:tabs>
          <w:tab w:val="left" w:pos="905"/>
        </w:tabs>
        <w:autoSpaceDE w:val="0"/>
        <w:autoSpaceDN w:val="0"/>
        <w:spacing w:before="91"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1086B</w:t>
      </w:r>
      <w:r w:rsidR="0049638A">
        <w:rPr>
          <w:rFonts w:ascii="ZWAdobeF" w:hAnsi="ZWAdobeF" w:cs="ZWAdobeF"/>
          <w:color w:val="auto"/>
          <w:sz w:val="2"/>
          <w:szCs w:val="2"/>
          <w:lang w:val="en-US" w:bidi="en-US"/>
        </w:rPr>
        <w:t>1086B</w:t>
      </w:r>
      <w:r w:rsidR="00D629FA">
        <w:rPr>
          <w:rFonts w:ascii="ZWAdobeF" w:hAnsi="ZWAdobeF" w:cs="ZWAdobeF"/>
          <w:color w:val="auto"/>
          <w:sz w:val="2"/>
          <w:szCs w:val="2"/>
          <w:lang w:val="en-US" w:bidi="en-US"/>
        </w:rPr>
        <w:t>1086B</w:t>
      </w:r>
      <w:r w:rsidR="00365FC4" w:rsidRPr="00365FC4">
        <w:rPr>
          <w:rFonts w:ascii="Times New Roman" w:hAnsi="Times New Roman"/>
          <w:sz w:val="23"/>
          <w:lang w:val="en-US" w:bidi="en-US"/>
        </w:rPr>
        <w:t>An application for approval of a settlement must be made jointly by the representative plaintiff and the</w:t>
      </w:r>
      <w:r w:rsidR="00365FC4" w:rsidRPr="00365FC4">
        <w:rPr>
          <w:rFonts w:ascii="Times New Roman" w:hAnsi="Times New Roman"/>
          <w:spacing w:val="-2"/>
          <w:sz w:val="23"/>
          <w:lang w:val="en-US" w:bidi="en-US"/>
        </w:rPr>
        <w:t xml:space="preserve"> </w:t>
      </w:r>
      <w:r w:rsidR="00365FC4" w:rsidRPr="00365FC4">
        <w:rPr>
          <w:rFonts w:ascii="Times New Roman" w:hAnsi="Times New Roman"/>
          <w:sz w:val="23"/>
          <w:lang w:val="en-US" w:bidi="en-US"/>
        </w:rPr>
        <w:t>defendant.</w:t>
      </w:r>
    </w:p>
    <w:p w14:paraId="230C97E9" w14:textId="1668DAA9" w:rsidR="00365FC4" w:rsidRPr="00365FC4" w:rsidRDefault="00BD5C95" w:rsidP="00B73434">
      <w:pPr>
        <w:widowControl w:val="0"/>
        <w:numPr>
          <w:ilvl w:val="0"/>
          <w:numId w:val="65"/>
        </w:numPr>
        <w:tabs>
          <w:tab w:val="left" w:pos="905"/>
        </w:tabs>
        <w:autoSpaceDE w:val="0"/>
        <w:autoSpaceDN w:val="0"/>
        <w:spacing w:before="8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1087B</w:t>
      </w:r>
      <w:r w:rsidR="0049638A">
        <w:rPr>
          <w:rFonts w:ascii="ZWAdobeF" w:hAnsi="ZWAdobeF" w:cs="ZWAdobeF"/>
          <w:color w:val="auto"/>
          <w:sz w:val="2"/>
          <w:szCs w:val="2"/>
          <w:lang w:val="en-US" w:bidi="en-US"/>
        </w:rPr>
        <w:t>1087B</w:t>
      </w:r>
      <w:r w:rsidR="00D629FA">
        <w:rPr>
          <w:rFonts w:ascii="ZWAdobeF" w:hAnsi="ZWAdobeF" w:cs="ZWAdobeF"/>
          <w:color w:val="auto"/>
          <w:sz w:val="2"/>
          <w:szCs w:val="2"/>
          <w:lang w:val="en-US" w:bidi="en-US"/>
        </w:rPr>
        <w:t>1087B</w:t>
      </w:r>
      <w:r w:rsidR="00365FC4" w:rsidRPr="00365FC4">
        <w:rPr>
          <w:rFonts w:ascii="Times New Roman" w:hAnsi="Times New Roman"/>
          <w:sz w:val="23"/>
          <w:lang w:val="en-US" w:bidi="en-US"/>
        </w:rPr>
        <w:t>For a proceeding with more than 1 defendant, if not all the defendants will be covered by the settlement, the application must be made jointly by all representative plaintiffs whose claims will be covered by the settlement and all relevant defendants.</w:t>
      </w:r>
    </w:p>
    <w:p w14:paraId="352C81D0" w14:textId="7330137F" w:rsidR="00365FC4" w:rsidRPr="00365FC4" w:rsidRDefault="00BD5C95" w:rsidP="00B73434">
      <w:pPr>
        <w:widowControl w:val="0"/>
        <w:numPr>
          <w:ilvl w:val="0"/>
          <w:numId w:val="65"/>
        </w:numPr>
        <w:tabs>
          <w:tab w:val="left" w:pos="905"/>
        </w:tabs>
        <w:autoSpaceDE w:val="0"/>
        <w:autoSpaceDN w:val="0"/>
        <w:spacing w:before="84"/>
        <w:ind w:hanging="601"/>
        <w:jc w:val="both"/>
        <w:rPr>
          <w:rFonts w:ascii="Times New Roman" w:hAnsi="Times New Roman"/>
          <w:sz w:val="23"/>
          <w:lang w:val="en-US" w:bidi="en-US"/>
        </w:rPr>
      </w:pPr>
      <w:r>
        <w:rPr>
          <w:rFonts w:ascii="ZWAdobeF" w:hAnsi="ZWAdobeF" w:cs="ZWAdobeF"/>
          <w:color w:val="auto"/>
          <w:sz w:val="2"/>
          <w:szCs w:val="2"/>
          <w:lang w:val="en-US" w:bidi="en-US"/>
        </w:rPr>
        <w:t>1088B</w:t>
      </w:r>
      <w:r w:rsidR="0049638A">
        <w:rPr>
          <w:rFonts w:ascii="ZWAdobeF" w:hAnsi="ZWAdobeF" w:cs="ZWAdobeF"/>
          <w:color w:val="auto"/>
          <w:sz w:val="2"/>
          <w:szCs w:val="2"/>
          <w:lang w:val="en-US" w:bidi="en-US"/>
        </w:rPr>
        <w:t>1088B</w:t>
      </w:r>
      <w:r w:rsidR="00D629FA">
        <w:rPr>
          <w:rFonts w:ascii="ZWAdobeF" w:hAnsi="ZWAdobeF" w:cs="ZWAdobeF"/>
          <w:color w:val="auto"/>
          <w:sz w:val="2"/>
          <w:szCs w:val="2"/>
          <w:lang w:val="en-US" w:bidi="en-US"/>
        </w:rPr>
        <w:t>1088B</w:t>
      </w:r>
      <w:r w:rsidR="00365FC4" w:rsidRPr="00365FC4">
        <w:rPr>
          <w:rFonts w:ascii="Times New Roman" w:hAnsi="Times New Roman"/>
          <w:sz w:val="23"/>
          <w:lang w:val="en-US" w:bidi="en-US"/>
        </w:rPr>
        <w:t>Before considering whether to approve the settlement, the court</w:t>
      </w:r>
      <w:r w:rsidR="00365FC4" w:rsidRPr="00365FC4">
        <w:rPr>
          <w:rFonts w:ascii="Times New Roman" w:hAnsi="Times New Roman"/>
          <w:spacing w:val="-8"/>
          <w:sz w:val="23"/>
          <w:lang w:val="en-US" w:bidi="en-US"/>
        </w:rPr>
        <w:t xml:space="preserve"> </w:t>
      </w:r>
      <w:r w:rsidR="00365FC4" w:rsidRPr="00365FC4">
        <w:rPr>
          <w:rFonts w:ascii="Times New Roman" w:hAnsi="Times New Roman"/>
          <w:sz w:val="23"/>
          <w:lang w:val="en-US" w:bidi="en-US"/>
        </w:rPr>
        <w:t>must—</w:t>
      </w:r>
    </w:p>
    <w:p w14:paraId="077CDCEF" w14:textId="4AA9E7D8" w:rsidR="00365FC4" w:rsidRPr="00365FC4" w:rsidRDefault="00BD5C95" w:rsidP="00B73434">
      <w:pPr>
        <w:widowControl w:val="0"/>
        <w:numPr>
          <w:ilvl w:val="1"/>
          <w:numId w:val="65"/>
        </w:numPr>
        <w:tabs>
          <w:tab w:val="left" w:pos="1505"/>
        </w:tabs>
        <w:autoSpaceDE w:val="0"/>
        <w:autoSpaceDN w:val="0"/>
        <w:spacing w:before="91" w:line="249" w:lineRule="auto"/>
        <w:ind w:right="298" w:hanging="601"/>
        <w:jc w:val="both"/>
        <w:rPr>
          <w:rFonts w:ascii="Times New Roman" w:hAnsi="Times New Roman"/>
          <w:sz w:val="23"/>
          <w:lang w:val="en-US" w:bidi="en-US"/>
        </w:rPr>
      </w:pPr>
      <w:r>
        <w:rPr>
          <w:rFonts w:ascii="ZWAdobeF" w:hAnsi="ZWAdobeF" w:cs="ZWAdobeF"/>
          <w:color w:val="auto"/>
          <w:sz w:val="2"/>
          <w:szCs w:val="2"/>
          <w:lang w:val="en-US" w:bidi="en-US"/>
        </w:rPr>
        <w:t>1089B</w:t>
      </w:r>
      <w:r w:rsidR="0049638A">
        <w:rPr>
          <w:rFonts w:ascii="ZWAdobeF" w:hAnsi="ZWAdobeF" w:cs="ZWAdobeF"/>
          <w:color w:val="auto"/>
          <w:sz w:val="2"/>
          <w:szCs w:val="2"/>
          <w:lang w:val="en-US" w:bidi="en-US"/>
        </w:rPr>
        <w:t>1089B</w:t>
      </w:r>
      <w:r w:rsidR="00D629FA">
        <w:rPr>
          <w:rFonts w:ascii="ZWAdobeF" w:hAnsi="ZWAdobeF" w:cs="ZWAdobeF"/>
          <w:color w:val="auto"/>
          <w:sz w:val="2"/>
          <w:szCs w:val="2"/>
          <w:lang w:val="en-US" w:bidi="en-US"/>
        </w:rPr>
        <w:t>1089B</w:t>
      </w:r>
      <w:r w:rsidR="00365FC4" w:rsidRPr="00365FC4">
        <w:rPr>
          <w:rFonts w:ascii="Times New Roman" w:hAnsi="Times New Roman"/>
          <w:sz w:val="23"/>
          <w:lang w:val="en-US" w:bidi="en-US"/>
        </w:rPr>
        <w:t>approve a notice to class members informing them of the proposed settlement;</w:t>
      </w:r>
      <w:r w:rsidR="00365FC4" w:rsidRPr="00365FC4">
        <w:rPr>
          <w:rFonts w:ascii="Times New Roman" w:hAnsi="Times New Roman"/>
          <w:spacing w:val="-2"/>
          <w:sz w:val="23"/>
          <w:lang w:val="en-US" w:bidi="en-US"/>
        </w:rPr>
        <w:t xml:space="preserve"> </w:t>
      </w:r>
      <w:r w:rsidR="00365FC4" w:rsidRPr="00365FC4">
        <w:rPr>
          <w:rFonts w:ascii="Times New Roman" w:hAnsi="Times New Roman"/>
          <w:sz w:val="23"/>
          <w:lang w:val="en-US" w:bidi="en-US"/>
        </w:rPr>
        <w:t>and</w:t>
      </w:r>
    </w:p>
    <w:p w14:paraId="5C348487" w14:textId="459044BD" w:rsidR="00365FC4" w:rsidRPr="00365FC4" w:rsidRDefault="00BD5C95" w:rsidP="00B73434">
      <w:pPr>
        <w:widowControl w:val="0"/>
        <w:numPr>
          <w:ilvl w:val="1"/>
          <w:numId w:val="65"/>
        </w:numPr>
        <w:tabs>
          <w:tab w:val="left" w:pos="1505"/>
        </w:tabs>
        <w:autoSpaceDE w:val="0"/>
        <w:autoSpaceDN w:val="0"/>
        <w:spacing w:before="82"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1090B</w:t>
      </w:r>
      <w:r w:rsidR="0049638A">
        <w:rPr>
          <w:rFonts w:ascii="ZWAdobeF" w:hAnsi="ZWAdobeF" w:cs="ZWAdobeF"/>
          <w:color w:val="auto"/>
          <w:sz w:val="2"/>
          <w:szCs w:val="2"/>
          <w:lang w:val="en-US" w:bidi="en-US"/>
        </w:rPr>
        <w:t>1090B</w:t>
      </w:r>
      <w:r w:rsidR="00D629FA">
        <w:rPr>
          <w:rFonts w:ascii="ZWAdobeF" w:hAnsi="ZWAdobeF" w:cs="ZWAdobeF"/>
          <w:color w:val="auto"/>
          <w:sz w:val="2"/>
          <w:szCs w:val="2"/>
          <w:lang w:val="en-US" w:bidi="en-US"/>
        </w:rPr>
        <w:t>1090B</w:t>
      </w:r>
      <w:r w:rsidR="00365FC4" w:rsidRPr="00365FC4">
        <w:rPr>
          <w:rFonts w:ascii="Times New Roman" w:hAnsi="Times New Roman"/>
          <w:sz w:val="23"/>
          <w:lang w:val="en-US" w:bidi="en-US"/>
        </w:rPr>
        <w:t>set a date by which any objections to the settlement must be lodged by class members.</w:t>
      </w:r>
    </w:p>
    <w:p w14:paraId="65CD28B9" w14:textId="74F3BC6B" w:rsidR="00365FC4" w:rsidRPr="00365FC4" w:rsidRDefault="00416FCA" w:rsidP="00B73434">
      <w:pPr>
        <w:widowControl w:val="0"/>
        <w:numPr>
          <w:ilvl w:val="0"/>
          <w:numId w:val="65"/>
        </w:numPr>
        <w:tabs>
          <w:tab w:val="left" w:pos="905"/>
        </w:tabs>
        <w:autoSpaceDE w:val="0"/>
        <w:autoSpaceDN w:val="0"/>
        <w:spacing w:before="82" w:line="249" w:lineRule="auto"/>
        <w:ind w:right="299" w:hanging="601"/>
        <w:jc w:val="both"/>
        <w:rPr>
          <w:rFonts w:ascii="Times New Roman" w:hAnsi="Times New Roman"/>
          <w:sz w:val="23"/>
          <w:lang w:val="en-US" w:bidi="en-US"/>
        </w:rPr>
      </w:pPr>
      <w:r>
        <w:rPr>
          <w:noProof/>
        </w:rPr>
        <w:lastRenderedPageBreak/>
        <mc:AlternateContent>
          <mc:Choice Requires="wps">
            <w:drawing>
              <wp:anchor distT="0" distB="0" distL="114300" distR="114300" simplePos="0" relativeHeight="251651108" behindDoc="1" locked="0" layoutInCell="1" allowOverlap="1" wp14:anchorId="058F60EF" wp14:editId="2902FF7C">
                <wp:simplePos x="0" y="0"/>
                <wp:positionH relativeFrom="column">
                  <wp:posOffset>5979</wp:posOffset>
                </wp:positionH>
                <wp:positionV relativeFrom="paragraph">
                  <wp:posOffset>-6350</wp:posOffset>
                </wp:positionV>
                <wp:extent cx="5760085" cy="9260958"/>
                <wp:effectExtent l="0" t="0" r="0" b="0"/>
                <wp:wrapNone/>
                <wp:docPr id="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926095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24FF037" id="Freeform 54" o:spid="_x0000_s1026" style="position:absolute;margin-left:.45pt;margin-top:-.5pt;width:453.55pt;height:729.2pt;z-index:-251665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" path="m,l9354,r,7809l,7809,,e" fillcolor="#edf2ea" stroked="f">
                <v:path arrowok="t" o:connecttype="custom" o:connectlocs="0,1185934;5760085,1185934;5760085,10446892;0,10446892;0,1185934" o:connectangles="0,0,0,0,0"/>
              </v:shape>
            </w:pict>
          </mc:Fallback>
        </mc:AlternateContent>
      </w:r>
      <w:r w:rsidR="00BD5C95">
        <w:rPr>
          <w:rFonts w:ascii="ZWAdobeF" w:hAnsi="ZWAdobeF" w:cs="ZWAdobeF"/>
          <w:color w:val="auto"/>
          <w:sz w:val="2"/>
          <w:szCs w:val="2"/>
          <w:lang w:val="en-US" w:bidi="en-US"/>
        </w:rPr>
        <w:t>1091B</w:t>
      </w:r>
      <w:r w:rsidR="0049638A">
        <w:rPr>
          <w:rFonts w:ascii="ZWAdobeF" w:hAnsi="ZWAdobeF" w:cs="ZWAdobeF"/>
          <w:color w:val="auto"/>
          <w:sz w:val="2"/>
          <w:szCs w:val="2"/>
          <w:lang w:val="en-US" w:bidi="en-US"/>
        </w:rPr>
        <w:t>1091B</w:t>
      </w:r>
      <w:r w:rsidR="00D629FA">
        <w:rPr>
          <w:rFonts w:ascii="ZWAdobeF" w:hAnsi="ZWAdobeF" w:cs="ZWAdobeF"/>
          <w:color w:val="auto"/>
          <w:sz w:val="2"/>
          <w:szCs w:val="2"/>
          <w:lang w:val="en-US" w:bidi="en-US"/>
        </w:rPr>
        <w:t>1091B</w:t>
      </w:r>
      <w:r w:rsidR="00365FC4" w:rsidRPr="00365FC4">
        <w:rPr>
          <w:rFonts w:ascii="Times New Roman" w:hAnsi="Times New Roman"/>
          <w:sz w:val="23"/>
          <w:lang w:val="en-US" w:bidi="en-US"/>
        </w:rPr>
        <w:t>The court must not approve the settlement unless it is satisfied that it is fair, reasonable, and in the interests of the class as a whole after taking into account—</w:t>
      </w:r>
    </w:p>
    <w:p w14:paraId="0AA040D0" w14:textId="56AAE3D8" w:rsidR="00365FC4" w:rsidRPr="00365FC4" w:rsidRDefault="00BD5C95" w:rsidP="00B73434">
      <w:pPr>
        <w:widowControl w:val="0"/>
        <w:numPr>
          <w:ilvl w:val="1"/>
          <w:numId w:val="65"/>
        </w:numPr>
        <w:tabs>
          <w:tab w:val="left" w:pos="1505"/>
        </w:tabs>
        <w:autoSpaceDE w:val="0"/>
        <w:autoSpaceDN w:val="0"/>
        <w:spacing w:before="83"/>
        <w:ind w:hanging="601"/>
        <w:jc w:val="both"/>
        <w:rPr>
          <w:rFonts w:ascii="Times New Roman" w:hAnsi="Times New Roman"/>
          <w:sz w:val="23"/>
          <w:lang w:val="en-US" w:bidi="en-US"/>
        </w:rPr>
      </w:pPr>
      <w:r>
        <w:rPr>
          <w:rFonts w:ascii="ZWAdobeF" w:hAnsi="ZWAdobeF" w:cs="ZWAdobeF"/>
          <w:color w:val="auto"/>
          <w:sz w:val="2"/>
          <w:szCs w:val="2"/>
          <w:lang w:val="en-US" w:bidi="en-US"/>
        </w:rPr>
        <w:t>1092B</w:t>
      </w:r>
      <w:r w:rsidR="0049638A">
        <w:rPr>
          <w:rFonts w:ascii="ZWAdobeF" w:hAnsi="ZWAdobeF" w:cs="ZWAdobeF"/>
          <w:color w:val="auto"/>
          <w:sz w:val="2"/>
          <w:szCs w:val="2"/>
          <w:lang w:val="en-US" w:bidi="en-US"/>
        </w:rPr>
        <w:t>1092B</w:t>
      </w:r>
      <w:r w:rsidR="00D629FA">
        <w:rPr>
          <w:rFonts w:ascii="ZWAdobeF" w:hAnsi="ZWAdobeF" w:cs="ZWAdobeF"/>
          <w:color w:val="auto"/>
          <w:sz w:val="2"/>
          <w:szCs w:val="2"/>
          <w:lang w:val="en-US" w:bidi="en-US"/>
        </w:rPr>
        <w:t>1092B</w:t>
      </w:r>
      <w:r w:rsidR="00365FC4" w:rsidRPr="00365FC4">
        <w:rPr>
          <w:rFonts w:ascii="Times New Roman" w:hAnsi="Times New Roman"/>
          <w:sz w:val="23"/>
          <w:lang w:val="en-US" w:bidi="en-US"/>
        </w:rPr>
        <w:t>the terms and conditions of the settlement,</w:t>
      </w:r>
      <w:r w:rsidR="00365FC4" w:rsidRPr="00365FC4">
        <w:rPr>
          <w:rFonts w:ascii="Times New Roman" w:hAnsi="Times New Roman"/>
          <w:spacing w:val="-3"/>
          <w:sz w:val="23"/>
          <w:lang w:val="en-US" w:bidi="en-US"/>
        </w:rPr>
        <w:t xml:space="preserve"> </w:t>
      </w:r>
      <w:r w:rsidR="00365FC4" w:rsidRPr="00365FC4">
        <w:rPr>
          <w:rFonts w:ascii="Times New Roman" w:hAnsi="Times New Roman"/>
          <w:sz w:val="23"/>
          <w:lang w:val="en-US" w:bidi="en-US"/>
        </w:rPr>
        <w:t>including—</w:t>
      </w:r>
    </w:p>
    <w:p w14:paraId="40E32BDA" w14:textId="1D4AB914" w:rsidR="00365FC4" w:rsidRPr="00365FC4" w:rsidRDefault="00BD5C95" w:rsidP="00B73434">
      <w:pPr>
        <w:widowControl w:val="0"/>
        <w:numPr>
          <w:ilvl w:val="2"/>
          <w:numId w:val="65"/>
        </w:numPr>
        <w:tabs>
          <w:tab w:val="left" w:pos="2105"/>
        </w:tabs>
        <w:autoSpaceDE w:val="0"/>
        <w:autoSpaceDN w:val="0"/>
        <w:spacing w:before="91"/>
        <w:ind w:hanging="601"/>
        <w:jc w:val="both"/>
        <w:rPr>
          <w:rFonts w:ascii="Times New Roman" w:hAnsi="Times New Roman"/>
          <w:sz w:val="23"/>
          <w:lang w:val="en-US" w:bidi="en-US"/>
        </w:rPr>
      </w:pPr>
      <w:r>
        <w:rPr>
          <w:rFonts w:ascii="ZWAdobeF" w:hAnsi="ZWAdobeF" w:cs="ZWAdobeF"/>
          <w:color w:val="auto"/>
          <w:sz w:val="2"/>
          <w:szCs w:val="2"/>
          <w:lang w:val="en-US" w:bidi="en-US"/>
        </w:rPr>
        <w:t>1093B</w:t>
      </w:r>
      <w:r w:rsidR="0049638A">
        <w:rPr>
          <w:rFonts w:ascii="ZWAdobeF" w:hAnsi="ZWAdobeF" w:cs="ZWAdobeF"/>
          <w:color w:val="auto"/>
          <w:sz w:val="2"/>
          <w:szCs w:val="2"/>
          <w:lang w:val="en-US" w:bidi="en-US"/>
        </w:rPr>
        <w:t>1093B</w:t>
      </w:r>
      <w:r w:rsidR="00D629FA">
        <w:rPr>
          <w:rFonts w:ascii="ZWAdobeF" w:hAnsi="ZWAdobeF" w:cs="ZWAdobeF"/>
          <w:color w:val="auto"/>
          <w:sz w:val="2"/>
          <w:szCs w:val="2"/>
          <w:lang w:val="en-US" w:bidi="en-US"/>
        </w:rPr>
        <w:t>1093B</w:t>
      </w:r>
      <w:r w:rsidR="00365FC4" w:rsidRPr="00365FC4">
        <w:rPr>
          <w:rFonts w:ascii="Times New Roman" w:hAnsi="Times New Roman"/>
          <w:sz w:val="23"/>
          <w:lang w:val="en-US" w:bidi="en-US"/>
        </w:rPr>
        <w:t>any relief that will be provided to class members;</w:t>
      </w:r>
      <w:r w:rsidR="00365FC4" w:rsidRPr="00365FC4">
        <w:rPr>
          <w:rFonts w:ascii="Times New Roman" w:hAnsi="Times New Roman"/>
          <w:spacing w:val="-2"/>
          <w:sz w:val="23"/>
          <w:lang w:val="en-US" w:bidi="en-US"/>
        </w:rPr>
        <w:t xml:space="preserve"> </w:t>
      </w:r>
      <w:r w:rsidR="00365FC4" w:rsidRPr="00365FC4">
        <w:rPr>
          <w:rFonts w:ascii="Times New Roman" w:hAnsi="Times New Roman"/>
          <w:sz w:val="23"/>
          <w:lang w:val="en-US" w:bidi="en-US"/>
        </w:rPr>
        <w:t>and</w:t>
      </w:r>
    </w:p>
    <w:p w14:paraId="66161E30" w14:textId="0B0015A3" w:rsidR="00365FC4" w:rsidRPr="00365FC4" w:rsidRDefault="00BD5C95" w:rsidP="00B73434">
      <w:pPr>
        <w:widowControl w:val="0"/>
        <w:numPr>
          <w:ilvl w:val="2"/>
          <w:numId w:val="65"/>
        </w:numPr>
        <w:tabs>
          <w:tab w:val="left" w:pos="2105"/>
        </w:tabs>
        <w:autoSpaceDE w:val="0"/>
        <w:autoSpaceDN w:val="0"/>
        <w:spacing w:before="92" w:line="249" w:lineRule="auto"/>
        <w:ind w:right="299" w:hanging="601"/>
        <w:jc w:val="both"/>
        <w:rPr>
          <w:rFonts w:ascii="Times New Roman" w:hAnsi="Times New Roman"/>
          <w:sz w:val="23"/>
          <w:lang w:val="en-US" w:bidi="en-US"/>
        </w:rPr>
      </w:pPr>
      <w:r>
        <w:rPr>
          <w:rFonts w:ascii="ZWAdobeF" w:hAnsi="ZWAdobeF" w:cs="ZWAdobeF"/>
          <w:color w:val="auto"/>
          <w:sz w:val="2"/>
          <w:szCs w:val="2"/>
          <w:lang w:val="en-US" w:bidi="en-US"/>
        </w:rPr>
        <w:t>1094B</w:t>
      </w:r>
      <w:r w:rsidR="0049638A">
        <w:rPr>
          <w:rFonts w:ascii="ZWAdobeF" w:hAnsi="ZWAdobeF" w:cs="ZWAdobeF"/>
          <w:color w:val="auto"/>
          <w:sz w:val="2"/>
          <w:szCs w:val="2"/>
          <w:lang w:val="en-US" w:bidi="en-US"/>
        </w:rPr>
        <w:t>1094B</w:t>
      </w:r>
      <w:r w:rsidR="00D629FA">
        <w:rPr>
          <w:rFonts w:ascii="ZWAdobeF" w:hAnsi="ZWAdobeF" w:cs="ZWAdobeF"/>
          <w:color w:val="auto"/>
          <w:sz w:val="2"/>
          <w:szCs w:val="2"/>
          <w:lang w:val="en-US" w:bidi="en-US"/>
        </w:rPr>
        <w:t>1094B</w:t>
      </w:r>
      <w:r w:rsidR="00365FC4" w:rsidRPr="00365FC4">
        <w:rPr>
          <w:rFonts w:ascii="Times New Roman" w:hAnsi="Times New Roman"/>
          <w:sz w:val="23"/>
          <w:lang w:val="en-US" w:bidi="en-US"/>
        </w:rPr>
        <w:t>whether class members are treated equitably in relation to each other; and</w:t>
      </w:r>
    </w:p>
    <w:p w14:paraId="79910907" w14:textId="29D5D2AE" w:rsidR="00365FC4" w:rsidRPr="00365FC4" w:rsidRDefault="00BD5C95" w:rsidP="00B73434">
      <w:pPr>
        <w:widowControl w:val="0"/>
        <w:numPr>
          <w:ilvl w:val="2"/>
          <w:numId w:val="65"/>
        </w:numPr>
        <w:tabs>
          <w:tab w:val="left" w:pos="2105"/>
        </w:tabs>
        <w:autoSpaceDE w:val="0"/>
        <w:autoSpaceDN w:val="0"/>
        <w:spacing w:before="82"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1095B</w:t>
      </w:r>
      <w:r w:rsidR="0049638A">
        <w:rPr>
          <w:rFonts w:ascii="ZWAdobeF" w:hAnsi="ZWAdobeF" w:cs="ZWAdobeF"/>
          <w:color w:val="auto"/>
          <w:sz w:val="2"/>
          <w:szCs w:val="2"/>
          <w:lang w:val="en-US" w:bidi="en-US"/>
        </w:rPr>
        <w:t>1095B</w:t>
      </w:r>
      <w:r w:rsidR="00D629FA">
        <w:rPr>
          <w:rFonts w:ascii="ZWAdobeF" w:hAnsi="ZWAdobeF" w:cs="ZWAdobeF"/>
          <w:color w:val="auto"/>
          <w:sz w:val="2"/>
          <w:szCs w:val="2"/>
          <w:lang w:val="en-US" w:bidi="en-US"/>
        </w:rPr>
        <w:t>1095B</w:t>
      </w:r>
      <w:r w:rsidR="00365FC4" w:rsidRPr="00365FC4">
        <w:rPr>
          <w:rFonts w:ascii="Times New Roman" w:hAnsi="Times New Roman"/>
          <w:sz w:val="23"/>
          <w:lang w:val="en-US" w:bidi="en-US"/>
        </w:rPr>
        <w:t>the proposed method of distributing any settlement amounts to class members; and</w:t>
      </w:r>
    </w:p>
    <w:p w14:paraId="6DAF2BF8" w14:textId="44E8962B" w:rsidR="00365FC4" w:rsidRPr="00365FC4" w:rsidRDefault="00BD5C95" w:rsidP="00B73434">
      <w:pPr>
        <w:widowControl w:val="0"/>
        <w:numPr>
          <w:ilvl w:val="2"/>
          <w:numId w:val="65"/>
        </w:numPr>
        <w:tabs>
          <w:tab w:val="left" w:pos="2104"/>
          <w:tab w:val="left" w:pos="2105"/>
        </w:tabs>
        <w:autoSpaceDE w:val="0"/>
        <w:autoSpaceDN w:val="0"/>
        <w:spacing w:before="90" w:line="249" w:lineRule="auto"/>
        <w:ind w:right="302" w:hanging="601"/>
        <w:rPr>
          <w:rFonts w:ascii="Times New Roman" w:hAnsi="Times New Roman"/>
          <w:sz w:val="23"/>
          <w:lang w:val="en-US" w:bidi="en-US"/>
        </w:rPr>
      </w:pPr>
      <w:r>
        <w:rPr>
          <w:rFonts w:ascii="ZWAdobeF" w:hAnsi="ZWAdobeF" w:cs="ZWAdobeF"/>
          <w:color w:val="auto"/>
          <w:sz w:val="2"/>
          <w:szCs w:val="2"/>
          <w:lang w:val="en-US" w:bidi="en-US"/>
        </w:rPr>
        <w:t>1096B</w:t>
      </w:r>
      <w:r w:rsidR="0049638A">
        <w:rPr>
          <w:rFonts w:ascii="ZWAdobeF" w:hAnsi="ZWAdobeF" w:cs="ZWAdobeF"/>
          <w:color w:val="auto"/>
          <w:sz w:val="2"/>
          <w:szCs w:val="2"/>
          <w:lang w:val="en-US" w:bidi="en-US"/>
        </w:rPr>
        <w:t>1096B</w:t>
      </w:r>
      <w:r w:rsidR="00D629FA">
        <w:rPr>
          <w:rFonts w:ascii="ZWAdobeF" w:hAnsi="ZWAdobeF" w:cs="ZWAdobeF"/>
          <w:color w:val="auto"/>
          <w:sz w:val="2"/>
          <w:szCs w:val="2"/>
          <w:lang w:val="en-US" w:bidi="en-US"/>
        </w:rPr>
        <w:t>1096B</w:t>
      </w:r>
      <w:r w:rsidR="00365FC4" w:rsidRPr="00365FC4">
        <w:rPr>
          <w:rFonts w:ascii="Times New Roman" w:hAnsi="Times New Roman"/>
          <w:sz w:val="23"/>
          <w:lang w:val="en-US" w:bidi="en-US"/>
        </w:rPr>
        <w:t>the proposed method of dealing with any unclaimed settlement amounts; and</w:t>
      </w:r>
    </w:p>
    <w:p w14:paraId="7436C2B3" w14:textId="60B618F7" w:rsidR="00365FC4" w:rsidRPr="00365FC4" w:rsidRDefault="00BD5C95" w:rsidP="00B73434">
      <w:pPr>
        <w:widowControl w:val="0"/>
        <w:numPr>
          <w:ilvl w:val="1"/>
          <w:numId w:val="65"/>
        </w:numPr>
        <w:tabs>
          <w:tab w:val="left" w:pos="1504"/>
          <w:tab w:val="left" w:pos="1505"/>
        </w:tabs>
        <w:autoSpaceDE w:val="0"/>
        <w:autoSpaceDN w:val="0"/>
        <w:spacing w:before="82" w:line="249" w:lineRule="auto"/>
        <w:ind w:right="300"/>
        <w:rPr>
          <w:rFonts w:ascii="Times New Roman" w:hAnsi="Times New Roman"/>
          <w:sz w:val="23"/>
          <w:lang w:val="en-US" w:bidi="en-US"/>
        </w:rPr>
      </w:pPr>
      <w:r>
        <w:rPr>
          <w:rFonts w:ascii="ZWAdobeF" w:hAnsi="ZWAdobeF" w:cs="ZWAdobeF"/>
          <w:color w:val="auto"/>
          <w:sz w:val="2"/>
          <w:szCs w:val="2"/>
          <w:lang w:val="en-US" w:bidi="en-US"/>
        </w:rPr>
        <w:t>1097B</w:t>
      </w:r>
      <w:r w:rsidR="0049638A">
        <w:rPr>
          <w:rFonts w:ascii="ZWAdobeF" w:hAnsi="ZWAdobeF" w:cs="ZWAdobeF"/>
          <w:color w:val="auto"/>
          <w:sz w:val="2"/>
          <w:szCs w:val="2"/>
          <w:lang w:val="en-US" w:bidi="en-US"/>
        </w:rPr>
        <w:t>1097B</w:t>
      </w:r>
      <w:r w:rsidR="00D629FA">
        <w:rPr>
          <w:rFonts w:ascii="ZWAdobeF" w:hAnsi="ZWAdobeF" w:cs="ZWAdobeF"/>
          <w:color w:val="auto"/>
          <w:sz w:val="2"/>
          <w:szCs w:val="2"/>
          <w:lang w:val="en-US" w:bidi="en-US"/>
        </w:rPr>
        <w:t>1097B</w:t>
      </w:r>
      <w:r w:rsidR="00365FC4" w:rsidRPr="00365FC4">
        <w:rPr>
          <w:rFonts w:ascii="Times New Roman" w:hAnsi="Times New Roman"/>
          <w:sz w:val="23"/>
          <w:lang w:val="en-US" w:bidi="en-US"/>
        </w:rPr>
        <w:t xml:space="preserve">any legal fees and litigation funding fees that may be deducted from </w:t>
      </w:r>
      <w:r w:rsidR="00365FC4" w:rsidRPr="00365FC4">
        <w:rPr>
          <w:rFonts w:ascii="Times New Roman" w:hAnsi="Times New Roman"/>
          <w:spacing w:val="-5"/>
          <w:sz w:val="23"/>
          <w:lang w:val="en-US" w:bidi="en-US"/>
        </w:rPr>
        <w:t xml:space="preserve">the </w:t>
      </w:r>
      <w:r w:rsidR="00365FC4" w:rsidRPr="00365FC4">
        <w:rPr>
          <w:rFonts w:ascii="Times New Roman" w:hAnsi="Times New Roman"/>
          <w:sz w:val="23"/>
          <w:lang w:val="en-US" w:bidi="en-US"/>
        </w:rPr>
        <w:t>relief payable to class members; and</w:t>
      </w:r>
    </w:p>
    <w:p w14:paraId="73D845BC" w14:textId="33C326D9" w:rsidR="00365FC4" w:rsidRPr="00365FC4" w:rsidRDefault="00BD5C95" w:rsidP="00B73434">
      <w:pPr>
        <w:widowControl w:val="0"/>
        <w:numPr>
          <w:ilvl w:val="1"/>
          <w:numId w:val="65"/>
        </w:numPr>
        <w:tabs>
          <w:tab w:val="left" w:pos="1504"/>
          <w:tab w:val="left" w:pos="1505"/>
        </w:tabs>
        <w:autoSpaceDE w:val="0"/>
        <w:autoSpaceDN w:val="0"/>
        <w:spacing w:before="82" w:line="249" w:lineRule="auto"/>
        <w:ind w:right="299"/>
        <w:rPr>
          <w:rFonts w:ascii="Times New Roman" w:hAnsi="Times New Roman"/>
          <w:sz w:val="23"/>
          <w:lang w:val="en-US" w:bidi="en-US"/>
        </w:rPr>
      </w:pPr>
      <w:r>
        <w:rPr>
          <w:rFonts w:ascii="ZWAdobeF" w:hAnsi="ZWAdobeF" w:cs="ZWAdobeF"/>
          <w:color w:val="auto"/>
          <w:sz w:val="2"/>
          <w:szCs w:val="2"/>
          <w:lang w:val="en-US" w:bidi="en-US"/>
        </w:rPr>
        <w:t>1098B</w:t>
      </w:r>
      <w:r w:rsidR="0049638A">
        <w:rPr>
          <w:rFonts w:ascii="ZWAdobeF" w:hAnsi="ZWAdobeF" w:cs="ZWAdobeF"/>
          <w:color w:val="auto"/>
          <w:sz w:val="2"/>
          <w:szCs w:val="2"/>
          <w:lang w:val="en-US" w:bidi="en-US"/>
        </w:rPr>
        <w:t>1098B</w:t>
      </w:r>
      <w:r w:rsidR="00D629FA">
        <w:rPr>
          <w:rFonts w:ascii="ZWAdobeF" w:hAnsi="ZWAdobeF" w:cs="ZWAdobeF"/>
          <w:color w:val="auto"/>
          <w:sz w:val="2"/>
          <w:szCs w:val="2"/>
          <w:lang w:val="en-US" w:bidi="en-US"/>
        </w:rPr>
        <w:t>1098B</w:t>
      </w:r>
      <w:r w:rsidR="00365FC4" w:rsidRPr="00365FC4">
        <w:rPr>
          <w:rFonts w:ascii="Times New Roman" w:hAnsi="Times New Roman"/>
          <w:sz w:val="23"/>
          <w:lang w:val="en-US" w:bidi="en-US"/>
        </w:rPr>
        <w:t>any information that is readily available to the court about the potential risks, costs, and benefits of continuing with the proceeding;</w:t>
      </w:r>
      <w:r w:rsidR="00365FC4" w:rsidRPr="00365FC4">
        <w:rPr>
          <w:rFonts w:ascii="Times New Roman" w:hAnsi="Times New Roman"/>
          <w:spacing w:val="-3"/>
          <w:sz w:val="23"/>
          <w:lang w:val="en-US" w:bidi="en-US"/>
        </w:rPr>
        <w:t xml:space="preserve"> </w:t>
      </w:r>
      <w:r w:rsidR="00365FC4" w:rsidRPr="00365FC4">
        <w:rPr>
          <w:rFonts w:ascii="Times New Roman" w:hAnsi="Times New Roman"/>
          <w:sz w:val="23"/>
          <w:lang w:val="en-US" w:bidi="en-US"/>
        </w:rPr>
        <w:t>and</w:t>
      </w:r>
    </w:p>
    <w:p w14:paraId="4AF82F1D" w14:textId="460E759F" w:rsidR="00365FC4" w:rsidRPr="00365FC4" w:rsidRDefault="00BD5C95" w:rsidP="00B73434">
      <w:pPr>
        <w:widowControl w:val="0"/>
        <w:numPr>
          <w:ilvl w:val="1"/>
          <w:numId w:val="65"/>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1099B</w:t>
      </w:r>
      <w:r w:rsidR="0049638A">
        <w:rPr>
          <w:rFonts w:ascii="ZWAdobeF" w:hAnsi="ZWAdobeF" w:cs="ZWAdobeF"/>
          <w:color w:val="auto"/>
          <w:sz w:val="2"/>
          <w:szCs w:val="2"/>
          <w:lang w:val="en-US" w:bidi="en-US"/>
        </w:rPr>
        <w:t>1099B</w:t>
      </w:r>
      <w:r w:rsidR="00D629FA">
        <w:rPr>
          <w:rFonts w:ascii="ZWAdobeF" w:hAnsi="ZWAdobeF" w:cs="ZWAdobeF"/>
          <w:color w:val="auto"/>
          <w:sz w:val="2"/>
          <w:szCs w:val="2"/>
          <w:lang w:val="en-US" w:bidi="en-US"/>
        </w:rPr>
        <w:t>1099B</w:t>
      </w:r>
      <w:r w:rsidR="00365FC4" w:rsidRPr="00365FC4">
        <w:rPr>
          <w:rFonts w:ascii="Times New Roman" w:hAnsi="Times New Roman"/>
          <w:sz w:val="23"/>
          <w:lang w:val="en-US" w:bidi="en-US"/>
        </w:rPr>
        <w:t>any views of class members; and</w:t>
      </w:r>
    </w:p>
    <w:p w14:paraId="2E344214" w14:textId="10346B8B" w:rsidR="00365FC4" w:rsidRPr="00365FC4" w:rsidRDefault="00BD5C95" w:rsidP="00B73434">
      <w:pPr>
        <w:widowControl w:val="0"/>
        <w:numPr>
          <w:ilvl w:val="1"/>
          <w:numId w:val="65"/>
        </w:numPr>
        <w:tabs>
          <w:tab w:val="left" w:pos="1504"/>
          <w:tab w:val="left" w:pos="1505"/>
        </w:tabs>
        <w:autoSpaceDE w:val="0"/>
        <w:autoSpaceDN w:val="0"/>
        <w:spacing w:before="91" w:line="249" w:lineRule="auto"/>
        <w:ind w:right="302"/>
        <w:rPr>
          <w:rFonts w:ascii="Times New Roman" w:hAnsi="Times New Roman"/>
          <w:sz w:val="23"/>
          <w:lang w:val="en-US" w:bidi="en-US"/>
        </w:rPr>
      </w:pPr>
      <w:r>
        <w:rPr>
          <w:rFonts w:ascii="ZWAdobeF" w:hAnsi="ZWAdobeF" w:cs="ZWAdobeF"/>
          <w:color w:val="auto"/>
          <w:sz w:val="2"/>
          <w:szCs w:val="2"/>
          <w:lang w:val="en-US" w:bidi="en-US"/>
        </w:rPr>
        <w:t>1100B</w:t>
      </w:r>
      <w:r w:rsidR="0049638A">
        <w:rPr>
          <w:rFonts w:ascii="ZWAdobeF" w:hAnsi="ZWAdobeF" w:cs="ZWAdobeF"/>
          <w:color w:val="auto"/>
          <w:sz w:val="2"/>
          <w:szCs w:val="2"/>
          <w:lang w:val="en-US" w:bidi="en-US"/>
        </w:rPr>
        <w:t>1100B</w:t>
      </w:r>
      <w:r w:rsidR="00D629FA">
        <w:rPr>
          <w:rFonts w:ascii="ZWAdobeF" w:hAnsi="ZWAdobeF" w:cs="ZWAdobeF"/>
          <w:color w:val="auto"/>
          <w:sz w:val="2"/>
          <w:szCs w:val="2"/>
          <w:lang w:val="en-US" w:bidi="en-US"/>
        </w:rPr>
        <w:t>1100B</w:t>
      </w:r>
      <w:r w:rsidR="00365FC4" w:rsidRPr="00365FC4">
        <w:rPr>
          <w:rFonts w:ascii="Times New Roman" w:hAnsi="Times New Roman"/>
          <w:sz w:val="23"/>
          <w:lang w:val="en-US" w:bidi="en-US"/>
        </w:rPr>
        <w:t>the process by which the settlement was reached, including whether any potential conflicts of interest were properly managed;</w:t>
      </w:r>
      <w:r w:rsidR="00365FC4" w:rsidRPr="00365FC4">
        <w:rPr>
          <w:rFonts w:ascii="Times New Roman" w:hAnsi="Times New Roman"/>
          <w:spacing w:val="-2"/>
          <w:sz w:val="23"/>
          <w:lang w:val="en-US" w:bidi="en-US"/>
        </w:rPr>
        <w:t xml:space="preserve"> </w:t>
      </w:r>
      <w:r w:rsidR="00365FC4" w:rsidRPr="00365FC4">
        <w:rPr>
          <w:rFonts w:ascii="Times New Roman" w:hAnsi="Times New Roman"/>
          <w:sz w:val="23"/>
          <w:lang w:val="en-US" w:bidi="en-US"/>
        </w:rPr>
        <w:t>and</w:t>
      </w:r>
    </w:p>
    <w:p w14:paraId="25D7CB3D" w14:textId="1CB61445" w:rsidR="00365FC4" w:rsidRPr="00365FC4" w:rsidRDefault="00BD5C95" w:rsidP="00B73434">
      <w:pPr>
        <w:widowControl w:val="0"/>
        <w:numPr>
          <w:ilvl w:val="1"/>
          <w:numId w:val="65"/>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1101B</w:t>
      </w:r>
      <w:r w:rsidR="0049638A">
        <w:rPr>
          <w:rFonts w:ascii="ZWAdobeF" w:hAnsi="ZWAdobeF" w:cs="ZWAdobeF"/>
          <w:color w:val="auto"/>
          <w:sz w:val="2"/>
          <w:szCs w:val="2"/>
          <w:lang w:val="en-US" w:bidi="en-US"/>
        </w:rPr>
        <w:t>1101B</w:t>
      </w:r>
      <w:r w:rsidR="00D629FA">
        <w:rPr>
          <w:rFonts w:ascii="ZWAdobeF" w:hAnsi="ZWAdobeF" w:cs="ZWAdobeF"/>
          <w:color w:val="auto"/>
          <w:sz w:val="2"/>
          <w:szCs w:val="2"/>
          <w:lang w:val="en-US" w:bidi="en-US"/>
        </w:rPr>
        <w:t>1101B</w:t>
      </w:r>
      <w:r w:rsidR="00365FC4" w:rsidRPr="00365FC4">
        <w:rPr>
          <w:rFonts w:ascii="Times New Roman" w:hAnsi="Times New Roman"/>
          <w:sz w:val="23"/>
          <w:lang w:val="en-US" w:bidi="en-US"/>
        </w:rPr>
        <w:t>any other factors it considers relevant.</w:t>
      </w:r>
    </w:p>
    <w:p w14:paraId="629CB20F" w14:textId="0074D257" w:rsidR="00365FC4" w:rsidRPr="00365FC4" w:rsidRDefault="00BD5C95" w:rsidP="00AB19C2">
      <w:pPr>
        <w:widowControl w:val="0"/>
        <w:numPr>
          <w:ilvl w:val="0"/>
          <w:numId w:val="55"/>
        </w:numPr>
        <w:tabs>
          <w:tab w:val="left" w:pos="905"/>
        </w:tabs>
        <w:autoSpaceDE w:val="0"/>
        <w:autoSpaceDN w:val="0"/>
        <w:ind w:left="902" w:hanging="601"/>
        <w:jc w:val="both"/>
        <w:outlineLvl w:val="2"/>
        <w:rPr>
          <w:rFonts w:ascii="Times New Roman" w:hAnsi="Times New Roman"/>
          <w:b/>
          <w:sz w:val="23"/>
          <w:szCs w:val="23"/>
          <w:lang w:val="en-US" w:bidi="en-US"/>
        </w:rPr>
      </w:pPr>
      <w:bookmarkStart w:id="107" w:name="_bookmark9"/>
      <w:bookmarkEnd w:id="107"/>
      <w:r>
        <w:rPr>
          <w:rFonts w:ascii="ZWAdobeF" w:hAnsi="ZWAdobeF" w:cs="ZWAdobeF"/>
          <w:color w:val="auto"/>
          <w:sz w:val="2"/>
          <w:szCs w:val="2"/>
          <w:lang w:val="en-US" w:bidi="en-US"/>
        </w:rPr>
        <w:t>1102B</w:t>
      </w:r>
      <w:r w:rsidR="0049638A">
        <w:rPr>
          <w:rFonts w:ascii="ZWAdobeF" w:hAnsi="ZWAdobeF" w:cs="ZWAdobeF"/>
          <w:color w:val="auto"/>
          <w:sz w:val="2"/>
          <w:szCs w:val="2"/>
          <w:lang w:val="en-US" w:bidi="en-US"/>
        </w:rPr>
        <w:t>1102B</w:t>
      </w:r>
      <w:r w:rsidR="00D629FA">
        <w:rPr>
          <w:rFonts w:ascii="ZWAdobeF" w:hAnsi="ZWAdobeF" w:cs="ZWAdobeF"/>
          <w:color w:val="auto"/>
          <w:sz w:val="2"/>
          <w:szCs w:val="2"/>
          <w:lang w:val="en-US" w:bidi="en-US"/>
        </w:rPr>
        <w:t>1102B</w:t>
      </w:r>
      <w:r w:rsidR="00365FC4" w:rsidRPr="00365FC4">
        <w:rPr>
          <w:rFonts w:ascii="Times New Roman" w:hAnsi="Times New Roman"/>
          <w:b/>
          <w:sz w:val="23"/>
          <w:szCs w:val="23"/>
          <w:lang w:val="en-US" w:bidi="en-US"/>
        </w:rPr>
        <w:t>Settlement application prior to certification of</w:t>
      </w:r>
      <w:r w:rsidR="00365FC4" w:rsidRPr="00365FC4">
        <w:rPr>
          <w:rFonts w:ascii="Times New Roman" w:hAnsi="Times New Roman"/>
          <w:b/>
          <w:spacing w:val="-5"/>
          <w:sz w:val="23"/>
          <w:szCs w:val="23"/>
          <w:lang w:val="en-US" w:bidi="en-US"/>
        </w:rPr>
        <w:t xml:space="preserve"> </w:t>
      </w:r>
      <w:r w:rsidR="00365FC4" w:rsidRPr="00365FC4">
        <w:rPr>
          <w:rFonts w:ascii="Times New Roman" w:hAnsi="Times New Roman"/>
          <w:b/>
          <w:sz w:val="23"/>
          <w:szCs w:val="23"/>
          <w:lang w:val="en-US" w:bidi="en-US"/>
        </w:rPr>
        <w:t>proceeding</w:t>
      </w:r>
    </w:p>
    <w:p w14:paraId="3067CD8E" w14:textId="0856AE99" w:rsidR="00365FC4" w:rsidRPr="00365FC4" w:rsidRDefault="00BD5C95" w:rsidP="00B73434">
      <w:pPr>
        <w:widowControl w:val="0"/>
        <w:numPr>
          <w:ilvl w:val="0"/>
          <w:numId w:val="64"/>
        </w:numPr>
        <w:tabs>
          <w:tab w:val="left" w:pos="905"/>
        </w:tabs>
        <w:autoSpaceDE w:val="0"/>
        <w:autoSpaceDN w:val="0"/>
        <w:spacing w:before="91"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1103B</w:t>
      </w:r>
      <w:r w:rsidR="0049638A">
        <w:rPr>
          <w:rFonts w:ascii="ZWAdobeF" w:hAnsi="ZWAdobeF" w:cs="ZWAdobeF"/>
          <w:color w:val="auto"/>
          <w:sz w:val="2"/>
          <w:szCs w:val="2"/>
          <w:lang w:val="en-US" w:bidi="en-US"/>
        </w:rPr>
        <w:t>1103B</w:t>
      </w:r>
      <w:r w:rsidR="00D629FA">
        <w:rPr>
          <w:rFonts w:ascii="ZWAdobeF" w:hAnsi="ZWAdobeF" w:cs="ZWAdobeF"/>
          <w:color w:val="auto"/>
          <w:sz w:val="2"/>
          <w:szCs w:val="2"/>
          <w:lang w:val="en-US" w:bidi="en-US"/>
        </w:rPr>
        <w:t>1103B</w:t>
      </w:r>
      <w:r w:rsidR="00365FC4" w:rsidRPr="00365FC4">
        <w:rPr>
          <w:rFonts w:ascii="Times New Roman" w:hAnsi="Times New Roman"/>
          <w:sz w:val="23"/>
          <w:lang w:val="en-US" w:bidi="en-US"/>
        </w:rPr>
        <w:t>This section applies if an application for approval of a settlement is made prior to the certification of a class action proceeding.</w:t>
      </w:r>
    </w:p>
    <w:p w14:paraId="19458DD7" w14:textId="367D84A6" w:rsidR="00365FC4" w:rsidRPr="00365FC4" w:rsidRDefault="00BD5C95" w:rsidP="00B73434">
      <w:pPr>
        <w:widowControl w:val="0"/>
        <w:numPr>
          <w:ilvl w:val="0"/>
          <w:numId w:val="64"/>
        </w:numPr>
        <w:tabs>
          <w:tab w:val="left" w:pos="905"/>
        </w:tabs>
        <w:autoSpaceDE w:val="0"/>
        <w:autoSpaceDN w:val="0"/>
        <w:spacing w:before="82" w:line="247" w:lineRule="auto"/>
        <w:ind w:right="298" w:hanging="601"/>
        <w:jc w:val="both"/>
        <w:rPr>
          <w:rFonts w:ascii="Times New Roman" w:hAnsi="Times New Roman"/>
          <w:sz w:val="23"/>
          <w:lang w:val="en-US" w:bidi="en-US"/>
        </w:rPr>
      </w:pPr>
      <w:r>
        <w:rPr>
          <w:rFonts w:ascii="ZWAdobeF" w:hAnsi="ZWAdobeF" w:cs="ZWAdobeF"/>
          <w:color w:val="auto"/>
          <w:sz w:val="2"/>
          <w:szCs w:val="2"/>
          <w:lang w:val="en-US" w:bidi="en-US"/>
        </w:rPr>
        <w:t>1104B</w:t>
      </w:r>
      <w:r w:rsidR="0049638A">
        <w:rPr>
          <w:rFonts w:ascii="ZWAdobeF" w:hAnsi="ZWAdobeF" w:cs="ZWAdobeF"/>
          <w:color w:val="auto"/>
          <w:sz w:val="2"/>
          <w:szCs w:val="2"/>
          <w:lang w:val="en-US" w:bidi="en-US"/>
        </w:rPr>
        <w:t>1104B</w:t>
      </w:r>
      <w:r w:rsidR="00D629FA">
        <w:rPr>
          <w:rFonts w:ascii="ZWAdobeF" w:hAnsi="ZWAdobeF" w:cs="ZWAdobeF"/>
          <w:color w:val="auto"/>
          <w:sz w:val="2"/>
          <w:szCs w:val="2"/>
          <w:lang w:val="en-US" w:bidi="en-US"/>
        </w:rPr>
        <w:t>1104B</w:t>
      </w:r>
      <w:r w:rsidR="00365FC4" w:rsidRPr="00365FC4">
        <w:rPr>
          <w:rFonts w:ascii="Times New Roman" w:hAnsi="Times New Roman"/>
          <w:sz w:val="23"/>
          <w:lang w:val="en-US" w:bidi="en-US"/>
        </w:rPr>
        <w:t xml:space="preserve">The court must, before considering that application, consider whether the proceeding meets the requirements of </w:t>
      </w:r>
      <w:r w:rsidR="00365FC4" w:rsidRPr="00365FC4">
        <w:rPr>
          <w:rFonts w:ascii="Arial Black" w:hAnsi="Arial Black"/>
          <w:sz w:val="19"/>
          <w:lang w:val="en-US" w:bidi="en-US"/>
        </w:rPr>
        <w:t xml:space="preserve">section 4 </w:t>
      </w:r>
      <w:r w:rsidR="00365FC4" w:rsidRPr="00365FC4">
        <w:rPr>
          <w:rFonts w:ascii="Times New Roman" w:hAnsi="Times New Roman"/>
          <w:sz w:val="23"/>
          <w:lang w:val="en-US" w:bidi="en-US"/>
        </w:rPr>
        <w:t>(with any necessary modifications) and if so, for the purposes of</w:t>
      </w:r>
      <w:r w:rsidR="00365FC4" w:rsidRPr="00365FC4">
        <w:rPr>
          <w:rFonts w:ascii="Times New Roman" w:hAnsi="Times New Roman"/>
          <w:spacing w:val="-3"/>
          <w:sz w:val="23"/>
          <w:lang w:val="en-US" w:bidi="en-US"/>
        </w:rPr>
        <w:t xml:space="preserve"> </w:t>
      </w:r>
      <w:r w:rsidR="00365FC4" w:rsidRPr="00365FC4">
        <w:rPr>
          <w:rFonts w:ascii="Times New Roman" w:hAnsi="Times New Roman"/>
          <w:sz w:val="23"/>
          <w:lang w:val="en-US" w:bidi="en-US"/>
        </w:rPr>
        <w:t>settlement,—</w:t>
      </w:r>
    </w:p>
    <w:p w14:paraId="1C5F2F00" w14:textId="6BE47586" w:rsidR="00365FC4" w:rsidRPr="00365FC4" w:rsidRDefault="00BD5C95" w:rsidP="00B73434">
      <w:pPr>
        <w:widowControl w:val="0"/>
        <w:numPr>
          <w:ilvl w:val="1"/>
          <w:numId w:val="64"/>
        </w:numPr>
        <w:tabs>
          <w:tab w:val="left" w:pos="1505"/>
        </w:tabs>
        <w:autoSpaceDE w:val="0"/>
        <w:autoSpaceDN w:val="0"/>
        <w:spacing w:before="82"/>
        <w:ind w:hanging="601"/>
        <w:jc w:val="both"/>
        <w:rPr>
          <w:rFonts w:ascii="Times New Roman" w:hAnsi="Times New Roman"/>
          <w:sz w:val="23"/>
          <w:lang w:val="en-US" w:bidi="en-US"/>
        </w:rPr>
      </w:pPr>
      <w:r>
        <w:rPr>
          <w:rFonts w:ascii="ZWAdobeF" w:hAnsi="ZWAdobeF" w:cs="ZWAdobeF"/>
          <w:color w:val="auto"/>
          <w:sz w:val="2"/>
          <w:szCs w:val="2"/>
          <w:lang w:val="en-US" w:bidi="en-US"/>
        </w:rPr>
        <w:t>1105B</w:t>
      </w:r>
      <w:r w:rsidR="0049638A">
        <w:rPr>
          <w:rFonts w:ascii="ZWAdobeF" w:hAnsi="ZWAdobeF" w:cs="ZWAdobeF"/>
          <w:color w:val="auto"/>
          <w:sz w:val="2"/>
          <w:szCs w:val="2"/>
          <w:lang w:val="en-US" w:bidi="en-US"/>
        </w:rPr>
        <w:t>1105B</w:t>
      </w:r>
      <w:r w:rsidR="00D629FA">
        <w:rPr>
          <w:rFonts w:ascii="ZWAdobeF" w:hAnsi="ZWAdobeF" w:cs="ZWAdobeF"/>
          <w:color w:val="auto"/>
          <w:sz w:val="2"/>
          <w:szCs w:val="2"/>
          <w:lang w:val="en-US" w:bidi="en-US"/>
        </w:rPr>
        <w:t>1105B</w:t>
      </w:r>
      <w:r w:rsidR="00365FC4" w:rsidRPr="00365FC4">
        <w:rPr>
          <w:rFonts w:ascii="Times New Roman" w:hAnsi="Times New Roman"/>
          <w:sz w:val="23"/>
          <w:lang w:val="en-US" w:bidi="en-US"/>
        </w:rPr>
        <w:t>certify the proceeding as a class action proceeding; and</w:t>
      </w:r>
    </w:p>
    <w:p w14:paraId="0A9AC7D4" w14:textId="469C0E7C" w:rsidR="00365FC4" w:rsidRPr="00365FC4" w:rsidRDefault="00BD5C95" w:rsidP="00B73434">
      <w:pPr>
        <w:widowControl w:val="0"/>
        <w:numPr>
          <w:ilvl w:val="1"/>
          <w:numId w:val="64"/>
        </w:numPr>
        <w:tabs>
          <w:tab w:val="left" w:pos="1505"/>
        </w:tabs>
        <w:autoSpaceDE w:val="0"/>
        <w:autoSpaceDN w:val="0"/>
        <w:spacing w:before="91"/>
        <w:ind w:hanging="601"/>
        <w:jc w:val="both"/>
        <w:rPr>
          <w:rFonts w:ascii="Times New Roman" w:hAnsi="Times New Roman"/>
          <w:sz w:val="23"/>
          <w:lang w:val="en-US" w:bidi="en-US"/>
        </w:rPr>
      </w:pPr>
      <w:r>
        <w:rPr>
          <w:rFonts w:ascii="ZWAdobeF" w:hAnsi="ZWAdobeF" w:cs="ZWAdobeF"/>
          <w:color w:val="auto"/>
          <w:sz w:val="2"/>
          <w:szCs w:val="2"/>
          <w:lang w:val="en-US" w:bidi="en-US"/>
        </w:rPr>
        <w:t>1106B</w:t>
      </w:r>
      <w:r w:rsidR="0049638A">
        <w:rPr>
          <w:rFonts w:ascii="ZWAdobeF" w:hAnsi="ZWAdobeF" w:cs="ZWAdobeF"/>
          <w:color w:val="auto"/>
          <w:sz w:val="2"/>
          <w:szCs w:val="2"/>
          <w:lang w:val="en-US" w:bidi="en-US"/>
        </w:rPr>
        <w:t>1106B</w:t>
      </w:r>
      <w:r w:rsidR="00D629FA">
        <w:rPr>
          <w:rFonts w:ascii="ZWAdobeF" w:hAnsi="ZWAdobeF" w:cs="ZWAdobeF"/>
          <w:color w:val="auto"/>
          <w:sz w:val="2"/>
          <w:szCs w:val="2"/>
          <w:lang w:val="en-US" w:bidi="en-US"/>
        </w:rPr>
        <w:t>1106B</w:t>
      </w:r>
      <w:r w:rsidR="00365FC4" w:rsidRPr="00365FC4">
        <w:rPr>
          <w:rFonts w:ascii="Times New Roman" w:hAnsi="Times New Roman"/>
          <w:sz w:val="23"/>
          <w:lang w:val="en-US" w:bidi="en-US"/>
        </w:rPr>
        <w:t>appoint 1 or more representative</w:t>
      </w:r>
      <w:r w:rsidR="00365FC4" w:rsidRPr="00365FC4">
        <w:rPr>
          <w:rFonts w:ascii="Times New Roman" w:hAnsi="Times New Roman"/>
          <w:spacing w:val="-1"/>
          <w:sz w:val="23"/>
          <w:lang w:val="en-US" w:bidi="en-US"/>
        </w:rPr>
        <w:t xml:space="preserve"> </w:t>
      </w:r>
      <w:r w:rsidR="00365FC4" w:rsidRPr="00365FC4">
        <w:rPr>
          <w:rFonts w:ascii="Times New Roman" w:hAnsi="Times New Roman"/>
          <w:sz w:val="23"/>
          <w:lang w:val="en-US" w:bidi="en-US"/>
        </w:rPr>
        <w:t>plaintiffs.</w:t>
      </w:r>
    </w:p>
    <w:p w14:paraId="6EF0C5A9" w14:textId="64CA794B" w:rsidR="00365FC4" w:rsidRPr="00365FC4" w:rsidRDefault="00BD5C95" w:rsidP="00B73434">
      <w:pPr>
        <w:widowControl w:val="0"/>
        <w:numPr>
          <w:ilvl w:val="0"/>
          <w:numId w:val="64"/>
        </w:numPr>
        <w:tabs>
          <w:tab w:val="left" w:pos="905"/>
        </w:tabs>
        <w:autoSpaceDE w:val="0"/>
        <w:autoSpaceDN w:val="0"/>
        <w:spacing w:before="92" w:line="242" w:lineRule="auto"/>
        <w:ind w:right="300"/>
        <w:jc w:val="both"/>
        <w:rPr>
          <w:rFonts w:ascii="Times New Roman" w:hAnsi="Times New Roman"/>
          <w:sz w:val="23"/>
          <w:lang w:val="en-US" w:bidi="en-US"/>
        </w:rPr>
      </w:pPr>
      <w:r>
        <w:rPr>
          <w:rFonts w:ascii="ZWAdobeF" w:hAnsi="ZWAdobeF" w:cs="ZWAdobeF"/>
          <w:color w:val="auto"/>
          <w:sz w:val="2"/>
          <w:szCs w:val="2"/>
          <w:lang w:val="en-US" w:bidi="en-US"/>
        </w:rPr>
        <w:t>1107B</w:t>
      </w:r>
      <w:r w:rsidR="0049638A">
        <w:rPr>
          <w:rFonts w:ascii="ZWAdobeF" w:hAnsi="ZWAdobeF" w:cs="ZWAdobeF"/>
          <w:color w:val="auto"/>
          <w:sz w:val="2"/>
          <w:szCs w:val="2"/>
          <w:lang w:val="en-US" w:bidi="en-US"/>
        </w:rPr>
        <w:t>1107B</w:t>
      </w:r>
      <w:r w:rsidR="00D629FA">
        <w:rPr>
          <w:rFonts w:ascii="ZWAdobeF" w:hAnsi="ZWAdobeF" w:cs="ZWAdobeF"/>
          <w:color w:val="auto"/>
          <w:sz w:val="2"/>
          <w:szCs w:val="2"/>
          <w:lang w:val="en-US" w:bidi="en-US"/>
        </w:rPr>
        <w:t>1107B</w:t>
      </w:r>
      <w:r w:rsidR="00365FC4" w:rsidRPr="00365FC4">
        <w:rPr>
          <w:rFonts w:ascii="Times New Roman" w:hAnsi="Times New Roman"/>
          <w:sz w:val="23"/>
          <w:lang w:val="en-US" w:bidi="en-US"/>
        </w:rPr>
        <w:t xml:space="preserve">If the court certifies the proceeding, </w:t>
      </w:r>
      <w:r w:rsidR="00365FC4" w:rsidRPr="00365FC4">
        <w:rPr>
          <w:rFonts w:ascii="Arial Black" w:hAnsi="Arial Black"/>
          <w:sz w:val="19"/>
          <w:lang w:val="en-US" w:bidi="en-US"/>
        </w:rPr>
        <w:t xml:space="preserve">section 7 </w:t>
      </w:r>
      <w:r w:rsidR="00365FC4" w:rsidRPr="00365FC4">
        <w:rPr>
          <w:rFonts w:ascii="Times New Roman" w:hAnsi="Times New Roman"/>
          <w:sz w:val="23"/>
          <w:lang w:val="en-US" w:bidi="en-US"/>
        </w:rPr>
        <w:t xml:space="preserve">applies to the application except that the notice referred to in </w:t>
      </w:r>
      <w:r w:rsidR="00365FC4" w:rsidRPr="00365FC4">
        <w:rPr>
          <w:rFonts w:ascii="Arial Black" w:hAnsi="Arial Black"/>
          <w:sz w:val="19"/>
          <w:lang w:val="en-US" w:bidi="en-US"/>
        </w:rPr>
        <w:t xml:space="preserve">section 7(4)(a) </w:t>
      </w:r>
      <w:r w:rsidR="00365FC4" w:rsidRPr="00365FC4">
        <w:rPr>
          <w:rFonts w:ascii="Times New Roman" w:hAnsi="Times New Roman"/>
          <w:sz w:val="23"/>
          <w:lang w:val="en-US" w:bidi="en-US"/>
        </w:rPr>
        <w:t>must also give notice that—</w:t>
      </w:r>
    </w:p>
    <w:p w14:paraId="25DBE6B2" w14:textId="642E71A3" w:rsidR="00365FC4" w:rsidRPr="00365FC4" w:rsidRDefault="00BD5C95" w:rsidP="00B73434">
      <w:pPr>
        <w:widowControl w:val="0"/>
        <w:numPr>
          <w:ilvl w:val="1"/>
          <w:numId w:val="64"/>
        </w:numPr>
        <w:tabs>
          <w:tab w:val="left" w:pos="1505"/>
        </w:tabs>
        <w:autoSpaceDE w:val="0"/>
        <w:autoSpaceDN w:val="0"/>
        <w:spacing w:before="88" w:line="249" w:lineRule="auto"/>
        <w:ind w:right="301" w:hanging="601"/>
        <w:jc w:val="both"/>
        <w:rPr>
          <w:rFonts w:ascii="Times New Roman" w:hAnsi="Times New Roman"/>
          <w:sz w:val="23"/>
          <w:lang w:val="en-US" w:bidi="en-US"/>
        </w:rPr>
      </w:pPr>
      <w:r>
        <w:rPr>
          <w:rFonts w:ascii="ZWAdobeF" w:hAnsi="ZWAdobeF" w:cs="ZWAdobeF"/>
          <w:color w:val="auto"/>
          <w:sz w:val="2"/>
          <w:szCs w:val="2"/>
          <w:lang w:val="en-US" w:bidi="en-US"/>
        </w:rPr>
        <w:t>1108B</w:t>
      </w:r>
      <w:r w:rsidR="0049638A">
        <w:rPr>
          <w:rFonts w:ascii="ZWAdobeF" w:hAnsi="ZWAdobeF" w:cs="ZWAdobeF"/>
          <w:color w:val="auto"/>
          <w:sz w:val="2"/>
          <w:szCs w:val="2"/>
          <w:lang w:val="en-US" w:bidi="en-US"/>
        </w:rPr>
        <w:t>1108B</w:t>
      </w:r>
      <w:r w:rsidR="00D629FA">
        <w:rPr>
          <w:rFonts w:ascii="ZWAdobeF" w:hAnsi="ZWAdobeF" w:cs="ZWAdobeF"/>
          <w:color w:val="auto"/>
          <w:sz w:val="2"/>
          <w:szCs w:val="2"/>
          <w:lang w:val="en-US" w:bidi="en-US"/>
        </w:rPr>
        <w:t>1108B</w:t>
      </w:r>
      <w:r w:rsidR="00365FC4" w:rsidRPr="00365FC4">
        <w:rPr>
          <w:rFonts w:ascii="Times New Roman" w:hAnsi="Times New Roman"/>
          <w:sz w:val="23"/>
          <w:lang w:val="en-US" w:bidi="en-US"/>
        </w:rPr>
        <w:t>the proceeding has been certified as a class action proceeding for the purposes of settlement;</w:t>
      </w:r>
      <w:r w:rsidR="00365FC4" w:rsidRPr="00365FC4">
        <w:rPr>
          <w:rFonts w:ascii="Times New Roman" w:hAnsi="Times New Roman"/>
          <w:spacing w:val="-2"/>
          <w:sz w:val="23"/>
          <w:lang w:val="en-US" w:bidi="en-US"/>
        </w:rPr>
        <w:t xml:space="preserve"> </w:t>
      </w:r>
      <w:r w:rsidR="00365FC4" w:rsidRPr="00365FC4">
        <w:rPr>
          <w:rFonts w:ascii="Times New Roman" w:hAnsi="Times New Roman"/>
          <w:sz w:val="23"/>
          <w:lang w:val="en-US" w:bidi="en-US"/>
        </w:rPr>
        <w:t>and</w:t>
      </w:r>
    </w:p>
    <w:p w14:paraId="002E0FB6" w14:textId="48C5B7F1" w:rsidR="00365FC4" w:rsidRPr="00365FC4" w:rsidRDefault="00BD5C95" w:rsidP="00B73434">
      <w:pPr>
        <w:widowControl w:val="0"/>
        <w:numPr>
          <w:ilvl w:val="1"/>
          <w:numId w:val="64"/>
        </w:numPr>
        <w:tabs>
          <w:tab w:val="left" w:pos="1505"/>
        </w:tabs>
        <w:autoSpaceDE w:val="0"/>
        <w:autoSpaceDN w:val="0"/>
        <w:spacing w:before="82"/>
        <w:ind w:hanging="601"/>
        <w:jc w:val="both"/>
        <w:rPr>
          <w:rFonts w:ascii="Times New Roman" w:hAnsi="Times New Roman"/>
          <w:sz w:val="23"/>
          <w:lang w:val="en-US" w:bidi="en-US"/>
        </w:rPr>
      </w:pPr>
      <w:r>
        <w:rPr>
          <w:rFonts w:ascii="ZWAdobeF" w:hAnsi="ZWAdobeF" w:cs="ZWAdobeF"/>
          <w:color w:val="auto"/>
          <w:sz w:val="2"/>
          <w:szCs w:val="2"/>
          <w:lang w:val="en-US" w:bidi="en-US"/>
        </w:rPr>
        <w:t>1109B</w:t>
      </w:r>
      <w:r w:rsidR="0049638A">
        <w:rPr>
          <w:rFonts w:ascii="ZWAdobeF" w:hAnsi="ZWAdobeF" w:cs="ZWAdobeF"/>
          <w:color w:val="auto"/>
          <w:sz w:val="2"/>
          <w:szCs w:val="2"/>
          <w:lang w:val="en-US" w:bidi="en-US"/>
        </w:rPr>
        <w:t>1109B</w:t>
      </w:r>
      <w:r w:rsidR="00D629FA">
        <w:rPr>
          <w:rFonts w:ascii="ZWAdobeF" w:hAnsi="ZWAdobeF" w:cs="ZWAdobeF"/>
          <w:color w:val="auto"/>
          <w:sz w:val="2"/>
          <w:szCs w:val="2"/>
          <w:lang w:val="en-US" w:bidi="en-US"/>
        </w:rPr>
        <w:t>1109B</w:t>
      </w:r>
      <w:r w:rsidR="00365FC4" w:rsidRPr="00365FC4">
        <w:rPr>
          <w:rFonts w:ascii="Times New Roman" w:hAnsi="Times New Roman"/>
          <w:sz w:val="23"/>
          <w:lang w:val="en-US" w:bidi="en-US"/>
        </w:rPr>
        <w:t>1 or more representative plaintiffs have been</w:t>
      </w:r>
      <w:r w:rsidR="00365FC4" w:rsidRPr="00365FC4">
        <w:rPr>
          <w:rFonts w:ascii="Times New Roman" w:hAnsi="Times New Roman"/>
          <w:spacing w:val="-1"/>
          <w:sz w:val="23"/>
          <w:lang w:val="en-US" w:bidi="en-US"/>
        </w:rPr>
        <w:t xml:space="preserve"> </w:t>
      </w:r>
      <w:r w:rsidR="00365FC4" w:rsidRPr="00365FC4">
        <w:rPr>
          <w:rFonts w:ascii="Times New Roman" w:hAnsi="Times New Roman"/>
          <w:sz w:val="23"/>
          <w:lang w:val="en-US" w:bidi="en-US"/>
        </w:rPr>
        <w:t>appointed.</w:t>
      </w:r>
    </w:p>
    <w:p w14:paraId="021D72D1" w14:textId="15BB2D4E" w:rsidR="00365FC4" w:rsidRPr="00365FC4" w:rsidRDefault="00BD5C95" w:rsidP="00B73434">
      <w:pPr>
        <w:widowControl w:val="0"/>
        <w:numPr>
          <w:ilvl w:val="0"/>
          <w:numId w:val="64"/>
        </w:numPr>
        <w:tabs>
          <w:tab w:val="left" w:pos="905"/>
        </w:tabs>
        <w:autoSpaceDE w:val="0"/>
        <w:autoSpaceDN w:val="0"/>
        <w:spacing w:before="9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1110B</w:t>
      </w:r>
      <w:r w:rsidR="0049638A">
        <w:rPr>
          <w:rFonts w:ascii="ZWAdobeF" w:hAnsi="ZWAdobeF" w:cs="ZWAdobeF"/>
          <w:color w:val="auto"/>
          <w:sz w:val="2"/>
          <w:szCs w:val="2"/>
          <w:lang w:val="en-US" w:bidi="en-US"/>
        </w:rPr>
        <w:t>1110B</w:t>
      </w:r>
      <w:r w:rsidR="00D629FA">
        <w:rPr>
          <w:rFonts w:ascii="ZWAdobeF" w:hAnsi="ZWAdobeF" w:cs="ZWAdobeF"/>
          <w:color w:val="auto"/>
          <w:sz w:val="2"/>
          <w:szCs w:val="2"/>
          <w:lang w:val="en-US" w:bidi="en-US"/>
        </w:rPr>
        <w:t>1110B</w:t>
      </w:r>
      <w:r w:rsidR="00365FC4" w:rsidRPr="00365FC4">
        <w:rPr>
          <w:rFonts w:ascii="Times New Roman" w:hAnsi="Times New Roman"/>
          <w:sz w:val="23"/>
          <w:lang w:val="en-US" w:bidi="en-US"/>
        </w:rPr>
        <w:t xml:space="preserve">If the court certifies the proceeding as an opt-in proceeding, the notice </w:t>
      </w:r>
      <w:r w:rsidR="00365FC4" w:rsidRPr="00365FC4">
        <w:rPr>
          <w:rFonts w:ascii="Times New Roman" w:hAnsi="Times New Roman"/>
          <w:spacing w:val="-3"/>
          <w:sz w:val="23"/>
          <w:lang w:val="en-US" w:bidi="en-US"/>
        </w:rPr>
        <w:t>must</w:t>
      </w:r>
      <w:r w:rsidR="00365FC4" w:rsidRPr="00365FC4">
        <w:rPr>
          <w:rFonts w:ascii="Times New Roman" w:hAnsi="Times New Roman"/>
          <w:spacing w:val="51"/>
          <w:sz w:val="23"/>
          <w:lang w:val="en-US" w:bidi="en-US"/>
        </w:rPr>
        <w:t xml:space="preserve"> </w:t>
      </w:r>
      <w:r w:rsidR="00365FC4" w:rsidRPr="00365FC4">
        <w:rPr>
          <w:rFonts w:ascii="Times New Roman" w:hAnsi="Times New Roman"/>
          <w:sz w:val="23"/>
          <w:lang w:val="en-US" w:bidi="en-US"/>
        </w:rPr>
        <w:t>also specify the date by which a person who is eligible to opt in as a class member must do</w:t>
      </w:r>
      <w:r w:rsidR="00365FC4" w:rsidRPr="00365FC4">
        <w:rPr>
          <w:rFonts w:ascii="Times New Roman" w:hAnsi="Times New Roman"/>
          <w:spacing w:val="-1"/>
          <w:sz w:val="23"/>
          <w:lang w:val="en-US" w:bidi="en-US"/>
        </w:rPr>
        <w:t xml:space="preserve"> </w:t>
      </w:r>
      <w:r w:rsidR="00365FC4" w:rsidRPr="00365FC4">
        <w:rPr>
          <w:rFonts w:ascii="Times New Roman" w:hAnsi="Times New Roman"/>
          <w:sz w:val="23"/>
          <w:lang w:val="en-US" w:bidi="en-US"/>
        </w:rPr>
        <w:t>so.</w:t>
      </w:r>
    </w:p>
    <w:p w14:paraId="3ECA6A29" w14:textId="0ECE2702" w:rsidR="00365FC4" w:rsidRPr="00365FC4" w:rsidRDefault="00BD5C95" w:rsidP="00B73434">
      <w:pPr>
        <w:widowControl w:val="0"/>
        <w:numPr>
          <w:ilvl w:val="0"/>
          <w:numId w:val="55"/>
        </w:numPr>
        <w:tabs>
          <w:tab w:val="left" w:pos="905"/>
        </w:tabs>
        <w:autoSpaceDE w:val="0"/>
        <w:autoSpaceDN w:val="0"/>
        <w:spacing w:before="203"/>
        <w:ind w:hanging="601"/>
        <w:jc w:val="both"/>
        <w:outlineLvl w:val="2"/>
        <w:rPr>
          <w:rFonts w:ascii="Times New Roman" w:hAnsi="Times New Roman"/>
          <w:b/>
          <w:sz w:val="23"/>
          <w:szCs w:val="23"/>
          <w:lang w:val="en-US" w:bidi="en-US"/>
        </w:rPr>
      </w:pPr>
      <w:bookmarkStart w:id="108" w:name="_bookmark10"/>
      <w:bookmarkEnd w:id="108"/>
      <w:r>
        <w:rPr>
          <w:rFonts w:ascii="ZWAdobeF" w:hAnsi="ZWAdobeF" w:cs="ZWAdobeF"/>
          <w:color w:val="auto"/>
          <w:sz w:val="2"/>
          <w:szCs w:val="2"/>
          <w:lang w:val="en-US" w:bidi="en-US"/>
        </w:rPr>
        <w:t>1111B</w:t>
      </w:r>
      <w:r w:rsidR="0049638A">
        <w:rPr>
          <w:rFonts w:ascii="ZWAdobeF" w:hAnsi="ZWAdobeF" w:cs="ZWAdobeF"/>
          <w:color w:val="auto"/>
          <w:sz w:val="2"/>
          <w:szCs w:val="2"/>
          <w:lang w:val="en-US" w:bidi="en-US"/>
        </w:rPr>
        <w:t>1111B</w:t>
      </w:r>
      <w:r w:rsidR="00D629FA">
        <w:rPr>
          <w:rFonts w:ascii="ZWAdobeF" w:hAnsi="ZWAdobeF" w:cs="ZWAdobeF"/>
          <w:color w:val="auto"/>
          <w:sz w:val="2"/>
          <w:szCs w:val="2"/>
          <w:lang w:val="en-US" w:bidi="en-US"/>
        </w:rPr>
        <w:t>1111B</w:t>
      </w:r>
      <w:r w:rsidR="00365FC4" w:rsidRPr="00365FC4">
        <w:rPr>
          <w:rFonts w:ascii="Times New Roman" w:hAnsi="Times New Roman"/>
          <w:b/>
          <w:sz w:val="23"/>
          <w:szCs w:val="23"/>
          <w:lang w:val="en-US" w:bidi="en-US"/>
        </w:rPr>
        <w:t>Appointment of counsel to assist court or</w:t>
      </w:r>
      <w:r w:rsidR="00365FC4" w:rsidRPr="00365FC4">
        <w:rPr>
          <w:rFonts w:ascii="Times New Roman" w:hAnsi="Times New Roman"/>
          <w:b/>
          <w:spacing w:val="-3"/>
          <w:sz w:val="23"/>
          <w:szCs w:val="23"/>
          <w:lang w:val="en-US" w:bidi="en-US"/>
        </w:rPr>
        <w:t xml:space="preserve"> </w:t>
      </w:r>
      <w:r w:rsidR="00365FC4" w:rsidRPr="00365FC4">
        <w:rPr>
          <w:rFonts w:ascii="Times New Roman" w:hAnsi="Times New Roman"/>
          <w:b/>
          <w:sz w:val="23"/>
          <w:szCs w:val="23"/>
          <w:lang w:val="en-US" w:bidi="en-US"/>
        </w:rPr>
        <w:t>expert</w:t>
      </w:r>
    </w:p>
    <w:p w14:paraId="76576B84" w14:textId="68F80B16" w:rsidR="00365FC4" w:rsidRPr="00365FC4" w:rsidRDefault="00BD5C95" w:rsidP="00B73434">
      <w:pPr>
        <w:widowControl w:val="0"/>
        <w:numPr>
          <w:ilvl w:val="0"/>
          <w:numId w:val="88"/>
        </w:numPr>
        <w:tabs>
          <w:tab w:val="left" w:pos="905"/>
        </w:tabs>
        <w:autoSpaceDE w:val="0"/>
        <w:autoSpaceDN w:val="0"/>
        <w:spacing w:before="9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1112B</w:t>
      </w:r>
      <w:r w:rsidR="0049638A">
        <w:rPr>
          <w:rFonts w:ascii="ZWAdobeF" w:hAnsi="ZWAdobeF" w:cs="ZWAdobeF"/>
          <w:color w:val="auto"/>
          <w:sz w:val="2"/>
          <w:szCs w:val="2"/>
          <w:lang w:val="en-US" w:bidi="en-US"/>
        </w:rPr>
        <w:t>1112B</w:t>
      </w:r>
      <w:r w:rsidR="00D629FA">
        <w:rPr>
          <w:rFonts w:ascii="ZWAdobeF" w:hAnsi="ZWAdobeF" w:cs="ZWAdobeF"/>
          <w:color w:val="auto"/>
          <w:sz w:val="2"/>
          <w:szCs w:val="2"/>
          <w:lang w:val="en-US" w:bidi="en-US"/>
        </w:rPr>
        <w:t>1112B</w:t>
      </w:r>
      <w:r w:rsidR="00365FC4" w:rsidRPr="00365FC4">
        <w:rPr>
          <w:rFonts w:ascii="Times New Roman" w:hAnsi="Times New Roman"/>
          <w:sz w:val="23"/>
          <w:lang w:val="en-US" w:bidi="en-US"/>
        </w:rPr>
        <w:t xml:space="preserve">The court may appoint counsel to assist the court or a court expert if it </w:t>
      </w:r>
      <w:r w:rsidR="00365FC4" w:rsidRPr="001B7333">
        <w:rPr>
          <w:rFonts w:ascii="Times New Roman" w:hAnsi="Times New Roman"/>
          <w:sz w:val="23"/>
          <w:lang w:val="en-US" w:bidi="en-US"/>
        </w:rPr>
        <w:t>con</w:t>
      </w:r>
      <w:r w:rsidR="00365FC4" w:rsidRPr="00365FC4">
        <w:rPr>
          <w:rFonts w:ascii="Times New Roman" w:hAnsi="Times New Roman"/>
          <w:sz w:val="23"/>
          <w:lang w:val="en-US" w:bidi="en-US"/>
        </w:rPr>
        <w:t>siders this will assist the court to determine whether a settlement is fair, reasonable, and in the interests of the class as a</w:t>
      </w:r>
      <w:r w:rsidR="00365FC4" w:rsidRPr="001B7333">
        <w:rPr>
          <w:rFonts w:ascii="Times New Roman" w:hAnsi="Times New Roman"/>
          <w:sz w:val="23"/>
          <w:lang w:val="en-US" w:bidi="en-US"/>
        </w:rPr>
        <w:t xml:space="preserve"> </w:t>
      </w:r>
      <w:r w:rsidR="00365FC4" w:rsidRPr="00365FC4">
        <w:rPr>
          <w:rFonts w:ascii="Times New Roman" w:hAnsi="Times New Roman"/>
          <w:sz w:val="23"/>
          <w:lang w:val="en-US" w:bidi="en-US"/>
        </w:rPr>
        <w:t>whole.</w:t>
      </w:r>
    </w:p>
    <w:p w14:paraId="12C48F8E" w14:textId="4594651E" w:rsidR="00365FC4" w:rsidRPr="00365FC4" w:rsidRDefault="00BD5C95" w:rsidP="00B73434">
      <w:pPr>
        <w:widowControl w:val="0"/>
        <w:numPr>
          <w:ilvl w:val="0"/>
          <w:numId w:val="88"/>
        </w:numPr>
        <w:tabs>
          <w:tab w:val="left" w:pos="905"/>
        </w:tabs>
        <w:autoSpaceDE w:val="0"/>
        <w:autoSpaceDN w:val="0"/>
        <w:spacing w:before="9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1113B</w:t>
      </w:r>
      <w:r w:rsidR="0049638A">
        <w:rPr>
          <w:rFonts w:ascii="ZWAdobeF" w:hAnsi="ZWAdobeF" w:cs="ZWAdobeF"/>
          <w:color w:val="auto"/>
          <w:sz w:val="2"/>
          <w:szCs w:val="2"/>
          <w:lang w:val="en-US" w:bidi="en-US"/>
        </w:rPr>
        <w:t>1113B</w:t>
      </w:r>
      <w:r w:rsidR="00D629FA">
        <w:rPr>
          <w:rFonts w:ascii="ZWAdobeF" w:hAnsi="ZWAdobeF" w:cs="ZWAdobeF"/>
          <w:color w:val="auto"/>
          <w:sz w:val="2"/>
          <w:szCs w:val="2"/>
          <w:lang w:val="en-US" w:bidi="en-US"/>
        </w:rPr>
        <w:t>1113B</w:t>
      </w:r>
      <w:r w:rsidR="00365FC4" w:rsidRPr="00365FC4">
        <w:rPr>
          <w:rFonts w:ascii="Times New Roman" w:hAnsi="Times New Roman"/>
          <w:sz w:val="23"/>
          <w:lang w:val="en-US" w:bidi="en-US"/>
        </w:rPr>
        <w:t xml:space="preserve">The court may order that 1 or more of the parties pay part or all of the costs </w:t>
      </w:r>
      <w:r w:rsidR="00365FC4" w:rsidRPr="00C60E20">
        <w:rPr>
          <w:rFonts w:ascii="Times New Roman" w:hAnsi="Times New Roman"/>
          <w:sz w:val="23"/>
          <w:lang w:val="en-US" w:bidi="en-US"/>
        </w:rPr>
        <w:t xml:space="preserve">of </w:t>
      </w:r>
      <w:r w:rsidR="00365FC4" w:rsidRPr="00365FC4">
        <w:rPr>
          <w:rFonts w:ascii="Times New Roman" w:hAnsi="Times New Roman"/>
          <w:sz w:val="23"/>
          <w:lang w:val="en-US" w:bidi="en-US"/>
        </w:rPr>
        <w:t>the counsel or expert.</w:t>
      </w:r>
    </w:p>
    <w:bookmarkStart w:id="109" w:name="_bookmark11"/>
    <w:bookmarkEnd w:id="109"/>
    <w:p w14:paraId="3A99F6BB" w14:textId="474DAF58" w:rsidR="00AB19C2" w:rsidRDefault="00AB19C2" w:rsidP="00AB19C2">
      <w:pPr>
        <w:widowControl w:val="0"/>
        <w:tabs>
          <w:tab w:val="left" w:pos="904"/>
          <w:tab w:val="left" w:pos="905"/>
        </w:tabs>
        <w:autoSpaceDE w:val="0"/>
        <w:autoSpaceDN w:val="0"/>
        <w:spacing w:before="202"/>
        <w:ind w:left="304"/>
        <w:outlineLvl w:val="2"/>
        <w:rPr>
          <w:rFonts w:ascii="Times New Roman" w:hAnsi="Times New Roman"/>
          <w:b/>
          <w:sz w:val="23"/>
          <w:szCs w:val="23"/>
          <w:lang w:val="en-US" w:bidi="en-US"/>
        </w:rPr>
      </w:pPr>
      <w:r>
        <w:rPr>
          <w:noProof/>
        </w:rPr>
        <w:lastRenderedPageBreak/>
        <mc:AlternateContent>
          <mc:Choice Requires="wps">
            <w:drawing>
              <wp:anchor distT="0" distB="0" distL="114300" distR="114300" simplePos="0" relativeHeight="251651109" behindDoc="1" locked="0" layoutInCell="1" allowOverlap="1" wp14:anchorId="3FBFB234" wp14:editId="66F4D434">
                <wp:simplePos x="0" y="0"/>
                <wp:positionH relativeFrom="column">
                  <wp:posOffset>4386</wp:posOffset>
                </wp:positionH>
                <wp:positionV relativeFrom="paragraph">
                  <wp:posOffset>-7710</wp:posOffset>
                </wp:positionV>
                <wp:extent cx="5760085" cy="6188149"/>
                <wp:effectExtent l="0" t="0" r="0" b="3175"/>
                <wp:wrapNone/>
                <wp:docPr id="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18814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D98E0BA" id="Freeform 54" o:spid="_x0000_s1026" style="position:absolute;margin-left:.35pt;margin-top:-.6pt;width:453.55pt;height:487.25pt;z-index:-2516653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" path="m,l9354,r,7809l,7809,,e" fillcolor="#edf2ea" stroked="f">
                <v:path arrowok="t" o:connecttype="custom" o:connectlocs="0,792438;5760085,792438;5760085,6980587;0,6980587;0,792438" o:connectangles="0,0,0,0,0"/>
              </v:shape>
            </w:pict>
          </mc:Fallback>
        </mc:AlternateContent>
      </w:r>
    </w:p>
    <w:p w14:paraId="19C403F2" w14:textId="74002B92" w:rsidR="00365FC4" w:rsidRPr="00365FC4" w:rsidRDefault="00BD5C95" w:rsidP="00B73434">
      <w:pPr>
        <w:widowControl w:val="0"/>
        <w:numPr>
          <w:ilvl w:val="0"/>
          <w:numId w:val="55"/>
        </w:numPr>
        <w:tabs>
          <w:tab w:val="left" w:pos="904"/>
          <w:tab w:val="left" w:pos="905"/>
        </w:tabs>
        <w:autoSpaceDE w:val="0"/>
        <w:autoSpaceDN w:val="0"/>
        <w:spacing w:before="202"/>
        <w:ind w:hanging="601"/>
        <w:outlineLvl w:val="2"/>
        <w:rPr>
          <w:rFonts w:ascii="Times New Roman" w:hAnsi="Times New Roman"/>
          <w:b/>
          <w:sz w:val="23"/>
          <w:szCs w:val="23"/>
          <w:lang w:val="en-US" w:bidi="en-US"/>
        </w:rPr>
      </w:pPr>
      <w:r>
        <w:rPr>
          <w:rFonts w:ascii="ZWAdobeF" w:hAnsi="ZWAdobeF" w:cs="ZWAdobeF"/>
          <w:color w:val="auto"/>
          <w:sz w:val="2"/>
          <w:szCs w:val="2"/>
          <w:lang w:val="en-US" w:bidi="en-US"/>
        </w:rPr>
        <w:t>1114B</w:t>
      </w:r>
      <w:r w:rsidR="0049638A">
        <w:rPr>
          <w:rFonts w:ascii="ZWAdobeF" w:hAnsi="ZWAdobeF" w:cs="ZWAdobeF"/>
          <w:color w:val="auto"/>
          <w:sz w:val="2"/>
          <w:szCs w:val="2"/>
          <w:lang w:val="en-US" w:bidi="en-US"/>
        </w:rPr>
        <w:t>1114B</w:t>
      </w:r>
      <w:r w:rsidR="00D629FA">
        <w:rPr>
          <w:rFonts w:ascii="ZWAdobeF" w:hAnsi="ZWAdobeF" w:cs="ZWAdobeF"/>
          <w:color w:val="auto"/>
          <w:sz w:val="2"/>
          <w:szCs w:val="2"/>
          <w:lang w:val="en-US" w:bidi="en-US"/>
        </w:rPr>
        <w:t>1114B</w:t>
      </w:r>
      <w:r w:rsidR="00365FC4" w:rsidRPr="00365FC4">
        <w:rPr>
          <w:rFonts w:ascii="Times New Roman" w:hAnsi="Times New Roman"/>
          <w:b/>
          <w:sz w:val="23"/>
          <w:szCs w:val="23"/>
          <w:lang w:val="en-US" w:bidi="en-US"/>
        </w:rPr>
        <w:t>Approval of</w:t>
      </w:r>
      <w:r w:rsidR="00365FC4" w:rsidRPr="00365FC4">
        <w:rPr>
          <w:rFonts w:ascii="Times New Roman" w:hAnsi="Times New Roman"/>
          <w:b/>
          <w:spacing w:val="-1"/>
          <w:sz w:val="23"/>
          <w:szCs w:val="23"/>
          <w:lang w:val="en-US" w:bidi="en-US"/>
        </w:rPr>
        <w:t xml:space="preserve"> </w:t>
      </w:r>
      <w:r w:rsidR="00365FC4" w:rsidRPr="00365FC4">
        <w:rPr>
          <w:rFonts w:ascii="Times New Roman" w:hAnsi="Times New Roman"/>
          <w:b/>
          <w:sz w:val="23"/>
          <w:szCs w:val="23"/>
          <w:lang w:val="en-US" w:bidi="en-US"/>
        </w:rPr>
        <w:t>settlement</w:t>
      </w:r>
    </w:p>
    <w:p w14:paraId="0FD807B9" w14:textId="383568BF" w:rsidR="00365FC4" w:rsidRPr="00365FC4" w:rsidRDefault="00BD5C95" w:rsidP="00B73434">
      <w:pPr>
        <w:widowControl w:val="0"/>
        <w:numPr>
          <w:ilvl w:val="0"/>
          <w:numId w:val="84"/>
        </w:numPr>
        <w:tabs>
          <w:tab w:val="left" w:pos="904"/>
          <w:tab w:val="left" w:pos="905"/>
        </w:tabs>
        <w:autoSpaceDE w:val="0"/>
        <w:autoSpaceDN w:val="0"/>
        <w:spacing w:before="91"/>
        <w:rPr>
          <w:rFonts w:ascii="Times New Roman" w:hAnsi="Times New Roman"/>
          <w:sz w:val="23"/>
          <w:lang w:val="en-US" w:bidi="en-US"/>
        </w:rPr>
      </w:pPr>
      <w:r>
        <w:rPr>
          <w:rFonts w:ascii="ZWAdobeF" w:hAnsi="ZWAdobeF" w:cs="ZWAdobeF"/>
          <w:color w:val="auto"/>
          <w:sz w:val="2"/>
          <w:szCs w:val="2"/>
          <w:lang w:val="en-US" w:bidi="en-US"/>
        </w:rPr>
        <w:t>1115B</w:t>
      </w:r>
      <w:r w:rsidR="0049638A">
        <w:rPr>
          <w:rFonts w:ascii="ZWAdobeF" w:hAnsi="ZWAdobeF" w:cs="ZWAdobeF"/>
          <w:color w:val="auto"/>
          <w:sz w:val="2"/>
          <w:szCs w:val="2"/>
          <w:lang w:val="en-US" w:bidi="en-US"/>
        </w:rPr>
        <w:t>1115B</w:t>
      </w:r>
      <w:r w:rsidR="00D629FA">
        <w:rPr>
          <w:rFonts w:ascii="ZWAdobeF" w:hAnsi="ZWAdobeF" w:cs="ZWAdobeF"/>
          <w:color w:val="auto"/>
          <w:sz w:val="2"/>
          <w:szCs w:val="2"/>
          <w:lang w:val="en-US" w:bidi="en-US"/>
        </w:rPr>
        <w:t>1115B</w:t>
      </w:r>
      <w:r w:rsidR="00365FC4" w:rsidRPr="00365FC4">
        <w:rPr>
          <w:rFonts w:ascii="Times New Roman" w:hAnsi="Times New Roman"/>
          <w:sz w:val="23"/>
          <w:lang w:val="en-US" w:bidi="en-US"/>
        </w:rPr>
        <w:t>If the court approves a settlement,</w:t>
      </w:r>
      <w:r w:rsidR="00365FC4" w:rsidRPr="00365FC4">
        <w:rPr>
          <w:rFonts w:ascii="Times New Roman" w:hAnsi="Times New Roman"/>
          <w:spacing w:val="-2"/>
          <w:sz w:val="23"/>
          <w:lang w:val="en-US" w:bidi="en-US"/>
        </w:rPr>
        <w:t xml:space="preserve"> </w:t>
      </w:r>
      <w:r w:rsidR="00365FC4" w:rsidRPr="00365FC4">
        <w:rPr>
          <w:rFonts w:ascii="Times New Roman" w:hAnsi="Times New Roman"/>
          <w:sz w:val="23"/>
          <w:lang w:val="en-US" w:bidi="en-US"/>
        </w:rPr>
        <w:t>it—</w:t>
      </w:r>
    </w:p>
    <w:p w14:paraId="6DAD0F82" w14:textId="0399A401" w:rsidR="00365FC4" w:rsidRPr="00365FC4" w:rsidRDefault="00BD5C95" w:rsidP="00B73434">
      <w:pPr>
        <w:widowControl w:val="0"/>
        <w:numPr>
          <w:ilvl w:val="1"/>
          <w:numId w:val="84"/>
        </w:numPr>
        <w:tabs>
          <w:tab w:val="left" w:pos="1505"/>
          <w:tab w:val="left" w:pos="1505"/>
        </w:tabs>
        <w:autoSpaceDE w:val="0"/>
        <w:autoSpaceDN w:val="0"/>
        <w:spacing w:before="92"/>
        <w:ind w:hanging="601"/>
        <w:rPr>
          <w:rFonts w:ascii="Times New Roman" w:hAnsi="Times New Roman"/>
          <w:sz w:val="23"/>
          <w:lang w:val="en-US" w:bidi="en-US"/>
        </w:rPr>
      </w:pPr>
      <w:r>
        <w:rPr>
          <w:rFonts w:ascii="ZWAdobeF" w:hAnsi="ZWAdobeF" w:cs="ZWAdobeF"/>
          <w:color w:val="auto"/>
          <w:sz w:val="2"/>
          <w:szCs w:val="2"/>
          <w:lang w:val="en-US" w:bidi="en-US"/>
        </w:rPr>
        <w:t>1116B</w:t>
      </w:r>
      <w:r w:rsidR="0049638A">
        <w:rPr>
          <w:rFonts w:ascii="ZWAdobeF" w:hAnsi="ZWAdobeF" w:cs="ZWAdobeF"/>
          <w:color w:val="auto"/>
          <w:sz w:val="2"/>
          <w:szCs w:val="2"/>
          <w:lang w:val="en-US" w:bidi="en-US"/>
        </w:rPr>
        <w:t>1116B</w:t>
      </w:r>
      <w:r w:rsidR="00D629FA">
        <w:rPr>
          <w:rFonts w:ascii="ZWAdobeF" w:hAnsi="ZWAdobeF" w:cs="ZWAdobeF"/>
          <w:color w:val="auto"/>
          <w:sz w:val="2"/>
          <w:szCs w:val="2"/>
          <w:lang w:val="en-US" w:bidi="en-US"/>
        </w:rPr>
        <w:t>1116B</w:t>
      </w:r>
      <w:r w:rsidR="00365FC4" w:rsidRPr="00365FC4">
        <w:rPr>
          <w:rFonts w:ascii="Times New Roman" w:hAnsi="Times New Roman"/>
          <w:sz w:val="23"/>
          <w:lang w:val="en-US" w:bidi="en-US"/>
        </w:rPr>
        <w:t>must approve a notice of the approved settlement to class members;</w:t>
      </w:r>
      <w:r w:rsidR="00365FC4" w:rsidRPr="00365FC4">
        <w:rPr>
          <w:rFonts w:ascii="Times New Roman" w:hAnsi="Times New Roman"/>
          <w:spacing w:val="-7"/>
          <w:sz w:val="23"/>
          <w:lang w:val="en-US" w:bidi="en-US"/>
        </w:rPr>
        <w:t xml:space="preserve"> </w:t>
      </w:r>
      <w:r w:rsidR="00365FC4" w:rsidRPr="00365FC4">
        <w:rPr>
          <w:rFonts w:ascii="Times New Roman" w:hAnsi="Times New Roman"/>
          <w:sz w:val="23"/>
          <w:lang w:val="en-US" w:bidi="en-US"/>
        </w:rPr>
        <w:t>and</w:t>
      </w:r>
    </w:p>
    <w:p w14:paraId="3EED6259" w14:textId="34037483" w:rsidR="00365FC4" w:rsidRPr="00365FC4" w:rsidRDefault="00BD5C95" w:rsidP="00B73434">
      <w:pPr>
        <w:widowControl w:val="0"/>
        <w:numPr>
          <w:ilvl w:val="1"/>
          <w:numId w:val="84"/>
        </w:numPr>
        <w:tabs>
          <w:tab w:val="left" w:pos="1505"/>
          <w:tab w:val="left" w:pos="1505"/>
        </w:tabs>
        <w:autoSpaceDE w:val="0"/>
        <w:autoSpaceDN w:val="0"/>
        <w:spacing w:before="101" w:line="242" w:lineRule="auto"/>
        <w:ind w:right="301"/>
        <w:rPr>
          <w:rFonts w:ascii="Times New Roman" w:hAnsi="Times New Roman"/>
          <w:sz w:val="23"/>
          <w:lang w:val="en-US" w:bidi="en-US"/>
        </w:rPr>
      </w:pPr>
      <w:r>
        <w:rPr>
          <w:rFonts w:ascii="ZWAdobeF" w:hAnsi="ZWAdobeF" w:cs="ZWAdobeF"/>
          <w:color w:val="auto"/>
          <w:sz w:val="2"/>
          <w:szCs w:val="2"/>
          <w:lang w:val="en-US" w:bidi="en-US"/>
        </w:rPr>
        <w:t>1117B</w:t>
      </w:r>
      <w:r w:rsidR="0049638A">
        <w:rPr>
          <w:rFonts w:ascii="ZWAdobeF" w:hAnsi="ZWAdobeF" w:cs="ZWAdobeF"/>
          <w:color w:val="auto"/>
          <w:sz w:val="2"/>
          <w:szCs w:val="2"/>
          <w:lang w:val="en-US" w:bidi="en-US"/>
        </w:rPr>
        <w:t>1117B</w:t>
      </w:r>
      <w:r w:rsidR="00D629FA">
        <w:rPr>
          <w:rFonts w:ascii="ZWAdobeF" w:hAnsi="ZWAdobeF" w:cs="ZWAdobeF"/>
          <w:color w:val="auto"/>
          <w:sz w:val="2"/>
          <w:szCs w:val="2"/>
          <w:lang w:val="en-US" w:bidi="en-US"/>
        </w:rPr>
        <w:t>1117B</w:t>
      </w:r>
      <w:r w:rsidR="00365FC4" w:rsidRPr="00365FC4">
        <w:rPr>
          <w:rFonts w:ascii="Times New Roman" w:hAnsi="Times New Roman"/>
          <w:sz w:val="23"/>
          <w:lang w:val="en-US" w:bidi="en-US"/>
        </w:rPr>
        <w:t xml:space="preserve">must specify a date by which class members (subject to </w:t>
      </w:r>
      <w:r w:rsidR="00365FC4" w:rsidRPr="00365FC4">
        <w:rPr>
          <w:rFonts w:ascii="Arial Black" w:hAnsi="Times New Roman"/>
          <w:sz w:val="19"/>
          <w:lang w:val="en-US" w:bidi="en-US"/>
        </w:rPr>
        <w:t>subsection (2)</w:t>
      </w:r>
      <w:r w:rsidR="00365FC4" w:rsidRPr="00365FC4">
        <w:rPr>
          <w:rFonts w:ascii="Times New Roman" w:hAnsi="Times New Roman"/>
          <w:sz w:val="23"/>
          <w:lang w:val="en-US" w:bidi="en-US"/>
        </w:rPr>
        <w:t xml:space="preserve">) may opt out of the settlement (the </w:t>
      </w:r>
      <w:r w:rsidR="00365FC4" w:rsidRPr="00365FC4">
        <w:rPr>
          <w:rFonts w:ascii="Times New Roman" w:hAnsi="Times New Roman"/>
          <w:b/>
          <w:sz w:val="23"/>
          <w:lang w:val="en-US" w:bidi="en-US"/>
        </w:rPr>
        <w:t>opt-out date</w:t>
      </w:r>
      <w:r w:rsidR="00365FC4" w:rsidRPr="00365FC4">
        <w:rPr>
          <w:rFonts w:ascii="Times New Roman" w:hAnsi="Times New Roman"/>
          <w:sz w:val="23"/>
          <w:lang w:val="en-US" w:bidi="en-US"/>
        </w:rPr>
        <w:t>);</w:t>
      </w:r>
      <w:r w:rsidR="00365FC4" w:rsidRPr="00365FC4">
        <w:rPr>
          <w:rFonts w:ascii="Times New Roman" w:hAnsi="Times New Roman"/>
          <w:spacing w:val="-3"/>
          <w:sz w:val="23"/>
          <w:lang w:val="en-US" w:bidi="en-US"/>
        </w:rPr>
        <w:t xml:space="preserve"> </w:t>
      </w:r>
      <w:r w:rsidR="00365FC4" w:rsidRPr="00365FC4">
        <w:rPr>
          <w:rFonts w:ascii="Times New Roman" w:hAnsi="Times New Roman"/>
          <w:sz w:val="23"/>
          <w:lang w:val="en-US" w:bidi="en-US"/>
        </w:rPr>
        <w:t>and</w:t>
      </w:r>
    </w:p>
    <w:p w14:paraId="33E2CFF1" w14:textId="568E814E" w:rsidR="00365FC4" w:rsidRPr="00365FC4" w:rsidRDefault="00BD5C95" w:rsidP="00B73434">
      <w:pPr>
        <w:widowControl w:val="0"/>
        <w:numPr>
          <w:ilvl w:val="1"/>
          <w:numId w:val="84"/>
        </w:numPr>
        <w:tabs>
          <w:tab w:val="left" w:pos="1505"/>
          <w:tab w:val="left" w:pos="1505"/>
        </w:tabs>
        <w:autoSpaceDE w:val="0"/>
        <w:autoSpaceDN w:val="0"/>
        <w:spacing w:before="79" w:line="249" w:lineRule="auto"/>
        <w:ind w:right="304"/>
        <w:rPr>
          <w:rFonts w:ascii="Times New Roman" w:hAnsi="Times New Roman"/>
          <w:sz w:val="23"/>
          <w:lang w:val="en-US" w:bidi="en-US"/>
        </w:rPr>
      </w:pPr>
      <w:r>
        <w:rPr>
          <w:rFonts w:ascii="ZWAdobeF" w:hAnsi="ZWAdobeF" w:cs="ZWAdobeF"/>
          <w:color w:val="auto"/>
          <w:sz w:val="2"/>
          <w:szCs w:val="2"/>
          <w:lang w:val="en-US" w:bidi="en-US"/>
        </w:rPr>
        <w:t>1118B</w:t>
      </w:r>
      <w:r w:rsidR="0049638A">
        <w:rPr>
          <w:rFonts w:ascii="ZWAdobeF" w:hAnsi="ZWAdobeF" w:cs="ZWAdobeF"/>
          <w:color w:val="auto"/>
          <w:sz w:val="2"/>
          <w:szCs w:val="2"/>
          <w:lang w:val="en-US" w:bidi="en-US"/>
        </w:rPr>
        <w:t>1118B</w:t>
      </w:r>
      <w:r w:rsidR="00D629FA">
        <w:rPr>
          <w:rFonts w:ascii="ZWAdobeF" w:hAnsi="ZWAdobeF" w:cs="ZWAdobeF"/>
          <w:color w:val="auto"/>
          <w:sz w:val="2"/>
          <w:szCs w:val="2"/>
          <w:lang w:val="en-US" w:bidi="en-US"/>
        </w:rPr>
        <w:t>1118B</w:t>
      </w:r>
      <w:r w:rsidR="00365FC4" w:rsidRPr="00365FC4">
        <w:rPr>
          <w:rFonts w:ascii="Times New Roman" w:hAnsi="Times New Roman"/>
          <w:spacing w:val="-4"/>
          <w:sz w:val="23"/>
          <w:lang w:val="en-US" w:bidi="en-US"/>
        </w:rPr>
        <w:t xml:space="preserve">may, </w:t>
      </w:r>
      <w:r w:rsidR="00365FC4" w:rsidRPr="00365FC4">
        <w:rPr>
          <w:rFonts w:ascii="Times New Roman" w:hAnsi="Times New Roman"/>
          <w:sz w:val="23"/>
          <w:lang w:val="en-US" w:bidi="en-US"/>
        </w:rPr>
        <w:t>if permitted by the terms of settlement, specify a date by which persons who are eligible to opt in as a class member may do so;</w:t>
      </w:r>
      <w:r w:rsidR="00365FC4" w:rsidRPr="00365FC4">
        <w:rPr>
          <w:rFonts w:ascii="Times New Roman" w:hAnsi="Times New Roman"/>
          <w:spacing w:val="-7"/>
          <w:sz w:val="23"/>
          <w:lang w:val="en-US" w:bidi="en-US"/>
        </w:rPr>
        <w:t xml:space="preserve"> </w:t>
      </w:r>
      <w:r w:rsidR="00365FC4" w:rsidRPr="00365FC4">
        <w:rPr>
          <w:rFonts w:ascii="Times New Roman" w:hAnsi="Times New Roman"/>
          <w:sz w:val="23"/>
          <w:lang w:val="en-US" w:bidi="en-US"/>
        </w:rPr>
        <w:t>and</w:t>
      </w:r>
    </w:p>
    <w:p w14:paraId="1F5021B3" w14:textId="11431BCF" w:rsidR="00365FC4" w:rsidRPr="00365FC4" w:rsidRDefault="00BD5C95" w:rsidP="00B73434">
      <w:pPr>
        <w:widowControl w:val="0"/>
        <w:numPr>
          <w:ilvl w:val="1"/>
          <w:numId w:val="84"/>
        </w:numPr>
        <w:tabs>
          <w:tab w:val="left" w:pos="1505"/>
          <w:tab w:val="left" w:pos="1505"/>
        </w:tabs>
        <w:autoSpaceDE w:val="0"/>
        <w:autoSpaceDN w:val="0"/>
        <w:spacing w:before="82" w:line="249" w:lineRule="auto"/>
        <w:ind w:right="298" w:hanging="601"/>
        <w:rPr>
          <w:rFonts w:ascii="Times New Roman" w:hAnsi="Times New Roman"/>
          <w:sz w:val="23"/>
          <w:lang w:val="en-US" w:bidi="en-US"/>
        </w:rPr>
      </w:pPr>
      <w:r>
        <w:rPr>
          <w:rFonts w:ascii="ZWAdobeF" w:hAnsi="ZWAdobeF" w:cs="ZWAdobeF"/>
          <w:color w:val="auto"/>
          <w:sz w:val="2"/>
          <w:szCs w:val="2"/>
          <w:lang w:val="en-US" w:bidi="en-US"/>
        </w:rPr>
        <w:t>1119B</w:t>
      </w:r>
      <w:r w:rsidR="0049638A">
        <w:rPr>
          <w:rFonts w:ascii="ZWAdobeF" w:hAnsi="ZWAdobeF" w:cs="ZWAdobeF"/>
          <w:color w:val="auto"/>
          <w:sz w:val="2"/>
          <w:szCs w:val="2"/>
          <w:lang w:val="en-US" w:bidi="en-US"/>
        </w:rPr>
        <w:t>1119B</w:t>
      </w:r>
      <w:r w:rsidR="00D629FA">
        <w:rPr>
          <w:rFonts w:ascii="ZWAdobeF" w:hAnsi="ZWAdobeF" w:cs="ZWAdobeF"/>
          <w:color w:val="auto"/>
          <w:sz w:val="2"/>
          <w:szCs w:val="2"/>
          <w:lang w:val="en-US" w:bidi="en-US"/>
        </w:rPr>
        <w:t>1119B</w:t>
      </w:r>
      <w:r w:rsidR="00365FC4" w:rsidRPr="00365FC4">
        <w:rPr>
          <w:rFonts w:ascii="Times New Roman" w:hAnsi="Times New Roman"/>
          <w:sz w:val="23"/>
          <w:lang w:val="en-US" w:bidi="en-US"/>
        </w:rPr>
        <w:t>may appoint a person as an administrator to implement the settlement; and</w:t>
      </w:r>
    </w:p>
    <w:p w14:paraId="1999FE9E" w14:textId="53E4F2CA" w:rsidR="00B8648D" w:rsidRPr="00416FCA" w:rsidRDefault="00BD5C95" w:rsidP="00B73434">
      <w:pPr>
        <w:widowControl w:val="0"/>
        <w:numPr>
          <w:ilvl w:val="1"/>
          <w:numId w:val="84"/>
        </w:numPr>
        <w:tabs>
          <w:tab w:val="left" w:pos="1505"/>
          <w:tab w:val="left" w:pos="1505"/>
        </w:tabs>
        <w:autoSpaceDE w:val="0"/>
        <w:autoSpaceDN w:val="0"/>
        <w:spacing w:before="82" w:line="249" w:lineRule="auto"/>
        <w:ind w:right="299"/>
        <w:rPr>
          <w:rFonts w:ascii="Times New Roman" w:hAnsi="Times New Roman"/>
          <w:sz w:val="23"/>
          <w:lang w:val="en-US" w:bidi="en-US"/>
        </w:rPr>
      </w:pPr>
      <w:r>
        <w:rPr>
          <w:rFonts w:ascii="ZWAdobeF" w:hAnsi="ZWAdobeF" w:cs="ZWAdobeF"/>
          <w:color w:val="auto"/>
          <w:sz w:val="2"/>
          <w:szCs w:val="2"/>
          <w:lang w:val="en-US" w:bidi="en-US"/>
        </w:rPr>
        <w:t>1120B</w:t>
      </w:r>
      <w:r w:rsidR="0049638A">
        <w:rPr>
          <w:rFonts w:ascii="ZWAdobeF" w:hAnsi="ZWAdobeF" w:cs="ZWAdobeF"/>
          <w:color w:val="auto"/>
          <w:sz w:val="2"/>
          <w:szCs w:val="2"/>
          <w:lang w:val="en-US" w:bidi="en-US"/>
        </w:rPr>
        <w:t>1120B</w:t>
      </w:r>
      <w:r w:rsidR="00D629FA">
        <w:rPr>
          <w:rFonts w:ascii="ZWAdobeF" w:hAnsi="ZWAdobeF" w:cs="ZWAdobeF"/>
          <w:color w:val="auto"/>
          <w:sz w:val="2"/>
          <w:szCs w:val="2"/>
          <w:lang w:val="en-US" w:bidi="en-US"/>
        </w:rPr>
        <w:t>1120B</w:t>
      </w:r>
      <w:r w:rsidR="00365FC4" w:rsidRPr="00365FC4">
        <w:rPr>
          <w:rFonts w:ascii="Times New Roman" w:hAnsi="Times New Roman"/>
          <w:sz w:val="23"/>
          <w:lang w:val="en-US" w:bidi="en-US"/>
        </w:rPr>
        <w:t>may make other orders it considers appropriate for the administration and implementation of the</w:t>
      </w:r>
      <w:r w:rsidR="00365FC4" w:rsidRPr="00365FC4">
        <w:rPr>
          <w:rFonts w:ascii="Times New Roman" w:hAnsi="Times New Roman"/>
          <w:spacing w:val="-1"/>
          <w:sz w:val="23"/>
          <w:lang w:val="en-US" w:bidi="en-US"/>
        </w:rPr>
        <w:t xml:space="preserve"> </w:t>
      </w:r>
      <w:r w:rsidR="00365FC4" w:rsidRPr="00365FC4">
        <w:rPr>
          <w:rFonts w:ascii="Times New Roman" w:hAnsi="Times New Roman"/>
          <w:sz w:val="23"/>
          <w:lang w:val="en-US" w:bidi="en-US"/>
        </w:rPr>
        <w:t>settlement.</w:t>
      </w:r>
    </w:p>
    <w:p w14:paraId="37C5AE13" w14:textId="3469A4D3" w:rsidR="00365FC4" w:rsidRPr="00365FC4" w:rsidRDefault="00BD5C95" w:rsidP="00B73434">
      <w:pPr>
        <w:widowControl w:val="0"/>
        <w:numPr>
          <w:ilvl w:val="0"/>
          <w:numId w:val="84"/>
        </w:numPr>
        <w:tabs>
          <w:tab w:val="left" w:pos="905"/>
        </w:tabs>
        <w:autoSpaceDE w:val="0"/>
        <w:autoSpaceDN w:val="0"/>
        <w:spacing w:before="82" w:line="249" w:lineRule="auto"/>
        <w:ind w:right="299" w:hanging="601"/>
        <w:jc w:val="both"/>
        <w:rPr>
          <w:rFonts w:ascii="Times New Roman" w:hAnsi="Times New Roman"/>
          <w:sz w:val="23"/>
          <w:lang w:val="en-US" w:bidi="en-US"/>
        </w:rPr>
      </w:pPr>
      <w:r>
        <w:rPr>
          <w:rFonts w:ascii="ZWAdobeF" w:hAnsi="ZWAdobeF" w:cs="ZWAdobeF"/>
          <w:color w:val="auto"/>
          <w:sz w:val="2"/>
          <w:szCs w:val="2"/>
          <w:lang w:val="en-US" w:bidi="en-US"/>
        </w:rPr>
        <w:t>1121B</w:t>
      </w:r>
      <w:r w:rsidR="0049638A">
        <w:rPr>
          <w:rFonts w:ascii="ZWAdobeF" w:hAnsi="ZWAdobeF" w:cs="ZWAdobeF"/>
          <w:color w:val="auto"/>
          <w:sz w:val="2"/>
          <w:szCs w:val="2"/>
          <w:lang w:val="en-US" w:bidi="en-US"/>
        </w:rPr>
        <w:t>1121B</w:t>
      </w:r>
      <w:r w:rsidR="00D629FA">
        <w:rPr>
          <w:rFonts w:ascii="ZWAdobeF" w:hAnsi="ZWAdobeF" w:cs="ZWAdobeF"/>
          <w:color w:val="auto"/>
          <w:sz w:val="2"/>
          <w:szCs w:val="2"/>
          <w:lang w:val="en-US" w:bidi="en-US"/>
        </w:rPr>
        <w:t>1121B</w:t>
      </w:r>
      <w:r w:rsidR="00365FC4" w:rsidRPr="00365FC4">
        <w:rPr>
          <w:rFonts w:ascii="Times New Roman" w:hAnsi="Times New Roman"/>
          <w:sz w:val="23"/>
          <w:lang w:val="en-US" w:bidi="en-US"/>
        </w:rPr>
        <w:t>In an opt-in proceeding, it is not necessary to give an opportunity to opt out to class members who opted in to the proceeding after being notified of the proposed terms of</w:t>
      </w:r>
      <w:r w:rsidR="00365FC4" w:rsidRPr="00365FC4">
        <w:rPr>
          <w:rFonts w:ascii="Times New Roman" w:hAnsi="Times New Roman"/>
          <w:spacing w:val="-1"/>
          <w:sz w:val="23"/>
          <w:lang w:val="en-US" w:bidi="en-US"/>
        </w:rPr>
        <w:t xml:space="preserve"> </w:t>
      </w:r>
      <w:r w:rsidR="00365FC4" w:rsidRPr="00365FC4">
        <w:rPr>
          <w:rFonts w:ascii="Times New Roman" w:hAnsi="Times New Roman"/>
          <w:sz w:val="23"/>
          <w:lang w:val="en-US" w:bidi="en-US"/>
        </w:rPr>
        <w:t>settlement.</w:t>
      </w:r>
    </w:p>
    <w:p w14:paraId="35B3D809" w14:textId="582F94BB" w:rsidR="00365FC4" w:rsidRPr="00365FC4" w:rsidRDefault="00BD5C95" w:rsidP="00B73434">
      <w:pPr>
        <w:widowControl w:val="0"/>
        <w:numPr>
          <w:ilvl w:val="0"/>
          <w:numId w:val="84"/>
        </w:numPr>
        <w:tabs>
          <w:tab w:val="left" w:pos="905"/>
        </w:tabs>
        <w:autoSpaceDE w:val="0"/>
        <w:autoSpaceDN w:val="0"/>
        <w:spacing w:before="83" w:line="242" w:lineRule="auto"/>
        <w:ind w:right="299"/>
        <w:jc w:val="both"/>
        <w:rPr>
          <w:rFonts w:ascii="Times New Roman" w:hAnsi="Times New Roman"/>
          <w:sz w:val="23"/>
          <w:lang w:val="en-US" w:bidi="en-US"/>
        </w:rPr>
      </w:pPr>
      <w:r>
        <w:rPr>
          <w:rFonts w:ascii="ZWAdobeF" w:hAnsi="ZWAdobeF" w:cs="ZWAdobeF"/>
          <w:color w:val="auto"/>
          <w:sz w:val="2"/>
          <w:szCs w:val="2"/>
          <w:lang w:val="en-US" w:bidi="en-US"/>
        </w:rPr>
        <w:t>1122B</w:t>
      </w:r>
      <w:r w:rsidR="0049638A">
        <w:rPr>
          <w:rFonts w:ascii="ZWAdobeF" w:hAnsi="ZWAdobeF" w:cs="ZWAdobeF"/>
          <w:color w:val="auto"/>
          <w:sz w:val="2"/>
          <w:szCs w:val="2"/>
          <w:lang w:val="en-US" w:bidi="en-US"/>
        </w:rPr>
        <w:t>1122B</w:t>
      </w:r>
      <w:r w:rsidR="00D629FA">
        <w:rPr>
          <w:rFonts w:ascii="ZWAdobeF" w:hAnsi="ZWAdobeF" w:cs="ZWAdobeF"/>
          <w:color w:val="auto"/>
          <w:sz w:val="2"/>
          <w:szCs w:val="2"/>
          <w:lang w:val="en-US" w:bidi="en-US"/>
        </w:rPr>
        <w:t>1122B</w:t>
      </w:r>
      <w:r w:rsidR="00365FC4" w:rsidRPr="00365FC4">
        <w:rPr>
          <w:rFonts w:ascii="Times New Roman" w:hAnsi="Times New Roman"/>
          <w:sz w:val="23"/>
          <w:lang w:val="en-US" w:bidi="en-US"/>
        </w:rPr>
        <w:t xml:space="preserve">If a class member opts out of the settlement, the suspension period under </w:t>
      </w:r>
      <w:r w:rsidR="00365FC4" w:rsidRPr="00365FC4">
        <w:rPr>
          <w:rFonts w:ascii="Arial Black" w:hAnsi="Times New Roman"/>
          <w:sz w:val="19"/>
          <w:lang w:val="en-US" w:bidi="en-US"/>
        </w:rPr>
        <w:t xml:space="preserve">section 5 </w:t>
      </w:r>
      <w:r w:rsidR="00365FC4" w:rsidRPr="00365FC4">
        <w:rPr>
          <w:rFonts w:ascii="Times New Roman" w:hAnsi="Times New Roman"/>
          <w:sz w:val="23"/>
          <w:lang w:val="en-US" w:bidi="en-US"/>
        </w:rPr>
        <w:t>(relating to any limitation period that applies to their claim) ends on the day they do</w:t>
      </w:r>
      <w:r w:rsidR="00365FC4" w:rsidRPr="00365FC4">
        <w:rPr>
          <w:rFonts w:ascii="Times New Roman" w:hAnsi="Times New Roman"/>
          <w:spacing w:val="-1"/>
          <w:sz w:val="23"/>
          <w:lang w:val="en-US" w:bidi="en-US"/>
        </w:rPr>
        <w:t xml:space="preserve"> </w:t>
      </w:r>
      <w:r w:rsidR="00365FC4" w:rsidRPr="00365FC4">
        <w:rPr>
          <w:rFonts w:ascii="Times New Roman" w:hAnsi="Times New Roman"/>
          <w:sz w:val="23"/>
          <w:lang w:val="en-US" w:bidi="en-US"/>
        </w:rPr>
        <w:t>so.</w:t>
      </w:r>
    </w:p>
    <w:p w14:paraId="4F738F89" w14:textId="111E7307" w:rsidR="00365FC4" w:rsidRPr="00365FC4" w:rsidRDefault="00BD5C95" w:rsidP="00B73434">
      <w:pPr>
        <w:widowControl w:val="0"/>
        <w:numPr>
          <w:ilvl w:val="0"/>
          <w:numId w:val="84"/>
        </w:numPr>
        <w:tabs>
          <w:tab w:val="left" w:pos="905"/>
        </w:tabs>
        <w:autoSpaceDE w:val="0"/>
        <w:autoSpaceDN w:val="0"/>
        <w:spacing w:before="88" w:line="249" w:lineRule="auto"/>
        <w:ind w:right="300" w:hanging="601"/>
        <w:jc w:val="both"/>
        <w:rPr>
          <w:rFonts w:ascii="Times New Roman" w:hAnsi="Times New Roman"/>
          <w:sz w:val="23"/>
          <w:lang w:val="en-US" w:bidi="en-US"/>
        </w:rPr>
      </w:pPr>
      <w:r>
        <w:rPr>
          <w:rFonts w:ascii="ZWAdobeF" w:hAnsi="ZWAdobeF" w:cs="ZWAdobeF"/>
          <w:color w:val="auto"/>
          <w:sz w:val="2"/>
          <w:szCs w:val="2"/>
          <w:lang w:val="en-US" w:bidi="en-US"/>
        </w:rPr>
        <w:t>1123B</w:t>
      </w:r>
      <w:r w:rsidR="0049638A">
        <w:rPr>
          <w:rFonts w:ascii="ZWAdobeF" w:hAnsi="ZWAdobeF" w:cs="ZWAdobeF"/>
          <w:color w:val="auto"/>
          <w:sz w:val="2"/>
          <w:szCs w:val="2"/>
          <w:lang w:val="en-US" w:bidi="en-US"/>
        </w:rPr>
        <w:t>1123B</w:t>
      </w:r>
      <w:r w:rsidR="00D629FA">
        <w:rPr>
          <w:rFonts w:ascii="ZWAdobeF" w:hAnsi="ZWAdobeF" w:cs="ZWAdobeF"/>
          <w:color w:val="auto"/>
          <w:sz w:val="2"/>
          <w:szCs w:val="2"/>
          <w:lang w:val="en-US" w:bidi="en-US"/>
        </w:rPr>
        <w:t>1123B</w:t>
      </w:r>
      <w:r w:rsidR="00365FC4" w:rsidRPr="00365FC4">
        <w:rPr>
          <w:rFonts w:ascii="Times New Roman" w:hAnsi="Times New Roman"/>
          <w:sz w:val="23"/>
          <w:lang w:val="en-US" w:bidi="en-US"/>
        </w:rPr>
        <w:t>On the day immediately following the opt-out date, the settlement is binding on all parties to the settlement and all remaining class</w:t>
      </w:r>
      <w:r w:rsidR="00365FC4" w:rsidRPr="00365FC4">
        <w:rPr>
          <w:rFonts w:ascii="Times New Roman" w:hAnsi="Times New Roman"/>
          <w:spacing w:val="-4"/>
          <w:sz w:val="23"/>
          <w:lang w:val="en-US" w:bidi="en-US"/>
        </w:rPr>
        <w:t xml:space="preserve"> </w:t>
      </w:r>
      <w:r w:rsidR="00365FC4" w:rsidRPr="00365FC4">
        <w:rPr>
          <w:rFonts w:ascii="Times New Roman" w:hAnsi="Times New Roman"/>
          <w:sz w:val="23"/>
          <w:lang w:val="en-US" w:bidi="en-US"/>
        </w:rPr>
        <w:t>members.</w:t>
      </w:r>
    </w:p>
    <w:p w14:paraId="1F565270" w14:textId="2B3AFD91" w:rsidR="00365FC4" w:rsidRPr="00365FC4" w:rsidRDefault="00BD5C95" w:rsidP="00B73434">
      <w:pPr>
        <w:widowControl w:val="0"/>
        <w:numPr>
          <w:ilvl w:val="0"/>
          <w:numId w:val="55"/>
        </w:numPr>
        <w:tabs>
          <w:tab w:val="left" w:pos="905"/>
        </w:tabs>
        <w:autoSpaceDE w:val="0"/>
        <w:autoSpaceDN w:val="0"/>
        <w:spacing w:before="202"/>
        <w:ind w:hanging="601"/>
        <w:jc w:val="both"/>
        <w:outlineLvl w:val="2"/>
        <w:rPr>
          <w:rFonts w:ascii="Times New Roman" w:hAnsi="Times New Roman"/>
          <w:b/>
          <w:sz w:val="23"/>
          <w:szCs w:val="23"/>
          <w:lang w:val="en-US" w:bidi="en-US"/>
        </w:rPr>
      </w:pPr>
      <w:bookmarkStart w:id="110" w:name="_bookmark12"/>
      <w:bookmarkEnd w:id="110"/>
      <w:r>
        <w:rPr>
          <w:rFonts w:ascii="ZWAdobeF" w:hAnsi="ZWAdobeF" w:cs="ZWAdobeF"/>
          <w:color w:val="auto"/>
          <w:sz w:val="2"/>
          <w:szCs w:val="2"/>
          <w:lang w:val="en-US" w:bidi="en-US"/>
        </w:rPr>
        <w:t>1124B</w:t>
      </w:r>
      <w:r w:rsidR="0049638A">
        <w:rPr>
          <w:rFonts w:ascii="ZWAdobeF" w:hAnsi="ZWAdobeF" w:cs="ZWAdobeF"/>
          <w:color w:val="auto"/>
          <w:sz w:val="2"/>
          <w:szCs w:val="2"/>
          <w:lang w:val="en-US" w:bidi="en-US"/>
        </w:rPr>
        <w:t>1124B</w:t>
      </w:r>
      <w:r w:rsidR="00D629FA">
        <w:rPr>
          <w:rFonts w:ascii="ZWAdobeF" w:hAnsi="ZWAdobeF" w:cs="ZWAdobeF"/>
          <w:color w:val="auto"/>
          <w:sz w:val="2"/>
          <w:szCs w:val="2"/>
          <w:lang w:val="en-US" w:bidi="en-US"/>
        </w:rPr>
        <w:t>1124B</w:t>
      </w:r>
      <w:r w:rsidR="00365FC4" w:rsidRPr="00365FC4">
        <w:rPr>
          <w:rFonts w:ascii="Times New Roman" w:hAnsi="Times New Roman"/>
          <w:b/>
          <w:sz w:val="23"/>
          <w:szCs w:val="23"/>
          <w:lang w:val="en-US" w:bidi="en-US"/>
        </w:rPr>
        <w:t>Administration and implementation of</w:t>
      </w:r>
      <w:r w:rsidR="00365FC4" w:rsidRPr="00365FC4">
        <w:rPr>
          <w:rFonts w:ascii="Times New Roman" w:hAnsi="Times New Roman"/>
          <w:b/>
          <w:spacing w:val="-3"/>
          <w:sz w:val="23"/>
          <w:szCs w:val="23"/>
          <w:lang w:val="en-US" w:bidi="en-US"/>
        </w:rPr>
        <w:t xml:space="preserve"> </w:t>
      </w:r>
      <w:r w:rsidR="00365FC4" w:rsidRPr="00365FC4">
        <w:rPr>
          <w:rFonts w:ascii="Times New Roman" w:hAnsi="Times New Roman"/>
          <w:b/>
          <w:sz w:val="23"/>
          <w:szCs w:val="23"/>
          <w:lang w:val="en-US" w:bidi="en-US"/>
        </w:rPr>
        <w:t>settlement</w:t>
      </w:r>
    </w:p>
    <w:p w14:paraId="4DA55A18" w14:textId="43659612" w:rsidR="00365FC4" w:rsidRPr="00365FC4" w:rsidRDefault="00BD5C95" w:rsidP="00B73434">
      <w:pPr>
        <w:widowControl w:val="0"/>
        <w:numPr>
          <w:ilvl w:val="0"/>
          <w:numId w:val="63"/>
        </w:numPr>
        <w:tabs>
          <w:tab w:val="left" w:pos="905"/>
        </w:tabs>
        <w:autoSpaceDE w:val="0"/>
        <w:autoSpaceDN w:val="0"/>
        <w:spacing w:before="92" w:line="249" w:lineRule="auto"/>
        <w:ind w:right="300" w:hanging="601"/>
        <w:jc w:val="both"/>
        <w:rPr>
          <w:rFonts w:ascii="Times New Roman" w:hAnsi="Times New Roman"/>
          <w:sz w:val="23"/>
          <w:lang w:val="en-US" w:bidi="en-US"/>
        </w:rPr>
      </w:pPr>
      <w:r>
        <w:rPr>
          <w:rFonts w:ascii="ZWAdobeF" w:hAnsi="ZWAdobeF" w:cs="ZWAdobeF"/>
          <w:color w:val="auto"/>
          <w:sz w:val="2"/>
          <w:szCs w:val="2"/>
          <w:lang w:val="en-US" w:bidi="en-US"/>
        </w:rPr>
        <w:t>1125B</w:t>
      </w:r>
      <w:r w:rsidR="0049638A">
        <w:rPr>
          <w:rFonts w:ascii="ZWAdobeF" w:hAnsi="ZWAdobeF" w:cs="ZWAdobeF"/>
          <w:color w:val="auto"/>
          <w:sz w:val="2"/>
          <w:szCs w:val="2"/>
          <w:lang w:val="en-US" w:bidi="en-US"/>
        </w:rPr>
        <w:t>1125B</w:t>
      </w:r>
      <w:r w:rsidR="00D629FA">
        <w:rPr>
          <w:rFonts w:ascii="ZWAdobeF" w:hAnsi="ZWAdobeF" w:cs="ZWAdobeF"/>
          <w:color w:val="auto"/>
          <w:sz w:val="2"/>
          <w:szCs w:val="2"/>
          <w:lang w:val="en-US" w:bidi="en-US"/>
        </w:rPr>
        <w:t>1125B</w:t>
      </w:r>
      <w:r w:rsidR="00365FC4" w:rsidRPr="00365FC4">
        <w:rPr>
          <w:rFonts w:ascii="Times New Roman" w:hAnsi="Times New Roman"/>
          <w:sz w:val="23"/>
          <w:lang w:val="en-US" w:bidi="en-US"/>
        </w:rPr>
        <w:t>The court must supervise the administration and implementation of the settlement whether or not it has appointed an</w:t>
      </w:r>
      <w:r w:rsidR="00365FC4" w:rsidRPr="00365FC4">
        <w:rPr>
          <w:rFonts w:ascii="Times New Roman" w:hAnsi="Times New Roman"/>
          <w:spacing w:val="-5"/>
          <w:sz w:val="23"/>
          <w:lang w:val="en-US" w:bidi="en-US"/>
        </w:rPr>
        <w:t xml:space="preserve"> </w:t>
      </w:r>
      <w:r w:rsidR="00365FC4" w:rsidRPr="00365FC4">
        <w:rPr>
          <w:rFonts w:ascii="Times New Roman" w:hAnsi="Times New Roman"/>
          <w:sz w:val="23"/>
          <w:lang w:val="en-US" w:bidi="en-US"/>
        </w:rPr>
        <w:t>administrator.</w:t>
      </w:r>
    </w:p>
    <w:p w14:paraId="56E43FF9" w14:textId="441DB996" w:rsidR="00365FC4" w:rsidRDefault="00BD5C95" w:rsidP="00B73434">
      <w:pPr>
        <w:widowControl w:val="0"/>
        <w:numPr>
          <w:ilvl w:val="0"/>
          <w:numId w:val="63"/>
        </w:numPr>
        <w:tabs>
          <w:tab w:val="left" w:pos="905"/>
        </w:tabs>
        <w:autoSpaceDE w:val="0"/>
        <w:autoSpaceDN w:val="0"/>
        <w:spacing w:before="92" w:line="249" w:lineRule="auto"/>
        <w:ind w:right="300" w:hanging="601"/>
        <w:jc w:val="both"/>
        <w:rPr>
          <w:szCs w:val="20"/>
        </w:rPr>
      </w:pPr>
      <w:r>
        <w:rPr>
          <w:rFonts w:ascii="ZWAdobeF" w:hAnsi="ZWAdobeF" w:cs="ZWAdobeF"/>
          <w:color w:val="auto"/>
          <w:sz w:val="2"/>
          <w:szCs w:val="2"/>
          <w:lang w:val="en-US" w:bidi="en-US"/>
        </w:rPr>
        <w:t>1126B</w:t>
      </w:r>
      <w:r w:rsidR="0049638A">
        <w:rPr>
          <w:rFonts w:ascii="ZWAdobeF" w:hAnsi="ZWAdobeF" w:cs="ZWAdobeF"/>
          <w:color w:val="auto"/>
          <w:sz w:val="2"/>
          <w:szCs w:val="2"/>
          <w:lang w:val="en-US" w:bidi="en-US"/>
        </w:rPr>
        <w:t>1126B</w:t>
      </w:r>
      <w:r w:rsidR="00D629FA">
        <w:rPr>
          <w:rFonts w:ascii="ZWAdobeF" w:hAnsi="ZWAdobeF" w:cs="ZWAdobeF"/>
          <w:color w:val="auto"/>
          <w:sz w:val="2"/>
          <w:szCs w:val="2"/>
          <w:lang w:val="en-US" w:bidi="en-US"/>
        </w:rPr>
        <w:t>1126B</w:t>
      </w:r>
      <w:r w:rsidR="00365FC4" w:rsidRPr="00365FC4">
        <w:rPr>
          <w:rFonts w:ascii="Times New Roman" w:hAnsi="Times New Roman"/>
          <w:sz w:val="23"/>
          <w:lang w:val="en-US" w:bidi="en-US"/>
        </w:rPr>
        <w:t>An administrator or the parties (if the court has not appointed an administrator) must file a report with information about the process and outcome of the implementation of the settlement within 60 days of the implementation process being completed.</w:t>
      </w:r>
    </w:p>
    <w:p w14:paraId="2D7954EF" w14:textId="77777777" w:rsidR="00365FC4" w:rsidRDefault="00365FC4" w:rsidP="001E6553">
      <w:pPr>
        <w:pStyle w:val="BodyText"/>
        <w:numPr>
          <w:ilvl w:val="0"/>
          <w:numId w:val="0"/>
        </w:numPr>
        <w:tabs>
          <w:tab w:val="clear" w:pos="709"/>
        </w:tabs>
        <w:rPr>
          <w:szCs w:val="20"/>
        </w:rPr>
      </w:pPr>
    </w:p>
    <w:p w14:paraId="3EB4C10D" w14:textId="77777777" w:rsidR="001E6553" w:rsidRDefault="001E6553" w:rsidP="001E6553">
      <w:pPr>
        <w:pStyle w:val="BodyText"/>
        <w:numPr>
          <w:ilvl w:val="0"/>
          <w:numId w:val="0"/>
        </w:numPr>
        <w:tabs>
          <w:tab w:val="clear" w:pos="709"/>
        </w:tabs>
        <w:rPr>
          <w:szCs w:val="20"/>
        </w:rPr>
      </w:pPr>
    </w:p>
    <w:p w14:paraId="15208089" w14:textId="10ED2F8C" w:rsidR="00DD0F04" w:rsidRPr="003C165F" w:rsidRDefault="005B64F3" w:rsidP="001E6553">
      <w:pPr>
        <w:pStyle w:val="BodyText"/>
        <w:numPr>
          <w:ilvl w:val="0"/>
          <w:numId w:val="0"/>
        </w:numPr>
        <w:tabs>
          <w:tab w:val="clear" w:pos="709"/>
        </w:tabs>
        <w:rPr>
          <w:szCs w:val="20"/>
        </w:rPr>
      </w:pPr>
      <w:r>
        <w:rPr>
          <w:noProof/>
          <w:szCs w:val="20"/>
        </w:rPr>
        <mc:AlternateContent>
          <mc:Choice Requires="wps">
            <w:drawing>
              <wp:anchor distT="0" distB="0" distL="114300" distR="114300" simplePos="0" relativeHeight="251653215" behindDoc="1" locked="0" layoutInCell="1" allowOverlap="1" wp14:anchorId="7645B917" wp14:editId="49B64CB5">
                <wp:simplePos x="0" y="0"/>
                <wp:positionH relativeFrom="column">
                  <wp:posOffset>520</wp:posOffset>
                </wp:positionH>
                <wp:positionV relativeFrom="paragraph">
                  <wp:posOffset>272481</wp:posOffset>
                </wp:positionV>
                <wp:extent cx="1440000" cy="251847"/>
                <wp:effectExtent l="0" t="0" r="8255" b="0"/>
                <wp:wrapNone/>
                <wp:docPr id="76451809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000" cy="251847"/>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2A987C" w14:textId="77777777" w:rsidR="00A55F53" w:rsidRDefault="00A55F53" w:rsidP="00AE4954">
                            <w:pPr>
                              <w:pStyle w:val="BoxTitle"/>
                              <w:spacing w:before="0" w:beforeAutospacing="0"/>
                            </w:pPr>
                            <w:r w:rsidRPr="007F6876">
                              <w:t>QUESTION</w:t>
                            </w:r>
                          </w:p>
                        </w:txbxContent>
                      </wps:txbx>
                      <wps:bodyPr rot="0" vert="horz" wrap="square" lIns="91440" tIns="0" rIns="0" bIns="45720" anchor="ctr" anchorCtr="0" upright="1">
                        <a:noAutofit/>
                      </wps:bodyPr>
                    </wps:wsp>
                  </a:graphicData>
                </a:graphic>
              </wp:anchor>
            </w:drawing>
          </mc:Choice>
          <mc:Fallback>
            <w:pict>
              <v:shape w14:anchorId="7645B917" id="Freeform 52" o:spid="_x0000_s1567" style="position:absolute;left:0;text-align:left;margin-left:.05pt;margin-top:21.45pt;width:113.4pt;height:19.85pt;z-index:-251663265;visibility:visible;mso-wrap-style:square;mso-wrap-distance-left:9pt;mso-wrap-distance-top:0;mso-wrap-distance-right:9pt;mso-wrap-distance-bottom:0;mso-position-horizontal:absolute;mso-position-horizontal-relative:text;mso-position-vertical:absolute;mso-position-vertical-relative:text;v-text-anchor:middle" coordsize="1440000,2518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" adj="-11796480,,5400" path="m,l1314077,r125923,125924l1440000,251847,,251847,,xe" fillcolor="#72ab6a" stroked="f">
                <v:stroke joinstyle="round"/>
                <v:formulas/>
                <v:path arrowok="t" o:connecttype="custom" o:connectlocs="0,0;1314077,0;1440000,125924;1440000,251847;0,251847;0,0" o:connectangles="0,0,0,0,0,0" textboxrect="0,0,1440000,251847"/>
                <v:textbox inset=",0,0">
                  <w:txbxContent>
                    <w:p w14:paraId="452A987C" w14:textId="77777777" w:rsidR="00A55F53" w:rsidRDefault="00A55F53" w:rsidP="00AE4954">
                      <w:pPr>
                        <w:pStyle w:val="BoxTitle"/>
                        <w:spacing w:before="0" w:beforeAutospacing="0"/>
                      </w:pPr>
                      <w:r w:rsidRPr="007F6876">
                        <w:t>QUESTION</w:t>
                      </w:r>
                    </w:p>
                  </w:txbxContent>
                </v:textbox>
              </v:shape>
            </w:pict>
          </mc:Fallback>
        </mc:AlternateContent>
      </w:r>
    </w:p>
    <w:p w14:paraId="79252B02" w14:textId="3696A193" w:rsidR="00AE4954" w:rsidRDefault="005B64F3" w:rsidP="00AE4954">
      <w:pPr>
        <w:pStyle w:val="QuestionBox"/>
      </w:pPr>
      <w:r>
        <w:rPr>
          <w:noProof/>
        </w:rPr>
        <mc:AlternateContent>
          <mc:Choice Requires="wpg">
            <w:drawing>
              <wp:anchor distT="0" distB="0" distL="114300" distR="114300" simplePos="0" relativeHeight="251654239" behindDoc="1" locked="0" layoutInCell="1" allowOverlap="1" wp14:anchorId="4BC158C5" wp14:editId="71A99331">
                <wp:simplePos x="0" y="0"/>
                <wp:positionH relativeFrom="column">
                  <wp:posOffset>520</wp:posOffset>
                </wp:positionH>
                <wp:positionV relativeFrom="paragraph">
                  <wp:posOffset>255163</wp:posOffset>
                </wp:positionV>
                <wp:extent cx="5760085" cy="1270694"/>
                <wp:effectExtent l="0" t="0" r="0" b="5715"/>
                <wp:wrapNone/>
                <wp:docPr id="76451809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694"/>
                          <a:chOff x="1837" y="1792"/>
                          <a:chExt cx="9302" cy="13734"/>
                        </a:xfrm>
                      </wpg:grpSpPr>
                      <wps:wsp>
                        <wps:cNvPr id="764518100" name="Freeform 54"/>
                        <wps:cNvSpPr>
                          <a:spLocks/>
                        </wps:cNvSpPr>
                        <wps:spPr bwMode="auto">
                          <a:xfrm>
                            <a:off x="1837" y="1792"/>
                            <a:ext cx="9302" cy="137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14FEC8F" id="Group 53" o:spid="_x0000_s1026" style="position:absolute;margin-left:.05pt;margin-top:20.1pt;width:453.55pt;height:100.05pt;z-index:-251662241;mso-height-relative:margin" coordorigin="1837,1792" coordsize="9302,1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">
                <v:shape id="Freeform 54" o:spid="_x0000_s1027" style="position:absolute;left:1837;top:1792;width:9302;height:1373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" path="m,l9354,r,7809l,7809,,e" fillcolor="#edf2ea" stroked="f">
                  <v:path arrowok="t" o:connecttype="custom" o:connectlocs="0,1759;9302,1759;9302,15493;0,15493;0,1759" o:connectangles="0,0,0,0,0"/>
                </v:shape>
              </v:group>
            </w:pict>
          </mc:Fallback>
        </mc:AlternateContent>
      </w:r>
    </w:p>
    <w:p w14:paraId="0B6BE486" w14:textId="47212039" w:rsidR="00AE4954" w:rsidRDefault="005B64F3" w:rsidP="00AE4954">
      <w:pPr>
        <w:pStyle w:val="QuestionBox"/>
      </w:pPr>
      <w:r>
        <w:rPr>
          <w:noProof/>
        </w:rPr>
        <mc:AlternateContent>
          <mc:Choice Requires="wpg">
            <w:drawing>
              <wp:anchor distT="0" distB="0" distL="114300" distR="114300" simplePos="0" relativeHeight="251655263" behindDoc="1" locked="0" layoutInCell="1" allowOverlap="1" wp14:anchorId="3AD03F61" wp14:editId="1180BE08">
                <wp:simplePos x="0" y="0"/>
                <wp:positionH relativeFrom="column">
                  <wp:posOffset>520</wp:posOffset>
                </wp:positionH>
                <wp:positionV relativeFrom="paragraph">
                  <wp:posOffset>169990</wp:posOffset>
                </wp:positionV>
                <wp:extent cx="1443794" cy="251847"/>
                <wp:effectExtent l="0" t="0" r="42545" b="0"/>
                <wp:wrapNone/>
                <wp:docPr id="764518101" name="Group 764518101"/>
                <wp:cNvGraphicFramePr/>
                <a:graphic xmlns:a="http://schemas.openxmlformats.org/drawingml/2006/main">
                  <a:graphicData uri="http://schemas.microsoft.com/office/word/2010/wordprocessingGroup">
                    <wpg:wgp>
                      <wpg:cNvGrpSpPr/>
                      <wpg:grpSpPr>
                        <a:xfrm>
                          <a:off x="0" y="0"/>
                          <a:ext cx="1443794" cy="251847"/>
                          <a:chOff x="-15880" y="0"/>
                          <a:chExt cx="1444379" cy="252068"/>
                        </a:xfrm>
                      </wpg:grpSpPr>
                      <wps:wsp>
                        <wps:cNvPr id="764518102"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51810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F06BA3" w14:textId="183975C1" w:rsidR="00A55F53" w:rsidRPr="00E700FF" w:rsidRDefault="00A55F53" w:rsidP="00AE4954">
                              <w:pPr>
                                <w:pStyle w:val="BoxTitle"/>
                                <w:spacing w:before="0" w:beforeAutospacing="0"/>
                              </w:pPr>
                              <w:r w:rsidRPr="001C1B37">
                                <w:t>Q</w:t>
                              </w:r>
                              <w:r>
                                <w:t>53</w:t>
                              </w:r>
                            </w:p>
                          </w:txbxContent>
                        </wps:txbx>
                        <wps:bodyPr rot="0" vert="horz" wrap="square" lIns="54000" tIns="82800" rIns="91440" bIns="45720" anchor="ctr" anchorCtr="0" upright="1">
                          <a:noAutofit/>
                        </wps:bodyPr>
                      </wps:wsp>
                    </wpg:wgp>
                  </a:graphicData>
                </a:graphic>
              </wp:anchor>
            </w:drawing>
          </mc:Choice>
          <mc:Fallback>
            <w:pict>
              <v:group w14:anchorId="3AD03F61" id="Group 764518101" o:spid="_x0000_s1568" style="position:absolute;left:0;text-align:left;margin-left:.05pt;margin-top:13.4pt;width:113.7pt;height:19.85pt;z-index:-25166121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">
                <v:shape id="Freeform 58" o:spid="_x0000_s1569"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" path="m,l1815,e" filled="f" strokecolor="#72ab6a" strokeweight=".5pt">
                  <v:path arrowok="t" o:connecttype="custom" o:connectlocs="0,0;1073495,0" o:connectangles="0,0"/>
                </v:shape>
                <v:shape id="Freeform 66" o:spid="_x0000_s157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7F06BA3" w14:textId="183975C1" w:rsidR="00A55F53" w:rsidRPr="00E700FF" w:rsidRDefault="00A55F53" w:rsidP="00AE4954">
                        <w:pPr>
                          <w:pStyle w:val="BoxTitle"/>
                          <w:spacing w:before="0" w:beforeAutospacing="0"/>
                        </w:pPr>
                        <w:r w:rsidRPr="001C1B37">
                          <w:t>Q</w:t>
                        </w:r>
                        <w:r>
                          <w:t>53</w:t>
                        </w:r>
                      </w:p>
                    </w:txbxContent>
                  </v:textbox>
                </v:shape>
              </v:group>
            </w:pict>
          </mc:Fallback>
        </mc:AlternateContent>
      </w:r>
    </w:p>
    <w:p w14:paraId="1AEFB734" w14:textId="44E2993E" w:rsidR="00DD0F04" w:rsidRDefault="00BD5C95" w:rsidP="00AE4954">
      <w:pPr>
        <w:pStyle w:val="QuestionBox"/>
      </w:pPr>
      <w:r>
        <w:rPr>
          <w:rFonts w:ascii="ZWAdobeF" w:hAnsi="ZWAdobeF" w:cs="ZWAdobeF"/>
          <w:color w:val="auto"/>
          <w:sz w:val="2"/>
          <w:szCs w:val="2"/>
        </w:rPr>
        <w:t>1458B</w:t>
      </w:r>
      <w:r w:rsidR="0049638A">
        <w:rPr>
          <w:rFonts w:ascii="ZWAdobeF" w:hAnsi="ZWAdobeF" w:cs="ZWAdobeF"/>
          <w:color w:val="auto"/>
          <w:sz w:val="2"/>
          <w:szCs w:val="2"/>
        </w:rPr>
        <w:t>1458B</w:t>
      </w:r>
      <w:r w:rsidR="00D629FA">
        <w:rPr>
          <w:rFonts w:ascii="ZWAdobeF" w:hAnsi="ZWAdobeF" w:cs="ZWAdobeF"/>
          <w:color w:val="auto"/>
          <w:sz w:val="2"/>
          <w:szCs w:val="2"/>
        </w:rPr>
        <w:t>1458B</w:t>
      </w:r>
      <w:r w:rsidR="00DD0F04">
        <w:t>Do you have any other feedback on our proposed settlement provision</w:t>
      </w:r>
      <w:r w:rsidR="009C6EC2">
        <w:t>s</w:t>
      </w:r>
      <w:r w:rsidR="00DD0F04">
        <w:t>?</w:t>
      </w:r>
    </w:p>
    <w:p w14:paraId="4AD0C2CB" w14:textId="5CDDFABB" w:rsidR="005B64F3" w:rsidRDefault="00B6045D" w:rsidP="005B64F3">
      <w:pPr>
        <w:pStyle w:val="QuestionBox"/>
        <w:jc w:val="center"/>
      </w:pPr>
      <w:r>
        <w:rPr>
          <w:noProof/>
        </w:rPr>
        <mc:AlternateContent>
          <mc:Choice Requires="wpg">
            <w:drawing>
              <wp:anchor distT="0" distB="0" distL="114300" distR="114300" simplePos="0" relativeHeight="251657315" behindDoc="1" locked="0" layoutInCell="1" allowOverlap="1" wp14:anchorId="1F076950" wp14:editId="1306FCDF">
                <wp:simplePos x="0" y="0"/>
                <wp:positionH relativeFrom="column">
                  <wp:posOffset>520</wp:posOffset>
                </wp:positionH>
                <wp:positionV relativeFrom="paragraph">
                  <wp:posOffset>143832</wp:posOffset>
                </wp:positionV>
                <wp:extent cx="1443794" cy="251847"/>
                <wp:effectExtent l="0" t="0" r="42545" b="0"/>
                <wp:wrapNone/>
                <wp:docPr id="22" name="Group 22"/>
                <wp:cNvGraphicFramePr/>
                <a:graphic xmlns:a="http://schemas.openxmlformats.org/drawingml/2006/main">
                  <a:graphicData uri="http://schemas.microsoft.com/office/word/2010/wordprocessingGroup">
                    <wpg:wgp>
                      <wpg:cNvGrpSpPr/>
                      <wpg:grpSpPr>
                        <a:xfrm>
                          <a:off x="0" y="0"/>
                          <a:ext cx="1443794" cy="251847"/>
                          <a:chOff x="-15880" y="0"/>
                          <a:chExt cx="1444379" cy="252068"/>
                        </a:xfrm>
                      </wpg:grpSpPr>
                      <wps:wsp>
                        <wps:cNvPr id="23" name="Freeform 58"/>
                        <wps:cNvSpPr>
                          <a:spLocks/>
                        </wps:cNvSpPr>
                        <wps:spPr bwMode="auto">
                          <a:xfrm>
                            <a:off x="355595" y="1992"/>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66"/>
                        <wps:cNvSpPr>
                          <a:spLocks/>
                        </wps:cNvSpPr>
                        <wps:spPr bwMode="auto">
                          <a:xfrm>
                            <a:off x="-15880" y="0"/>
                            <a:ext cx="403363"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B00F0B" w14:textId="5BED4B1E" w:rsidR="00B6045D" w:rsidRPr="00E700FF" w:rsidRDefault="00B6045D" w:rsidP="00B6045D">
                              <w:pPr>
                                <w:pStyle w:val="BoxTitle"/>
                                <w:spacing w:before="0" w:beforeAutospacing="0"/>
                              </w:pPr>
                              <w:r w:rsidRPr="001C1B37">
                                <w:t>Q</w:t>
                              </w:r>
                              <w:r>
                                <w:t>54</w:t>
                              </w:r>
                            </w:p>
                          </w:txbxContent>
                        </wps:txbx>
                        <wps:bodyPr rot="0" vert="horz" wrap="square" lIns="54000" tIns="82800" rIns="91440" bIns="45720" anchor="ctr" anchorCtr="0" upright="1">
                          <a:noAutofit/>
                        </wps:bodyPr>
                      </wps:wsp>
                    </wpg:wgp>
                  </a:graphicData>
                </a:graphic>
              </wp:anchor>
            </w:drawing>
          </mc:Choice>
          <mc:Fallback>
            <w:pict>
              <v:group w14:anchorId="1F076950" id="Group 22" o:spid="_x0000_s1571" style="position:absolute;left:0;text-align:left;margin-left:.05pt;margin-top:11.35pt;width:113.7pt;height:19.85pt;z-index:-25165916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">
                <v:shape id="Freeform 58" o:spid="_x0000_s1572" style="position:absolute;left:3555;top:19;width:10729;height:7;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" path="m,l1815,e" filled="f" strokecolor="#72ab6a" strokeweight=".5pt">
                  <v:path arrowok="t" o:connecttype="custom" o:connectlocs="0,0;1073495,0" o:connectangles="0,0"/>
                </v:shape>
                <v:shape id="Freeform 66" o:spid="_x0000_s1573" style="position:absolute;left:-158;width:403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" adj="-11796480,,5400" path="m,470r642,l642,,,,,470e" fillcolor="#72ab6a" stroked="f">
                  <v:stroke joinstyle="round"/>
                  <v:formulas/>
                  <v:path arrowok="t" o:connecttype="custom" o:connectlocs="0,2317953;402736,2317953;402736,2065885;0,2065885;0,2317953" o:connectangles="0,0,0,0,0" textboxrect="0,0,643,470"/>
                  <v:textbox inset="1.5mm,2.3mm">
                    <w:txbxContent>
                      <w:p w14:paraId="22B00F0B" w14:textId="5BED4B1E" w:rsidR="00B6045D" w:rsidRPr="00E700FF" w:rsidRDefault="00B6045D" w:rsidP="00B6045D">
                        <w:pPr>
                          <w:pStyle w:val="BoxTitle"/>
                          <w:spacing w:before="0" w:beforeAutospacing="0"/>
                        </w:pPr>
                        <w:r w:rsidRPr="001C1B37">
                          <w:t>Q</w:t>
                        </w:r>
                        <w:r>
                          <w:t>54</w:t>
                        </w:r>
                      </w:p>
                    </w:txbxContent>
                  </v:textbox>
                </v:shape>
              </v:group>
            </w:pict>
          </mc:Fallback>
        </mc:AlternateContent>
      </w:r>
    </w:p>
    <w:p w14:paraId="3FF875D0" w14:textId="10AC8121" w:rsidR="00440357" w:rsidRPr="00D37FCE" w:rsidRDefault="00416FCA" w:rsidP="000A349A">
      <w:pPr>
        <w:pStyle w:val="QuestionBox"/>
        <w:sectPr w:rsidR="00440357" w:rsidRPr="00D37FCE" w:rsidSect="00FD6721">
          <w:headerReference w:type="default" r:id="rId43"/>
          <w:footerReference w:type="even" r:id="rId44"/>
          <w:footnotePr>
            <w:numRestart w:val="eachSect"/>
          </w:footnotePr>
          <w:type w:val="nextColumn"/>
          <w:pgSz w:w="11907" w:h="16840" w:code="9"/>
          <w:pgMar w:top="1134" w:right="1134" w:bottom="1134" w:left="1701" w:header="499" w:footer="46" w:gutter="0"/>
          <w:cols w:space="720"/>
        </w:sectPr>
      </w:pPr>
      <w:r w:rsidRPr="00D37FCE">
        <w:rPr>
          <w:rFonts w:eastAsiaTheme="minorHAnsi"/>
          <w:noProof/>
          <w:lang w:eastAsia="en-NZ"/>
        </w:rPr>
        <mc:AlternateContent>
          <mc:Choice Requires="wpg">
            <w:drawing>
              <wp:anchor distT="0" distB="0" distL="114300" distR="114300" simplePos="0" relativeHeight="251651110" behindDoc="1" locked="0" layoutInCell="1" allowOverlap="1" wp14:anchorId="0BAE338E" wp14:editId="0E1FA0D3">
                <wp:simplePos x="0" y="0"/>
                <wp:positionH relativeFrom="page">
                  <wp:posOffset>996596</wp:posOffset>
                </wp:positionH>
                <wp:positionV relativeFrom="paragraph">
                  <wp:posOffset>1129401</wp:posOffset>
                </wp:positionV>
                <wp:extent cx="2412000" cy="1270"/>
                <wp:effectExtent l="0" t="19050" r="26670" b="17780"/>
                <wp:wrapNone/>
                <wp:docPr id="76451813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813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625D" id="Group 135" o:spid="_x0000_s1026" style="position:absolute;margin-left:78.45pt;margin-top:88.95pt;width:189.9pt;height:.1pt;z-index:-25166537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r w:rsidR="00BD5C95">
        <w:rPr>
          <w:rFonts w:ascii="ZWAdobeF" w:hAnsi="ZWAdobeF" w:cs="ZWAdobeF"/>
          <w:color w:val="auto"/>
          <w:sz w:val="2"/>
          <w:szCs w:val="2"/>
        </w:rPr>
        <w:t>1459B</w:t>
      </w:r>
      <w:r w:rsidR="0049638A">
        <w:rPr>
          <w:rFonts w:ascii="ZWAdobeF" w:hAnsi="ZWAdobeF" w:cs="ZWAdobeF"/>
          <w:color w:val="auto"/>
          <w:sz w:val="2"/>
          <w:szCs w:val="2"/>
        </w:rPr>
        <w:t>1459B</w:t>
      </w:r>
      <w:r w:rsidR="00D629FA">
        <w:rPr>
          <w:rFonts w:ascii="ZWAdobeF" w:hAnsi="ZWAdobeF" w:cs="ZWAdobeF"/>
          <w:color w:val="auto"/>
          <w:sz w:val="2"/>
          <w:szCs w:val="2"/>
        </w:rPr>
        <w:t>1459B</w:t>
      </w:r>
      <w:r w:rsidR="00B53107">
        <w:t>I</w:t>
      </w:r>
      <w:r w:rsidR="008D0C05">
        <w:t xml:space="preserve">s there </w:t>
      </w:r>
      <w:r w:rsidR="008D0C05" w:rsidRPr="008C1C4A">
        <w:t>anything</w:t>
      </w:r>
      <w:r w:rsidR="008D0C05">
        <w:t xml:space="preserve"> else you would like to tell us?</w:t>
      </w:r>
    </w:p>
    <w:bookmarkStart w:id="111" w:name="_Hlk56598759"/>
    <w:p w14:paraId="007FFD3A" w14:textId="5207CF67" w:rsidR="00416FCA" w:rsidRPr="00D37FCE" w:rsidRDefault="00416FCA" w:rsidP="00B73434">
      <w:pPr>
        <w:pStyle w:val="HEADING2topchapter-notinTOC"/>
        <w:numPr>
          <w:ilvl w:val="0"/>
          <w:numId w:val="87"/>
        </w:numPr>
        <w:spacing w:line="200" w:lineRule="exact"/>
      </w:pPr>
      <w:r w:rsidRPr="00D37FCE">
        <w:rPr>
          <w:noProof/>
          <w:lang w:eastAsia="en-NZ"/>
        </w:rPr>
        <w:lastRenderedPageBreak/>
        <mc:AlternateContent>
          <mc:Choice Requires="wpg">
            <w:drawing>
              <wp:anchor distT="0" distB="0" distL="114300" distR="114300" simplePos="0" relativeHeight="251655264" behindDoc="1" locked="0" layoutInCell="1" allowOverlap="1" wp14:anchorId="5157808F" wp14:editId="6E697FC3">
                <wp:simplePos x="0" y="0"/>
                <wp:positionH relativeFrom="margin">
                  <wp:align>left</wp:align>
                </wp:positionH>
                <wp:positionV relativeFrom="paragraph">
                  <wp:posOffset>243947</wp:posOffset>
                </wp:positionV>
                <wp:extent cx="1332230" cy="1270"/>
                <wp:effectExtent l="0" t="19050" r="20320" b="1778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BD794" id="Group 180" o:spid="_x0000_s1026" style="position:absolute;margin-left:0;margin-top:19.2pt;width:104.9pt;height:.1pt;z-index:-251661216;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" path="m,l2098,e" filled="f" strokecolor="#73ab6e" strokeweight="3pt">
                  <v:path arrowok="t" o:connecttype="custom" o:connectlocs="0,0;2098,0" o:connectangles="0,0"/>
                </v:shape>
                <w10:wrap anchorx="margin"/>
              </v:group>
            </w:pict>
          </mc:Fallback>
        </mc:AlternateContent>
      </w:r>
      <w:r w:rsidR="00BD5C95">
        <w:rPr>
          <w:rFonts w:ascii="ZWAdobeF" w:hAnsi="ZWAdobeF" w:cs="ZWAdobeF"/>
          <w:b w:val="0"/>
          <w:color w:val="auto"/>
          <w:sz w:val="2"/>
          <w:szCs w:val="2"/>
        </w:rPr>
        <w:t>942B</w:t>
      </w:r>
      <w:r w:rsidR="0049638A">
        <w:rPr>
          <w:rFonts w:ascii="ZWAdobeF" w:hAnsi="ZWAdobeF" w:cs="ZWAdobeF"/>
          <w:b w:val="0"/>
          <w:color w:val="auto"/>
          <w:sz w:val="2"/>
          <w:szCs w:val="2"/>
        </w:rPr>
        <w:t>942B</w:t>
      </w:r>
      <w:r w:rsidR="00D629FA">
        <w:rPr>
          <w:rFonts w:ascii="ZWAdobeF" w:hAnsi="ZWAdobeF" w:cs="ZWAdobeF"/>
          <w:b w:val="0"/>
          <w:color w:val="auto"/>
          <w:sz w:val="2"/>
          <w:szCs w:val="2"/>
        </w:rPr>
        <w:t>942B</w:t>
      </w:r>
      <w:r>
        <w:t>APPENDIX 1</w:t>
      </w:r>
    </w:p>
    <w:p w14:paraId="49223DA9" w14:textId="77777777" w:rsidR="00416FCA" w:rsidRPr="00D37FCE" w:rsidRDefault="00416FCA" w:rsidP="00416FCA">
      <w:pPr>
        <w:pStyle w:val="BodyTextalphalist"/>
        <w:rPr>
          <w:noProof/>
          <w:sz w:val="2"/>
          <w:szCs w:val="6"/>
        </w:rPr>
      </w:pPr>
    </w:p>
    <w:bookmarkStart w:id="112" w:name="_Toc83895466"/>
    <w:p w14:paraId="41A460F3" w14:textId="7D2DB294" w:rsidR="00416FCA" w:rsidRPr="001B7333" w:rsidRDefault="00265A9F" w:rsidP="00265A9F">
      <w:pPr>
        <w:pStyle w:val="Heading1nonum"/>
        <w:spacing w:before="360"/>
        <w:rPr>
          <w:rFonts w:eastAsia="Cordia New"/>
          <w:color w:val="7FB177"/>
          <w:szCs w:val="66"/>
        </w:rPr>
      </w:pPr>
      <w:r w:rsidRPr="00D37FCE">
        <w:rPr>
          <w:noProof/>
          <w:lang w:eastAsia="en-NZ"/>
        </w:rPr>
        <mc:AlternateContent>
          <mc:Choice Requires="wpg">
            <w:drawing>
              <wp:anchor distT="0" distB="0" distL="114300" distR="114300" simplePos="0" relativeHeight="251655265" behindDoc="1" locked="0" layoutInCell="1" allowOverlap="1" wp14:anchorId="0825167A" wp14:editId="6057561F">
                <wp:simplePos x="0" y="0"/>
                <wp:positionH relativeFrom="margin">
                  <wp:posOffset>0</wp:posOffset>
                </wp:positionH>
                <wp:positionV relativeFrom="paragraph">
                  <wp:posOffset>1547495</wp:posOffset>
                </wp:positionV>
                <wp:extent cx="1332230" cy="1270"/>
                <wp:effectExtent l="0" t="19050" r="20320" b="1778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1944F" id="Group 183" o:spid="_x0000_s1026" style="position:absolute;margin-left:0;margin-top:121.85pt;width:104.9pt;height:.1pt;z-index:-251661215;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" path="m,l2098,e" filled="f" strokecolor="#73ab6e" strokeweight="3pt">
                  <v:path arrowok="t" o:connecttype="custom" o:connectlocs="0,0;2098,0" o:connectangles="0,0"/>
                </v:shape>
                <w10:wrap anchorx="margin"/>
              </v:group>
            </w:pict>
          </mc:Fallback>
        </mc:AlternateContent>
      </w:r>
      <w:r w:rsidR="00593CAA">
        <w:t>P</w:t>
      </w:r>
      <w:r w:rsidR="00593CAA" w:rsidRPr="00593CAA">
        <w:t>rocess for settlement post-certification</w:t>
      </w:r>
      <w:bookmarkEnd w:id="112"/>
      <w:r w:rsidR="00416FCA" w:rsidRPr="001B7333">
        <w:rPr>
          <w:color w:val="7FB177"/>
          <w:szCs w:val="66"/>
        </w:rPr>
        <w:t xml:space="preserve"> </w:t>
      </w:r>
    </w:p>
    <w:p w14:paraId="5A282670" w14:textId="254FB05D" w:rsidR="00416FCA" w:rsidRPr="00D37FCE" w:rsidRDefault="00416FCA" w:rsidP="00416FCA">
      <w:pPr>
        <w:pStyle w:val="BodyTextalphalist"/>
        <w:ind w:left="0" w:firstLine="0"/>
        <w:rPr>
          <w:szCs w:val="20"/>
        </w:rPr>
      </w:pPr>
    </w:p>
    <w:p w14:paraId="2F92FF31" w14:textId="5FE52EEB" w:rsidR="00416FCA" w:rsidRDefault="00642955" w:rsidP="00416FCA">
      <w:pPr>
        <w:pStyle w:val="BodyText"/>
        <w:numPr>
          <w:ilvl w:val="0"/>
          <w:numId w:val="0"/>
        </w:numPr>
        <w:ind w:left="709" w:hanging="709"/>
      </w:pPr>
      <w:r>
        <w:rPr>
          <w:noProof/>
        </w:rPr>
        <mc:AlternateContent>
          <mc:Choice Requires="wpg">
            <w:drawing>
              <wp:anchor distT="0" distB="0" distL="114300" distR="114300" simplePos="0" relativeHeight="251655267" behindDoc="0" locked="0" layoutInCell="1" allowOverlap="1" wp14:anchorId="7645CB07" wp14:editId="118FCDE3">
                <wp:simplePos x="0" y="0"/>
                <wp:positionH relativeFrom="column">
                  <wp:posOffset>29218</wp:posOffset>
                </wp:positionH>
                <wp:positionV relativeFrom="paragraph">
                  <wp:posOffset>79515</wp:posOffset>
                </wp:positionV>
                <wp:extent cx="5608524" cy="7082798"/>
                <wp:effectExtent l="76200" t="57150" r="68580" b="99060"/>
                <wp:wrapNone/>
                <wp:docPr id="297" name="Group 297"/>
                <wp:cNvGraphicFramePr/>
                <a:graphic xmlns:a="http://schemas.openxmlformats.org/drawingml/2006/main">
                  <a:graphicData uri="http://schemas.microsoft.com/office/word/2010/wordprocessingGroup">
                    <wpg:wgp>
                      <wpg:cNvGrpSpPr/>
                      <wpg:grpSpPr>
                        <a:xfrm>
                          <a:off x="0" y="0"/>
                          <a:ext cx="5608524" cy="7082798"/>
                          <a:chOff x="0" y="0"/>
                          <a:chExt cx="5608524" cy="7082798"/>
                        </a:xfrm>
                      </wpg:grpSpPr>
                      <wps:wsp>
                        <wps:cNvPr id="272" name="Flowchart: Alternate Process 272"/>
                        <wps:cNvSpPr/>
                        <wps:spPr>
                          <a:xfrm>
                            <a:off x="0" y="0"/>
                            <a:ext cx="4158465" cy="384969"/>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55C2365A" w14:textId="77777777" w:rsidR="00265A9F" w:rsidRPr="00265A9F" w:rsidRDefault="00265A9F" w:rsidP="00265A9F">
                              <w:pPr>
                                <w:spacing w:before="120"/>
                                <w:jc w:val="center"/>
                                <w:rPr>
                                  <w:b/>
                                  <w:bCs/>
                                  <w:color w:val="FFFFFF" w:themeColor="background1"/>
                                </w:rPr>
                              </w:pPr>
                              <w:r w:rsidRPr="00265A9F">
                                <w:rPr>
                                  <w:b/>
                                  <w:bCs/>
                                  <w:color w:val="FFFFFF" w:themeColor="background1"/>
                                </w:rPr>
                                <w:t>Class action commenced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Flowchart: Alternate Process 273"/>
                        <wps:cNvSpPr/>
                        <wps:spPr>
                          <a:xfrm>
                            <a:off x="0" y="558140"/>
                            <a:ext cx="4158374" cy="384609"/>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16AC05FF" w14:textId="77777777" w:rsidR="00265A9F" w:rsidRPr="00265A9F" w:rsidRDefault="00265A9F" w:rsidP="00265A9F">
                              <w:pPr>
                                <w:spacing w:before="120"/>
                                <w:jc w:val="center"/>
                                <w:rPr>
                                  <w:b/>
                                  <w:bCs/>
                                  <w:color w:val="FFFFFF" w:themeColor="background1"/>
                                </w:rPr>
                              </w:pPr>
                              <w:r w:rsidRPr="00265A9F">
                                <w:rPr>
                                  <w:b/>
                                  <w:bCs/>
                                  <w:color w:val="FFFFFF" w:themeColor="background1"/>
                                </w:rPr>
                                <w:t>Court grants certification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Flowchart: Alternate Process 274"/>
                        <wps:cNvSpPr/>
                        <wps:spPr>
                          <a:xfrm>
                            <a:off x="11876" y="1140031"/>
                            <a:ext cx="4158465" cy="589232"/>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606ED64F" w14:textId="77777777" w:rsidR="00265A9F" w:rsidRPr="00265A9F" w:rsidRDefault="00265A9F" w:rsidP="00265A9F">
                              <w:pPr>
                                <w:spacing w:before="120"/>
                                <w:jc w:val="center"/>
                                <w:rPr>
                                  <w:b/>
                                  <w:bCs/>
                                  <w:color w:val="FFFFFF" w:themeColor="background1"/>
                                </w:rPr>
                              </w:pPr>
                              <w:r w:rsidRPr="00265A9F">
                                <w:rPr>
                                  <w:b/>
                                  <w:bCs/>
                                  <w:color w:val="FFFFFF" w:themeColor="background1"/>
                                </w:rPr>
                                <w:t>Notice to class members. Class members given opportunity to opt-in or opt-out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Flowchart: Alternate Process 275"/>
                        <wps:cNvSpPr/>
                        <wps:spPr>
                          <a:xfrm>
                            <a:off x="11876" y="1911927"/>
                            <a:ext cx="4158374" cy="609508"/>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17208A44" w14:textId="77777777" w:rsidR="00265A9F" w:rsidRPr="00265A9F" w:rsidRDefault="00265A9F" w:rsidP="00265A9F">
                              <w:pPr>
                                <w:spacing w:before="120"/>
                                <w:jc w:val="center"/>
                                <w:rPr>
                                  <w:b/>
                                  <w:bCs/>
                                  <w:color w:val="FFFFFF" w:themeColor="background1"/>
                                </w:rPr>
                              </w:pPr>
                              <w:r w:rsidRPr="00265A9F">
                                <w:rPr>
                                  <w:b/>
                                  <w:bCs/>
                                  <w:color w:val="FFFFFF" w:themeColor="background1"/>
                                </w:rPr>
                                <w:t>Parties reach a settlement and file an application for settlement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Flowchart: Alternate Process 276"/>
                        <wps:cNvSpPr/>
                        <wps:spPr>
                          <a:xfrm>
                            <a:off x="11876" y="2707574"/>
                            <a:ext cx="4158374" cy="384609"/>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566505F4" w14:textId="77777777" w:rsidR="00265A9F" w:rsidRPr="00265A9F" w:rsidRDefault="00265A9F" w:rsidP="00265A9F">
                              <w:pPr>
                                <w:spacing w:before="120"/>
                                <w:jc w:val="center"/>
                                <w:rPr>
                                  <w:b/>
                                  <w:bCs/>
                                  <w:color w:val="FFFFFF" w:themeColor="background1"/>
                                </w:rPr>
                              </w:pPr>
                              <w:r w:rsidRPr="00265A9F">
                                <w:rPr>
                                  <w:b/>
                                  <w:bCs/>
                                  <w:color w:val="FFFFFF" w:themeColor="background1"/>
                                </w:rPr>
                                <w:t>Notice of proposed settlement to class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Flowchart: Alternate Process 277"/>
                        <wps:cNvSpPr/>
                        <wps:spPr>
                          <a:xfrm>
                            <a:off x="11876" y="3265714"/>
                            <a:ext cx="4158374" cy="384609"/>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7CA244C4" w14:textId="77777777" w:rsidR="00265A9F" w:rsidRPr="00265A9F" w:rsidRDefault="00265A9F" w:rsidP="00265A9F">
                              <w:pPr>
                                <w:spacing w:before="120"/>
                                <w:jc w:val="center"/>
                                <w:rPr>
                                  <w:b/>
                                  <w:bCs/>
                                  <w:color w:val="FFFFFF" w:themeColor="background1"/>
                                </w:rPr>
                              </w:pPr>
                              <w:r w:rsidRPr="00265A9F">
                                <w:rPr>
                                  <w:b/>
                                  <w:bCs/>
                                  <w:color w:val="FFFFFF" w:themeColor="background1"/>
                                </w:rPr>
                                <w:t>Settlement approval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Flowchart: Alternate Process 279"/>
                        <wps:cNvSpPr/>
                        <wps:spPr>
                          <a:xfrm>
                            <a:off x="0" y="4465122"/>
                            <a:ext cx="4158374" cy="511183"/>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78351F51" w14:textId="77777777" w:rsidR="00265A9F" w:rsidRPr="00265A9F" w:rsidRDefault="00265A9F" w:rsidP="00265A9F">
                              <w:pPr>
                                <w:spacing w:before="120"/>
                                <w:jc w:val="center"/>
                                <w:rPr>
                                  <w:b/>
                                  <w:bCs/>
                                  <w:color w:val="FFFFFF" w:themeColor="background1"/>
                                </w:rPr>
                              </w:pPr>
                              <w:r w:rsidRPr="00265A9F">
                                <w:rPr>
                                  <w:b/>
                                  <w:bCs/>
                                  <w:color w:val="FFFFFF" w:themeColor="background1"/>
                                </w:rPr>
                                <w:t xml:space="preserve">Notice of approved settlement to class members </w:t>
                              </w:r>
                            </w:p>
                            <w:p w14:paraId="28FF5A0B" w14:textId="77777777" w:rsidR="00265A9F" w:rsidRPr="00265A9F" w:rsidRDefault="00265A9F" w:rsidP="00265A9F">
                              <w:pPr>
                                <w:spacing w:before="120"/>
                                <w:jc w:val="center"/>
                                <w:rPr>
                                  <w:b/>
                                  <w:bCs/>
                                  <w:color w:val="FFFFFF" w:themeColor="background1"/>
                                </w:rPr>
                              </w:pPr>
                              <w:r w:rsidRPr="00265A9F">
                                <w:rPr>
                                  <w:b/>
                                  <w:bCs/>
                                  <w:color w:val="FFFFFF" w:themeColor="background1"/>
                                </w:rPr>
                                <w:t>Opportunity to opt-out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Flowchart: Alternate Process 280"/>
                        <wps:cNvSpPr/>
                        <wps:spPr>
                          <a:xfrm>
                            <a:off x="0" y="5153891"/>
                            <a:ext cx="4157980" cy="610342"/>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672E15F6" w14:textId="77777777" w:rsidR="00265A9F" w:rsidRPr="00265A9F" w:rsidRDefault="00265A9F" w:rsidP="00265A9F">
                              <w:pPr>
                                <w:spacing w:before="120" w:after="0"/>
                                <w:jc w:val="center"/>
                                <w:rPr>
                                  <w:b/>
                                  <w:bCs/>
                                  <w:color w:val="FFFFFF" w:themeColor="background1"/>
                                </w:rPr>
                              </w:pPr>
                              <w:r w:rsidRPr="00265A9F">
                                <w:rPr>
                                  <w:b/>
                                  <w:bCs/>
                                  <w:color w:val="FFFFFF" w:themeColor="background1"/>
                                </w:rPr>
                                <w:t>Final opt-out date. All class members who have not opted out are bound by settlement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Flowchart: Alternate Process 281"/>
                        <wps:cNvSpPr/>
                        <wps:spPr>
                          <a:xfrm>
                            <a:off x="0" y="5949538"/>
                            <a:ext cx="4157980" cy="384175"/>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6E0D6085" w14:textId="77777777" w:rsidR="00265A9F" w:rsidRPr="00265A9F" w:rsidRDefault="00265A9F" w:rsidP="00265A9F">
                              <w:pPr>
                                <w:spacing w:before="120"/>
                                <w:jc w:val="center"/>
                                <w:rPr>
                                  <w:b/>
                                  <w:bCs/>
                                  <w:color w:val="FFFFFF" w:themeColor="background1"/>
                                </w:rPr>
                              </w:pPr>
                              <w:r w:rsidRPr="00265A9F">
                                <w:rPr>
                                  <w:b/>
                                  <w:bCs/>
                                  <w:color w:val="FFFFFF" w:themeColor="background1"/>
                                </w:rPr>
                                <w:t>Settlement implementation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Arrow: Down 283"/>
                        <wps:cNvSpPr/>
                        <wps:spPr>
                          <a:xfrm>
                            <a:off x="1892878" y="384711"/>
                            <a:ext cx="339247" cy="179267"/>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Arrow: Down 284"/>
                        <wps:cNvSpPr/>
                        <wps:spPr>
                          <a:xfrm>
                            <a:off x="1892878" y="954727"/>
                            <a:ext cx="339247" cy="179267"/>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Arrow: Down 285"/>
                        <wps:cNvSpPr/>
                        <wps:spPr>
                          <a:xfrm>
                            <a:off x="1916628" y="1726623"/>
                            <a:ext cx="339247" cy="179267"/>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Flowchart: Alternate Process 282"/>
                        <wps:cNvSpPr/>
                        <wps:spPr>
                          <a:xfrm>
                            <a:off x="0" y="6519553"/>
                            <a:ext cx="4157980" cy="563245"/>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123CCC93" w14:textId="77777777" w:rsidR="00265A9F" w:rsidRPr="00265A9F" w:rsidRDefault="00265A9F" w:rsidP="00265A9F">
                              <w:pPr>
                                <w:spacing w:before="120" w:after="0"/>
                                <w:ind w:left="284" w:right="284"/>
                                <w:jc w:val="center"/>
                                <w:rPr>
                                  <w:b/>
                                  <w:bCs/>
                                  <w:color w:val="FFFFFF" w:themeColor="background1"/>
                                </w:rPr>
                              </w:pPr>
                              <w:r w:rsidRPr="00265A9F">
                                <w:rPr>
                                  <w:b/>
                                  <w:bCs/>
                                  <w:color w:val="FFFFFF" w:themeColor="background1"/>
                                </w:rPr>
                                <w:t xml:space="preserve">Report of settlement outcome to be filed </w:t>
                              </w:r>
                            </w:p>
                            <w:p w14:paraId="4180D96D" w14:textId="77777777" w:rsidR="00265A9F" w:rsidRPr="00265A9F" w:rsidRDefault="00265A9F" w:rsidP="00265A9F">
                              <w:pPr>
                                <w:ind w:left="284" w:right="284"/>
                                <w:jc w:val="center"/>
                                <w:rPr>
                                  <w:b/>
                                  <w:bCs/>
                                  <w:color w:val="FFFFFF" w:themeColor="background1"/>
                                </w:rPr>
                              </w:pPr>
                              <w:r w:rsidRPr="00265A9F">
                                <w:rPr>
                                  <w:b/>
                                  <w:bCs/>
                                  <w:color w:val="FFFFFF" w:themeColor="background1"/>
                                </w:rPr>
                                <w:t>within 60 days</w:t>
                              </w:r>
                            </w:p>
                            <w:p w14:paraId="07220304" w14:textId="77777777" w:rsidR="00265A9F" w:rsidRPr="00265A9F" w:rsidRDefault="00265A9F" w:rsidP="00265A9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Arrow: Down 286"/>
                        <wps:cNvSpPr/>
                        <wps:spPr>
                          <a:xfrm>
                            <a:off x="1881002" y="2534145"/>
                            <a:ext cx="339247" cy="179267"/>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Arrow: Down 287"/>
                        <wps:cNvSpPr/>
                        <wps:spPr>
                          <a:xfrm>
                            <a:off x="1892878" y="3092285"/>
                            <a:ext cx="339247" cy="179267"/>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Arrow: Down 288"/>
                        <wps:cNvSpPr/>
                        <wps:spPr>
                          <a:xfrm>
                            <a:off x="1892878" y="3662301"/>
                            <a:ext cx="339247" cy="179267"/>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Arrow: Down 289"/>
                        <wps:cNvSpPr/>
                        <wps:spPr>
                          <a:xfrm>
                            <a:off x="1845376" y="4968587"/>
                            <a:ext cx="339247" cy="179267"/>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Arrow: Down 290"/>
                        <wps:cNvSpPr/>
                        <wps:spPr>
                          <a:xfrm>
                            <a:off x="1881002" y="5764233"/>
                            <a:ext cx="339090" cy="179070"/>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Arrow: Down 291"/>
                        <wps:cNvSpPr/>
                        <wps:spPr>
                          <a:xfrm>
                            <a:off x="1881002" y="6322374"/>
                            <a:ext cx="339090" cy="179070"/>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Flowchart: Alternate Process 292"/>
                        <wps:cNvSpPr/>
                        <wps:spPr>
                          <a:xfrm>
                            <a:off x="4370120" y="1911927"/>
                            <a:ext cx="1238404" cy="3061134"/>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3EDA70D1" w14:textId="77777777" w:rsidR="00265A9F" w:rsidRPr="00265A9F" w:rsidRDefault="00265A9F" w:rsidP="00265A9F">
                              <w:pPr>
                                <w:spacing w:before="120"/>
                                <w:jc w:val="center"/>
                                <w:rPr>
                                  <w:b/>
                                  <w:bCs/>
                                  <w:color w:val="FFFFFF" w:themeColor="background1"/>
                                </w:rPr>
                              </w:pPr>
                              <w:r w:rsidRPr="00265A9F">
                                <w:rPr>
                                  <w:b/>
                                  <w:bCs/>
                                  <w:color w:val="FFFFFF" w:themeColor="background1"/>
                                </w:rPr>
                                <w:t>May seek an order to convert opt-out case to opt-in. If so, there is no obligation to provide opportunity to opt out once settlement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Arrow: Right 293"/>
                        <wps:cNvSpPr/>
                        <wps:spPr>
                          <a:xfrm>
                            <a:off x="3994810" y="2106633"/>
                            <a:ext cx="571524" cy="233590"/>
                          </a:xfrm>
                          <a:prstGeom prst="rightArrow">
                            <a:avLst/>
                          </a:prstGeom>
                          <a:solidFill>
                            <a:srgbClr val="72AB6A"/>
                          </a:solidFill>
                          <a:ln>
                            <a:solidFill>
                              <a:schemeClr val="tx1"/>
                            </a:solidFill>
                            <a:prstDash val="dash"/>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Arrow: Left 294"/>
                        <wps:cNvSpPr/>
                        <wps:spPr>
                          <a:xfrm>
                            <a:off x="3923558" y="4600451"/>
                            <a:ext cx="571524" cy="233590"/>
                          </a:xfrm>
                          <a:prstGeom prst="leftArrow">
                            <a:avLst/>
                          </a:prstGeom>
                          <a:solidFill>
                            <a:srgbClr val="72AB6A"/>
                          </a:solidFill>
                          <a:ln>
                            <a:solidFill>
                              <a:schemeClr val="tx1"/>
                            </a:solidFill>
                            <a:prstDash val="dash"/>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Flowchart: Alternate Process 296"/>
                        <wps:cNvSpPr/>
                        <wps:spPr>
                          <a:xfrm>
                            <a:off x="11876" y="3871356"/>
                            <a:ext cx="4157151" cy="383523"/>
                          </a:xfrm>
                          <a:prstGeom prst="flowChartAlternateProcess">
                            <a:avLst/>
                          </a:prstGeom>
                          <a:solidFill>
                            <a:srgbClr val="72AB6A"/>
                          </a:solidFill>
                          <a:ln>
                            <a:solidFill>
                              <a:srgbClr val="72AB6A"/>
                            </a:solidFill>
                          </a:ln>
                        </wps:spPr>
                        <wps:style>
                          <a:lnRef idx="3">
                            <a:schemeClr val="lt1"/>
                          </a:lnRef>
                          <a:fillRef idx="1">
                            <a:schemeClr val="accent6"/>
                          </a:fillRef>
                          <a:effectRef idx="1">
                            <a:schemeClr val="accent6"/>
                          </a:effectRef>
                          <a:fontRef idx="minor">
                            <a:schemeClr val="lt1"/>
                          </a:fontRef>
                        </wps:style>
                        <wps:txbx>
                          <w:txbxContent>
                            <w:p w14:paraId="5D26DCE3" w14:textId="77777777" w:rsidR="00265A9F" w:rsidRPr="00265A9F" w:rsidRDefault="00265A9F" w:rsidP="00265A9F">
                              <w:pPr>
                                <w:spacing w:before="120"/>
                                <w:jc w:val="center"/>
                                <w:rPr>
                                  <w:b/>
                                  <w:bCs/>
                                  <w:color w:val="FFFFFF" w:themeColor="background1"/>
                                </w:rPr>
                              </w:pPr>
                              <w:r w:rsidRPr="00265A9F">
                                <w:rPr>
                                  <w:b/>
                                  <w:bCs/>
                                  <w:color w:val="FFFFFF" w:themeColor="background1"/>
                                </w:rPr>
                                <w:t>Court issues judgment approving settlement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Arrow: Down 295"/>
                        <wps:cNvSpPr/>
                        <wps:spPr>
                          <a:xfrm>
                            <a:off x="1869127" y="4244192"/>
                            <a:ext cx="338636" cy="178724"/>
                          </a:xfrm>
                          <a:prstGeom prst="downArrow">
                            <a:avLst/>
                          </a:prstGeom>
                          <a:solidFill>
                            <a:srgbClr val="72AB6A"/>
                          </a:solidFill>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45CB07" id="Group 297" o:spid="_x0000_s1574" style="position:absolute;left:0;text-align:left;margin-left:2.3pt;margin-top:6.25pt;width:441.6pt;height:557.7pt;z-index:251655267" coordsize="56085,7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2" o:spid="_x0000_s1575" type="#_x0000_t176" style="position:absolute;width:41584;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" fillcolor="#72ab6a" strokecolor="#72ab6a" strokeweight="3pt">
                  <v:shadow on="t" color="black" opacity="24903f" origin=",.5" offset="0,.55556mm"/>
                  <v:textbox>
                    <w:txbxContent>
                      <w:p w14:paraId="55C2365A" w14:textId="77777777" w:rsidR="00265A9F" w:rsidRPr="00265A9F" w:rsidRDefault="00265A9F" w:rsidP="00265A9F">
                        <w:pPr>
                          <w:spacing w:before="120"/>
                          <w:jc w:val="center"/>
                          <w:rPr>
                            <w:b/>
                            <w:bCs/>
                            <w:color w:val="FFFFFF" w:themeColor="background1"/>
                          </w:rPr>
                        </w:pPr>
                        <w:r w:rsidRPr="00265A9F">
                          <w:rPr>
                            <w:b/>
                            <w:bCs/>
                            <w:color w:val="FFFFFF" w:themeColor="background1"/>
                          </w:rPr>
                          <w:t>Class action commenced</w:t>
                        </w:r>
                      </w:p>
                    </w:txbxContent>
                  </v:textbox>
                </v:shape>
                <v:shape id="Flowchart: Alternate Process 273" o:spid="_x0000_s1576" type="#_x0000_t176" style="position:absolute;top:5581;width:41583;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" fillcolor="#72ab6a" strokecolor="#72ab6a" strokeweight="3pt">
                  <v:shadow on="t" color="black" opacity="24903f" origin=",.5" offset="0,.55556mm"/>
                  <v:textbox>
                    <w:txbxContent>
                      <w:p w14:paraId="16AC05FF" w14:textId="77777777" w:rsidR="00265A9F" w:rsidRPr="00265A9F" w:rsidRDefault="00265A9F" w:rsidP="00265A9F">
                        <w:pPr>
                          <w:spacing w:before="120"/>
                          <w:jc w:val="center"/>
                          <w:rPr>
                            <w:b/>
                            <w:bCs/>
                            <w:color w:val="FFFFFF" w:themeColor="background1"/>
                          </w:rPr>
                        </w:pPr>
                        <w:r w:rsidRPr="00265A9F">
                          <w:rPr>
                            <w:b/>
                            <w:bCs/>
                            <w:color w:val="FFFFFF" w:themeColor="background1"/>
                          </w:rPr>
                          <w:t>Court grants certification</w:t>
                        </w:r>
                      </w:p>
                    </w:txbxContent>
                  </v:textbox>
                </v:shape>
                <v:shape id="Flowchart: Alternate Process 274" o:spid="_x0000_s1577" type="#_x0000_t176" style="position:absolute;left:118;top:11400;width:41585;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" fillcolor="#72ab6a" strokecolor="#72ab6a" strokeweight="3pt">
                  <v:shadow on="t" color="black" opacity="24903f" origin=",.5" offset="0,.55556mm"/>
                  <v:textbox>
                    <w:txbxContent>
                      <w:p w14:paraId="606ED64F" w14:textId="77777777" w:rsidR="00265A9F" w:rsidRPr="00265A9F" w:rsidRDefault="00265A9F" w:rsidP="00265A9F">
                        <w:pPr>
                          <w:spacing w:before="120"/>
                          <w:jc w:val="center"/>
                          <w:rPr>
                            <w:b/>
                            <w:bCs/>
                            <w:color w:val="FFFFFF" w:themeColor="background1"/>
                          </w:rPr>
                        </w:pPr>
                        <w:r w:rsidRPr="00265A9F">
                          <w:rPr>
                            <w:b/>
                            <w:bCs/>
                            <w:color w:val="FFFFFF" w:themeColor="background1"/>
                          </w:rPr>
                          <w:t>Notice to class members. Class members given opportunity to opt-in or opt-out</w:t>
                        </w:r>
                      </w:p>
                    </w:txbxContent>
                  </v:textbox>
                </v:shape>
                <v:shape id="Flowchart: Alternate Process 275" o:spid="_x0000_s1578" type="#_x0000_t176" style="position:absolute;left:118;top:19119;width:41584;height:6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" fillcolor="#72ab6a" strokecolor="#72ab6a" strokeweight="3pt">
                  <v:shadow on="t" color="black" opacity="24903f" origin=",.5" offset="0,.55556mm"/>
                  <v:textbox>
                    <w:txbxContent>
                      <w:p w14:paraId="17208A44" w14:textId="77777777" w:rsidR="00265A9F" w:rsidRPr="00265A9F" w:rsidRDefault="00265A9F" w:rsidP="00265A9F">
                        <w:pPr>
                          <w:spacing w:before="120"/>
                          <w:jc w:val="center"/>
                          <w:rPr>
                            <w:b/>
                            <w:bCs/>
                            <w:color w:val="FFFFFF" w:themeColor="background1"/>
                          </w:rPr>
                        </w:pPr>
                        <w:r w:rsidRPr="00265A9F">
                          <w:rPr>
                            <w:b/>
                            <w:bCs/>
                            <w:color w:val="FFFFFF" w:themeColor="background1"/>
                          </w:rPr>
                          <w:t>Parties reach a settlement and file an application for settlement approval</w:t>
                        </w:r>
                      </w:p>
                    </w:txbxContent>
                  </v:textbox>
                </v:shape>
                <v:shape id="Flowchart: Alternate Process 276" o:spid="_x0000_s1579" type="#_x0000_t176" style="position:absolute;left:118;top:27075;width:41584;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" fillcolor="#72ab6a" strokecolor="#72ab6a" strokeweight="3pt">
                  <v:shadow on="t" color="black" opacity="24903f" origin=",.5" offset="0,.55556mm"/>
                  <v:textbox>
                    <w:txbxContent>
                      <w:p w14:paraId="566505F4" w14:textId="77777777" w:rsidR="00265A9F" w:rsidRPr="00265A9F" w:rsidRDefault="00265A9F" w:rsidP="00265A9F">
                        <w:pPr>
                          <w:spacing w:before="120"/>
                          <w:jc w:val="center"/>
                          <w:rPr>
                            <w:b/>
                            <w:bCs/>
                            <w:color w:val="FFFFFF" w:themeColor="background1"/>
                          </w:rPr>
                        </w:pPr>
                        <w:r w:rsidRPr="00265A9F">
                          <w:rPr>
                            <w:b/>
                            <w:bCs/>
                            <w:color w:val="FFFFFF" w:themeColor="background1"/>
                          </w:rPr>
                          <w:t>Notice of proposed settlement to class members</w:t>
                        </w:r>
                      </w:p>
                    </w:txbxContent>
                  </v:textbox>
                </v:shape>
                <v:shape id="Flowchart: Alternate Process 277" o:spid="_x0000_s1580" type="#_x0000_t176" style="position:absolute;left:118;top:32657;width:41584;height:3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" fillcolor="#72ab6a" strokecolor="#72ab6a" strokeweight="3pt">
                  <v:shadow on="t" color="black" opacity="24903f" origin=",.5" offset="0,.55556mm"/>
                  <v:textbox>
                    <w:txbxContent>
                      <w:p w14:paraId="7CA244C4" w14:textId="77777777" w:rsidR="00265A9F" w:rsidRPr="00265A9F" w:rsidRDefault="00265A9F" w:rsidP="00265A9F">
                        <w:pPr>
                          <w:spacing w:before="120"/>
                          <w:jc w:val="center"/>
                          <w:rPr>
                            <w:b/>
                            <w:bCs/>
                            <w:color w:val="FFFFFF" w:themeColor="background1"/>
                          </w:rPr>
                        </w:pPr>
                        <w:r w:rsidRPr="00265A9F">
                          <w:rPr>
                            <w:b/>
                            <w:bCs/>
                            <w:color w:val="FFFFFF" w:themeColor="background1"/>
                          </w:rPr>
                          <w:t>Settlement approval hearing</w:t>
                        </w:r>
                      </w:p>
                    </w:txbxContent>
                  </v:textbox>
                </v:shape>
                <v:shape id="Flowchart: Alternate Process 279" o:spid="_x0000_s1581" type="#_x0000_t176" style="position:absolute;top:44651;width:41583;height:5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" fillcolor="#72ab6a" strokecolor="#72ab6a" strokeweight="3pt">
                  <v:shadow on="t" color="black" opacity="24903f" origin=",.5" offset="0,.55556mm"/>
                  <v:textbox>
                    <w:txbxContent>
                      <w:p w14:paraId="78351F51" w14:textId="77777777" w:rsidR="00265A9F" w:rsidRPr="00265A9F" w:rsidRDefault="00265A9F" w:rsidP="00265A9F">
                        <w:pPr>
                          <w:spacing w:before="120"/>
                          <w:jc w:val="center"/>
                          <w:rPr>
                            <w:b/>
                            <w:bCs/>
                            <w:color w:val="FFFFFF" w:themeColor="background1"/>
                          </w:rPr>
                        </w:pPr>
                        <w:r w:rsidRPr="00265A9F">
                          <w:rPr>
                            <w:b/>
                            <w:bCs/>
                            <w:color w:val="FFFFFF" w:themeColor="background1"/>
                          </w:rPr>
                          <w:t xml:space="preserve">Notice of approved settlement to class members </w:t>
                        </w:r>
                      </w:p>
                      <w:p w14:paraId="28FF5A0B" w14:textId="77777777" w:rsidR="00265A9F" w:rsidRPr="00265A9F" w:rsidRDefault="00265A9F" w:rsidP="00265A9F">
                        <w:pPr>
                          <w:spacing w:before="120"/>
                          <w:jc w:val="center"/>
                          <w:rPr>
                            <w:b/>
                            <w:bCs/>
                            <w:color w:val="FFFFFF" w:themeColor="background1"/>
                          </w:rPr>
                        </w:pPr>
                        <w:r w:rsidRPr="00265A9F">
                          <w:rPr>
                            <w:b/>
                            <w:bCs/>
                            <w:color w:val="FFFFFF" w:themeColor="background1"/>
                          </w:rPr>
                          <w:t>Opportunity to opt-out</w:t>
                        </w:r>
                      </w:p>
                    </w:txbxContent>
                  </v:textbox>
                </v:shape>
                <v:shape id="Flowchart: Alternate Process 280" o:spid="_x0000_s1582" type="#_x0000_t176" style="position:absolute;top:51538;width:41579;height:6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" fillcolor="#72ab6a" strokecolor="#72ab6a" strokeweight="3pt">
                  <v:shadow on="t" color="black" opacity="24903f" origin=",.5" offset="0,.55556mm"/>
                  <v:textbox>
                    <w:txbxContent>
                      <w:p w14:paraId="672E15F6" w14:textId="77777777" w:rsidR="00265A9F" w:rsidRPr="00265A9F" w:rsidRDefault="00265A9F" w:rsidP="00265A9F">
                        <w:pPr>
                          <w:spacing w:before="120" w:after="0"/>
                          <w:jc w:val="center"/>
                          <w:rPr>
                            <w:b/>
                            <w:bCs/>
                            <w:color w:val="FFFFFF" w:themeColor="background1"/>
                          </w:rPr>
                        </w:pPr>
                        <w:r w:rsidRPr="00265A9F">
                          <w:rPr>
                            <w:b/>
                            <w:bCs/>
                            <w:color w:val="FFFFFF" w:themeColor="background1"/>
                          </w:rPr>
                          <w:t>Final opt-out date. All class members who have not opted out are bound by settlement</w:t>
                        </w:r>
                      </w:p>
                    </w:txbxContent>
                  </v:textbox>
                </v:shape>
                <v:shape id="Flowchart: Alternate Process 281" o:spid="_x0000_s1583" type="#_x0000_t176" style="position:absolute;top:59495;width:41579;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" fillcolor="#72ab6a" strokecolor="#72ab6a" strokeweight="3pt">
                  <v:shadow on="t" color="black" opacity="24903f" origin=",.5" offset="0,.55556mm"/>
                  <v:textbox>
                    <w:txbxContent>
                      <w:p w14:paraId="6E0D6085" w14:textId="77777777" w:rsidR="00265A9F" w:rsidRPr="00265A9F" w:rsidRDefault="00265A9F" w:rsidP="00265A9F">
                        <w:pPr>
                          <w:spacing w:before="120"/>
                          <w:jc w:val="center"/>
                          <w:rPr>
                            <w:b/>
                            <w:bCs/>
                            <w:color w:val="FFFFFF" w:themeColor="background1"/>
                          </w:rPr>
                        </w:pPr>
                        <w:r w:rsidRPr="00265A9F">
                          <w:rPr>
                            <w:b/>
                            <w:bCs/>
                            <w:color w:val="FFFFFF" w:themeColor="background1"/>
                          </w:rPr>
                          <w:t>Settlement implementation process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3" o:spid="_x0000_s1584" type="#_x0000_t67" style="position:absolute;left:18928;top:3847;width:3393;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" adj="10800" fillcolor="#72ab6a" strokecolor="black [3213]">
                  <v:shadow on="t" color="black" opacity="24903f" origin=",.5" offset="0,.55556mm"/>
                </v:shape>
                <v:shape id="Arrow: Down 284" o:spid="_x0000_s1585" type="#_x0000_t67" style="position:absolute;left:18928;top:9547;width:3393;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" adj="10800" fillcolor="#72ab6a" strokecolor="black [3213]">
                  <v:shadow on="t" color="black" opacity="24903f" origin=",.5" offset="0,.55556mm"/>
                </v:shape>
                <v:shape id="Arrow: Down 285" o:spid="_x0000_s1586" type="#_x0000_t67" style="position:absolute;left:19166;top:17266;width:3392;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" adj="10800" fillcolor="#72ab6a" strokecolor="black [3213]">
                  <v:shadow on="t" color="black" opacity="24903f" origin=",.5" offset="0,.55556mm"/>
                </v:shape>
                <v:shape id="Flowchart: Alternate Process 282" o:spid="_x0000_s1587" type="#_x0000_t176" style="position:absolute;top:65195;width:41579;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" fillcolor="#72ab6a" strokecolor="#72ab6a" strokeweight="3pt">
                  <v:shadow on="t" color="black" opacity="24903f" origin=",.5" offset="0,.55556mm"/>
                  <v:textbox>
                    <w:txbxContent>
                      <w:p w14:paraId="123CCC93" w14:textId="77777777" w:rsidR="00265A9F" w:rsidRPr="00265A9F" w:rsidRDefault="00265A9F" w:rsidP="00265A9F">
                        <w:pPr>
                          <w:spacing w:before="120" w:after="0"/>
                          <w:ind w:left="284" w:right="284"/>
                          <w:jc w:val="center"/>
                          <w:rPr>
                            <w:b/>
                            <w:bCs/>
                            <w:color w:val="FFFFFF" w:themeColor="background1"/>
                          </w:rPr>
                        </w:pPr>
                        <w:r w:rsidRPr="00265A9F">
                          <w:rPr>
                            <w:b/>
                            <w:bCs/>
                            <w:color w:val="FFFFFF" w:themeColor="background1"/>
                          </w:rPr>
                          <w:t xml:space="preserve">Report of settlement outcome to be filed </w:t>
                        </w:r>
                      </w:p>
                      <w:p w14:paraId="4180D96D" w14:textId="77777777" w:rsidR="00265A9F" w:rsidRPr="00265A9F" w:rsidRDefault="00265A9F" w:rsidP="00265A9F">
                        <w:pPr>
                          <w:ind w:left="284" w:right="284"/>
                          <w:jc w:val="center"/>
                          <w:rPr>
                            <w:b/>
                            <w:bCs/>
                            <w:color w:val="FFFFFF" w:themeColor="background1"/>
                          </w:rPr>
                        </w:pPr>
                        <w:r w:rsidRPr="00265A9F">
                          <w:rPr>
                            <w:b/>
                            <w:bCs/>
                            <w:color w:val="FFFFFF" w:themeColor="background1"/>
                          </w:rPr>
                          <w:t>within 60 days</w:t>
                        </w:r>
                      </w:p>
                      <w:p w14:paraId="07220304" w14:textId="77777777" w:rsidR="00265A9F" w:rsidRPr="00265A9F" w:rsidRDefault="00265A9F" w:rsidP="00265A9F">
                        <w:pPr>
                          <w:rPr>
                            <w:color w:val="FFFFFF" w:themeColor="background1"/>
                          </w:rPr>
                        </w:pPr>
                      </w:p>
                    </w:txbxContent>
                  </v:textbox>
                </v:shape>
                <v:shape id="Arrow: Down 286" o:spid="_x0000_s1588" type="#_x0000_t67" style="position:absolute;left:18810;top:25341;width:3392;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" adj="10800" fillcolor="#72ab6a" strokecolor="black [3213]">
                  <v:shadow on="t" color="black" opacity="24903f" origin=",.5" offset="0,.55556mm"/>
                </v:shape>
                <v:shape id="Arrow: Down 287" o:spid="_x0000_s1589" type="#_x0000_t67" style="position:absolute;left:18928;top:30922;width:3393;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" adj="10800" fillcolor="#72ab6a" strokecolor="black [3213]">
                  <v:shadow on="t" color="black" opacity="24903f" origin=",.5" offset="0,.55556mm"/>
                </v:shape>
                <v:shape id="Arrow: Down 288" o:spid="_x0000_s1590" type="#_x0000_t67" style="position:absolute;left:18928;top:36623;width:3393;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" adj="10800" fillcolor="#72ab6a" strokecolor="black [3213]">
                  <v:shadow on="t" color="black" opacity="24903f" origin=",.5" offset="0,.55556mm"/>
                </v:shape>
                <v:shape id="Arrow: Down 289" o:spid="_x0000_s1591" type="#_x0000_t67" style="position:absolute;left:18453;top:49685;width:3393;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" adj="10800" fillcolor="#72ab6a" strokecolor="black [3213]">
                  <v:shadow on="t" color="black" opacity="24903f" origin=",.5" offset="0,.55556mm"/>
                </v:shape>
                <v:shape id="Arrow: Down 290" o:spid="_x0000_s1592" type="#_x0000_t67" style="position:absolute;left:18810;top:57642;width:3390;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" adj="10800" fillcolor="#72ab6a" strokecolor="black [3213]">
                  <v:shadow on="t" color="black" opacity="24903f" origin=",.5" offset="0,.55556mm"/>
                </v:shape>
                <v:shape id="Arrow: Down 291" o:spid="_x0000_s1593" type="#_x0000_t67" style="position:absolute;left:18810;top:63223;width:3390;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" adj="10800" fillcolor="#72ab6a" strokecolor="black [3213]">
                  <v:shadow on="t" color="black" opacity="24903f" origin=",.5" offset="0,.55556mm"/>
                </v:shape>
                <v:shape id="Flowchart: Alternate Process 292" o:spid="_x0000_s1594" type="#_x0000_t176" style="position:absolute;left:43701;top:19119;width:12384;height:30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" fillcolor="#72ab6a" strokecolor="#72ab6a" strokeweight="3pt">
                  <v:shadow on="t" color="black" opacity="24903f" origin=",.5" offset="0,.55556mm"/>
                  <v:textbox>
                    <w:txbxContent>
                      <w:p w14:paraId="3EDA70D1" w14:textId="77777777" w:rsidR="00265A9F" w:rsidRPr="00265A9F" w:rsidRDefault="00265A9F" w:rsidP="00265A9F">
                        <w:pPr>
                          <w:spacing w:before="120"/>
                          <w:jc w:val="center"/>
                          <w:rPr>
                            <w:b/>
                            <w:bCs/>
                            <w:color w:val="FFFFFF" w:themeColor="background1"/>
                          </w:rPr>
                        </w:pPr>
                        <w:r w:rsidRPr="00265A9F">
                          <w:rPr>
                            <w:b/>
                            <w:bCs/>
                            <w:color w:val="FFFFFF" w:themeColor="background1"/>
                          </w:rPr>
                          <w:t>May seek an order to convert opt-out case to opt-in. If so, there is no obligation to provide opportunity to opt out once settlement approved</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3" o:spid="_x0000_s1595" type="#_x0000_t13" style="position:absolute;left:39948;top:21066;width:5715;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" adj="17186" fillcolor="#72ab6a" strokecolor="black [3213]">
                  <v:stroke dashstyle="dash"/>
                  <v:shadow on="t" color="black" opacity="24903f" origin=",.5" offset="0,.55556mm"/>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94" o:spid="_x0000_s1596" type="#_x0000_t66" style="position:absolute;left:39235;top:46004;width:5715;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" adj="4414" fillcolor="#72ab6a" strokecolor="black [3213]">
                  <v:stroke dashstyle="dash"/>
                  <v:shadow on="t" color="black" opacity="24903f" origin=",.5" offset="0,.55556mm"/>
                </v:shape>
                <v:shape id="Flowchart: Alternate Process 296" o:spid="_x0000_s1597" type="#_x0000_t176" style="position:absolute;left:118;top:38713;width:4157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" fillcolor="#72ab6a" strokecolor="#72ab6a" strokeweight="3pt">
                  <v:shadow on="t" color="black" opacity="24903f" origin=",.5" offset="0,.55556mm"/>
                  <v:textbox>
                    <w:txbxContent>
                      <w:p w14:paraId="5D26DCE3" w14:textId="77777777" w:rsidR="00265A9F" w:rsidRPr="00265A9F" w:rsidRDefault="00265A9F" w:rsidP="00265A9F">
                        <w:pPr>
                          <w:spacing w:before="120"/>
                          <w:jc w:val="center"/>
                          <w:rPr>
                            <w:b/>
                            <w:bCs/>
                            <w:color w:val="FFFFFF" w:themeColor="background1"/>
                          </w:rPr>
                        </w:pPr>
                        <w:r w:rsidRPr="00265A9F">
                          <w:rPr>
                            <w:b/>
                            <w:bCs/>
                            <w:color w:val="FFFFFF" w:themeColor="background1"/>
                          </w:rPr>
                          <w:t>Court issues judgment approving settlement</w:t>
                        </w:r>
                      </w:p>
                    </w:txbxContent>
                  </v:textbox>
                </v:shape>
                <v:shape id="Arrow: Down 295" o:spid="_x0000_s1598" type="#_x0000_t67" style="position:absolute;left:18691;top:42441;width:3386;height:1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" adj="10800" fillcolor="#72ab6a" strokecolor="black [3213]">
                  <v:shadow on="t" color="black" opacity="24903f" origin=",.5" offset="0,.55556mm"/>
                </v:shape>
              </v:group>
            </w:pict>
          </mc:Fallback>
        </mc:AlternateContent>
      </w:r>
    </w:p>
    <w:p w14:paraId="54298E04" w14:textId="79255513" w:rsidR="00593CAA" w:rsidRPr="00593CAA" w:rsidRDefault="00593CAA" w:rsidP="00593CAA">
      <w:pPr>
        <w:spacing w:after="160" w:line="259" w:lineRule="auto"/>
        <w:rPr>
          <w:rFonts w:ascii="Metropolis" w:eastAsia="Calibri" w:hAnsi="Metropolis" w:cs="Cordia New"/>
          <w:b/>
          <w:bCs/>
          <w:color w:val="auto"/>
          <w:sz w:val="24"/>
          <w:lang w:eastAsia="en-US"/>
        </w:rPr>
      </w:pPr>
    </w:p>
    <w:p w14:paraId="593A07DE" w14:textId="14124CFA" w:rsidR="00593CAA" w:rsidRPr="00593CAA" w:rsidRDefault="00593CAA" w:rsidP="00593CAA">
      <w:pPr>
        <w:spacing w:after="160" w:line="259" w:lineRule="auto"/>
        <w:rPr>
          <w:rFonts w:ascii="Metropolis" w:eastAsia="Calibri" w:hAnsi="Metropolis" w:cs="Cordia New"/>
          <w:b/>
          <w:bCs/>
          <w:color w:val="70AD47"/>
          <w:sz w:val="24"/>
          <w:lang w:eastAsia="en-US"/>
        </w:rPr>
      </w:pPr>
    </w:p>
    <w:p w14:paraId="0EFBF0F5" w14:textId="6C81D9DC" w:rsidR="00416FCA" w:rsidRDefault="00416FCA" w:rsidP="00416FCA">
      <w:pPr>
        <w:pStyle w:val="BodyText"/>
        <w:numPr>
          <w:ilvl w:val="0"/>
          <w:numId w:val="0"/>
        </w:numPr>
        <w:ind w:left="709" w:hanging="709"/>
      </w:pPr>
    </w:p>
    <w:p w14:paraId="259D548E" w14:textId="484DF50E" w:rsidR="00416FCA" w:rsidRDefault="00416FCA" w:rsidP="00416FCA">
      <w:pPr>
        <w:pStyle w:val="BodyText"/>
        <w:numPr>
          <w:ilvl w:val="0"/>
          <w:numId w:val="0"/>
        </w:numPr>
        <w:ind w:left="709" w:hanging="709"/>
      </w:pPr>
    </w:p>
    <w:p w14:paraId="61E5E46D" w14:textId="77777777" w:rsidR="00416FCA" w:rsidRDefault="00416FCA" w:rsidP="00416FCA">
      <w:pPr>
        <w:pStyle w:val="BodyText"/>
        <w:numPr>
          <w:ilvl w:val="0"/>
          <w:numId w:val="0"/>
        </w:numPr>
        <w:ind w:left="709" w:hanging="709"/>
      </w:pPr>
    </w:p>
    <w:p w14:paraId="7D042BAA" w14:textId="2FE565A1" w:rsidR="00416FCA" w:rsidRDefault="00416FCA" w:rsidP="00416FCA">
      <w:pPr>
        <w:pStyle w:val="BodyText"/>
        <w:numPr>
          <w:ilvl w:val="0"/>
          <w:numId w:val="0"/>
        </w:numPr>
        <w:ind w:left="709" w:hanging="709"/>
      </w:pPr>
    </w:p>
    <w:p w14:paraId="00A795CA" w14:textId="5794FF71" w:rsidR="00416FCA" w:rsidRDefault="00416FCA" w:rsidP="00416FCA">
      <w:pPr>
        <w:pStyle w:val="BodyText"/>
        <w:numPr>
          <w:ilvl w:val="0"/>
          <w:numId w:val="0"/>
        </w:numPr>
        <w:ind w:left="709" w:hanging="709"/>
      </w:pPr>
    </w:p>
    <w:p w14:paraId="6FAAA4C5" w14:textId="240C2301" w:rsidR="00416FCA" w:rsidRDefault="00416FCA" w:rsidP="00416FCA">
      <w:pPr>
        <w:pStyle w:val="BodyText"/>
        <w:numPr>
          <w:ilvl w:val="0"/>
          <w:numId w:val="0"/>
        </w:numPr>
        <w:sectPr w:rsidR="00416FCA" w:rsidSect="004975F3">
          <w:headerReference w:type="default" r:id="rId45"/>
          <w:footerReference w:type="even" r:id="rId46"/>
          <w:footnotePr>
            <w:numRestart w:val="eachSect"/>
          </w:footnotePr>
          <w:pgSz w:w="11907" w:h="16840" w:code="9"/>
          <w:pgMar w:top="1134" w:right="1134" w:bottom="1134" w:left="1701" w:header="499" w:footer="46" w:gutter="0"/>
          <w:cols w:space="720"/>
        </w:sectPr>
      </w:pPr>
    </w:p>
    <w:p w14:paraId="39CC911E" w14:textId="2E3C153F" w:rsidR="00440357" w:rsidRPr="00D37FCE" w:rsidRDefault="00440357" w:rsidP="00932DB9">
      <w:pPr>
        <w:pStyle w:val="HEADING2topchapter-notinTOC"/>
        <w:numPr>
          <w:ilvl w:val="0"/>
          <w:numId w:val="14"/>
        </w:numPr>
        <w:spacing w:line="200" w:lineRule="exact"/>
      </w:pPr>
      <w:r w:rsidRPr="00D37FCE">
        <w:rPr>
          <w:noProof/>
          <w:lang w:eastAsia="en-NZ"/>
        </w:rPr>
        <w:lastRenderedPageBreak/>
        <mc:AlternateContent>
          <mc:Choice Requires="wpg">
            <w:drawing>
              <wp:anchor distT="0" distB="0" distL="114300" distR="114300" simplePos="0" relativeHeight="251651111" behindDoc="1" locked="0" layoutInCell="1" allowOverlap="1" wp14:anchorId="047A8446" wp14:editId="54DA4326">
                <wp:simplePos x="0" y="0"/>
                <wp:positionH relativeFrom="margin">
                  <wp:align>left</wp:align>
                </wp:positionH>
                <wp:positionV relativeFrom="paragraph">
                  <wp:posOffset>243947</wp:posOffset>
                </wp:positionV>
                <wp:extent cx="1332230" cy="1270"/>
                <wp:effectExtent l="0" t="19050" r="20320" b="1778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4504A" id="Group 9" o:spid="_x0000_s1026" style="position:absolute;margin-left:0;margin-top:19.2pt;width:104.9pt;height:.1pt;z-index:-251665369;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" path="m,l2098,e" filled="f" strokecolor="#73ab6e" strokeweight="3pt">
                  <v:path arrowok="t" o:connecttype="custom" o:connectlocs="0,0;2098,0" o:connectangles="0,0"/>
                </v:shape>
                <w10:wrap anchorx="margin"/>
              </v:group>
            </w:pict>
          </mc:Fallback>
        </mc:AlternateContent>
      </w:r>
      <w:r w:rsidR="00BD5C95">
        <w:rPr>
          <w:rFonts w:ascii="ZWAdobeF" w:hAnsi="ZWAdobeF" w:cs="ZWAdobeF"/>
          <w:b w:val="0"/>
          <w:color w:val="auto"/>
          <w:sz w:val="2"/>
          <w:szCs w:val="2"/>
        </w:rPr>
        <w:t>943B</w:t>
      </w:r>
      <w:r w:rsidR="0049638A">
        <w:rPr>
          <w:rFonts w:ascii="ZWAdobeF" w:hAnsi="ZWAdobeF" w:cs="ZWAdobeF"/>
          <w:b w:val="0"/>
          <w:color w:val="auto"/>
          <w:sz w:val="2"/>
          <w:szCs w:val="2"/>
        </w:rPr>
        <w:t>943B</w:t>
      </w:r>
      <w:r w:rsidR="00D629FA">
        <w:rPr>
          <w:rFonts w:ascii="ZWAdobeF" w:hAnsi="ZWAdobeF" w:cs="ZWAdobeF"/>
          <w:b w:val="0"/>
          <w:color w:val="auto"/>
          <w:sz w:val="2"/>
          <w:szCs w:val="2"/>
        </w:rPr>
        <w:t>943B</w:t>
      </w:r>
      <w:r w:rsidR="006A2CBA">
        <w:t>APPENDIX</w:t>
      </w:r>
      <w:r w:rsidR="00416FCA">
        <w:t xml:space="preserve"> 2</w:t>
      </w:r>
    </w:p>
    <w:p w14:paraId="77E7FC98" w14:textId="77777777" w:rsidR="000B5DEF" w:rsidRPr="00D37FCE" w:rsidRDefault="000B5DEF" w:rsidP="000B5DEF">
      <w:pPr>
        <w:pStyle w:val="BodyTextalphalist"/>
        <w:rPr>
          <w:noProof/>
          <w:sz w:val="2"/>
          <w:szCs w:val="6"/>
        </w:rPr>
      </w:pPr>
    </w:p>
    <w:bookmarkStart w:id="113" w:name="_Toc83895467"/>
    <w:p w14:paraId="19D2451D" w14:textId="73BA6EF3" w:rsidR="00440357" w:rsidRPr="001B7333" w:rsidRDefault="00972090" w:rsidP="00972090">
      <w:pPr>
        <w:pStyle w:val="Heading1nonum"/>
        <w:spacing w:before="360"/>
        <w:rPr>
          <w:rFonts w:eastAsia="Cordia New"/>
          <w:color w:val="7FB177"/>
          <w:szCs w:val="66"/>
        </w:rPr>
      </w:pPr>
      <w:r w:rsidRPr="00D37FCE">
        <w:rPr>
          <w:noProof/>
          <w:lang w:eastAsia="en-NZ"/>
        </w:rPr>
        <mc:AlternateContent>
          <mc:Choice Requires="wpg">
            <w:drawing>
              <wp:anchor distT="0" distB="0" distL="114300" distR="114300" simplePos="0" relativeHeight="251651112" behindDoc="1" locked="0" layoutInCell="1" allowOverlap="1" wp14:anchorId="5A138AEA" wp14:editId="5B3C6769">
                <wp:simplePos x="0" y="0"/>
                <wp:positionH relativeFrom="margin">
                  <wp:posOffset>0</wp:posOffset>
                </wp:positionH>
                <wp:positionV relativeFrom="paragraph">
                  <wp:posOffset>1476375</wp:posOffset>
                </wp:positionV>
                <wp:extent cx="1332230" cy="1270"/>
                <wp:effectExtent l="0" t="19050" r="20320" b="177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77D22" id="Group 11" o:spid="_x0000_s1026" style="position:absolute;margin-left:0;margin-top:116.25pt;width:104.9pt;height:.1pt;z-index:-251665368;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" path="m,l2098,e" filled="f" strokecolor="#73ab6e" strokeweight="3pt">
                  <v:path arrowok="t" o:connecttype="custom" o:connectlocs="0,0;2098,0" o:connectangles="0,0"/>
                </v:shape>
                <w10:wrap anchorx="margin"/>
              </v:group>
            </w:pict>
          </mc:Fallback>
        </mc:AlternateContent>
      </w:r>
      <w:r w:rsidR="006252E1">
        <w:t xml:space="preserve">Provisions for a </w:t>
      </w:r>
      <w:r w:rsidR="006A2CBA" w:rsidRPr="001B7333">
        <w:t>Class Actions Bill</w:t>
      </w:r>
      <w:bookmarkEnd w:id="113"/>
      <w:r w:rsidR="006A2CBA" w:rsidRPr="001B7333">
        <w:rPr>
          <w:color w:val="7FB177"/>
          <w:szCs w:val="66"/>
        </w:rPr>
        <w:t xml:space="preserve"> </w:t>
      </w:r>
    </w:p>
    <w:p w14:paraId="32B2209C" w14:textId="7AE664EA" w:rsidR="00440357" w:rsidRPr="00D37FCE" w:rsidRDefault="00440357" w:rsidP="00440357">
      <w:pPr>
        <w:pStyle w:val="BodyTextalphalist"/>
        <w:ind w:left="0" w:firstLine="0"/>
        <w:rPr>
          <w:szCs w:val="20"/>
        </w:rPr>
      </w:pPr>
    </w:p>
    <w:p w14:paraId="661F17B5" w14:textId="7AA8867B" w:rsidR="006A2CBA" w:rsidRPr="006A2CBA" w:rsidRDefault="00BD5C95" w:rsidP="00B73434">
      <w:pPr>
        <w:widowControl w:val="0"/>
        <w:numPr>
          <w:ilvl w:val="0"/>
          <w:numId w:val="67"/>
        </w:numPr>
        <w:tabs>
          <w:tab w:val="left" w:pos="905"/>
        </w:tabs>
        <w:autoSpaceDE w:val="0"/>
        <w:autoSpaceDN w:val="0"/>
        <w:spacing w:before="214"/>
        <w:jc w:val="both"/>
        <w:outlineLvl w:val="2"/>
        <w:rPr>
          <w:rFonts w:ascii="Times New Roman" w:hAnsi="Times New Roman"/>
          <w:b/>
          <w:sz w:val="23"/>
          <w:szCs w:val="23"/>
          <w:lang w:val="en-US" w:bidi="en-US"/>
        </w:rPr>
      </w:pPr>
      <w:bookmarkStart w:id="114" w:name="_bookmark0"/>
      <w:bookmarkEnd w:id="111"/>
      <w:bookmarkEnd w:id="114"/>
      <w:r>
        <w:rPr>
          <w:rFonts w:ascii="ZWAdobeF" w:hAnsi="ZWAdobeF" w:cs="ZWAdobeF"/>
          <w:color w:val="auto"/>
          <w:sz w:val="2"/>
          <w:szCs w:val="2"/>
          <w:lang w:val="en-US" w:bidi="en-US"/>
        </w:rPr>
        <w:t>1127B</w:t>
      </w:r>
      <w:r w:rsidR="0049638A">
        <w:rPr>
          <w:rFonts w:ascii="ZWAdobeF" w:hAnsi="ZWAdobeF" w:cs="ZWAdobeF"/>
          <w:color w:val="auto"/>
          <w:sz w:val="2"/>
          <w:szCs w:val="2"/>
          <w:lang w:val="en-US" w:bidi="en-US"/>
        </w:rPr>
        <w:t>1127B</w:t>
      </w:r>
      <w:r w:rsidR="00D629FA">
        <w:rPr>
          <w:rFonts w:ascii="ZWAdobeF" w:hAnsi="ZWAdobeF" w:cs="ZWAdobeF"/>
          <w:color w:val="auto"/>
          <w:sz w:val="2"/>
          <w:szCs w:val="2"/>
          <w:lang w:val="en-US" w:bidi="en-US"/>
        </w:rPr>
        <w:t>1127B</w:t>
      </w:r>
      <w:r w:rsidR="006A2CBA" w:rsidRPr="006A2CBA">
        <w:rPr>
          <w:rFonts w:ascii="Times New Roman" w:hAnsi="Times New Roman"/>
          <w:b/>
          <w:sz w:val="23"/>
          <w:szCs w:val="23"/>
          <w:lang w:val="en-US" w:bidi="en-US"/>
        </w:rPr>
        <w:t>Commencement of class</w:t>
      </w:r>
      <w:r w:rsidR="006A2CBA" w:rsidRPr="006A2CBA">
        <w:rPr>
          <w:rFonts w:ascii="Times New Roman" w:hAnsi="Times New Roman"/>
          <w:b/>
          <w:spacing w:val="-2"/>
          <w:sz w:val="23"/>
          <w:szCs w:val="23"/>
          <w:lang w:val="en-US" w:bidi="en-US"/>
        </w:rPr>
        <w:t xml:space="preserve"> </w:t>
      </w:r>
      <w:r w:rsidR="006A2CBA" w:rsidRPr="006A2CBA">
        <w:rPr>
          <w:rFonts w:ascii="Times New Roman" w:hAnsi="Times New Roman"/>
          <w:b/>
          <w:sz w:val="23"/>
          <w:szCs w:val="23"/>
          <w:lang w:val="en-US" w:bidi="en-US"/>
        </w:rPr>
        <w:t>action</w:t>
      </w:r>
    </w:p>
    <w:p w14:paraId="51DD6DC5" w14:textId="73075082" w:rsidR="006A2CBA" w:rsidRPr="006A2CBA" w:rsidRDefault="00BD5C95" w:rsidP="00B73434">
      <w:pPr>
        <w:widowControl w:val="0"/>
        <w:numPr>
          <w:ilvl w:val="0"/>
          <w:numId w:val="69"/>
        </w:numPr>
        <w:tabs>
          <w:tab w:val="left" w:pos="905"/>
        </w:tabs>
        <w:autoSpaceDE w:val="0"/>
        <w:autoSpaceDN w:val="0"/>
        <w:spacing w:before="91"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1128B</w:t>
      </w:r>
      <w:r w:rsidR="0049638A">
        <w:rPr>
          <w:rFonts w:ascii="ZWAdobeF" w:hAnsi="ZWAdobeF" w:cs="ZWAdobeF"/>
          <w:color w:val="auto"/>
          <w:sz w:val="2"/>
          <w:szCs w:val="2"/>
          <w:lang w:val="en-US" w:bidi="en-US"/>
        </w:rPr>
        <w:t>1128B</w:t>
      </w:r>
      <w:r w:rsidR="00D629FA">
        <w:rPr>
          <w:rFonts w:ascii="ZWAdobeF" w:hAnsi="ZWAdobeF" w:cs="ZWAdobeF"/>
          <w:color w:val="auto"/>
          <w:sz w:val="2"/>
          <w:szCs w:val="2"/>
          <w:lang w:val="en-US" w:bidi="en-US"/>
        </w:rPr>
        <w:t>1128B</w:t>
      </w:r>
      <w:r w:rsidR="006A2CBA" w:rsidRPr="006A2CBA">
        <w:rPr>
          <w:rFonts w:ascii="Times New Roman" w:hAnsi="Times New Roman"/>
          <w:sz w:val="23"/>
          <w:lang w:val="en-US" w:bidi="en-US"/>
        </w:rPr>
        <w:t>A person may commence a class action proceeding against 1 or more defendants in the High Court as a representative</w:t>
      </w:r>
      <w:r w:rsidR="006A2CBA" w:rsidRPr="006A2CBA">
        <w:rPr>
          <w:rFonts w:ascii="Times New Roman" w:hAnsi="Times New Roman"/>
          <w:spacing w:val="-3"/>
          <w:sz w:val="23"/>
          <w:lang w:val="en-US" w:bidi="en-US"/>
        </w:rPr>
        <w:t xml:space="preserve"> </w:t>
      </w:r>
      <w:r w:rsidR="006A2CBA" w:rsidRPr="006A2CBA">
        <w:rPr>
          <w:rFonts w:ascii="Times New Roman" w:hAnsi="Times New Roman"/>
          <w:sz w:val="23"/>
          <w:lang w:val="en-US" w:bidi="en-US"/>
        </w:rPr>
        <w:t>plaintiff—</w:t>
      </w:r>
    </w:p>
    <w:p w14:paraId="36C8F170" w14:textId="645D86C0" w:rsidR="006A2CBA" w:rsidRPr="006A2CBA" w:rsidRDefault="00BD5C95" w:rsidP="00B73434">
      <w:pPr>
        <w:widowControl w:val="0"/>
        <w:numPr>
          <w:ilvl w:val="1"/>
          <w:numId w:val="69"/>
        </w:numPr>
        <w:tabs>
          <w:tab w:val="left" w:pos="1505"/>
        </w:tabs>
        <w:autoSpaceDE w:val="0"/>
        <w:autoSpaceDN w:val="0"/>
        <w:spacing w:before="82" w:after="80"/>
        <w:ind w:left="1503" w:hanging="601"/>
        <w:jc w:val="both"/>
        <w:rPr>
          <w:rFonts w:ascii="Times New Roman" w:hAnsi="Times New Roman"/>
          <w:sz w:val="23"/>
          <w:lang w:val="en-US" w:bidi="en-US"/>
        </w:rPr>
      </w:pPr>
      <w:r>
        <w:rPr>
          <w:rFonts w:ascii="ZWAdobeF" w:hAnsi="ZWAdobeF" w:cs="ZWAdobeF"/>
          <w:color w:val="auto"/>
          <w:sz w:val="2"/>
          <w:szCs w:val="2"/>
          <w:lang w:val="en-US" w:bidi="en-US"/>
        </w:rPr>
        <w:t>1129B</w:t>
      </w:r>
      <w:r w:rsidR="0049638A">
        <w:rPr>
          <w:rFonts w:ascii="ZWAdobeF" w:hAnsi="ZWAdobeF" w:cs="ZWAdobeF"/>
          <w:color w:val="auto"/>
          <w:sz w:val="2"/>
          <w:szCs w:val="2"/>
          <w:lang w:val="en-US" w:bidi="en-US"/>
        </w:rPr>
        <w:t>1129B</w:t>
      </w:r>
      <w:r w:rsidR="00D629FA">
        <w:rPr>
          <w:rFonts w:ascii="ZWAdobeF" w:hAnsi="ZWAdobeF" w:cs="ZWAdobeF"/>
          <w:color w:val="auto"/>
          <w:sz w:val="2"/>
          <w:szCs w:val="2"/>
          <w:lang w:val="en-US" w:bidi="en-US"/>
        </w:rPr>
        <w:t>1129B</w:t>
      </w:r>
      <w:r w:rsidR="006A2CBA" w:rsidRPr="006A2CBA">
        <w:rPr>
          <w:rFonts w:ascii="Times New Roman" w:hAnsi="Times New Roman"/>
          <w:sz w:val="23"/>
          <w:lang w:val="en-US" w:bidi="en-US"/>
        </w:rPr>
        <w:t>on behalf of themselves and 2 or more other persons; and</w:t>
      </w:r>
    </w:p>
    <w:p w14:paraId="55E32B7B" w14:textId="2782EA26" w:rsidR="006A2CBA" w:rsidRPr="006A2CBA" w:rsidRDefault="00BD5C95" w:rsidP="00B73434">
      <w:pPr>
        <w:widowControl w:val="0"/>
        <w:numPr>
          <w:ilvl w:val="1"/>
          <w:numId w:val="69"/>
        </w:numPr>
        <w:tabs>
          <w:tab w:val="left" w:pos="1505"/>
        </w:tabs>
        <w:autoSpaceDE w:val="0"/>
        <w:autoSpaceDN w:val="0"/>
        <w:spacing w:before="92" w:after="80" w:line="249" w:lineRule="auto"/>
        <w:ind w:left="1503" w:right="299"/>
        <w:jc w:val="both"/>
        <w:rPr>
          <w:rFonts w:ascii="Times New Roman" w:hAnsi="Times New Roman"/>
          <w:sz w:val="23"/>
          <w:lang w:val="en-US" w:bidi="en-US"/>
        </w:rPr>
      </w:pPr>
      <w:r>
        <w:rPr>
          <w:rFonts w:ascii="ZWAdobeF" w:hAnsi="ZWAdobeF" w:cs="ZWAdobeF"/>
          <w:color w:val="auto"/>
          <w:sz w:val="2"/>
          <w:szCs w:val="2"/>
          <w:lang w:val="en-US" w:bidi="en-US"/>
        </w:rPr>
        <w:t>1130B</w:t>
      </w:r>
      <w:r w:rsidR="0049638A">
        <w:rPr>
          <w:rFonts w:ascii="ZWAdobeF" w:hAnsi="ZWAdobeF" w:cs="ZWAdobeF"/>
          <w:color w:val="auto"/>
          <w:sz w:val="2"/>
          <w:szCs w:val="2"/>
          <w:lang w:val="en-US" w:bidi="en-US"/>
        </w:rPr>
        <w:t>1130B</w:t>
      </w:r>
      <w:r w:rsidR="00D629FA">
        <w:rPr>
          <w:rFonts w:ascii="ZWAdobeF" w:hAnsi="ZWAdobeF" w:cs="ZWAdobeF"/>
          <w:color w:val="auto"/>
          <w:sz w:val="2"/>
          <w:szCs w:val="2"/>
          <w:lang w:val="en-US" w:bidi="en-US"/>
        </w:rPr>
        <w:t>1130B</w:t>
      </w:r>
      <w:r w:rsidR="006A2CBA" w:rsidRPr="006A2CBA">
        <w:rPr>
          <w:rFonts w:ascii="Times New Roman" w:hAnsi="Times New Roman"/>
          <w:sz w:val="23"/>
          <w:lang w:val="en-US" w:bidi="en-US"/>
        </w:rPr>
        <w:t>if their claim and the claims of the other persons all raise a common issue.</w:t>
      </w:r>
    </w:p>
    <w:p w14:paraId="0707E6B4" w14:textId="2149CE7A" w:rsidR="006A2CBA" w:rsidRPr="006A2CBA" w:rsidRDefault="00BD5C95" w:rsidP="00B73434">
      <w:pPr>
        <w:widowControl w:val="0"/>
        <w:numPr>
          <w:ilvl w:val="0"/>
          <w:numId w:val="69"/>
        </w:numPr>
        <w:tabs>
          <w:tab w:val="left" w:pos="905"/>
        </w:tabs>
        <w:autoSpaceDE w:val="0"/>
        <w:autoSpaceDN w:val="0"/>
        <w:spacing w:before="82" w:line="242" w:lineRule="auto"/>
        <w:ind w:right="301" w:hanging="601"/>
        <w:jc w:val="both"/>
        <w:rPr>
          <w:rFonts w:ascii="Times New Roman" w:hAnsi="Times New Roman"/>
          <w:sz w:val="23"/>
          <w:lang w:val="en-US" w:bidi="en-US"/>
        </w:rPr>
      </w:pPr>
      <w:r>
        <w:rPr>
          <w:rFonts w:ascii="ZWAdobeF" w:hAnsi="ZWAdobeF" w:cs="ZWAdobeF"/>
          <w:color w:val="auto"/>
          <w:sz w:val="2"/>
          <w:szCs w:val="2"/>
          <w:lang w:val="en-US" w:bidi="en-US"/>
        </w:rPr>
        <w:t>1131B</w:t>
      </w:r>
      <w:r w:rsidR="0049638A">
        <w:rPr>
          <w:rFonts w:ascii="ZWAdobeF" w:hAnsi="ZWAdobeF" w:cs="ZWAdobeF"/>
          <w:color w:val="auto"/>
          <w:sz w:val="2"/>
          <w:szCs w:val="2"/>
          <w:lang w:val="en-US" w:bidi="en-US"/>
        </w:rPr>
        <w:t>1131B</w:t>
      </w:r>
      <w:r w:rsidR="00D629FA">
        <w:rPr>
          <w:rFonts w:ascii="ZWAdobeF" w:hAnsi="ZWAdobeF" w:cs="ZWAdobeF"/>
          <w:color w:val="auto"/>
          <w:sz w:val="2"/>
          <w:szCs w:val="2"/>
          <w:lang w:val="en-US" w:bidi="en-US"/>
        </w:rPr>
        <w:t>1131B</w:t>
      </w:r>
      <w:r w:rsidR="006A2CBA" w:rsidRPr="006A2CBA">
        <w:rPr>
          <w:rFonts w:ascii="Times New Roman" w:hAnsi="Times New Roman"/>
          <w:sz w:val="23"/>
          <w:lang w:val="en-US" w:bidi="en-US"/>
        </w:rPr>
        <w:t xml:space="preserve">A proceeding under </w:t>
      </w:r>
      <w:r w:rsidR="006A2CBA" w:rsidRPr="006A2CBA">
        <w:rPr>
          <w:rFonts w:ascii="Arial Black" w:hAnsi="Arial Black"/>
          <w:sz w:val="19"/>
          <w:lang w:val="en-US" w:bidi="en-US"/>
        </w:rPr>
        <w:t xml:space="preserve">subsection (1) </w:t>
      </w:r>
      <w:r w:rsidR="006A2CBA" w:rsidRPr="006A2CBA">
        <w:rPr>
          <w:rFonts w:ascii="Times New Roman" w:hAnsi="Times New Roman"/>
          <w:sz w:val="23"/>
          <w:lang w:val="en-US" w:bidi="en-US"/>
        </w:rPr>
        <w:t>may be commenced by more than 1 representative</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plaintiff.</w:t>
      </w:r>
    </w:p>
    <w:p w14:paraId="552A32C6" w14:textId="3D026E2F" w:rsidR="006A2CBA" w:rsidRPr="006A2CBA" w:rsidRDefault="00BD5C95" w:rsidP="00B73434">
      <w:pPr>
        <w:widowControl w:val="0"/>
        <w:numPr>
          <w:ilvl w:val="0"/>
          <w:numId w:val="69"/>
        </w:numPr>
        <w:tabs>
          <w:tab w:val="left" w:pos="905"/>
        </w:tabs>
        <w:autoSpaceDE w:val="0"/>
        <w:autoSpaceDN w:val="0"/>
        <w:spacing w:before="88"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1132B</w:t>
      </w:r>
      <w:r w:rsidR="0049638A">
        <w:rPr>
          <w:rFonts w:ascii="ZWAdobeF" w:hAnsi="ZWAdobeF" w:cs="ZWAdobeF"/>
          <w:color w:val="auto"/>
          <w:sz w:val="2"/>
          <w:szCs w:val="2"/>
          <w:lang w:val="en-US" w:bidi="en-US"/>
        </w:rPr>
        <w:t>1132B</w:t>
      </w:r>
      <w:r w:rsidR="00D629FA">
        <w:rPr>
          <w:rFonts w:ascii="ZWAdobeF" w:hAnsi="ZWAdobeF" w:cs="ZWAdobeF"/>
          <w:color w:val="auto"/>
          <w:sz w:val="2"/>
          <w:szCs w:val="2"/>
          <w:lang w:val="en-US" w:bidi="en-US"/>
        </w:rPr>
        <w:t>1132B</w:t>
      </w:r>
      <w:r w:rsidR="006A2CBA" w:rsidRPr="006A2CBA">
        <w:rPr>
          <w:rFonts w:ascii="Times New Roman" w:hAnsi="Times New Roman"/>
          <w:sz w:val="23"/>
          <w:lang w:val="en-US" w:bidi="en-US"/>
        </w:rPr>
        <w:t xml:space="preserve">A State entity that has the power under another Act (the </w:t>
      </w:r>
      <w:r w:rsidR="006A2CBA" w:rsidRPr="006A2CBA">
        <w:rPr>
          <w:rFonts w:ascii="Times New Roman" w:hAnsi="Times New Roman"/>
          <w:b/>
          <w:sz w:val="23"/>
          <w:lang w:val="en-US" w:bidi="en-US"/>
        </w:rPr>
        <w:t>empowering Act</w:t>
      </w:r>
      <w:r w:rsidR="006A2CBA" w:rsidRPr="006A2CBA">
        <w:rPr>
          <w:rFonts w:ascii="Times New Roman" w:hAnsi="Times New Roman"/>
          <w:sz w:val="23"/>
          <w:lang w:val="en-US" w:bidi="en-US"/>
        </w:rPr>
        <w:t>) to bring proceedings on behalf of 2 or more persons may commence a class action proceeding against 1 or more defendants in the High Court as a representative plaintiff—</w:t>
      </w:r>
    </w:p>
    <w:p w14:paraId="4EEAB649" w14:textId="72EE5A13" w:rsidR="006A2CBA" w:rsidRPr="006A2CBA" w:rsidRDefault="00BD5C95" w:rsidP="00B73434">
      <w:pPr>
        <w:widowControl w:val="0"/>
        <w:numPr>
          <w:ilvl w:val="1"/>
          <w:numId w:val="69"/>
        </w:numPr>
        <w:tabs>
          <w:tab w:val="left" w:pos="1505"/>
        </w:tabs>
        <w:autoSpaceDE w:val="0"/>
        <w:autoSpaceDN w:val="0"/>
        <w:spacing w:before="84" w:after="80"/>
        <w:ind w:left="1503" w:hanging="601"/>
        <w:jc w:val="both"/>
        <w:rPr>
          <w:rFonts w:ascii="Times New Roman" w:hAnsi="Times New Roman"/>
          <w:sz w:val="23"/>
          <w:lang w:val="en-US" w:bidi="en-US"/>
        </w:rPr>
      </w:pPr>
      <w:r>
        <w:rPr>
          <w:rFonts w:ascii="ZWAdobeF" w:hAnsi="ZWAdobeF" w:cs="ZWAdobeF"/>
          <w:color w:val="auto"/>
          <w:sz w:val="2"/>
          <w:szCs w:val="2"/>
          <w:lang w:val="en-US" w:bidi="en-US"/>
        </w:rPr>
        <w:t>1133B</w:t>
      </w:r>
      <w:r w:rsidR="0049638A">
        <w:rPr>
          <w:rFonts w:ascii="ZWAdobeF" w:hAnsi="ZWAdobeF" w:cs="ZWAdobeF"/>
          <w:color w:val="auto"/>
          <w:sz w:val="2"/>
          <w:szCs w:val="2"/>
          <w:lang w:val="en-US" w:bidi="en-US"/>
        </w:rPr>
        <w:t>1133B</w:t>
      </w:r>
      <w:r w:rsidR="00D629FA">
        <w:rPr>
          <w:rFonts w:ascii="ZWAdobeF" w:hAnsi="ZWAdobeF" w:cs="ZWAdobeF"/>
          <w:color w:val="auto"/>
          <w:sz w:val="2"/>
          <w:szCs w:val="2"/>
          <w:lang w:val="en-US" w:bidi="en-US"/>
        </w:rPr>
        <w:t>1133B</w:t>
      </w:r>
      <w:r w:rsidR="006A2CBA" w:rsidRPr="006A2CBA">
        <w:rPr>
          <w:rFonts w:ascii="Times New Roman" w:hAnsi="Times New Roman"/>
          <w:sz w:val="23"/>
          <w:lang w:val="en-US" w:bidi="en-US"/>
        </w:rPr>
        <w:t>on behalf of 2 or more persons; and</w:t>
      </w:r>
    </w:p>
    <w:p w14:paraId="1D5FFEFD" w14:textId="36BFB0CC" w:rsidR="006A2CBA" w:rsidRPr="006A2CBA" w:rsidRDefault="00BD5C95" w:rsidP="00B73434">
      <w:pPr>
        <w:widowControl w:val="0"/>
        <w:numPr>
          <w:ilvl w:val="1"/>
          <w:numId w:val="69"/>
        </w:numPr>
        <w:tabs>
          <w:tab w:val="left" w:pos="1505"/>
        </w:tabs>
        <w:autoSpaceDE w:val="0"/>
        <w:autoSpaceDN w:val="0"/>
        <w:spacing w:before="92" w:after="80"/>
        <w:ind w:left="1503" w:hanging="601"/>
        <w:jc w:val="both"/>
        <w:rPr>
          <w:rFonts w:ascii="Times New Roman" w:hAnsi="Times New Roman"/>
          <w:sz w:val="23"/>
          <w:lang w:val="en-US" w:bidi="en-US"/>
        </w:rPr>
      </w:pPr>
      <w:r>
        <w:rPr>
          <w:rFonts w:ascii="ZWAdobeF" w:hAnsi="ZWAdobeF" w:cs="ZWAdobeF"/>
          <w:color w:val="auto"/>
          <w:sz w:val="2"/>
          <w:szCs w:val="2"/>
          <w:lang w:val="en-US" w:bidi="en-US"/>
        </w:rPr>
        <w:t>1134B</w:t>
      </w:r>
      <w:r w:rsidR="0049638A">
        <w:rPr>
          <w:rFonts w:ascii="ZWAdobeF" w:hAnsi="ZWAdobeF" w:cs="ZWAdobeF"/>
          <w:color w:val="auto"/>
          <w:sz w:val="2"/>
          <w:szCs w:val="2"/>
          <w:lang w:val="en-US" w:bidi="en-US"/>
        </w:rPr>
        <w:t>1134B</w:t>
      </w:r>
      <w:r w:rsidR="00D629FA">
        <w:rPr>
          <w:rFonts w:ascii="ZWAdobeF" w:hAnsi="ZWAdobeF" w:cs="ZWAdobeF"/>
          <w:color w:val="auto"/>
          <w:sz w:val="2"/>
          <w:szCs w:val="2"/>
          <w:lang w:val="en-US" w:bidi="en-US"/>
        </w:rPr>
        <w:t>1134B</w:t>
      </w:r>
      <w:r w:rsidR="006A2CBA" w:rsidRPr="006A2CBA">
        <w:rPr>
          <w:rFonts w:ascii="Times New Roman" w:hAnsi="Times New Roman"/>
          <w:sz w:val="23"/>
          <w:lang w:val="en-US" w:bidi="en-US"/>
        </w:rPr>
        <w:t>if the claims of those persons all raise a common issue.</w:t>
      </w:r>
    </w:p>
    <w:p w14:paraId="06C5FC0B" w14:textId="3A3C4F6C" w:rsidR="006A2CBA" w:rsidRPr="006A2CBA" w:rsidRDefault="00BD5C95" w:rsidP="00B73434">
      <w:pPr>
        <w:widowControl w:val="0"/>
        <w:numPr>
          <w:ilvl w:val="0"/>
          <w:numId w:val="69"/>
        </w:numPr>
        <w:tabs>
          <w:tab w:val="left" w:pos="905"/>
        </w:tabs>
        <w:autoSpaceDE w:val="0"/>
        <w:autoSpaceDN w:val="0"/>
        <w:spacing w:before="91" w:line="242" w:lineRule="auto"/>
        <w:ind w:right="302" w:hanging="601"/>
        <w:jc w:val="both"/>
        <w:rPr>
          <w:rFonts w:ascii="Times New Roman" w:hAnsi="Times New Roman"/>
          <w:sz w:val="23"/>
          <w:lang w:val="en-US" w:bidi="en-US"/>
        </w:rPr>
      </w:pPr>
      <w:r>
        <w:rPr>
          <w:rFonts w:ascii="ZWAdobeF" w:hAnsi="ZWAdobeF" w:cs="ZWAdobeF"/>
          <w:color w:val="auto"/>
          <w:sz w:val="2"/>
          <w:szCs w:val="2"/>
          <w:lang w:val="en-US" w:bidi="en-US"/>
        </w:rPr>
        <w:t>1135B</w:t>
      </w:r>
      <w:r w:rsidR="0049638A">
        <w:rPr>
          <w:rFonts w:ascii="ZWAdobeF" w:hAnsi="ZWAdobeF" w:cs="ZWAdobeF"/>
          <w:color w:val="auto"/>
          <w:sz w:val="2"/>
          <w:szCs w:val="2"/>
          <w:lang w:val="en-US" w:bidi="en-US"/>
        </w:rPr>
        <w:t>1135B</w:t>
      </w:r>
      <w:r w:rsidR="00D629FA">
        <w:rPr>
          <w:rFonts w:ascii="ZWAdobeF" w:hAnsi="ZWAdobeF" w:cs="ZWAdobeF"/>
          <w:color w:val="auto"/>
          <w:sz w:val="2"/>
          <w:szCs w:val="2"/>
          <w:lang w:val="en-US" w:bidi="en-US"/>
        </w:rPr>
        <w:t>1135B</w:t>
      </w:r>
      <w:r w:rsidR="006A2CBA" w:rsidRPr="006A2CBA">
        <w:rPr>
          <w:rFonts w:ascii="Times New Roman" w:hAnsi="Times New Roman"/>
          <w:sz w:val="23"/>
          <w:lang w:val="en-US" w:bidi="en-US"/>
        </w:rPr>
        <w:t xml:space="preserve">The commencement of a proceeding under </w:t>
      </w:r>
      <w:r w:rsidR="006A2CBA" w:rsidRPr="006A2CBA">
        <w:rPr>
          <w:rFonts w:ascii="Arial Black" w:hAnsi="Times New Roman"/>
          <w:sz w:val="19"/>
          <w:lang w:val="en-US" w:bidi="en-US"/>
        </w:rPr>
        <w:t xml:space="preserve">subsection (3) </w:t>
      </w:r>
      <w:r w:rsidR="006A2CBA" w:rsidRPr="006A2CBA">
        <w:rPr>
          <w:rFonts w:ascii="Times New Roman" w:hAnsi="Times New Roman"/>
          <w:sz w:val="23"/>
          <w:lang w:val="en-US" w:bidi="en-US"/>
        </w:rPr>
        <w:t>is subject to any limits or requirements in the empowering</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Act.</w:t>
      </w:r>
    </w:p>
    <w:p w14:paraId="7462D416" w14:textId="2EEFA291" w:rsidR="006A2CBA" w:rsidRPr="006A2CBA" w:rsidRDefault="00BD5C95" w:rsidP="00B73434">
      <w:pPr>
        <w:widowControl w:val="0"/>
        <w:numPr>
          <w:ilvl w:val="0"/>
          <w:numId w:val="69"/>
        </w:numPr>
        <w:tabs>
          <w:tab w:val="left" w:pos="905"/>
        </w:tabs>
        <w:autoSpaceDE w:val="0"/>
        <w:autoSpaceDN w:val="0"/>
        <w:spacing w:before="89"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1136B</w:t>
      </w:r>
      <w:r w:rsidR="0049638A">
        <w:rPr>
          <w:rFonts w:ascii="ZWAdobeF" w:hAnsi="ZWAdobeF" w:cs="ZWAdobeF"/>
          <w:color w:val="auto"/>
          <w:sz w:val="2"/>
          <w:szCs w:val="2"/>
          <w:lang w:val="en-US" w:bidi="en-US"/>
        </w:rPr>
        <w:t>1136B</w:t>
      </w:r>
      <w:r w:rsidR="00D629FA">
        <w:rPr>
          <w:rFonts w:ascii="ZWAdobeF" w:hAnsi="ZWAdobeF" w:cs="ZWAdobeF"/>
          <w:color w:val="auto"/>
          <w:sz w:val="2"/>
          <w:szCs w:val="2"/>
          <w:lang w:val="en-US" w:bidi="en-US"/>
        </w:rPr>
        <w:t>1136B</w:t>
      </w:r>
      <w:r w:rsidR="006A2CBA" w:rsidRPr="006A2CBA">
        <w:rPr>
          <w:rFonts w:ascii="Times New Roman" w:hAnsi="Times New Roman"/>
          <w:sz w:val="23"/>
          <w:lang w:val="en-US" w:bidi="en-US"/>
        </w:rPr>
        <w:t xml:space="preserve">In this section, </w:t>
      </w:r>
      <w:r w:rsidR="006A2CBA" w:rsidRPr="006A2CBA">
        <w:rPr>
          <w:rFonts w:ascii="Times New Roman" w:hAnsi="Times New Roman"/>
          <w:b/>
          <w:sz w:val="23"/>
          <w:lang w:val="en-US" w:bidi="en-US"/>
        </w:rPr>
        <w:t xml:space="preserve">common issue </w:t>
      </w:r>
      <w:r w:rsidR="006A2CBA" w:rsidRPr="006A2CBA">
        <w:rPr>
          <w:rFonts w:ascii="Times New Roman" w:hAnsi="Times New Roman"/>
          <w:sz w:val="23"/>
          <w:lang w:val="en-US" w:bidi="en-US"/>
        </w:rPr>
        <w:t>means a common issue of fact or law of significance to the resolution of each person’s</w:t>
      </w:r>
      <w:r w:rsidR="006A2CBA" w:rsidRPr="006A2CBA">
        <w:rPr>
          <w:rFonts w:ascii="Times New Roman" w:hAnsi="Times New Roman"/>
          <w:spacing w:val="-3"/>
          <w:sz w:val="23"/>
          <w:lang w:val="en-US" w:bidi="en-US"/>
        </w:rPr>
        <w:t xml:space="preserve"> </w:t>
      </w:r>
      <w:r w:rsidR="006A2CBA" w:rsidRPr="006A2CBA">
        <w:rPr>
          <w:rFonts w:ascii="Times New Roman" w:hAnsi="Times New Roman"/>
          <w:sz w:val="23"/>
          <w:lang w:val="en-US" w:bidi="en-US"/>
        </w:rPr>
        <w:t>claim.</w:t>
      </w:r>
    </w:p>
    <w:p w14:paraId="0E6F42A3" w14:textId="00AAAE5C" w:rsidR="006A2CBA" w:rsidRPr="006A2CBA" w:rsidRDefault="00BD5C95" w:rsidP="00B73434">
      <w:pPr>
        <w:widowControl w:val="0"/>
        <w:numPr>
          <w:ilvl w:val="0"/>
          <w:numId w:val="67"/>
        </w:numPr>
        <w:tabs>
          <w:tab w:val="left" w:pos="904"/>
          <w:tab w:val="left" w:pos="905"/>
        </w:tabs>
        <w:autoSpaceDE w:val="0"/>
        <w:autoSpaceDN w:val="0"/>
        <w:spacing w:before="202"/>
        <w:ind w:hanging="601"/>
        <w:outlineLvl w:val="2"/>
        <w:rPr>
          <w:rFonts w:ascii="Times New Roman" w:hAnsi="Times New Roman"/>
          <w:b/>
          <w:sz w:val="23"/>
          <w:szCs w:val="23"/>
          <w:lang w:val="en-US" w:bidi="en-US"/>
        </w:rPr>
      </w:pPr>
      <w:r>
        <w:rPr>
          <w:rFonts w:ascii="ZWAdobeF" w:hAnsi="ZWAdobeF" w:cs="ZWAdobeF"/>
          <w:color w:val="auto"/>
          <w:sz w:val="2"/>
          <w:szCs w:val="2"/>
          <w:lang w:val="en-US" w:bidi="en-US"/>
        </w:rPr>
        <w:t>1137B</w:t>
      </w:r>
      <w:r w:rsidR="0049638A">
        <w:rPr>
          <w:rFonts w:ascii="ZWAdobeF" w:hAnsi="ZWAdobeF" w:cs="ZWAdobeF"/>
          <w:color w:val="auto"/>
          <w:sz w:val="2"/>
          <w:szCs w:val="2"/>
          <w:lang w:val="en-US" w:bidi="en-US"/>
        </w:rPr>
        <w:t>1137B</w:t>
      </w:r>
      <w:r w:rsidR="00D629FA">
        <w:rPr>
          <w:rFonts w:ascii="ZWAdobeF" w:hAnsi="ZWAdobeF" w:cs="ZWAdobeF"/>
          <w:color w:val="auto"/>
          <w:sz w:val="2"/>
          <w:szCs w:val="2"/>
          <w:lang w:val="en-US" w:bidi="en-US"/>
        </w:rPr>
        <w:t>1137B</w:t>
      </w:r>
      <w:r w:rsidR="006A2CBA" w:rsidRPr="006A2CBA">
        <w:rPr>
          <w:rFonts w:ascii="Times New Roman" w:hAnsi="Times New Roman"/>
          <w:b/>
          <w:sz w:val="23"/>
          <w:szCs w:val="23"/>
          <w:lang w:val="en-US" w:bidi="en-US"/>
        </w:rPr>
        <w:t>Multiple</w:t>
      </w:r>
      <w:r w:rsidR="006A2CBA" w:rsidRPr="006A2CBA">
        <w:rPr>
          <w:rFonts w:ascii="Times New Roman" w:hAnsi="Times New Roman"/>
          <w:b/>
          <w:spacing w:val="-1"/>
          <w:sz w:val="23"/>
          <w:szCs w:val="23"/>
          <w:lang w:val="en-US" w:bidi="en-US"/>
        </w:rPr>
        <w:t xml:space="preserve"> </w:t>
      </w:r>
      <w:r w:rsidR="006A2CBA" w:rsidRPr="006A2CBA">
        <w:rPr>
          <w:rFonts w:ascii="Times New Roman" w:hAnsi="Times New Roman"/>
          <w:b/>
          <w:sz w:val="23"/>
          <w:szCs w:val="23"/>
          <w:lang w:val="en-US" w:bidi="en-US"/>
        </w:rPr>
        <w:t>defendants</w:t>
      </w:r>
    </w:p>
    <w:p w14:paraId="5D5C1764" w14:textId="7880CFA4" w:rsidR="006A2CBA" w:rsidRPr="006A2CBA" w:rsidRDefault="00BD5C95" w:rsidP="00B73434">
      <w:pPr>
        <w:widowControl w:val="0"/>
        <w:numPr>
          <w:ilvl w:val="0"/>
          <w:numId w:val="70"/>
        </w:numPr>
        <w:tabs>
          <w:tab w:val="left" w:pos="904"/>
          <w:tab w:val="left" w:pos="905"/>
        </w:tabs>
        <w:autoSpaceDE w:val="0"/>
        <w:autoSpaceDN w:val="0"/>
        <w:spacing w:before="91" w:line="242" w:lineRule="auto"/>
        <w:ind w:right="301"/>
        <w:rPr>
          <w:rFonts w:ascii="Times New Roman" w:hAnsi="Times New Roman"/>
          <w:sz w:val="23"/>
          <w:lang w:val="en-US" w:bidi="en-US"/>
        </w:rPr>
      </w:pPr>
      <w:r>
        <w:rPr>
          <w:rFonts w:ascii="ZWAdobeF" w:hAnsi="ZWAdobeF" w:cs="ZWAdobeF"/>
          <w:color w:val="auto"/>
          <w:sz w:val="2"/>
          <w:szCs w:val="2"/>
          <w:lang w:val="en-US" w:bidi="en-US"/>
        </w:rPr>
        <w:t>1138B</w:t>
      </w:r>
      <w:r w:rsidR="0049638A">
        <w:rPr>
          <w:rFonts w:ascii="ZWAdobeF" w:hAnsi="ZWAdobeF" w:cs="ZWAdobeF"/>
          <w:color w:val="auto"/>
          <w:sz w:val="2"/>
          <w:szCs w:val="2"/>
          <w:lang w:val="en-US" w:bidi="en-US"/>
        </w:rPr>
        <w:t>1138B</w:t>
      </w:r>
      <w:r w:rsidR="00D629FA">
        <w:rPr>
          <w:rFonts w:ascii="ZWAdobeF" w:hAnsi="ZWAdobeF" w:cs="ZWAdobeF"/>
          <w:color w:val="auto"/>
          <w:sz w:val="2"/>
          <w:szCs w:val="2"/>
          <w:lang w:val="en-US" w:bidi="en-US"/>
        </w:rPr>
        <w:t>1138B</w:t>
      </w:r>
      <w:r w:rsidR="006A2CBA" w:rsidRPr="006A2CBA">
        <w:rPr>
          <w:rFonts w:ascii="Times New Roman" w:hAnsi="Times New Roman"/>
          <w:sz w:val="23"/>
          <w:lang w:val="en-US" w:bidi="en-US"/>
        </w:rPr>
        <w:t xml:space="preserve">If a class action proceeding is commenced under </w:t>
      </w:r>
      <w:r w:rsidR="006A2CBA" w:rsidRPr="006A2CBA">
        <w:rPr>
          <w:rFonts w:ascii="Arial Black" w:hAnsi="Arial Black"/>
          <w:sz w:val="19"/>
          <w:lang w:val="en-US" w:bidi="en-US"/>
        </w:rPr>
        <w:t xml:space="preserve">section 1(1) </w:t>
      </w:r>
      <w:r w:rsidR="006A2CBA" w:rsidRPr="006A2CBA">
        <w:rPr>
          <w:rFonts w:ascii="Times New Roman" w:hAnsi="Times New Roman"/>
          <w:sz w:val="23"/>
          <w:lang w:val="en-US" w:bidi="en-US"/>
        </w:rPr>
        <w:t>against more than 1</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defendant,—</w:t>
      </w:r>
    </w:p>
    <w:p w14:paraId="30FA4FAA" w14:textId="6D83E8A4" w:rsidR="006A2CBA" w:rsidRPr="006A2CBA" w:rsidRDefault="00BD5C95" w:rsidP="00B73434">
      <w:pPr>
        <w:widowControl w:val="0"/>
        <w:numPr>
          <w:ilvl w:val="1"/>
          <w:numId w:val="70"/>
        </w:numPr>
        <w:tabs>
          <w:tab w:val="left" w:pos="1504"/>
          <w:tab w:val="left" w:pos="1505"/>
        </w:tabs>
        <w:autoSpaceDE w:val="0"/>
        <w:autoSpaceDN w:val="0"/>
        <w:spacing w:before="89" w:after="80" w:line="250" w:lineRule="auto"/>
        <w:ind w:left="1503" w:right="301"/>
        <w:rPr>
          <w:rFonts w:ascii="Times New Roman" w:hAnsi="Times New Roman"/>
          <w:sz w:val="23"/>
          <w:lang w:val="en-US" w:bidi="en-US"/>
        </w:rPr>
      </w:pPr>
      <w:r>
        <w:rPr>
          <w:rFonts w:ascii="ZWAdobeF" w:hAnsi="ZWAdobeF" w:cs="ZWAdobeF"/>
          <w:color w:val="auto"/>
          <w:sz w:val="2"/>
          <w:szCs w:val="2"/>
          <w:lang w:val="en-US" w:bidi="en-US"/>
        </w:rPr>
        <w:t>1139B</w:t>
      </w:r>
      <w:r w:rsidR="0049638A">
        <w:rPr>
          <w:rFonts w:ascii="ZWAdobeF" w:hAnsi="ZWAdobeF" w:cs="ZWAdobeF"/>
          <w:color w:val="auto"/>
          <w:sz w:val="2"/>
          <w:szCs w:val="2"/>
          <w:lang w:val="en-US" w:bidi="en-US"/>
        </w:rPr>
        <w:t>1139B</w:t>
      </w:r>
      <w:r w:rsidR="00D629FA">
        <w:rPr>
          <w:rFonts w:ascii="ZWAdobeF" w:hAnsi="ZWAdobeF" w:cs="ZWAdobeF"/>
          <w:color w:val="auto"/>
          <w:sz w:val="2"/>
          <w:szCs w:val="2"/>
          <w:lang w:val="en-US" w:bidi="en-US"/>
        </w:rPr>
        <w:t>1139B</w:t>
      </w:r>
      <w:r w:rsidR="006A2CBA" w:rsidRPr="006A2CBA">
        <w:rPr>
          <w:rFonts w:ascii="Times New Roman" w:hAnsi="Times New Roman"/>
          <w:sz w:val="23"/>
          <w:lang w:val="en-US" w:bidi="en-US"/>
        </w:rPr>
        <w:t>for each defendant there must be a representative plaintiff and at least 2 other persons with a claim against that</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defendant:</w:t>
      </w:r>
    </w:p>
    <w:p w14:paraId="0DCEFBA9" w14:textId="39181FAC" w:rsidR="006A2CBA" w:rsidRPr="006A2CBA" w:rsidRDefault="00BD5C95" w:rsidP="00B73434">
      <w:pPr>
        <w:widowControl w:val="0"/>
        <w:numPr>
          <w:ilvl w:val="1"/>
          <w:numId w:val="70"/>
        </w:numPr>
        <w:tabs>
          <w:tab w:val="left" w:pos="1504"/>
          <w:tab w:val="left" w:pos="1505"/>
        </w:tabs>
        <w:autoSpaceDE w:val="0"/>
        <w:autoSpaceDN w:val="0"/>
        <w:spacing w:before="82" w:after="80" w:line="250" w:lineRule="auto"/>
        <w:ind w:left="1503" w:right="299" w:hanging="601"/>
        <w:rPr>
          <w:rFonts w:ascii="Times New Roman" w:hAnsi="Times New Roman"/>
          <w:sz w:val="23"/>
          <w:lang w:val="en-US" w:bidi="en-US"/>
        </w:rPr>
      </w:pPr>
      <w:r>
        <w:rPr>
          <w:rFonts w:ascii="ZWAdobeF" w:hAnsi="ZWAdobeF" w:cs="ZWAdobeF"/>
          <w:color w:val="auto"/>
          <w:sz w:val="2"/>
          <w:szCs w:val="2"/>
          <w:lang w:val="en-US" w:bidi="en-US"/>
        </w:rPr>
        <w:t>1140B</w:t>
      </w:r>
      <w:r w:rsidR="0049638A">
        <w:rPr>
          <w:rFonts w:ascii="ZWAdobeF" w:hAnsi="ZWAdobeF" w:cs="ZWAdobeF"/>
          <w:color w:val="auto"/>
          <w:sz w:val="2"/>
          <w:szCs w:val="2"/>
          <w:lang w:val="en-US" w:bidi="en-US"/>
        </w:rPr>
        <w:t>1140B</w:t>
      </w:r>
      <w:r w:rsidR="00D629FA">
        <w:rPr>
          <w:rFonts w:ascii="ZWAdobeF" w:hAnsi="ZWAdobeF" w:cs="ZWAdobeF"/>
          <w:color w:val="auto"/>
          <w:sz w:val="2"/>
          <w:szCs w:val="2"/>
          <w:lang w:val="en-US" w:bidi="en-US"/>
        </w:rPr>
        <w:t>1140B</w:t>
      </w:r>
      <w:r w:rsidR="006A2CBA" w:rsidRPr="006A2CBA">
        <w:rPr>
          <w:rFonts w:ascii="Times New Roman" w:hAnsi="Times New Roman"/>
          <w:sz w:val="23"/>
          <w:lang w:val="en-US" w:bidi="en-US"/>
        </w:rPr>
        <w:t xml:space="preserve">if there are 2 or more representative plaintiffs, it is not necessary </w:t>
      </w:r>
      <w:r w:rsidR="006A2CBA" w:rsidRPr="006A2CBA">
        <w:rPr>
          <w:rFonts w:ascii="Times New Roman" w:hAnsi="Times New Roman"/>
          <w:spacing w:val="-4"/>
          <w:sz w:val="23"/>
          <w:lang w:val="en-US" w:bidi="en-US"/>
        </w:rPr>
        <w:t>for</w:t>
      </w:r>
      <w:r w:rsidR="006A2CBA" w:rsidRPr="006A2CBA">
        <w:rPr>
          <w:rFonts w:ascii="Times New Roman" w:hAnsi="Times New Roman"/>
          <w:spacing w:val="49"/>
          <w:sz w:val="23"/>
          <w:lang w:val="en-US" w:bidi="en-US"/>
        </w:rPr>
        <w:t xml:space="preserve"> </w:t>
      </w:r>
      <w:r w:rsidR="006A2CBA" w:rsidRPr="006A2CBA">
        <w:rPr>
          <w:rFonts w:ascii="Times New Roman" w:hAnsi="Times New Roman"/>
          <w:sz w:val="23"/>
          <w:lang w:val="en-US" w:bidi="en-US"/>
        </w:rPr>
        <w:t>each representative plaintiff to have a claim against all of the</w:t>
      </w:r>
      <w:r w:rsidR="006A2CBA" w:rsidRPr="006A2CBA">
        <w:rPr>
          <w:rFonts w:ascii="Times New Roman" w:hAnsi="Times New Roman"/>
          <w:spacing w:val="-5"/>
          <w:sz w:val="23"/>
          <w:lang w:val="en-US" w:bidi="en-US"/>
        </w:rPr>
        <w:t xml:space="preserve"> </w:t>
      </w:r>
      <w:r w:rsidR="006A2CBA" w:rsidRPr="006A2CBA">
        <w:rPr>
          <w:rFonts w:ascii="Times New Roman" w:hAnsi="Times New Roman"/>
          <w:sz w:val="23"/>
          <w:lang w:val="en-US" w:bidi="en-US"/>
        </w:rPr>
        <w:t>defendants:</w:t>
      </w:r>
    </w:p>
    <w:p w14:paraId="58994022" w14:textId="24C51DE2" w:rsidR="006A2CBA" w:rsidRPr="006A2CBA" w:rsidRDefault="00BD5C95" w:rsidP="00B73434">
      <w:pPr>
        <w:widowControl w:val="0"/>
        <w:numPr>
          <w:ilvl w:val="1"/>
          <w:numId w:val="70"/>
        </w:numPr>
        <w:tabs>
          <w:tab w:val="left" w:pos="1504"/>
          <w:tab w:val="left" w:pos="1505"/>
        </w:tabs>
        <w:autoSpaceDE w:val="0"/>
        <w:autoSpaceDN w:val="0"/>
        <w:spacing w:before="82" w:after="80" w:line="250" w:lineRule="auto"/>
        <w:ind w:left="1503" w:right="300" w:hanging="601"/>
        <w:rPr>
          <w:rFonts w:ascii="Times New Roman" w:hAnsi="Times New Roman"/>
          <w:sz w:val="23"/>
          <w:lang w:val="en-US" w:bidi="en-US"/>
        </w:rPr>
      </w:pPr>
      <w:r>
        <w:rPr>
          <w:rFonts w:ascii="ZWAdobeF" w:hAnsi="ZWAdobeF" w:cs="ZWAdobeF"/>
          <w:color w:val="auto"/>
          <w:sz w:val="2"/>
          <w:szCs w:val="2"/>
          <w:lang w:val="en-US" w:bidi="en-US"/>
        </w:rPr>
        <w:t>1141B</w:t>
      </w:r>
      <w:r w:rsidR="0049638A">
        <w:rPr>
          <w:rFonts w:ascii="ZWAdobeF" w:hAnsi="ZWAdobeF" w:cs="ZWAdobeF"/>
          <w:color w:val="auto"/>
          <w:sz w:val="2"/>
          <w:szCs w:val="2"/>
          <w:lang w:val="en-US" w:bidi="en-US"/>
        </w:rPr>
        <w:t>1141B</w:t>
      </w:r>
      <w:r w:rsidR="00D629FA">
        <w:rPr>
          <w:rFonts w:ascii="ZWAdobeF" w:hAnsi="ZWAdobeF" w:cs="ZWAdobeF"/>
          <w:color w:val="auto"/>
          <w:sz w:val="2"/>
          <w:szCs w:val="2"/>
          <w:lang w:val="en-US" w:bidi="en-US"/>
        </w:rPr>
        <w:t>1141B</w:t>
      </w:r>
      <w:r w:rsidR="006A2CBA" w:rsidRPr="006A2CBA">
        <w:rPr>
          <w:rFonts w:ascii="Times New Roman" w:hAnsi="Times New Roman"/>
          <w:sz w:val="23"/>
          <w:lang w:val="en-US" w:bidi="en-US"/>
        </w:rPr>
        <w:t xml:space="preserve">it is not necessary for each person on whose behalf the proceeding </w:t>
      </w:r>
      <w:r w:rsidR="006A2CBA" w:rsidRPr="006A2CBA">
        <w:rPr>
          <w:rFonts w:ascii="Times New Roman" w:hAnsi="Times New Roman"/>
          <w:spacing w:val="-6"/>
          <w:sz w:val="23"/>
          <w:lang w:val="en-US" w:bidi="en-US"/>
        </w:rPr>
        <w:t xml:space="preserve">is </w:t>
      </w:r>
      <w:r w:rsidR="006A2CBA" w:rsidRPr="006A2CBA">
        <w:rPr>
          <w:rFonts w:ascii="Times New Roman" w:hAnsi="Times New Roman"/>
          <w:sz w:val="23"/>
          <w:lang w:val="en-US" w:bidi="en-US"/>
        </w:rPr>
        <w:t>commenced to have a claim against all of the defendants.</w:t>
      </w:r>
    </w:p>
    <w:p w14:paraId="0A3E4BF8" w14:textId="748B72EF" w:rsidR="006A2CBA" w:rsidRPr="006A2CBA" w:rsidRDefault="00BD5C95" w:rsidP="00B73434">
      <w:pPr>
        <w:widowControl w:val="0"/>
        <w:numPr>
          <w:ilvl w:val="0"/>
          <w:numId w:val="70"/>
        </w:numPr>
        <w:tabs>
          <w:tab w:val="left" w:pos="904"/>
          <w:tab w:val="left" w:pos="905"/>
        </w:tabs>
        <w:autoSpaceDE w:val="0"/>
        <w:autoSpaceDN w:val="0"/>
        <w:spacing w:before="81" w:line="242" w:lineRule="auto"/>
        <w:ind w:right="301"/>
        <w:rPr>
          <w:rFonts w:ascii="Times New Roman" w:hAnsi="Times New Roman"/>
          <w:sz w:val="23"/>
          <w:lang w:val="en-US" w:bidi="en-US"/>
        </w:rPr>
      </w:pPr>
      <w:r>
        <w:rPr>
          <w:rFonts w:ascii="ZWAdobeF" w:hAnsi="ZWAdobeF" w:cs="ZWAdobeF"/>
          <w:color w:val="auto"/>
          <w:sz w:val="2"/>
          <w:szCs w:val="2"/>
          <w:lang w:val="en-US" w:bidi="en-US"/>
        </w:rPr>
        <w:t>1142B</w:t>
      </w:r>
      <w:r w:rsidR="0049638A">
        <w:rPr>
          <w:rFonts w:ascii="ZWAdobeF" w:hAnsi="ZWAdobeF" w:cs="ZWAdobeF"/>
          <w:color w:val="auto"/>
          <w:sz w:val="2"/>
          <w:szCs w:val="2"/>
          <w:lang w:val="en-US" w:bidi="en-US"/>
        </w:rPr>
        <w:t>1142B</w:t>
      </w:r>
      <w:r w:rsidR="00D629FA">
        <w:rPr>
          <w:rFonts w:ascii="ZWAdobeF" w:hAnsi="ZWAdobeF" w:cs="ZWAdobeF"/>
          <w:color w:val="auto"/>
          <w:sz w:val="2"/>
          <w:szCs w:val="2"/>
          <w:lang w:val="en-US" w:bidi="en-US"/>
        </w:rPr>
        <w:t>1142B</w:t>
      </w:r>
      <w:r w:rsidR="006A2CBA" w:rsidRPr="006A2CBA">
        <w:rPr>
          <w:rFonts w:ascii="Times New Roman" w:hAnsi="Times New Roman"/>
          <w:sz w:val="23"/>
          <w:lang w:val="en-US" w:bidi="en-US"/>
        </w:rPr>
        <w:t xml:space="preserve">If a class action proceeding is commenced under </w:t>
      </w:r>
      <w:r w:rsidR="006A2CBA" w:rsidRPr="006A2CBA">
        <w:rPr>
          <w:rFonts w:ascii="Arial Black" w:hAnsi="Arial Black"/>
          <w:sz w:val="19"/>
          <w:lang w:val="en-US" w:bidi="en-US"/>
        </w:rPr>
        <w:t xml:space="preserve">section 1(3) </w:t>
      </w:r>
      <w:r w:rsidR="006A2CBA" w:rsidRPr="006A2CBA">
        <w:rPr>
          <w:rFonts w:ascii="Times New Roman" w:hAnsi="Times New Roman"/>
          <w:sz w:val="23"/>
          <w:lang w:val="en-US" w:bidi="en-US"/>
        </w:rPr>
        <w:t>against more than 1</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defendant,—</w:t>
      </w:r>
    </w:p>
    <w:p w14:paraId="12F526FD" w14:textId="246C948C" w:rsidR="006A2CBA" w:rsidRPr="006A2CBA" w:rsidRDefault="00BD5C95" w:rsidP="00B73434">
      <w:pPr>
        <w:widowControl w:val="0"/>
        <w:numPr>
          <w:ilvl w:val="1"/>
          <w:numId w:val="70"/>
        </w:numPr>
        <w:tabs>
          <w:tab w:val="left" w:pos="1504"/>
          <w:tab w:val="left" w:pos="1505"/>
        </w:tabs>
        <w:autoSpaceDE w:val="0"/>
        <w:autoSpaceDN w:val="0"/>
        <w:spacing w:before="89" w:after="80" w:line="250" w:lineRule="auto"/>
        <w:ind w:left="1503" w:right="299"/>
        <w:rPr>
          <w:rFonts w:ascii="Times New Roman" w:hAnsi="Times New Roman"/>
          <w:sz w:val="23"/>
          <w:lang w:val="en-US" w:bidi="en-US"/>
        </w:rPr>
      </w:pPr>
      <w:r>
        <w:rPr>
          <w:rFonts w:ascii="ZWAdobeF" w:hAnsi="ZWAdobeF" w:cs="ZWAdobeF"/>
          <w:color w:val="auto"/>
          <w:sz w:val="2"/>
          <w:szCs w:val="2"/>
          <w:lang w:val="en-US" w:bidi="en-US"/>
        </w:rPr>
        <w:t>1143B</w:t>
      </w:r>
      <w:r w:rsidR="0049638A">
        <w:rPr>
          <w:rFonts w:ascii="ZWAdobeF" w:hAnsi="ZWAdobeF" w:cs="ZWAdobeF"/>
          <w:color w:val="auto"/>
          <w:sz w:val="2"/>
          <w:szCs w:val="2"/>
          <w:lang w:val="en-US" w:bidi="en-US"/>
        </w:rPr>
        <w:t>1143B</w:t>
      </w:r>
      <w:r w:rsidR="00D629FA">
        <w:rPr>
          <w:rFonts w:ascii="ZWAdobeF" w:hAnsi="ZWAdobeF" w:cs="ZWAdobeF"/>
          <w:color w:val="auto"/>
          <w:sz w:val="2"/>
          <w:szCs w:val="2"/>
          <w:lang w:val="en-US" w:bidi="en-US"/>
        </w:rPr>
        <w:t>1143B</w:t>
      </w:r>
      <w:r w:rsidR="006A2CBA" w:rsidRPr="006A2CBA">
        <w:rPr>
          <w:rFonts w:ascii="Times New Roman" w:hAnsi="Times New Roman"/>
          <w:sz w:val="23"/>
          <w:lang w:val="en-US" w:bidi="en-US"/>
        </w:rPr>
        <w:t>for each defendant there must be at least 2 persons with a claim against that defendant:</w:t>
      </w:r>
    </w:p>
    <w:p w14:paraId="61E56CBC" w14:textId="232A2F7D" w:rsidR="006A2CBA" w:rsidRPr="006A2CBA" w:rsidRDefault="00BD5C95" w:rsidP="00B73434">
      <w:pPr>
        <w:widowControl w:val="0"/>
        <w:numPr>
          <w:ilvl w:val="1"/>
          <w:numId w:val="70"/>
        </w:numPr>
        <w:tabs>
          <w:tab w:val="left" w:pos="1504"/>
          <w:tab w:val="left" w:pos="1505"/>
        </w:tabs>
        <w:autoSpaceDE w:val="0"/>
        <w:autoSpaceDN w:val="0"/>
        <w:spacing w:before="82" w:after="80" w:line="250" w:lineRule="auto"/>
        <w:ind w:left="1503" w:right="300" w:hanging="601"/>
        <w:rPr>
          <w:rFonts w:ascii="Times New Roman" w:hAnsi="Times New Roman"/>
          <w:sz w:val="23"/>
          <w:lang w:val="en-US" w:bidi="en-US"/>
        </w:rPr>
      </w:pPr>
      <w:r>
        <w:rPr>
          <w:rFonts w:ascii="ZWAdobeF" w:hAnsi="ZWAdobeF" w:cs="ZWAdobeF"/>
          <w:color w:val="auto"/>
          <w:sz w:val="2"/>
          <w:szCs w:val="2"/>
          <w:lang w:val="en-US" w:bidi="en-US"/>
        </w:rPr>
        <w:t>1144B</w:t>
      </w:r>
      <w:r w:rsidR="0049638A">
        <w:rPr>
          <w:rFonts w:ascii="ZWAdobeF" w:hAnsi="ZWAdobeF" w:cs="ZWAdobeF"/>
          <w:color w:val="auto"/>
          <w:sz w:val="2"/>
          <w:szCs w:val="2"/>
          <w:lang w:val="en-US" w:bidi="en-US"/>
        </w:rPr>
        <w:t>1144B</w:t>
      </w:r>
      <w:r w:rsidR="00D629FA">
        <w:rPr>
          <w:rFonts w:ascii="ZWAdobeF" w:hAnsi="ZWAdobeF" w:cs="ZWAdobeF"/>
          <w:color w:val="auto"/>
          <w:sz w:val="2"/>
          <w:szCs w:val="2"/>
          <w:lang w:val="en-US" w:bidi="en-US"/>
        </w:rPr>
        <w:t>1144B</w:t>
      </w:r>
      <w:r w:rsidR="006A2CBA" w:rsidRPr="006A2CBA">
        <w:rPr>
          <w:rFonts w:ascii="Times New Roman" w:hAnsi="Times New Roman"/>
          <w:sz w:val="23"/>
          <w:lang w:val="en-US" w:bidi="en-US"/>
        </w:rPr>
        <w:t xml:space="preserve">it is not necessary for each person on whose behalf the proceeding </w:t>
      </w:r>
      <w:r w:rsidR="006A2CBA" w:rsidRPr="006A2CBA">
        <w:rPr>
          <w:rFonts w:ascii="Times New Roman" w:hAnsi="Times New Roman"/>
          <w:spacing w:val="-6"/>
          <w:sz w:val="23"/>
          <w:lang w:val="en-US" w:bidi="en-US"/>
        </w:rPr>
        <w:t xml:space="preserve">is </w:t>
      </w:r>
      <w:r w:rsidR="006A2CBA" w:rsidRPr="006A2CBA">
        <w:rPr>
          <w:rFonts w:ascii="Times New Roman" w:hAnsi="Times New Roman"/>
          <w:sz w:val="23"/>
          <w:lang w:val="en-US" w:bidi="en-US"/>
        </w:rPr>
        <w:t>commenced to have a claim against all of the defendants.</w:t>
      </w:r>
    </w:p>
    <w:p w14:paraId="3989444F" w14:textId="08AE561C" w:rsidR="006A2CBA" w:rsidRPr="006A2CBA" w:rsidRDefault="00BD5C95" w:rsidP="00B73434">
      <w:pPr>
        <w:widowControl w:val="0"/>
        <w:numPr>
          <w:ilvl w:val="0"/>
          <w:numId w:val="67"/>
        </w:numPr>
        <w:tabs>
          <w:tab w:val="left" w:pos="904"/>
          <w:tab w:val="left" w:pos="905"/>
        </w:tabs>
        <w:autoSpaceDE w:val="0"/>
        <w:autoSpaceDN w:val="0"/>
        <w:spacing w:before="202"/>
        <w:ind w:hanging="601"/>
        <w:outlineLvl w:val="2"/>
        <w:rPr>
          <w:rFonts w:ascii="Times New Roman" w:hAnsi="Times New Roman"/>
          <w:b/>
          <w:sz w:val="23"/>
          <w:szCs w:val="23"/>
          <w:lang w:val="en-US" w:bidi="en-US"/>
        </w:rPr>
      </w:pPr>
      <w:r>
        <w:rPr>
          <w:rFonts w:ascii="ZWAdobeF" w:hAnsi="ZWAdobeF" w:cs="ZWAdobeF"/>
          <w:color w:val="auto"/>
          <w:sz w:val="2"/>
          <w:szCs w:val="2"/>
          <w:lang w:val="en-US" w:bidi="en-US"/>
        </w:rPr>
        <w:lastRenderedPageBreak/>
        <w:t>1145B</w:t>
      </w:r>
      <w:r w:rsidR="0049638A">
        <w:rPr>
          <w:rFonts w:ascii="ZWAdobeF" w:hAnsi="ZWAdobeF" w:cs="ZWAdobeF"/>
          <w:color w:val="auto"/>
          <w:sz w:val="2"/>
          <w:szCs w:val="2"/>
          <w:lang w:val="en-US" w:bidi="en-US"/>
        </w:rPr>
        <w:t>1145B</w:t>
      </w:r>
      <w:r w:rsidR="00D629FA">
        <w:rPr>
          <w:rFonts w:ascii="ZWAdobeF" w:hAnsi="ZWAdobeF" w:cs="ZWAdobeF"/>
          <w:color w:val="auto"/>
          <w:sz w:val="2"/>
          <w:szCs w:val="2"/>
          <w:lang w:val="en-US" w:bidi="en-US"/>
        </w:rPr>
        <w:t>1145B</w:t>
      </w:r>
      <w:r w:rsidR="006A2CBA" w:rsidRPr="006A2CBA">
        <w:rPr>
          <w:rFonts w:ascii="Times New Roman" w:hAnsi="Times New Roman"/>
          <w:b/>
          <w:sz w:val="23"/>
          <w:szCs w:val="23"/>
          <w:lang w:val="en-US" w:bidi="en-US"/>
        </w:rPr>
        <w:t>Application for class</w:t>
      </w:r>
      <w:r w:rsidR="006A2CBA" w:rsidRPr="006A2CBA">
        <w:rPr>
          <w:rFonts w:ascii="Times New Roman" w:hAnsi="Times New Roman"/>
          <w:b/>
          <w:spacing w:val="-2"/>
          <w:sz w:val="23"/>
          <w:szCs w:val="23"/>
          <w:lang w:val="en-US" w:bidi="en-US"/>
        </w:rPr>
        <w:t xml:space="preserve"> </w:t>
      </w:r>
      <w:r w:rsidR="006A2CBA" w:rsidRPr="006A2CBA">
        <w:rPr>
          <w:rFonts w:ascii="Times New Roman" w:hAnsi="Times New Roman"/>
          <w:b/>
          <w:sz w:val="23"/>
          <w:szCs w:val="23"/>
          <w:lang w:val="en-US" w:bidi="en-US"/>
        </w:rPr>
        <w:t>action</w:t>
      </w:r>
    </w:p>
    <w:p w14:paraId="620E66A2" w14:textId="4454EA53" w:rsidR="006A2CBA" w:rsidRPr="006A2CBA" w:rsidRDefault="00BD5C95" w:rsidP="006A2CBA">
      <w:pPr>
        <w:widowControl w:val="0"/>
        <w:autoSpaceDE w:val="0"/>
        <w:autoSpaceDN w:val="0"/>
        <w:spacing w:before="91" w:line="249" w:lineRule="auto"/>
        <w:ind w:left="904" w:right="78"/>
        <w:rPr>
          <w:rFonts w:ascii="Times New Roman" w:hAnsi="Times New Roman"/>
          <w:sz w:val="23"/>
          <w:szCs w:val="23"/>
          <w:lang w:val="en-US" w:bidi="en-US"/>
        </w:rPr>
      </w:pPr>
      <w:r>
        <w:rPr>
          <w:rFonts w:ascii="ZWAdobeF" w:hAnsi="ZWAdobeF" w:cs="ZWAdobeF"/>
          <w:color w:val="auto"/>
          <w:sz w:val="2"/>
          <w:szCs w:val="2"/>
          <w:lang w:val="en-US" w:bidi="en-US"/>
        </w:rPr>
        <w:t>1146B</w:t>
      </w:r>
      <w:r w:rsidR="0049638A">
        <w:rPr>
          <w:rFonts w:ascii="ZWAdobeF" w:hAnsi="ZWAdobeF" w:cs="ZWAdobeF"/>
          <w:color w:val="auto"/>
          <w:sz w:val="2"/>
          <w:szCs w:val="2"/>
          <w:lang w:val="en-US" w:bidi="en-US"/>
        </w:rPr>
        <w:t>1146B</w:t>
      </w:r>
      <w:r w:rsidR="00D629FA">
        <w:rPr>
          <w:rFonts w:ascii="ZWAdobeF" w:hAnsi="ZWAdobeF" w:cs="ZWAdobeF"/>
          <w:color w:val="auto"/>
          <w:sz w:val="2"/>
          <w:szCs w:val="2"/>
          <w:lang w:val="en-US" w:bidi="en-US"/>
        </w:rPr>
        <w:t>1146B</w:t>
      </w:r>
      <w:r w:rsidR="006A2CBA" w:rsidRPr="006A2CBA">
        <w:rPr>
          <w:rFonts w:ascii="Times New Roman" w:hAnsi="Times New Roman"/>
          <w:sz w:val="23"/>
          <w:szCs w:val="23"/>
          <w:lang w:val="en-US" w:bidi="en-US"/>
        </w:rPr>
        <w:t>When a class action is commenced it must be accompanied by an application for—</w:t>
      </w:r>
    </w:p>
    <w:p w14:paraId="02A1960A" w14:textId="6917779E" w:rsidR="006A2CBA" w:rsidRPr="006A2CBA" w:rsidRDefault="00BD5C95" w:rsidP="00B73434">
      <w:pPr>
        <w:widowControl w:val="0"/>
        <w:numPr>
          <w:ilvl w:val="1"/>
          <w:numId w:val="67"/>
        </w:numPr>
        <w:tabs>
          <w:tab w:val="left" w:pos="1504"/>
          <w:tab w:val="left" w:pos="1505"/>
        </w:tabs>
        <w:autoSpaceDE w:val="0"/>
        <w:autoSpaceDN w:val="0"/>
        <w:spacing w:before="90"/>
        <w:ind w:hanging="601"/>
        <w:rPr>
          <w:rFonts w:ascii="Times New Roman" w:hAnsi="Times New Roman"/>
          <w:sz w:val="23"/>
          <w:lang w:val="en-US" w:bidi="en-US"/>
        </w:rPr>
      </w:pPr>
      <w:r>
        <w:rPr>
          <w:rFonts w:ascii="ZWAdobeF" w:hAnsi="ZWAdobeF" w:cs="ZWAdobeF"/>
          <w:color w:val="auto"/>
          <w:sz w:val="2"/>
          <w:szCs w:val="2"/>
          <w:lang w:val="en-US" w:bidi="en-US"/>
        </w:rPr>
        <w:t>1147B</w:t>
      </w:r>
      <w:r w:rsidR="0049638A">
        <w:rPr>
          <w:rFonts w:ascii="ZWAdobeF" w:hAnsi="ZWAdobeF" w:cs="ZWAdobeF"/>
          <w:color w:val="auto"/>
          <w:sz w:val="2"/>
          <w:szCs w:val="2"/>
          <w:lang w:val="en-US" w:bidi="en-US"/>
        </w:rPr>
        <w:t>1147B</w:t>
      </w:r>
      <w:r w:rsidR="00D629FA">
        <w:rPr>
          <w:rFonts w:ascii="ZWAdobeF" w:hAnsi="ZWAdobeF" w:cs="ZWAdobeF"/>
          <w:color w:val="auto"/>
          <w:sz w:val="2"/>
          <w:szCs w:val="2"/>
          <w:lang w:val="en-US" w:bidi="en-US"/>
        </w:rPr>
        <w:t>1147B</w:t>
      </w:r>
      <w:r w:rsidR="006A2CBA" w:rsidRPr="006A2CBA">
        <w:rPr>
          <w:rFonts w:ascii="Times New Roman" w:hAnsi="Times New Roman"/>
          <w:sz w:val="23"/>
          <w:lang w:val="en-US" w:bidi="en-US"/>
        </w:rPr>
        <w:t>an order certifying the proceeding as a class action proceeding; and</w:t>
      </w:r>
    </w:p>
    <w:p w14:paraId="0C05BE73" w14:textId="00C6E3A2" w:rsidR="006A2CBA" w:rsidRPr="006A2CBA" w:rsidRDefault="00BD5C95" w:rsidP="00B73434">
      <w:pPr>
        <w:widowControl w:val="0"/>
        <w:numPr>
          <w:ilvl w:val="1"/>
          <w:numId w:val="67"/>
        </w:numPr>
        <w:tabs>
          <w:tab w:val="left" w:pos="1505"/>
        </w:tabs>
        <w:autoSpaceDE w:val="0"/>
        <w:autoSpaceDN w:val="0"/>
        <w:spacing w:before="92" w:line="249" w:lineRule="auto"/>
        <w:ind w:right="300" w:hanging="601"/>
        <w:jc w:val="both"/>
        <w:rPr>
          <w:rFonts w:ascii="Times New Roman" w:hAnsi="Times New Roman"/>
          <w:sz w:val="23"/>
          <w:lang w:val="en-US" w:bidi="en-US"/>
        </w:rPr>
      </w:pPr>
      <w:r>
        <w:rPr>
          <w:rFonts w:ascii="ZWAdobeF" w:hAnsi="ZWAdobeF" w:cs="ZWAdobeF"/>
          <w:color w:val="auto"/>
          <w:sz w:val="2"/>
          <w:szCs w:val="2"/>
          <w:lang w:val="en-US" w:bidi="en-US"/>
        </w:rPr>
        <w:t>1148B</w:t>
      </w:r>
      <w:r w:rsidR="0049638A">
        <w:rPr>
          <w:rFonts w:ascii="ZWAdobeF" w:hAnsi="ZWAdobeF" w:cs="ZWAdobeF"/>
          <w:color w:val="auto"/>
          <w:sz w:val="2"/>
          <w:szCs w:val="2"/>
          <w:lang w:val="en-US" w:bidi="en-US"/>
        </w:rPr>
        <w:t>1148B</w:t>
      </w:r>
      <w:r w:rsidR="00D629FA">
        <w:rPr>
          <w:rFonts w:ascii="ZWAdobeF" w:hAnsi="ZWAdobeF" w:cs="ZWAdobeF"/>
          <w:color w:val="auto"/>
          <w:sz w:val="2"/>
          <w:szCs w:val="2"/>
          <w:lang w:val="en-US" w:bidi="en-US"/>
        </w:rPr>
        <w:t>1148B</w:t>
      </w:r>
      <w:r w:rsidR="006A2CBA" w:rsidRPr="006A2CBA">
        <w:rPr>
          <w:rFonts w:ascii="Times New Roman" w:hAnsi="Times New Roman"/>
          <w:sz w:val="23"/>
          <w:lang w:val="en-US" w:bidi="en-US"/>
        </w:rPr>
        <w:t>an order appointing 1 or more representative plaintiffs for the proceeding.</w:t>
      </w:r>
    </w:p>
    <w:p w14:paraId="5367F9D3" w14:textId="10A7647E" w:rsidR="006A2CBA" w:rsidRPr="006A2CBA" w:rsidRDefault="00BD5C95" w:rsidP="00B73434">
      <w:pPr>
        <w:widowControl w:val="0"/>
        <w:numPr>
          <w:ilvl w:val="0"/>
          <w:numId w:val="67"/>
        </w:numPr>
        <w:tabs>
          <w:tab w:val="left" w:pos="905"/>
        </w:tabs>
        <w:autoSpaceDE w:val="0"/>
        <w:autoSpaceDN w:val="0"/>
        <w:spacing w:before="202"/>
        <w:ind w:hanging="601"/>
        <w:jc w:val="both"/>
        <w:outlineLvl w:val="2"/>
        <w:rPr>
          <w:rFonts w:ascii="Times New Roman" w:hAnsi="Times New Roman"/>
          <w:b/>
          <w:sz w:val="23"/>
          <w:szCs w:val="23"/>
          <w:lang w:val="en-US" w:bidi="en-US"/>
        </w:rPr>
      </w:pPr>
      <w:bookmarkStart w:id="115" w:name="_bookmark4"/>
      <w:bookmarkEnd w:id="115"/>
      <w:r>
        <w:rPr>
          <w:rFonts w:ascii="ZWAdobeF" w:hAnsi="ZWAdobeF" w:cs="ZWAdobeF"/>
          <w:color w:val="auto"/>
          <w:sz w:val="2"/>
          <w:szCs w:val="2"/>
          <w:lang w:val="en-US" w:bidi="en-US"/>
        </w:rPr>
        <w:t>1149B</w:t>
      </w:r>
      <w:r w:rsidR="0049638A">
        <w:rPr>
          <w:rFonts w:ascii="ZWAdobeF" w:hAnsi="ZWAdobeF" w:cs="ZWAdobeF"/>
          <w:color w:val="auto"/>
          <w:sz w:val="2"/>
          <w:szCs w:val="2"/>
          <w:lang w:val="en-US" w:bidi="en-US"/>
        </w:rPr>
        <w:t>1149B</w:t>
      </w:r>
      <w:r w:rsidR="00D629FA">
        <w:rPr>
          <w:rFonts w:ascii="ZWAdobeF" w:hAnsi="ZWAdobeF" w:cs="ZWAdobeF"/>
          <w:color w:val="auto"/>
          <w:sz w:val="2"/>
          <w:szCs w:val="2"/>
          <w:lang w:val="en-US" w:bidi="en-US"/>
        </w:rPr>
        <w:t>1149B</w:t>
      </w:r>
      <w:r w:rsidR="006A2CBA" w:rsidRPr="006A2CBA">
        <w:rPr>
          <w:rFonts w:ascii="Times New Roman" w:hAnsi="Times New Roman"/>
          <w:b/>
          <w:sz w:val="23"/>
          <w:szCs w:val="23"/>
          <w:lang w:val="en-US" w:bidi="en-US"/>
        </w:rPr>
        <w:t>Certification of class</w:t>
      </w:r>
      <w:r w:rsidR="006A2CBA" w:rsidRPr="006A2CBA">
        <w:rPr>
          <w:rFonts w:ascii="Times New Roman" w:hAnsi="Times New Roman"/>
          <w:b/>
          <w:spacing w:val="-2"/>
          <w:sz w:val="23"/>
          <w:szCs w:val="23"/>
          <w:lang w:val="en-US" w:bidi="en-US"/>
        </w:rPr>
        <w:t xml:space="preserve"> </w:t>
      </w:r>
      <w:r w:rsidR="006A2CBA" w:rsidRPr="006A2CBA">
        <w:rPr>
          <w:rFonts w:ascii="Times New Roman" w:hAnsi="Times New Roman"/>
          <w:b/>
          <w:sz w:val="23"/>
          <w:szCs w:val="23"/>
          <w:lang w:val="en-US" w:bidi="en-US"/>
        </w:rPr>
        <w:t>action</w:t>
      </w:r>
    </w:p>
    <w:p w14:paraId="56E7FF64" w14:textId="500FFE9B" w:rsidR="006A2CBA" w:rsidRPr="006A2CBA" w:rsidRDefault="00BD5C95" w:rsidP="00B73434">
      <w:pPr>
        <w:widowControl w:val="0"/>
        <w:numPr>
          <w:ilvl w:val="0"/>
          <w:numId w:val="71"/>
        </w:numPr>
        <w:tabs>
          <w:tab w:val="left" w:pos="905"/>
        </w:tabs>
        <w:autoSpaceDE w:val="0"/>
        <w:autoSpaceDN w:val="0"/>
        <w:spacing w:before="91"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1150B</w:t>
      </w:r>
      <w:r w:rsidR="0049638A">
        <w:rPr>
          <w:rFonts w:ascii="ZWAdobeF" w:hAnsi="ZWAdobeF" w:cs="ZWAdobeF"/>
          <w:color w:val="auto"/>
          <w:sz w:val="2"/>
          <w:szCs w:val="2"/>
          <w:lang w:val="en-US" w:bidi="en-US"/>
        </w:rPr>
        <w:t>1150B</w:t>
      </w:r>
      <w:r w:rsidR="00D629FA">
        <w:rPr>
          <w:rFonts w:ascii="ZWAdobeF" w:hAnsi="ZWAdobeF" w:cs="ZWAdobeF"/>
          <w:color w:val="auto"/>
          <w:sz w:val="2"/>
          <w:szCs w:val="2"/>
          <w:lang w:val="en-US" w:bidi="en-US"/>
        </w:rPr>
        <w:t>1150B</w:t>
      </w:r>
      <w:r w:rsidR="006A2CBA" w:rsidRPr="006A2CBA">
        <w:rPr>
          <w:rFonts w:ascii="Times New Roman" w:hAnsi="Times New Roman"/>
          <w:sz w:val="23"/>
          <w:lang w:val="en-US" w:bidi="en-US"/>
        </w:rPr>
        <w:t>A court may certify a proceeding as a class action proceeding if it is satisfied that—</w:t>
      </w:r>
    </w:p>
    <w:p w14:paraId="1D3D7187" w14:textId="3C7ADA28" w:rsidR="006A2CBA" w:rsidRPr="006A2CBA" w:rsidRDefault="00BD5C95" w:rsidP="00B73434">
      <w:pPr>
        <w:widowControl w:val="0"/>
        <w:numPr>
          <w:ilvl w:val="1"/>
          <w:numId w:val="71"/>
        </w:numPr>
        <w:tabs>
          <w:tab w:val="left" w:pos="1505"/>
        </w:tabs>
        <w:autoSpaceDE w:val="0"/>
        <w:autoSpaceDN w:val="0"/>
        <w:spacing w:before="82"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1151B</w:t>
      </w:r>
      <w:r w:rsidR="0049638A">
        <w:rPr>
          <w:rFonts w:ascii="ZWAdobeF" w:hAnsi="ZWAdobeF" w:cs="ZWAdobeF"/>
          <w:color w:val="auto"/>
          <w:sz w:val="2"/>
          <w:szCs w:val="2"/>
          <w:lang w:val="en-US" w:bidi="en-US"/>
        </w:rPr>
        <w:t>1151B</w:t>
      </w:r>
      <w:r w:rsidR="00D629FA">
        <w:rPr>
          <w:rFonts w:ascii="ZWAdobeF" w:hAnsi="ZWAdobeF" w:cs="ZWAdobeF"/>
          <w:color w:val="auto"/>
          <w:sz w:val="2"/>
          <w:szCs w:val="2"/>
          <w:lang w:val="en-US" w:bidi="en-US"/>
        </w:rPr>
        <w:t>1151B</w:t>
      </w:r>
      <w:r w:rsidR="006A2CBA" w:rsidRPr="006A2CBA">
        <w:rPr>
          <w:rFonts w:ascii="Times New Roman" w:hAnsi="Times New Roman"/>
          <w:sz w:val="23"/>
          <w:lang w:val="en-US" w:bidi="en-US"/>
        </w:rPr>
        <w:t>the statement of claim discloses a reasonably arguable cause of action; and</w:t>
      </w:r>
    </w:p>
    <w:p w14:paraId="5939057C" w14:textId="66E00DB6" w:rsidR="006A2CBA" w:rsidRPr="006A2CBA" w:rsidRDefault="00BD5C95" w:rsidP="00B73434">
      <w:pPr>
        <w:widowControl w:val="0"/>
        <w:numPr>
          <w:ilvl w:val="1"/>
          <w:numId w:val="71"/>
        </w:numPr>
        <w:tabs>
          <w:tab w:val="left" w:pos="1505"/>
        </w:tabs>
        <w:autoSpaceDE w:val="0"/>
        <w:autoSpaceDN w:val="0"/>
        <w:spacing w:before="82" w:line="249" w:lineRule="auto"/>
        <w:ind w:right="301" w:hanging="601"/>
        <w:jc w:val="both"/>
        <w:rPr>
          <w:rFonts w:ascii="Times New Roman" w:hAnsi="Times New Roman"/>
          <w:sz w:val="23"/>
          <w:lang w:val="en-US" w:bidi="en-US"/>
        </w:rPr>
      </w:pPr>
      <w:r>
        <w:rPr>
          <w:rFonts w:ascii="ZWAdobeF" w:hAnsi="ZWAdobeF" w:cs="ZWAdobeF"/>
          <w:color w:val="auto"/>
          <w:sz w:val="2"/>
          <w:szCs w:val="2"/>
          <w:lang w:val="en-US" w:bidi="en-US"/>
        </w:rPr>
        <w:t>1152B</w:t>
      </w:r>
      <w:r w:rsidR="0049638A">
        <w:rPr>
          <w:rFonts w:ascii="ZWAdobeF" w:hAnsi="ZWAdobeF" w:cs="ZWAdobeF"/>
          <w:color w:val="auto"/>
          <w:sz w:val="2"/>
          <w:szCs w:val="2"/>
          <w:lang w:val="en-US" w:bidi="en-US"/>
        </w:rPr>
        <w:t>1152B</w:t>
      </w:r>
      <w:r w:rsidR="00D629FA">
        <w:rPr>
          <w:rFonts w:ascii="ZWAdobeF" w:hAnsi="ZWAdobeF" w:cs="ZWAdobeF"/>
          <w:color w:val="auto"/>
          <w:sz w:val="2"/>
          <w:szCs w:val="2"/>
          <w:lang w:val="en-US" w:bidi="en-US"/>
        </w:rPr>
        <w:t>1152B</w:t>
      </w:r>
      <w:r w:rsidR="006A2CBA" w:rsidRPr="006A2CBA">
        <w:rPr>
          <w:rFonts w:ascii="Times New Roman" w:hAnsi="Times New Roman"/>
          <w:sz w:val="23"/>
          <w:lang w:val="en-US" w:bidi="en-US"/>
        </w:rPr>
        <w:t>the persons on whose behalf the proceeding was commenced have claims that all raise a common issue of fact or law of significance to the resolution of each claim; and</w:t>
      </w:r>
    </w:p>
    <w:p w14:paraId="7B943DC9" w14:textId="71C327F0" w:rsidR="006A2CBA" w:rsidRPr="006A2CBA" w:rsidRDefault="00BD5C95" w:rsidP="00B73434">
      <w:pPr>
        <w:widowControl w:val="0"/>
        <w:numPr>
          <w:ilvl w:val="1"/>
          <w:numId w:val="71"/>
        </w:numPr>
        <w:tabs>
          <w:tab w:val="left" w:pos="1505"/>
        </w:tabs>
        <w:autoSpaceDE w:val="0"/>
        <w:autoSpaceDN w:val="0"/>
        <w:spacing w:before="83" w:line="249" w:lineRule="auto"/>
        <w:ind w:right="301" w:hanging="601"/>
        <w:jc w:val="both"/>
        <w:rPr>
          <w:rFonts w:ascii="Times New Roman" w:hAnsi="Times New Roman"/>
          <w:sz w:val="23"/>
          <w:lang w:val="en-US" w:bidi="en-US"/>
        </w:rPr>
      </w:pPr>
      <w:r>
        <w:rPr>
          <w:rFonts w:ascii="ZWAdobeF" w:hAnsi="ZWAdobeF" w:cs="ZWAdobeF"/>
          <w:color w:val="auto"/>
          <w:sz w:val="2"/>
          <w:szCs w:val="2"/>
          <w:lang w:val="en-US" w:bidi="en-US"/>
        </w:rPr>
        <w:t>1153B</w:t>
      </w:r>
      <w:r w:rsidR="0049638A">
        <w:rPr>
          <w:rFonts w:ascii="ZWAdobeF" w:hAnsi="ZWAdobeF" w:cs="ZWAdobeF"/>
          <w:color w:val="auto"/>
          <w:sz w:val="2"/>
          <w:szCs w:val="2"/>
          <w:lang w:val="en-US" w:bidi="en-US"/>
        </w:rPr>
        <w:t>1153B</w:t>
      </w:r>
      <w:r w:rsidR="00D629FA">
        <w:rPr>
          <w:rFonts w:ascii="ZWAdobeF" w:hAnsi="ZWAdobeF" w:cs="ZWAdobeF"/>
          <w:color w:val="auto"/>
          <w:sz w:val="2"/>
          <w:szCs w:val="2"/>
          <w:lang w:val="en-US" w:bidi="en-US"/>
        </w:rPr>
        <w:t>1153B</w:t>
      </w:r>
      <w:r w:rsidR="006A2CBA" w:rsidRPr="006A2CBA">
        <w:rPr>
          <w:rFonts w:ascii="Times New Roman" w:hAnsi="Times New Roman"/>
          <w:sz w:val="23"/>
          <w:lang w:val="en-US" w:bidi="en-US"/>
        </w:rPr>
        <w:t>the 1 or more representative plaintiffs are each suitable and will fairly and adequately represent class members; and</w:t>
      </w:r>
    </w:p>
    <w:p w14:paraId="01133CC3" w14:textId="006304FE" w:rsidR="006A2CBA" w:rsidRPr="006A2CBA" w:rsidRDefault="00BD5C95" w:rsidP="00B73434">
      <w:pPr>
        <w:widowControl w:val="0"/>
        <w:numPr>
          <w:ilvl w:val="1"/>
          <w:numId w:val="71"/>
        </w:numPr>
        <w:tabs>
          <w:tab w:val="left" w:pos="1505"/>
        </w:tabs>
        <w:autoSpaceDE w:val="0"/>
        <w:autoSpaceDN w:val="0"/>
        <w:spacing w:before="8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1154B</w:t>
      </w:r>
      <w:r w:rsidR="0049638A">
        <w:rPr>
          <w:rFonts w:ascii="ZWAdobeF" w:hAnsi="ZWAdobeF" w:cs="ZWAdobeF"/>
          <w:color w:val="auto"/>
          <w:sz w:val="2"/>
          <w:szCs w:val="2"/>
          <w:lang w:val="en-US" w:bidi="en-US"/>
        </w:rPr>
        <w:t>1154B</w:t>
      </w:r>
      <w:r w:rsidR="00D629FA">
        <w:rPr>
          <w:rFonts w:ascii="ZWAdobeF" w:hAnsi="ZWAdobeF" w:cs="ZWAdobeF"/>
          <w:color w:val="auto"/>
          <w:sz w:val="2"/>
          <w:szCs w:val="2"/>
          <w:lang w:val="en-US" w:bidi="en-US"/>
        </w:rPr>
        <w:t>1154B</w:t>
      </w:r>
      <w:r w:rsidR="006A2CBA" w:rsidRPr="006A2CBA">
        <w:rPr>
          <w:rFonts w:ascii="Times New Roman" w:hAnsi="Times New Roman"/>
          <w:sz w:val="23"/>
          <w:lang w:val="en-US" w:bidi="en-US"/>
        </w:rPr>
        <w:t>the opt-in or opt-out mechanism proposed for the proceeding is an appropriate means of determining class membership in the circumstances of the proceeding;</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and</w:t>
      </w:r>
    </w:p>
    <w:p w14:paraId="5A0EB850" w14:textId="1A671A27" w:rsidR="006A2CBA" w:rsidRPr="006A2CBA" w:rsidRDefault="00BD5C95" w:rsidP="00B73434">
      <w:pPr>
        <w:widowControl w:val="0"/>
        <w:numPr>
          <w:ilvl w:val="1"/>
          <w:numId w:val="71"/>
        </w:numPr>
        <w:tabs>
          <w:tab w:val="left" w:pos="1505"/>
        </w:tabs>
        <w:autoSpaceDE w:val="0"/>
        <w:autoSpaceDN w:val="0"/>
        <w:spacing w:before="82" w:line="249" w:lineRule="auto"/>
        <w:ind w:right="299" w:hanging="601"/>
        <w:jc w:val="both"/>
        <w:rPr>
          <w:rFonts w:ascii="Times New Roman" w:hAnsi="Times New Roman"/>
          <w:sz w:val="23"/>
          <w:lang w:val="en-US" w:bidi="en-US"/>
        </w:rPr>
      </w:pPr>
      <w:r>
        <w:rPr>
          <w:rFonts w:ascii="ZWAdobeF" w:hAnsi="ZWAdobeF" w:cs="ZWAdobeF"/>
          <w:color w:val="auto"/>
          <w:sz w:val="2"/>
          <w:szCs w:val="2"/>
          <w:lang w:val="en-US" w:bidi="en-US"/>
        </w:rPr>
        <w:t>1155B</w:t>
      </w:r>
      <w:r w:rsidR="0049638A">
        <w:rPr>
          <w:rFonts w:ascii="ZWAdobeF" w:hAnsi="ZWAdobeF" w:cs="ZWAdobeF"/>
          <w:color w:val="auto"/>
          <w:sz w:val="2"/>
          <w:szCs w:val="2"/>
          <w:lang w:val="en-US" w:bidi="en-US"/>
        </w:rPr>
        <w:t>1155B</w:t>
      </w:r>
      <w:r w:rsidR="00D629FA">
        <w:rPr>
          <w:rFonts w:ascii="ZWAdobeF" w:hAnsi="ZWAdobeF" w:cs="ZWAdobeF"/>
          <w:color w:val="auto"/>
          <w:sz w:val="2"/>
          <w:szCs w:val="2"/>
          <w:lang w:val="en-US" w:bidi="en-US"/>
        </w:rPr>
        <w:t>1155B</w:t>
      </w:r>
      <w:r w:rsidR="006A2CBA" w:rsidRPr="006A2CBA">
        <w:rPr>
          <w:rFonts w:ascii="Times New Roman" w:hAnsi="Times New Roman"/>
          <w:sz w:val="23"/>
          <w:lang w:val="en-US" w:bidi="en-US"/>
        </w:rPr>
        <w:t>a class action proceeding is an appropriate procedure for the efficient resolution of the claims of class members.</w:t>
      </w:r>
    </w:p>
    <w:p w14:paraId="01C1CD1A" w14:textId="5C3C8FD7" w:rsidR="006A2CBA" w:rsidRPr="006A2CBA" w:rsidRDefault="00BD5C95" w:rsidP="00B73434">
      <w:pPr>
        <w:widowControl w:val="0"/>
        <w:numPr>
          <w:ilvl w:val="0"/>
          <w:numId w:val="71"/>
        </w:numPr>
        <w:tabs>
          <w:tab w:val="left" w:pos="905"/>
        </w:tabs>
        <w:autoSpaceDE w:val="0"/>
        <w:autoSpaceDN w:val="0"/>
        <w:spacing w:before="82"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1156B</w:t>
      </w:r>
      <w:r w:rsidR="0049638A">
        <w:rPr>
          <w:rFonts w:ascii="ZWAdobeF" w:hAnsi="ZWAdobeF" w:cs="ZWAdobeF"/>
          <w:color w:val="auto"/>
          <w:sz w:val="2"/>
          <w:szCs w:val="2"/>
          <w:lang w:val="en-US" w:bidi="en-US"/>
        </w:rPr>
        <w:t>1156B</w:t>
      </w:r>
      <w:r w:rsidR="00D629FA">
        <w:rPr>
          <w:rFonts w:ascii="ZWAdobeF" w:hAnsi="ZWAdobeF" w:cs="ZWAdobeF"/>
          <w:color w:val="auto"/>
          <w:sz w:val="2"/>
          <w:szCs w:val="2"/>
          <w:lang w:val="en-US" w:bidi="en-US"/>
        </w:rPr>
        <w:t>1156B</w:t>
      </w:r>
      <w:r w:rsidR="006A2CBA" w:rsidRPr="006A2CBA">
        <w:rPr>
          <w:rFonts w:ascii="Times New Roman" w:hAnsi="Times New Roman"/>
          <w:sz w:val="23"/>
          <w:lang w:val="en-US" w:bidi="en-US"/>
        </w:rPr>
        <w:t>The court may consider the following when assessing the suitability of a representative plaintiff and whether they will fairly and adequately represent class members:</w:t>
      </w:r>
    </w:p>
    <w:p w14:paraId="02E61CF1" w14:textId="61001BEF" w:rsidR="006A2CBA" w:rsidRPr="006A2CBA" w:rsidRDefault="00BD5C95" w:rsidP="00B73434">
      <w:pPr>
        <w:widowControl w:val="0"/>
        <w:numPr>
          <w:ilvl w:val="1"/>
          <w:numId w:val="71"/>
        </w:numPr>
        <w:tabs>
          <w:tab w:val="left" w:pos="1504"/>
          <w:tab w:val="left" w:pos="1505"/>
        </w:tabs>
        <w:autoSpaceDE w:val="0"/>
        <w:autoSpaceDN w:val="0"/>
        <w:spacing w:before="83" w:line="249" w:lineRule="auto"/>
        <w:ind w:right="300"/>
        <w:rPr>
          <w:rFonts w:ascii="Times New Roman" w:hAnsi="Times New Roman"/>
          <w:sz w:val="23"/>
          <w:lang w:val="en-US" w:bidi="en-US"/>
        </w:rPr>
      </w:pPr>
      <w:r>
        <w:rPr>
          <w:rFonts w:ascii="ZWAdobeF" w:hAnsi="ZWAdobeF" w:cs="ZWAdobeF"/>
          <w:color w:val="auto"/>
          <w:sz w:val="2"/>
          <w:szCs w:val="2"/>
          <w:lang w:val="en-US" w:bidi="en-US"/>
        </w:rPr>
        <w:t>1157B</w:t>
      </w:r>
      <w:r w:rsidR="0049638A">
        <w:rPr>
          <w:rFonts w:ascii="ZWAdobeF" w:hAnsi="ZWAdobeF" w:cs="ZWAdobeF"/>
          <w:color w:val="auto"/>
          <w:sz w:val="2"/>
          <w:szCs w:val="2"/>
          <w:lang w:val="en-US" w:bidi="en-US"/>
        </w:rPr>
        <w:t>1157B</w:t>
      </w:r>
      <w:r w:rsidR="00D629FA">
        <w:rPr>
          <w:rFonts w:ascii="ZWAdobeF" w:hAnsi="ZWAdobeF" w:cs="ZWAdobeF"/>
          <w:color w:val="auto"/>
          <w:sz w:val="2"/>
          <w:szCs w:val="2"/>
          <w:lang w:val="en-US" w:bidi="en-US"/>
        </w:rPr>
        <w:t>1157B</w:t>
      </w:r>
      <w:r w:rsidR="006A2CBA" w:rsidRPr="006A2CBA">
        <w:rPr>
          <w:rFonts w:ascii="Times New Roman" w:hAnsi="Times New Roman"/>
          <w:sz w:val="23"/>
          <w:lang w:val="en-US" w:bidi="en-US"/>
        </w:rPr>
        <w:t>whether there is a conflict of interest that could prevent them from properly fulfilling the role as representative</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plaintiff:</w:t>
      </w:r>
    </w:p>
    <w:p w14:paraId="50F0E966" w14:textId="724F230A" w:rsidR="006A2CBA" w:rsidRPr="006A2CBA" w:rsidRDefault="00BD5C95" w:rsidP="00B73434">
      <w:pPr>
        <w:widowControl w:val="0"/>
        <w:numPr>
          <w:ilvl w:val="1"/>
          <w:numId w:val="71"/>
        </w:numPr>
        <w:tabs>
          <w:tab w:val="left" w:pos="1504"/>
          <w:tab w:val="left" w:pos="1505"/>
        </w:tabs>
        <w:autoSpaceDE w:val="0"/>
        <w:autoSpaceDN w:val="0"/>
        <w:spacing w:before="82" w:line="249" w:lineRule="auto"/>
        <w:ind w:right="301" w:hanging="601"/>
        <w:rPr>
          <w:rFonts w:ascii="Times New Roman" w:hAnsi="Times New Roman"/>
          <w:sz w:val="23"/>
          <w:lang w:val="en-US" w:bidi="en-US"/>
        </w:rPr>
      </w:pPr>
      <w:r>
        <w:rPr>
          <w:rFonts w:ascii="ZWAdobeF" w:hAnsi="ZWAdobeF" w:cs="ZWAdobeF"/>
          <w:color w:val="auto"/>
          <w:sz w:val="2"/>
          <w:szCs w:val="2"/>
          <w:lang w:val="en-US" w:bidi="en-US"/>
        </w:rPr>
        <w:t>1158B</w:t>
      </w:r>
      <w:r w:rsidR="0049638A">
        <w:rPr>
          <w:rFonts w:ascii="ZWAdobeF" w:hAnsi="ZWAdobeF" w:cs="ZWAdobeF"/>
          <w:color w:val="auto"/>
          <w:sz w:val="2"/>
          <w:szCs w:val="2"/>
          <w:lang w:val="en-US" w:bidi="en-US"/>
        </w:rPr>
        <w:t>1158B</w:t>
      </w:r>
      <w:r w:rsidR="00D629FA">
        <w:rPr>
          <w:rFonts w:ascii="ZWAdobeF" w:hAnsi="ZWAdobeF" w:cs="ZWAdobeF"/>
          <w:color w:val="auto"/>
          <w:sz w:val="2"/>
          <w:szCs w:val="2"/>
          <w:lang w:val="en-US" w:bidi="en-US"/>
        </w:rPr>
        <w:t>1158B</w:t>
      </w:r>
      <w:r w:rsidR="006A2CBA" w:rsidRPr="006A2CBA">
        <w:rPr>
          <w:rFonts w:ascii="Times New Roman" w:hAnsi="Times New Roman"/>
          <w:sz w:val="23"/>
          <w:lang w:val="en-US" w:bidi="en-US"/>
        </w:rPr>
        <w:t>whether they have a reasonable understanding of the nature of the claims and the obligations of a representative plaintiff, including for</w:t>
      </w:r>
      <w:r w:rsidR="006A2CBA" w:rsidRPr="006A2CBA">
        <w:rPr>
          <w:rFonts w:ascii="Times New Roman" w:hAnsi="Times New Roman"/>
          <w:spacing w:val="-3"/>
          <w:sz w:val="23"/>
          <w:lang w:val="en-US" w:bidi="en-US"/>
        </w:rPr>
        <w:t xml:space="preserve"> </w:t>
      </w:r>
      <w:r w:rsidR="006A2CBA" w:rsidRPr="006A2CBA">
        <w:rPr>
          <w:rFonts w:ascii="Times New Roman" w:hAnsi="Times New Roman"/>
          <w:sz w:val="23"/>
          <w:lang w:val="en-US" w:bidi="en-US"/>
        </w:rPr>
        <w:t>costs:</w:t>
      </w:r>
    </w:p>
    <w:p w14:paraId="4536C019" w14:textId="1760A964" w:rsidR="006A2CBA" w:rsidRPr="006A2CBA" w:rsidRDefault="00BD5C95" w:rsidP="00B73434">
      <w:pPr>
        <w:widowControl w:val="0"/>
        <w:numPr>
          <w:ilvl w:val="1"/>
          <w:numId w:val="71"/>
        </w:numPr>
        <w:tabs>
          <w:tab w:val="left" w:pos="1504"/>
          <w:tab w:val="left" w:pos="1505"/>
        </w:tabs>
        <w:autoSpaceDE w:val="0"/>
        <w:autoSpaceDN w:val="0"/>
        <w:spacing w:before="82" w:line="249" w:lineRule="auto"/>
        <w:ind w:right="299" w:hanging="601"/>
        <w:rPr>
          <w:rFonts w:ascii="Times New Roman" w:hAnsi="Times New Roman"/>
          <w:sz w:val="23"/>
          <w:lang w:val="en-US" w:bidi="en-US"/>
        </w:rPr>
      </w:pPr>
      <w:r>
        <w:rPr>
          <w:rFonts w:ascii="ZWAdobeF" w:hAnsi="ZWAdobeF" w:cs="ZWAdobeF"/>
          <w:color w:val="auto"/>
          <w:sz w:val="2"/>
          <w:szCs w:val="2"/>
          <w:lang w:val="en-US" w:bidi="en-US"/>
        </w:rPr>
        <w:t>1159B</w:t>
      </w:r>
      <w:r w:rsidR="0049638A">
        <w:rPr>
          <w:rFonts w:ascii="ZWAdobeF" w:hAnsi="ZWAdobeF" w:cs="ZWAdobeF"/>
          <w:color w:val="auto"/>
          <w:sz w:val="2"/>
          <w:szCs w:val="2"/>
          <w:lang w:val="en-US" w:bidi="en-US"/>
        </w:rPr>
        <w:t>1159B</w:t>
      </w:r>
      <w:r w:rsidR="00D629FA">
        <w:rPr>
          <w:rFonts w:ascii="ZWAdobeF" w:hAnsi="ZWAdobeF" w:cs="ZWAdobeF"/>
          <w:color w:val="auto"/>
          <w:sz w:val="2"/>
          <w:szCs w:val="2"/>
          <w:lang w:val="en-US" w:bidi="en-US"/>
        </w:rPr>
        <w:t>1159B</w:t>
      </w:r>
      <w:r w:rsidR="006A2CBA" w:rsidRPr="006A2CBA">
        <w:rPr>
          <w:rFonts w:ascii="Times New Roman" w:hAnsi="Times New Roman"/>
          <w:sz w:val="23"/>
          <w:lang w:val="en-US" w:bidi="en-US"/>
        </w:rPr>
        <w:t>if they will be representing members of their hapū or iwi, the tikanga of the hapū or iwi as relevant to representation in the proceeding:</w:t>
      </w:r>
    </w:p>
    <w:p w14:paraId="60744D4E" w14:textId="3669E41B" w:rsidR="006A2CBA" w:rsidRPr="006A2CBA" w:rsidRDefault="00BD5C95" w:rsidP="00B73434">
      <w:pPr>
        <w:widowControl w:val="0"/>
        <w:numPr>
          <w:ilvl w:val="1"/>
          <w:numId w:val="71"/>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1160B</w:t>
      </w:r>
      <w:r w:rsidR="0049638A">
        <w:rPr>
          <w:rFonts w:ascii="ZWAdobeF" w:hAnsi="ZWAdobeF" w:cs="ZWAdobeF"/>
          <w:color w:val="auto"/>
          <w:sz w:val="2"/>
          <w:szCs w:val="2"/>
          <w:lang w:val="en-US" w:bidi="en-US"/>
        </w:rPr>
        <w:t>1160B</w:t>
      </w:r>
      <w:r w:rsidR="00D629FA">
        <w:rPr>
          <w:rFonts w:ascii="ZWAdobeF" w:hAnsi="ZWAdobeF" w:cs="ZWAdobeF"/>
          <w:color w:val="auto"/>
          <w:sz w:val="2"/>
          <w:szCs w:val="2"/>
          <w:lang w:val="en-US" w:bidi="en-US"/>
        </w:rPr>
        <w:t>1160B</w:t>
      </w:r>
      <w:r w:rsidR="006A2CBA" w:rsidRPr="006A2CBA">
        <w:rPr>
          <w:rFonts w:ascii="Times New Roman" w:hAnsi="Times New Roman"/>
          <w:sz w:val="23"/>
          <w:lang w:val="en-US" w:bidi="en-US"/>
        </w:rPr>
        <w:t>any other factors it considers relevant.</w:t>
      </w:r>
    </w:p>
    <w:p w14:paraId="68C69B73" w14:textId="3DF9E242" w:rsidR="006A2CBA" w:rsidRPr="006A2CBA" w:rsidRDefault="00BD5C95" w:rsidP="00B73434">
      <w:pPr>
        <w:widowControl w:val="0"/>
        <w:numPr>
          <w:ilvl w:val="0"/>
          <w:numId w:val="71"/>
        </w:numPr>
        <w:tabs>
          <w:tab w:val="left" w:pos="905"/>
        </w:tabs>
        <w:autoSpaceDE w:val="0"/>
        <w:autoSpaceDN w:val="0"/>
        <w:spacing w:before="91"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1161B</w:t>
      </w:r>
      <w:r w:rsidR="0049638A">
        <w:rPr>
          <w:rFonts w:ascii="ZWAdobeF" w:hAnsi="ZWAdobeF" w:cs="ZWAdobeF"/>
          <w:color w:val="auto"/>
          <w:sz w:val="2"/>
          <w:szCs w:val="2"/>
          <w:lang w:val="en-US" w:bidi="en-US"/>
        </w:rPr>
        <w:t>1161B</w:t>
      </w:r>
      <w:r w:rsidR="00D629FA">
        <w:rPr>
          <w:rFonts w:ascii="ZWAdobeF" w:hAnsi="ZWAdobeF" w:cs="ZWAdobeF"/>
          <w:color w:val="auto"/>
          <w:sz w:val="2"/>
          <w:szCs w:val="2"/>
          <w:lang w:val="en-US" w:bidi="en-US"/>
        </w:rPr>
        <w:t>1161B</w:t>
      </w:r>
      <w:r w:rsidR="006A2CBA" w:rsidRPr="006A2CBA">
        <w:rPr>
          <w:rFonts w:ascii="Times New Roman" w:hAnsi="Times New Roman"/>
          <w:sz w:val="23"/>
          <w:lang w:val="en-US" w:bidi="en-US"/>
        </w:rPr>
        <w:t>The court may consider the following when assessing whether a class action proceeding is an appropriate procedure for the efficient resolution of the claims of class members:</w:t>
      </w:r>
    </w:p>
    <w:p w14:paraId="26467D1F" w14:textId="23E25C41" w:rsidR="006A2CBA" w:rsidRPr="006A2CBA" w:rsidRDefault="00BD5C95" w:rsidP="00B73434">
      <w:pPr>
        <w:widowControl w:val="0"/>
        <w:numPr>
          <w:ilvl w:val="1"/>
          <w:numId w:val="71"/>
        </w:numPr>
        <w:tabs>
          <w:tab w:val="left" w:pos="1505"/>
        </w:tabs>
        <w:autoSpaceDE w:val="0"/>
        <w:autoSpaceDN w:val="0"/>
        <w:spacing w:before="83"/>
        <w:ind w:hanging="601"/>
        <w:jc w:val="both"/>
        <w:rPr>
          <w:rFonts w:ascii="Times New Roman" w:hAnsi="Times New Roman"/>
          <w:sz w:val="23"/>
          <w:lang w:val="en-US" w:bidi="en-US"/>
        </w:rPr>
      </w:pPr>
      <w:r>
        <w:rPr>
          <w:rFonts w:ascii="ZWAdobeF" w:hAnsi="ZWAdobeF" w:cs="ZWAdobeF"/>
          <w:color w:val="auto"/>
          <w:sz w:val="2"/>
          <w:szCs w:val="2"/>
          <w:lang w:val="en-US" w:bidi="en-US"/>
        </w:rPr>
        <w:t>1162B</w:t>
      </w:r>
      <w:r w:rsidR="0049638A">
        <w:rPr>
          <w:rFonts w:ascii="ZWAdobeF" w:hAnsi="ZWAdobeF" w:cs="ZWAdobeF"/>
          <w:color w:val="auto"/>
          <w:sz w:val="2"/>
          <w:szCs w:val="2"/>
          <w:lang w:val="en-US" w:bidi="en-US"/>
        </w:rPr>
        <w:t>1162B</w:t>
      </w:r>
      <w:r w:rsidR="00D629FA">
        <w:rPr>
          <w:rFonts w:ascii="ZWAdobeF" w:hAnsi="ZWAdobeF" w:cs="ZWAdobeF"/>
          <w:color w:val="auto"/>
          <w:sz w:val="2"/>
          <w:szCs w:val="2"/>
          <w:lang w:val="en-US" w:bidi="en-US"/>
        </w:rPr>
        <w:t>1162B</w:t>
      </w:r>
      <w:r w:rsidR="006A2CBA" w:rsidRPr="006A2CBA">
        <w:rPr>
          <w:rFonts w:ascii="Times New Roman" w:hAnsi="Times New Roman"/>
          <w:sz w:val="23"/>
          <w:lang w:val="en-US" w:bidi="en-US"/>
        </w:rPr>
        <w:t>the number or potential number of class members:</w:t>
      </w:r>
    </w:p>
    <w:p w14:paraId="793AC8C7" w14:textId="625CF9A7" w:rsidR="006A2CBA" w:rsidRPr="006A2CBA" w:rsidRDefault="00BD5C95" w:rsidP="00B73434">
      <w:pPr>
        <w:widowControl w:val="0"/>
        <w:numPr>
          <w:ilvl w:val="1"/>
          <w:numId w:val="71"/>
        </w:numPr>
        <w:tabs>
          <w:tab w:val="left" w:pos="1505"/>
        </w:tabs>
        <w:autoSpaceDE w:val="0"/>
        <w:autoSpaceDN w:val="0"/>
        <w:spacing w:before="92"/>
        <w:ind w:hanging="601"/>
        <w:jc w:val="both"/>
        <w:rPr>
          <w:rFonts w:ascii="Times New Roman" w:hAnsi="Times New Roman"/>
          <w:sz w:val="23"/>
          <w:lang w:val="en-US" w:bidi="en-US"/>
        </w:rPr>
      </w:pPr>
      <w:r>
        <w:rPr>
          <w:rFonts w:ascii="ZWAdobeF" w:hAnsi="ZWAdobeF" w:cs="ZWAdobeF"/>
          <w:color w:val="auto"/>
          <w:sz w:val="2"/>
          <w:szCs w:val="2"/>
          <w:lang w:val="en-US" w:bidi="en-US"/>
        </w:rPr>
        <w:t>1163B</w:t>
      </w:r>
      <w:r w:rsidR="0049638A">
        <w:rPr>
          <w:rFonts w:ascii="ZWAdobeF" w:hAnsi="ZWAdobeF" w:cs="ZWAdobeF"/>
          <w:color w:val="auto"/>
          <w:sz w:val="2"/>
          <w:szCs w:val="2"/>
          <w:lang w:val="en-US" w:bidi="en-US"/>
        </w:rPr>
        <w:t>1163B</w:t>
      </w:r>
      <w:r w:rsidR="00D629FA">
        <w:rPr>
          <w:rFonts w:ascii="ZWAdobeF" w:hAnsi="ZWAdobeF" w:cs="ZWAdobeF"/>
          <w:color w:val="auto"/>
          <w:sz w:val="2"/>
          <w:szCs w:val="2"/>
          <w:lang w:val="en-US" w:bidi="en-US"/>
        </w:rPr>
        <w:t>1163B</w:t>
      </w:r>
      <w:r w:rsidR="006A2CBA" w:rsidRPr="006A2CBA">
        <w:rPr>
          <w:rFonts w:ascii="Times New Roman" w:hAnsi="Times New Roman"/>
          <w:sz w:val="23"/>
          <w:lang w:val="en-US" w:bidi="en-US"/>
        </w:rPr>
        <w:t>the nature of the claims:</w:t>
      </w:r>
    </w:p>
    <w:p w14:paraId="5F35752C" w14:textId="268F4BD5" w:rsidR="006A2CBA" w:rsidRPr="006A2CBA" w:rsidRDefault="00BD5C95" w:rsidP="00B73434">
      <w:pPr>
        <w:widowControl w:val="0"/>
        <w:numPr>
          <w:ilvl w:val="1"/>
          <w:numId w:val="71"/>
        </w:numPr>
        <w:tabs>
          <w:tab w:val="left" w:pos="1504"/>
          <w:tab w:val="left" w:pos="1505"/>
        </w:tabs>
        <w:autoSpaceDE w:val="0"/>
        <w:autoSpaceDN w:val="0"/>
        <w:spacing w:before="91" w:line="249" w:lineRule="auto"/>
        <w:ind w:right="299"/>
        <w:rPr>
          <w:rFonts w:ascii="Times New Roman" w:hAnsi="Times New Roman"/>
          <w:sz w:val="23"/>
          <w:lang w:val="en-US" w:bidi="en-US"/>
        </w:rPr>
      </w:pPr>
      <w:r>
        <w:rPr>
          <w:rFonts w:ascii="ZWAdobeF" w:hAnsi="ZWAdobeF" w:cs="ZWAdobeF"/>
          <w:color w:val="auto"/>
          <w:sz w:val="2"/>
          <w:szCs w:val="2"/>
          <w:lang w:val="en-US" w:bidi="en-US"/>
        </w:rPr>
        <w:t>1164B</w:t>
      </w:r>
      <w:r w:rsidR="0049638A">
        <w:rPr>
          <w:rFonts w:ascii="ZWAdobeF" w:hAnsi="ZWAdobeF" w:cs="ZWAdobeF"/>
          <w:color w:val="auto"/>
          <w:sz w:val="2"/>
          <w:szCs w:val="2"/>
          <w:lang w:val="en-US" w:bidi="en-US"/>
        </w:rPr>
        <w:t>1164B</w:t>
      </w:r>
      <w:r w:rsidR="00D629FA">
        <w:rPr>
          <w:rFonts w:ascii="ZWAdobeF" w:hAnsi="ZWAdobeF" w:cs="ZWAdobeF"/>
          <w:color w:val="auto"/>
          <w:sz w:val="2"/>
          <w:szCs w:val="2"/>
          <w:lang w:val="en-US" w:bidi="en-US"/>
        </w:rPr>
        <w:t>1164B</w:t>
      </w:r>
      <w:r w:rsidR="006A2CBA" w:rsidRPr="006A2CBA">
        <w:rPr>
          <w:rFonts w:ascii="Times New Roman" w:hAnsi="Times New Roman"/>
          <w:sz w:val="23"/>
          <w:lang w:val="en-US" w:bidi="en-US"/>
        </w:rPr>
        <w:t>the extent of the other issues that will need to be determined once the common issue is resolved:</w:t>
      </w:r>
    </w:p>
    <w:p w14:paraId="20DD14FE" w14:textId="453F4037" w:rsidR="006A2CBA" w:rsidRPr="006A2CBA" w:rsidRDefault="00BD5C95" w:rsidP="00B73434">
      <w:pPr>
        <w:widowControl w:val="0"/>
        <w:numPr>
          <w:ilvl w:val="1"/>
          <w:numId w:val="71"/>
        </w:numPr>
        <w:tabs>
          <w:tab w:val="left" w:pos="1504"/>
          <w:tab w:val="left" w:pos="1505"/>
        </w:tabs>
        <w:autoSpaceDE w:val="0"/>
        <w:autoSpaceDN w:val="0"/>
        <w:spacing w:before="82" w:line="249" w:lineRule="auto"/>
        <w:ind w:right="300" w:hanging="601"/>
        <w:rPr>
          <w:rFonts w:ascii="Times New Roman" w:hAnsi="Times New Roman"/>
          <w:sz w:val="23"/>
          <w:lang w:val="en-US" w:bidi="en-US"/>
        </w:rPr>
      </w:pPr>
      <w:r>
        <w:rPr>
          <w:rFonts w:ascii="ZWAdobeF" w:hAnsi="ZWAdobeF" w:cs="ZWAdobeF"/>
          <w:color w:val="auto"/>
          <w:sz w:val="2"/>
          <w:szCs w:val="2"/>
          <w:lang w:val="en-US" w:bidi="en-US"/>
        </w:rPr>
        <w:t>1165B</w:t>
      </w:r>
      <w:r w:rsidR="0049638A">
        <w:rPr>
          <w:rFonts w:ascii="ZWAdobeF" w:hAnsi="ZWAdobeF" w:cs="ZWAdobeF"/>
          <w:color w:val="auto"/>
          <w:sz w:val="2"/>
          <w:szCs w:val="2"/>
          <w:lang w:val="en-US" w:bidi="en-US"/>
        </w:rPr>
        <w:t>1165B</w:t>
      </w:r>
      <w:r w:rsidR="00D629FA">
        <w:rPr>
          <w:rFonts w:ascii="ZWAdobeF" w:hAnsi="ZWAdobeF" w:cs="ZWAdobeF"/>
          <w:color w:val="auto"/>
          <w:sz w:val="2"/>
          <w:szCs w:val="2"/>
          <w:lang w:val="en-US" w:bidi="en-US"/>
        </w:rPr>
        <w:t>1165B</w:t>
      </w:r>
      <w:r w:rsidR="006A2CBA" w:rsidRPr="006A2CBA">
        <w:rPr>
          <w:rFonts w:ascii="Times New Roman" w:hAnsi="Times New Roman"/>
          <w:sz w:val="23"/>
          <w:lang w:val="en-US" w:bidi="en-US"/>
        </w:rPr>
        <w:t>whether the likely time and cost of the proceeding is proportionate to the remedies</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sought:</w:t>
      </w:r>
    </w:p>
    <w:p w14:paraId="139A45A5" w14:textId="7DA1DA43" w:rsidR="00DC6615" w:rsidRPr="006A2CBA" w:rsidRDefault="00BD5C95" w:rsidP="00B73434">
      <w:pPr>
        <w:widowControl w:val="0"/>
        <w:numPr>
          <w:ilvl w:val="1"/>
          <w:numId w:val="71"/>
        </w:numPr>
        <w:tabs>
          <w:tab w:val="left" w:pos="1504"/>
          <w:tab w:val="left" w:pos="1505"/>
        </w:tabs>
        <w:autoSpaceDE w:val="0"/>
        <w:autoSpaceDN w:val="0"/>
        <w:spacing w:before="82" w:line="249" w:lineRule="auto"/>
        <w:ind w:right="299"/>
        <w:rPr>
          <w:rFonts w:ascii="Times New Roman" w:hAnsi="Times New Roman"/>
          <w:sz w:val="23"/>
          <w:lang w:val="en-US" w:bidi="en-US"/>
        </w:rPr>
      </w:pPr>
      <w:r>
        <w:rPr>
          <w:rFonts w:ascii="ZWAdobeF" w:hAnsi="ZWAdobeF" w:cs="ZWAdobeF"/>
          <w:color w:val="auto"/>
          <w:sz w:val="2"/>
          <w:szCs w:val="2"/>
          <w:lang w:val="en-US" w:bidi="en-US"/>
        </w:rPr>
        <w:t>1166B</w:t>
      </w:r>
      <w:r w:rsidR="0049638A">
        <w:rPr>
          <w:rFonts w:ascii="ZWAdobeF" w:hAnsi="ZWAdobeF" w:cs="ZWAdobeF"/>
          <w:color w:val="auto"/>
          <w:sz w:val="2"/>
          <w:szCs w:val="2"/>
          <w:lang w:val="en-US" w:bidi="en-US"/>
        </w:rPr>
        <w:t>1166B</w:t>
      </w:r>
      <w:r w:rsidR="00D629FA">
        <w:rPr>
          <w:rFonts w:ascii="ZWAdobeF" w:hAnsi="ZWAdobeF" w:cs="ZWAdobeF"/>
          <w:color w:val="auto"/>
          <w:sz w:val="2"/>
          <w:szCs w:val="2"/>
          <w:lang w:val="en-US" w:bidi="en-US"/>
        </w:rPr>
        <w:t>1166B</w:t>
      </w:r>
      <w:r w:rsidR="006A2CBA" w:rsidRPr="006A2CBA">
        <w:rPr>
          <w:rFonts w:ascii="Times New Roman" w:hAnsi="Times New Roman"/>
          <w:sz w:val="23"/>
          <w:lang w:val="en-US" w:bidi="en-US"/>
        </w:rPr>
        <w:t>whether there is another procedure available to class members that would be a more appropriate means of dealing with their</w:t>
      </w:r>
      <w:r w:rsidR="006A2CBA" w:rsidRPr="006A2CBA">
        <w:rPr>
          <w:rFonts w:ascii="Times New Roman" w:hAnsi="Times New Roman"/>
          <w:spacing w:val="-5"/>
          <w:sz w:val="23"/>
          <w:lang w:val="en-US" w:bidi="en-US"/>
        </w:rPr>
        <w:t xml:space="preserve"> </w:t>
      </w:r>
      <w:r w:rsidR="006A2CBA" w:rsidRPr="006A2CBA">
        <w:rPr>
          <w:rFonts w:ascii="Times New Roman" w:hAnsi="Times New Roman"/>
          <w:sz w:val="23"/>
          <w:lang w:val="en-US" w:bidi="en-US"/>
        </w:rPr>
        <w:t>claims:</w:t>
      </w:r>
    </w:p>
    <w:p w14:paraId="2A4A2B23" w14:textId="64A734CF" w:rsidR="006A2CBA" w:rsidRPr="006A2CBA" w:rsidRDefault="00BD5C95" w:rsidP="00B73434">
      <w:pPr>
        <w:widowControl w:val="0"/>
        <w:numPr>
          <w:ilvl w:val="1"/>
          <w:numId w:val="71"/>
        </w:numPr>
        <w:tabs>
          <w:tab w:val="left" w:pos="1504"/>
          <w:tab w:val="left" w:pos="1505"/>
        </w:tabs>
        <w:autoSpaceDE w:val="0"/>
        <w:autoSpaceDN w:val="0"/>
        <w:spacing w:before="90"/>
        <w:ind w:hanging="601"/>
        <w:rPr>
          <w:rFonts w:ascii="Times New Roman" w:hAnsi="Times New Roman"/>
          <w:sz w:val="23"/>
          <w:lang w:val="en-US" w:bidi="en-US"/>
        </w:rPr>
      </w:pPr>
      <w:r>
        <w:rPr>
          <w:rFonts w:ascii="ZWAdobeF" w:hAnsi="ZWAdobeF" w:cs="ZWAdobeF"/>
          <w:color w:val="auto"/>
          <w:sz w:val="2"/>
          <w:szCs w:val="2"/>
          <w:lang w:val="en-US" w:bidi="en-US"/>
        </w:rPr>
        <w:t>1167B</w:t>
      </w:r>
      <w:r w:rsidR="0049638A">
        <w:rPr>
          <w:rFonts w:ascii="ZWAdobeF" w:hAnsi="ZWAdobeF" w:cs="ZWAdobeF"/>
          <w:color w:val="auto"/>
          <w:sz w:val="2"/>
          <w:szCs w:val="2"/>
          <w:lang w:val="en-US" w:bidi="en-US"/>
        </w:rPr>
        <w:t>1167B</w:t>
      </w:r>
      <w:r w:rsidR="00D629FA">
        <w:rPr>
          <w:rFonts w:ascii="ZWAdobeF" w:hAnsi="ZWAdobeF" w:cs="ZWAdobeF"/>
          <w:color w:val="auto"/>
          <w:sz w:val="2"/>
          <w:szCs w:val="2"/>
          <w:lang w:val="en-US" w:bidi="en-US"/>
        </w:rPr>
        <w:t>1167B</w:t>
      </w:r>
      <w:r w:rsidR="006A2CBA" w:rsidRPr="1FC0C9C7">
        <w:rPr>
          <w:rFonts w:ascii="Times New Roman" w:hAnsi="Times New Roman"/>
          <w:sz w:val="23"/>
          <w:szCs w:val="23"/>
          <w:lang w:val="en-US" w:bidi="en-US"/>
        </w:rPr>
        <w:t>any other factors it considers relevant.</w:t>
      </w:r>
    </w:p>
    <w:p w14:paraId="3E94E156" w14:textId="77777777" w:rsidR="00257D04" w:rsidRDefault="00257D04">
      <w:pPr>
        <w:widowControl w:val="0"/>
        <w:spacing w:after="200" w:line="276" w:lineRule="auto"/>
        <w:rPr>
          <w:rFonts w:ascii="Times New Roman" w:hAnsi="Times New Roman"/>
          <w:b/>
          <w:sz w:val="23"/>
          <w:szCs w:val="23"/>
          <w:lang w:val="en-US" w:bidi="en-US"/>
        </w:rPr>
      </w:pPr>
      <w:bookmarkStart w:id="116" w:name="_bookmark5"/>
      <w:bookmarkStart w:id="117" w:name="_bookmark6"/>
      <w:bookmarkEnd w:id="116"/>
      <w:bookmarkEnd w:id="117"/>
      <w:r>
        <w:rPr>
          <w:rFonts w:ascii="Times New Roman" w:hAnsi="Times New Roman"/>
          <w:b/>
          <w:sz w:val="23"/>
          <w:szCs w:val="23"/>
          <w:lang w:val="en-US" w:bidi="en-US"/>
        </w:rPr>
        <w:br w:type="page"/>
      </w:r>
    </w:p>
    <w:p w14:paraId="28EF6EE7" w14:textId="77B48D8C" w:rsidR="006A2CBA" w:rsidRPr="006A2CBA" w:rsidRDefault="00BD5C95" w:rsidP="00B73434">
      <w:pPr>
        <w:widowControl w:val="0"/>
        <w:numPr>
          <w:ilvl w:val="0"/>
          <w:numId w:val="67"/>
        </w:numPr>
        <w:tabs>
          <w:tab w:val="left" w:pos="904"/>
          <w:tab w:val="left" w:pos="905"/>
        </w:tabs>
        <w:autoSpaceDE w:val="0"/>
        <w:autoSpaceDN w:val="0"/>
        <w:spacing w:before="213"/>
        <w:ind w:hanging="601"/>
        <w:outlineLvl w:val="2"/>
        <w:rPr>
          <w:rFonts w:ascii="Times New Roman" w:hAnsi="Times New Roman"/>
          <w:b/>
          <w:sz w:val="23"/>
          <w:szCs w:val="23"/>
          <w:lang w:val="en-US" w:bidi="en-US"/>
        </w:rPr>
      </w:pPr>
      <w:r>
        <w:rPr>
          <w:rFonts w:ascii="ZWAdobeF" w:hAnsi="ZWAdobeF" w:cs="ZWAdobeF"/>
          <w:color w:val="auto"/>
          <w:sz w:val="2"/>
          <w:szCs w:val="2"/>
          <w:lang w:val="en-US" w:bidi="en-US"/>
        </w:rPr>
        <w:lastRenderedPageBreak/>
        <w:t>1168B</w:t>
      </w:r>
      <w:r w:rsidR="0049638A">
        <w:rPr>
          <w:rFonts w:ascii="ZWAdobeF" w:hAnsi="ZWAdobeF" w:cs="ZWAdobeF"/>
          <w:color w:val="auto"/>
          <w:sz w:val="2"/>
          <w:szCs w:val="2"/>
          <w:lang w:val="en-US" w:bidi="en-US"/>
        </w:rPr>
        <w:t>1168B</w:t>
      </w:r>
      <w:r w:rsidR="00D629FA">
        <w:rPr>
          <w:rFonts w:ascii="ZWAdobeF" w:hAnsi="ZWAdobeF" w:cs="ZWAdobeF"/>
          <w:color w:val="auto"/>
          <w:sz w:val="2"/>
          <w:szCs w:val="2"/>
          <w:lang w:val="en-US" w:bidi="en-US"/>
        </w:rPr>
        <w:t>1168B</w:t>
      </w:r>
      <w:r w:rsidR="006A2CBA" w:rsidRPr="006A2CBA">
        <w:rPr>
          <w:rFonts w:ascii="Times New Roman" w:hAnsi="Times New Roman"/>
          <w:b/>
          <w:sz w:val="23"/>
          <w:szCs w:val="23"/>
          <w:lang w:val="en-US" w:bidi="en-US"/>
        </w:rPr>
        <w:t>Effect of judgment on common issue</w:t>
      </w:r>
    </w:p>
    <w:p w14:paraId="047E4BE5" w14:textId="40181A45" w:rsidR="006A2CBA" w:rsidRPr="006A2CBA" w:rsidRDefault="00BD5C95" w:rsidP="00B73434">
      <w:pPr>
        <w:widowControl w:val="0"/>
        <w:numPr>
          <w:ilvl w:val="0"/>
          <w:numId w:val="72"/>
        </w:numPr>
        <w:tabs>
          <w:tab w:val="left" w:pos="904"/>
          <w:tab w:val="left" w:pos="905"/>
        </w:tabs>
        <w:autoSpaceDE w:val="0"/>
        <w:autoSpaceDN w:val="0"/>
        <w:spacing w:before="92" w:line="249" w:lineRule="auto"/>
        <w:ind w:right="298"/>
        <w:rPr>
          <w:rFonts w:ascii="Times New Roman" w:hAnsi="Times New Roman"/>
          <w:sz w:val="23"/>
          <w:lang w:val="en-US" w:bidi="en-US"/>
        </w:rPr>
      </w:pPr>
      <w:r>
        <w:rPr>
          <w:rFonts w:ascii="ZWAdobeF" w:hAnsi="ZWAdobeF" w:cs="ZWAdobeF"/>
          <w:color w:val="auto"/>
          <w:sz w:val="2"/>
          <w:szCs w:val="2"/>
          <w:lang w:val="en-US" w:bidi="en-US"/>
        </w:rPr>
        <w:t>1169B</w:t>
      </w:r>
      <w:r w:rsidR="0049638A">
        <w:rPr>
          <w:rFonts w:ascii="ZWAdobeF" w:hAnsi="ZWAdobeF" w:cs="ZWAdobeF"/>
          <w:color w:val="auto"/>
          <w:sz w:val="2"/>
          <w:szCs w:val="2"/>
          <w:lang w:val="en-US" w:bidi="en-US"/>
        </w:rPr>
        <w:t>1169B</w:t>
      </w:r>
      <w:r w:rsidR="00D629FA">
        <w:rPr>
          <w:rFonts w:ascii="ZWAdobeF" w:hAnsi="ZWAdobeF" w:cs="ZWAdobeF"/>
          <w:color w:val="auto"/>
          <w:sz w:val="2"/>
          <w:szCs w:val="2"/>
          <w:lang w:val="en-US" w:bidi="en-US"/>
        </w:rPr>
        <w:t>1169B</w:t>
      </w:r>
      <w:r w:rsidR="006A2CBA" w:rsidRPr="006A2CBA">
        <w:rPr>
          <w:rFonts w:ascii="Times New Roman" w:hAnsi="Times New Roman"/>
          <w:sz w:val="23"/>
          <w:lang w:val="en-US" w:bidi="en-US"/>
        </w:rPr>
        <w:t>A judgment on a common issue binds every class member, but only to the extent that the judgment determines a common issue</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that—</w:t>
      </w:r>
    </w:p>
    <w:p w14:paraId="7C32379A" w14:textId="483BFAFA" w:rsidR="006A2CBA" w:rsidRPr="006A2CBA" w:rsidRDefault="00BD5C95" w:rsidP="00B73434">
      <w:pPr>
        <w:widowControl w:val="0"/>
        <w:numPr>
          <w:ilvl w:val="1"/>
          <w:numId w:val="72"/>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1170B</w:t>
      </w:r>
      <w:r w:rsidR="0049638A">
        <w:rPr>
          <w:rFonts w:ascii="ZWAdobeF" w:hAnsi="ZWAdobeF" w:cs="ZWAdobeF"/>
          <w:color w:val="auto"/>
          <w:sz w:val="2"/>
          <w:szCs w:val="2"/>
          <w:lang w:val="en-US" w:bidi="en-US"/>
        </w:rPr>
        <w:t>1170B</w:t>
      </w:r>
      <w:r w:rsidR="00D629FA">
        <w:rPr>
          <w:rFonts w:ascii="ZWAdobeF" w:hAnsi="ZWAdobeF" w:cs="ZWAdobeF"/>
          <w:color w:val="auto"/>
          <w:sz w:val="2"/>
          <w:szCs w:val="2"/>
          <w:lang w:val="en-US" w:bidi="en-US"/>
        </w:rPr>
        <w:t>1170B</w:t>
      </w:r>
      <w:r w:rsidR="006A2CBA" w:rsidRPr="006A2CBA">
        <w:rPr>
          <w:rFonts w:ascii="Times New Roman" w:hAnsi="Times New Roman"/>
          <w:sz w:val="23"/>
          <w:lang w:val="en-US" w:bidi="en-US"/>
        </w:rPr>
        <w:t>is set out in the certification order;</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and</w:t>
      </w:r>
    </w:p>
    <w:p w14:paraId="2D8BFD9E" w14:textId="7CFB1AB1" w:rsidR="006A2CBA" w:rsidRPr="006A2CBA" w:rsidRDefault="00BD5C95" w:rsidP="00B73434">
      <w:pPr>
        <w:widowControl w:val="0"/>
        <w:numPr>
          <w:ilvl w:val="1"/>
          <w:numId w:val="72"/>
        </w:numPr>
        <w:tabs>
          <w:tab w:val="left" w:pos="1504"/>
          <w:tab w:val="left" w:pos="1505"/>
        </w:tabs>
        <w:autoSpaceDE w:val="0"/>
        <w:autoSpaceDN w:val="0"/>
        <w:spacing w:before="91"/>
        <w:ind w:hanging="601"/>
        <w:rPr>
          <w:rFonts w:ascii="Times New Roman" w:hAnsi="Times New Roman"/>
          <w:sz w:val="23"/>
          <w:lang w:val="en-US" w:bidi="en-US"/>
        </w:rPr>
      </w:pPr>
      <w:r>
        <w:rPr>
          <w:rFonts w:ascii="ZWAdobeF" w:hAnsi="ZWAdobeF" w:cs="ZWAdobeF"/>
          <w:color w:val="auto"/>
          <w:sz w:val="2"/>
          <w:szCs w:val="2"/>
          <w:lang w:val="en-US" w:bidi="en-US"/>
        </w:rPr>
        <w:t>1171B</w:t>
      </w:r>
      <w:r w:rsidR="0049638A">
        <w:rPr>
          <w:rFonts w:ascii="ZWAdobeF" w:hAnsi="ZWAdobeF" w:cs="ZWAdobeF"/>
          <w:color w:val="auto"/>
          <w:sz w:val="2"/>
          <w:szCs w:val="2"/>
          <w:lang w:val="en-US" w:bidi="en-US"/>
        </w:rPr>
        <w:t>1171B</w:t>
      </w:r>
      <w:r w:rsidR="00D629FA">
        <w:rPr>
          <w:rFonts w:ascii="ZWAdobeF" w:hAnsi="ZWAdobeF" w:cs="ZWAdobeF"/>
          <w:color w:val="auto"/>
          <w:sz w:val="2"/>
          <w:szCs w:val="2"/>
          <w:lang w:val="en-US" w:bidi="en-US"/>
        </w:rPr>
        <w:t>1171B</w:t>
      </w:r>
      <w:r w:rsidR="006A2CBA" w:rsidRPr="006A2CBA">
        <w:rPr>
          <w:rFonts w:ascii="Times New Roman" w:hAnsi="Times New Roman"/>
          <w:sz w:val="23"/>
          <w:lang w:val="en-US" w:bidi="en-US"/>
        </w:rPr>
        <w:t>relates to a claim described in the certification order; and</w:t>
      </w:r>
    </w:p>
    <w:p w14:paraId="6E8D54D0" w14:textId="69BFC525" w:rsidR="006A2CBA" w:rsidRPr="006A2CBA" w:rsidRDefault="00BD5C95" w:rsidP="00B73434">
      <w:pPr>
        <w:widowControl w:val="0"/>
        <w:numPr>
          <w:ilvl w:val="1"/>
          <w:numId w:val="72"/>
        </w:numPr>
        <w:tabs>
          <w:tab w:val="left" w:pos="1504"/>
          <w:tab w:val="left" w:pos="1505"/>
        </w:tabs>
        <w:autoSpaceDE w:val="0"/>
        <w:autoSpaceDN w:val="0"/>
        <w:spacing w:before="92" w:line="249" w:lineRule="auto"/>
        <w:ind w:right="301"/>
        <w:rPr>
          <w:rFonts w:ascii="Times New Roman" w:hAnsi="Times New Roman"/>
          <w:sz w:val="23"/>
          <w:lang w:val="en-US" w:bidi="en-US"/>
        </w:rPr>
      </w:pPr>
      <w:r>
        <w:rPr>
          <w:rFonts w:ascii="ZWAdobeF" w:hAnsi="ZWAdobeF" w:cs="ZWAdobeF"/>
          <w:color w:val="auto"/>
          <w:sz w:val="2"/>
          <w:szCs w:val="2"/>
          <w:lang w:val="en-US" w:bidi="en-US"/>
        </w:rPr>
        <w:t>1172B</w:t>
      </w:r>
      <w:r w:rsidR="0049638A">
        <w:rPr>
          <w:rFonts w:ascii="ZWAdobeF" w:hAnsi="ZWAdobeF" w:cs="ZWAdobeF"/>
          <w:color w:val="auto"/>
          <w:sz w:val="2"/>
          <w:szCs w:val="2"/>
          <w:lang w:val="en-US" w:bidi="en-US"/>
        </w:rPr>
        <w:t>1172B</w:t>
      </w:r>
      <w:r w:rsidR="00D629FA">
        <w:rPr>
          <w:rFonts w:ascii="ZWAdobeF" w:hAnsi="ZWAdobeF" w:cs="ZWAdobeF"/>
          <w:color w:val="auto"/>
          <w:sz w:val="2"/>
          <w:szCs w:val="2"/>
          <w:lang w:val="en-US" w:bidi="en-US"/>
        </w:rPr>
        <w:t>1172B</w:t>
      </w:r>
      <w:r w:rsidR="006A2CBA" w:rsidRPr="006A2CBA">
        <w:rPr>
          <w:rFonts w:ascii="Times New Roman" w:hAnsi="Times New Roman"/>
          <w:sz w:val="23"/>
          <w:lang w:val="en-US" w:bidi="en-US"/>
        </w:rPr>
        <w:t xml:space="preserve">relates to relief sought by class members as stated in the certification </w:t>
      </w:r>
      <w:r w:rsidR="006A2CBA" w:rsidRPr="006A2CBA">
        <w:rPr>
          <w:rFonts w:ascii="Times New Roman" w:hAnsi="Times New Roman"/>
          <w:spacing w:val="-3"/>
          <w:sz w:val="23"/>
          <w:lang w:val="en-US" w:bidi="en-US"/>
        </w:rPr>
        <w:t>order.</w:t>
      </w:r>
    </w:p>
    <w:p w14:paraId="3EFB952A" w14:textId="1A668317" w:rsidR="006A2CBA" w:rsidRPr="006A2CBA" w:rsidRDefault="00BD5C95" w:rsidP="00B73434">
      <w:pPr>
        <w:widowControl w:val="0"/>
        <w:numPr>
          <w:ilvl w:val="0"/>
          <w:numId w:val="72"/>
        </w:numPr>
        <w:tabs>
          <w:tab w:val="left" w:pos="904"/>
          <w:tab w:val="left" w:pos="905"/>
        </w:tabs>
        <w:autoSpaceDE w:val="0"/>
        <w:autoSpaceDN w:val="0"/>
        <w:spacing w:before="82" w:line="249" w:lineRule="auto"/>
        <w:ind w:right="299" w:hanging="601"/>
        <w:rPr>
          <w:rFonts w:ascii="Times New Roman" w:hAnsi="Times New Roman"/>
          <w:sz w:val="23"/>
          <w:lang w:val="en-US" w:bidi="en-US"/>
        </w:rPr>
      </w:pPr>
      <w:r>
        <w:rPr>
          <w:rFonts w:ascii="ZWAdobeF" w:hAnsi="ZWAdobeF" w:cs="ZWAdobeF"/>
          <w:color w:val="auto"/>
          <w:sz w:val="2"/>
          <w:szCs w:val="2"/>
          <w:lang w:val="en-US" w:bidi="en-US"/>
        </w:rPr>
        <w:t>1173B</w:t>
      </w:r>
      <w:r w:rsidR="0049638A">
        <w:rPr>
          <w:rFonts w:ascii="ZWAdobeF" w:hAnsi="ZWAdobeF" w:cs="ZWAdobeF"/>
          <w:color w:val="auto"/>
          <w:sz w:val="2"/>
          <w:szCs w:val="2"/>
          <w:lang w:val="en-US" w:bidi="en-US"/>
        </w:rPr>
        <w:t>1173B</w:t>
      </w:r>
      <w:r w:rsidR="00D629FA">
        <w:rPr>
          <w:rFonts w:ascii="ZWAdobeF" w:hAnsi="ZWAdobeF" w:cs="ZWAdobeF"/>
          <w:color w:val="auto"/>
          <w:sz w:val="2"/>
          <w:szCs w:val="2"/>
          <w:lang w:val="en-US" w:bidi="en-US"/>
        </w:rPr>
        <w:t>1173B</w:t>
      </w:r>
      <w:r w:rsidR="006A2CBA" w:rsidRPr="006A2CBA">
        <w:rPr>
          <w:rFonts w:ascii="Times New Roman" w:hAnsi="Times New Roman"/>
          <w:sz w:val="23"/>
          <w:lang w:val="en-US" w:bidi="en-US"/>
        </w:rPr>
        <w:t>A judgment on a common issue is not binding between a party to the class action proceeding</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and—</w:t>
      </w:r>
    </w:p>
    <w:p w14:paraId="549651C9" w14:textId="4DDFB66E" w:rsidR="006A2CBA" w:rsidRPr="006A2CBA" w:rsidRDefault="00BD5C95" w:rsidP="00B73434">
      <w:pPr>
        <w:widowControl w:val="0"/>
        <w:numPr>
          <w:ilvl w:val="1"/>
          <w:numId w:val="72"/>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1174B</w:t>
      </w:r>
      <w:r w:rsidR="0049638A">
        <w:rPr>
          <w:rFonts w:ascii="ZWAdobeF" w:hAnsi="ZWAdobeF" w:cs="ZWAdobeF"/>
          <w:color w:val="auto"/>
          <w:sz w:val="2"/>
          <w:szCs w:val="2"/>
          <w:lang w:val="en-US" w:bidi="en-US"/>
        </w:rPr>
        <w:t>1174B</w:t>
      </w:r>
      <w:r w:rsidR="00D629FA">
        <w:rPr>
          <w:rFonts w:ascii="ZWAdobeF" w:hAnsi="ZWAdobeF" w:cs="ZWAdobeF"/>
          <w:color w:val="auto"/>
          <w:sz w:val="2"/>
          <w:szCs w:val="2"/>
          <w:lang w:val="en-US" w:bidi="en-US"/>
        </w:rPr>
        <w:t>1174B</w:t>
      </w:r>
      <w:r w:rsidR="006A2CBA" w:rsidRPr="006A2CBA">
        <w:rPr>
          <w:rFonts w:ascii="Times New Roman" w:hAnsi="Times New Roman"/>
          <w:sz w:val="23"/>
          <w:lang w:val="en-US" w:bidi="en-US"/>
        </w:rPr>
        <w:t>a person who was eligible to opt in to the proceeding but did not do</w:t>
      </w:r>
      <w:r w:rsidR="006A2CBA" w:rsidRPr="006A2CBA">
        <w:rPr>
          <w:rFonts w:ascii="Times New Roman" w:hAnsi="Times New Roman"/>
          <w:spacing w:val="-7"/>
          <w:sz w:val="23"/>
          <w:lang w:val="en-US" w:bidi="en-US"/>
        </w:rPr>
        <w:t xml:space="preserve"> </w:t>
      </w:r>
      <w:r w:rsidR="006A2CBA" w:rsidRPr="006A2CBA">
        <w:rPr>
          <w:rFonts w:ascii="Times New Roman" w:hAnsi="Times New Roman"/>
          <w:sz w:val="23"/>
          <w:lang w:val="en-US" w:bidi="en-US"/>
        </w:rPr>
        <w:t>so:</w:t>
      </w:r>
    </w:p>
    <w:p w14:paraId="25CC6A95" w14:textId="003A0BB4" w:rsidR="006A2CBA" w:rsidRPr="006A2CBA" w:rsidRDefault="00BD5C95" w:rsidP="00B73434">
      <w:pPr>
        <w:widowControl w:val="0"/>
        <w:numPr>
          <w:ilvl w:val="1"/>
          <w:numId w:val="72"/>
        </w:numPr>
        <w:tabs>
          <w:tab w:val="left" w:pos="1504"/>
          <w:tab w:val="left" w:pos="1505"/>
        </w:tabs>
        <w:autoSpaceDE w:val="0"/>
        <w:autoSpaceDN w:val="0"/>
        <w:spacing w:before="91"/>
        <w:ind w:hanging="601"/>
        <w:rPr>
          <w:rFonts w:ascii="Times New Roman" w:hAnsi="Times New Roman"/>
          <w:sz w:val="23"/>
          <w:lang w:val="en-US" w:bidi="en-US"/>
        </w:rPr>
      </w:pPr>
      <w:r>
        <w:rPr>
          <w:rFonts w:ascii="ZWAdobeF" w:hAnsi="ZWAdobeF" w:cs="ZWAdobeF"/>
          <w:color w:val="auto"/>
          <w:sz w:val="2"/>
          <w:szCs w:val="2"/>
          <w:lang w:val="en-US" w:bidi="en-US"/>
        </w:rPr>
        <w:t>1175B</w:t>
      </w:r>
      <w:r w:rsidR="0049638A">
        <w:rPr>
          <w:rFonts w:ascii="ZWAdobeF" w:hAnsi="ZWAdobeF" w:cs="ZWAdobeF"/>
          <w:color w:val="auto"/>
          <w:sz w:val="2"/>
          <w:szCs w:val="2"/>
          <w:lang w:val="en-US" w:bidi="en-US"/>
        </w:rPr>
        <w:t>1175B</w:t>
      </w:r>
      <w:r w:rsidR="00D629FA">
        <w:rPr>
          <w:rFonts w:ascii="ZWAdobeF" w:hAnsi="ZWAdobeF" w:cs="ZWAdobeF"/>
          <w:color w:val="auto"/>
          <w:sz w:val="2"/>
          <w:szCs w:val="2"/>
          <w:lang w:val="en-US" w:bidi="en-US"/>
        </w:rPr>
        <w:t>1175B</w:t>
      </w:r>
      <w:r w:rsidR="006A2CBA" w:rsidRPr="006A2CBA">
        <w:rPr>
          <w:rFonts w:ascii="Times New Roman" w:hAnsi="Times New Roman"/>
          <w:sz w:val="23"/>
          <w:lang w:val="en-US" w:bidi="en-US"/>
        </w:rPr>
        <w:t>a person who has opted out of the</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proceeding.</w:t>
      </w:r>
    </w:p>
    <w:p w14:paraId="56DAD5AC" w14:textId="559CECEC" w:rsidR="006A2CBA" w:rsidRPr="006A2CBA" w:rsidRDefault="00BD5C95" w:rsidP="00B73434">
      <w:pPr>
        <w:widowControl w:val="0"/>
        <w:numPr>
          <w:ilvl w:val="0"/>
          <w:numId w:val="67"/>
        </w:numPr>
        <w:tabs>
          <w:tab w:val="left" w:pos="905"/>
        </w:tabs>
        <w:autoSpaceDE w:val="0"/>
        <w:autoSpaceDN w:val="0"/>
        <w:spacing w:before="90"/>
        <w:ind w:hanging="601"/>
        <w:jc w:val="both"/>
        <w:outlineLvl w:val="2"/>
        <w:rPr>
          <w:rFonts w:ascii="Times New Roman" w:hAnsi="Times New Roman"/>
          <w:b/>
          <w:sz w:val="23"/>
          <w:szCs w:val="23"/>
          <w:lang w:val="en-US" w:bidi="en-US"/>
        </w:rPr>
      </w:pPr>
      <w:bookmarkStart w:id="118" w:name="_bookmark7"/>
      <w:bookmarkStart w:id="119" w:name="_bookmark8"/>
      <w:bookmarkEnd w:id="118"/>
      <w:bookmarkEnd w:id="119"/>
      <w:r>
        <w:rPr>
          <w:rFonts w:ascii="ZWAdobeF" w:hAnsi="ZWAdobeF" w:cs="ZWAdobeF"/>
          <w:color w:val="auto"/>
          <w:sz w:val="2"/>
          <w:szCs w:val="2"/>
          <w:lang w:val="en-US" w:bidi="en-US"/>
        </w:rPr>
        <w:t>1176B</w:t>
      </w:r>
      <w:r w:rsidR="0049638A">
        <w:rPr>
          <w:rFonts w:ascii="ZWAdobeF" w:hAnsi="ZWAdobeF" w:cs="ZWAdobeF"/>
          <w:color w:val="auto"/>
          <w:sz w:val="2"/>
          <w:szCs w:val="2"/>
          <w:lang w:val="en-US" w:bidi="en-US"/>
        </w:rPr>
        <w:t>1176B</w:t>
      </w:r>
      <w:r w:rsidR="00D629FA">
        <w:rPr>
          <w:rFonts w:ascii="ZWAdobeF" w:hAnsi="ZWAdobeF" w:cs="ZWAdobeF"/>
          <w:color w:val="auto"/>
          <w:sz w:val="2"/>
          <w:szCs w:val="2"/>
          <w:lang w:val="en-US" w:bidi="en-US"/>
        </w:rPr>
        <w:t>1176B</w:t>
      </w:r>
      <w:r w:rsidR="006A2CBA" w:rsidRPr="006A2CBA">
        <w:rPr>
          <w:rFonts w:ascii="Times New Roman" w:hAnsi="Times New Roman"/>
          <w:b/>
          <w:sz w:val="23"/>
          <w:szCs w:val="23"/>
          <w:lang w:val="en-US" w:bidi="en-US"/>
        </w:rPr>
        <w:t>Settlement of class</w:t>
      </w:r>
      <w:r w:rsidR="006A2CBA" w:rsidRPr="006A2CBA">
        <w:rPr>
          <w:rFonts w:ascii="Times New Roman" w:hAnsi="Times New Roman"/>
          <w:b/>
          <w:spacing w:val="-2"/>
          <w:sz w:val="23"/>
          <w:szCs w:val="23"/>
          <w:lang w:val="en-US" w:bidi="en-US"/>
        </w:rPr>
        <w:t xml:space="preserve"> </w:t>
      </w:r>
      <w:r w:rsidR="006A2CBA" w:rsidRPr="006A2CBA">
        <w:rPr>
          <w:rFonts w:ascii="Times New Roman" w:hAnsi="Times New Roman"/>
          <w:b/>
          <w:sz w:val="23"/>
          <w:szCs w:val="23"/>
          <w:lang w:val="en-US" w:bidi="en-US"/>
        </w:rPr>
        <w:t>action</w:t>
      </w:r>
    </w:p>
    <w:p w14:paraId="2443FB8E" w14:textId="346D0671" w:rsidR="006A2CBA" w:rsidRPr="006A2CBA" w:rsidRDefault="00BD5C95" w:rsidP="00B73434">
      <w:pPr>
        <w:widowControl w:val="0"/>
        <w:numPr>
          <w:ilvl w:val="0"/>
          <w:numId w:val="73"/>
        </w:numPr>
        <w:tabs>
          <w:tab w:val="left" w:pos="905"/>
        </w:tabs>
        <w:autoSpaceDE w:val="0"/>
        <w:autoSpaceDN w:val="0"/>
        <w:spacing w:before="92"/>
        <w:jc w:val="both"/>
        <w:rPr>
          <w:rFonts w:ascii="Times New Roman" w:hAnsi="Times New Roman"/>
          <w:sz w:val="23"/>
          <w:lang w:val="en-US" w:bidi="en-US"/>
        </w:rPr>
      </w:pPr>
      <w:r>
        <w:rPr>
          <w:rFonts w:ascii="ZWAdobeF" w:hAnsi="ZWAdobeF" w:cs="ZWAdobeF"/>
          <w:color w:val="auto"/>
          <w:sz w:val="2"/>
          <w:szCs w:val="2"/>
          <w:lang w:val="en-US" w:bidi="en-US"/>
        </w:rPr>
        <w:t>1177B</w:t>
      </w:r>
      <w:r w:rsidR="0049638A">
        <w:rPr>
          <w:rFonts w:ascii="ZWAdobeF" w:hAnsi="ZWAdobeF" w:cs="ZWAdobeF"/>
          <w:color w:val="auto"/>
          <w:sz w:val="2"/>
          <w:szCs w:val="2"/>
          <w:lang w:val="en-US" w:bidi="en-US"/>
        </w:rPr>
        <w:t>1177B</w:t>
      </w:r>
      <w:r w:rsidR="00D629FA">
        <w:rPr>
          <w:rFonts w:ascii="ZWAdobeF" w:hAnsi="ZWAdobeF" w:cs="ZWAdobeF"/>
          <w:color w:val="auto"/>
          <w:sz w:val="2"/>
          <w:szCs w:val="2"/>
          <w:lang w:val="en-US" w:bidi="en-US"/>
        </w:rPr>
        <w:t>1177B</w:t>
      </w:r>
      <w:r w:rsidR="006A2CBA" w:rsidRPr="006A2CBA">
        <w:rPr>
          <w:rFonts w:ascii="Times New Roman" w:hAnsi="Times New Roman"/>
          <w:sz w:val="23"/>
          <w:lang w:val="en-US" w:bidi="en-US"/>
        </w:rPr>
        <w:t>The settlement of a class action proceeding must be approved by a</w:t>
      </w:r>
      <w:r w:rsidR="006A2CBA" w:rsidRPr="006A2CBA">
        <w:rPr>
          <w:rFonts w:ascii="Times New Roman" w:hAnsi="Times New Roman"/>
          <w:spacing w:val="-5"/>
          <w:sz w:val="23"/>
          <w:lang w:val="en-US" w:bidi="en-US"/>
        </w:rPr>
        <w:t xml:space="preserve"> </w:t>
      </w:r>
      <w:r w:rsidR="006A2CBA" w:rsidRPr="006A2CBA">
        <w:rPr>
          <w:rFonts w:ascii="Times New Roman" w:hAnsi="Times New Roman"/>
          <w:sz w:val="23"/>
          <w:lang w:val="en-US" w:bidi="en-US"/>
        </w:rPr>
        <w:t>court.</w:t>
      </w:r>
    </w:p>
    <w:p w14:paraId="5F1648C8" w14:textId="24F70AFB" w:rsidR="006A2CBA" w:rsidRPr="006A2CBA" w:rsidRDefault="00BD5C95" w:rsidP="00B73434">
      <w:pPr>
        <w:widowControl w:val="0"/>
        <w:numPr>
          <w:ilvl w:val="0"/>
          <w:numId w:val="73"/>
        </w:numPr>
        <w:tabs>
          <w:tab w:val="left" w:pos="905"/>
        </w:tabs>
        <w:autoSpaceDE w:val="0"/>
        <w:autoSpaceDN w:val="0"/>
        <w:spacing w:before="91"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1178B</w:t>
      </w:r>
      <w:r w:rsidR="0049638A">
        <w:rPr>
          <w:rFonts w:ascii="ZWAdobeF" w:hAnsi="ZWAdobeF" w:cs="ZWAdobeF"/>
          <w:color w:val="auto"/>
          <w:sz w:val="2"/>
          <w:szCs w:val="2"/>
          <w:lang w:val="en-US" w:bidi="en-US"/>
        </w:rPr>
        <w:t>1178B</w:t>
      </w:r>
      <w:r w:rsidR="00D629FA">
        <w:rPr>
          <w:rFonts w:ascii="ZWAdobeF" w:hAnsi="ZWAdobeF" w:cs="ZWAdobeF"/>
          <w:color w:val="auto"/>
          <w:sz w:val="2"/>
          <w:szCs w:val="2"/>
          <w:lang w:val="en-US" w:bidi="en-US"/>
        </w:rPr>
        <w:t>1178B</w:t>
      </w:r>
      <w:r w:rsidR="006A2CBA" w:rsidRPr="006A2CBA">
        <w:rPr>
          <w:rFonts w:ascii="Times New Roman" w:hAnsi="Times New Roman"/>
          <w:sz w:val="23"/>
          <w:lang w:val="en-US" w:bidi="en-US"/>
        </w:rPr>
        <w:t>An application for approval of a settlement must be made jointly by the representative plaintiff and the</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defendant.</w:t>
      </w:r>
    </w:p>
    <w:p w14:paraId="74F30475" w14:textId="6E6B49B1" w:rsidR="006A2CBA" w:rsidRPr="006A2CBA" w:rsidRDefault="00BD5C95" w:rsidP="00B73434">
      <w:pPr>
        <w:widowControl w:val="0"/>
        <w:numPr>
          <w:ilvl w:val="0"/>
          <w:numId w:val="73"/>
        </w:numPr>
        <w:tabs>
          <w:tab w:val="left" w:pos="905"/>
        </w:tabs>
        <w:autoSpaceDE w:val="0"/>
        <w:autoSpaceDN w:val="0"/>
        <w:spacing w:before="8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1179B</w:t>
      </w:r>
      <w:r w:rsidR="0049638A">
        <w:rPr>
          <w:rFonts w:ascii="ZWAdobeF" w:hAnsi="ZWAdobeF" w:cs="ZWAdobeF"/>
          <w:color w:val="auto"/>
          <w:sz w:val="2"/>
          <w:szCs w:val="2"/>
          <w:lang w:val="en-US" w:bidi="en-US"/>
        </w:rPr>
        <w:t>1179B</w:t>
      </w:r>
      <w:r w:rsidR="00D629FA">
        <w:rPr>
          <w:rFonts w:ascii="ZWAdobeF" w:hAnsi="ZWAdobeF" w:cs="ZWAdobeF"/>
          <w:color w:val="auto"/>
          <w:sz w:val="2"/>
          <w:szCs w:val="2"/>
          <w:lang w:val="en-US" w:bidi="en-US"/>
        </w:rPr>
        <w:t>1179B</w:t>
      </w:r>
      <w:r w:rsidR="006A2CBA" w:rsidRPr="006A2CBA">
        <w:rPr>
          <w:rFonts w:ascii="Times New Roman" w:hAnsi="Times New Roman"/>
          <w:sz w:val="23"/>
          <w:lang w:val="en-US" w:bidi="en-US"/>
        </w:rPr>
        <w:t>For a proceeding with more than 1 defendant, if not all the defendants will be covered by the settlement, the application must be made jointly by all representative plaintiffs whose claims will be covered by the settlement and all relevant defendants.</w:t>
      </w:r>
    </w:p>
    <w:p w14:paraId="29FEFA9C" w14:textId="23221ACF" w:rsidR="006A2CBA" w:rsidRPr="006A2CBA" w:rsidRDefault="00BD5C95" w:rsidP="00B73434">
      <w:pPr>
        <w:widowControl w:val="0"/>
        <w:numPr>
          <w:ilvl w:val="0"/>
          <w:numId w:val="73"/>
        </w:numPr>
        <w:tabs>
          <w:tab w:val="left" w:pos="905"/>
        </w:tabs>
        <w:autoSpaceDE w:val="0"/>
        <w:autoSpaceDN w:val="0"/>
        <w:spacing w:before="84"/>
        <w:ind w:hanging="601"/>
        <w:jc w:val="both"/>
        <w:rPr>
          <w:rFonts w:ascii="Times New Roman" w:hAnsi="Times New Roman"/>
          <w:sz w:val="23"/>
          <w:lang w:val="en-US" w:bidi="en-US"/>
        </w:rPr>
      </w:pPr>
      <w:r>
        <w:rPr>
          <w:rFonts w:ascii="ZWAdobeF" w:hAnsi="ZWAdobeF" w:cs="ZWAdobeF"/>
          <w:color w:val="auto"/>
          <w:sz w:val="2"/>
          <w:szCs w:val="2"/>
          <w:lang w:val="en-US" w:bidi="en-US"/>
        </w:rPr>
        <w:t>1180B</w:t>
      </w:r>
      <w:r w:rsidR="0049638A">
        <w:rPr>
          <w:rFonts w:ascii="ZWAdobeF" w:hAnsi="ZWAdobeF" w:cs="ZWAdobeF"/>
          <w:color w:val="auto"/>
          <w:sz w:val="2"/>
          <w:szCs w:val="2"/>
          <w:lang w:val="en-US" w:bidi="en-US"/>
        </w:rPr>
        <w:t>1180B</w:t>
      </w:r>
      <w:r w:rsidR="00D629FA">
        <w:rPr>
          <w:rFonts w:ascii="ZWAdobeF" w:hAnsi="ZWAdobeF" w:cs="ZWAdobeF"/>
          <w:color w:val="auto"/>
          <w:sz w:val="2"/>
          <w:szCs w:val="2"/>
          <w:lang w:val="en-US" w:bidi="en-US"/>
        </w:rPr>
        <w:t>1180B</w:t>
      </w:r>
      <w:r w:rsidR="006A2CBA" w:rsidRPr="006A2CBA">
        <w:rPr>
          <w:rFonts w:ascii="Times New Roman" w:hAnsi="Times New Roman"/>
          <w:sz w:val="23"/>
          <w:lang w:val="en-US" w:bidi="en-US"/>
        </w:rPr>
        <w:t>Before considering whether to approve the settlement, the court</w:t>
      </w:r>
      <w:r w:rsidR="006A2CBA" w:rsidRPr="006A2CBA">
        <w:rPr>
          <w:rFonts w:ascii="Times New Roman" w:hAnsi="Times New Roman"/>
          <w:spacing w:val="-8"/>
          <w:sz w:val="23"/>
          <w:lang w:val="en-US" w:bidi="en-US"/>
        </w:rPr>
        <w:t xml:space="preserve"> </w:t>
      </w:r>
      <w:r w:rsidR="006A2CBA" w:rsidRPr="006A2CBA">
        <w:rPr>
          <w:rFonts w:ascii="Times New Roman" w:hAnsi="Times New Roman"/>
          <w:sz w:val="23"/>
          <w:lang w:val="en-US" w:bidi="en-US"/>
        </w:rPr>
        <w:t>must—</w:t>
      </w:r>
    </w:p>
    <w:p w14:paraId="35E1011F" w14:textId="7708AEAD" w:rsidR="006A2CBA" w:rsidRPr="006A2CBA" w:rsidRDefault="00BD5C95" w:rsidP="00B73434">
      <w:pPr>
        <w:widowControl w:val="0"/>
        <w:numPr>
          <w:ilvl w:val="1"/>
          <w:numId w:val="73"/>
        </w:numPr>
        <w:tabs>
          <w:tab w:val="left" w:pos="1505"/>
        </w:tabs>
        <w:autoSpaceDE w:val="0"/>
        <w:autoSpaceDN w:val="0"/>
        <w:spacing w:before="91" w:line="249" w:lineRule="auto"/>
        <w:ind w:right="298" w:hanging="601"/>
        <w:jc w:val="both"/>
        <w:rPr>
          <w:rFonts w:ascii="Times New Roman" w:hAnsi="Times New Roman"/>
          <w:sz w:val="23"/>
          <w:lang w:val="en-US" w:bidi="en-US"/>
        </w:rPr>
      </w:pPr>
      <w:r>
        <w:rPr>
          <w:rFonts w:ascii="ZWAdobeF" w:hAnsi="ZWAdobeF" w:cs="ZWAdobeF"/>
          <w:color w:val="auto"/>
          <w:sz w:val="2"/>
          <w:szCs w:val="2"/>
          <w:lang w:val="en-US" w:bidi="en-US"/>
        </w:rPr>
        <w:t>1181B</w:t>
      </w:r>
      <w:r w:rsidR="0049638A">
        <w:rPr>
          <w:rFonts w:ascii="ZWAdobeF" w:hAnsi="ZWAdobeF" w:cs="ZWAdobeF"/>
          <w:color w:val="auto"/>
          <w:sz w:val="2"/>
          <w:szCs w:val="2"/>
          <w:lang w:val="en-US" w:bidi="en-US"/>
        </w:rPr>
        <w:t>1181B</w:t>
      </w:r>
      <w:r w:rsidR="00D629FA">
        <w:rPr>
          <w:rFonts w:ascii="ZWAdobeF" w:hAnsi="ZWAdobeF" w:cs="ZWAdobeF"/>
          <w:color w:val="auto"/>
          <w:sz w:val="2"/>
          <w:szCs w:val="2"/>
          <w:lang w:val="en-US" w:bidi="en-US"/>
        </w:rPr>
        <w:t>1181B</w:t>
      </w:r>
      <w:r w:rsidR="006A2CBA" w:rsidRPr="006A2CBA">
        <w:rPr>
          <w:rFonts w:ascii="Times New Roman" w:hAnsi="Times New Roman"/>
          <w:sz w:val="23"/>
          <w:lang w:val="en-US" w:bidi="en-US"/>
        </w:rPr>
        <w:t>approve a notice to class members informing them of the proposed settlement;</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and</w:t>
      </w:r>
    </w:p>
    <w:p w14:paraId="13F4E2EC" w14:textId="118D5BD5" w:rsidR="006A2CBA" w:rsidRPr="006A2CBA" w:rsidRDefault="00BD5C95" w:rsidP="00B73434">
      <w:pPr>
        <w:widowControl w:val="0"/>
        <w:numPr>
          <w:ilvl w:val="1"/>
          <w:numId w:val="73"/>
        </w:numPr>
        <w:tabs>
          <w:tab w:val="left" w:pos="1505"/>
        </w:tabs>
        <w:autoSpaceDE w:val="0"/>
        <w:autoSpaceDN w:val="0"/>
        <w:spacing w:before="82"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1182B</w:t>
      </w:r>
      <w:r w:rsidR="0049638A">
        <w:rPr>
          <w:rFonts w:ascii="ZWAdobeF" w:hAnsi="ZWAdobeF" w:cs="ZWAdobeF"/>
          <w:color w:val="auto"/>
          <w:sz w:val="2"/>
          <w:szCs w:val="2"/>
          <w:lang w:val="en-US" w:bidi="en-US"/>
        </w:rPr>
        <w:t>1182B</w:t>
      </w:r>
      <w:r w:rsidR="00D629FA">
        <w:rPr>
          <w:rFonts w:ascii="ZWAdobeF" w:hAnsi="ZWAdobeF" w:cs="ZWAdobeF"/>
          <w:color w:val="auto"/>
          <w:sz w:val="2"/>
          <w:szCs w:val="2"/>
          <w:lang w:val="en-US" w:bidi="en-US"/>
        </w:rPr>
        <w:t>1182B</w:t>
      </w:r>
      <w:r w:rsidR="006A2CBA" w:rsidRPr="006A2CBA">
        <w:rPr>
          <w:rFonts w:ascii="Times New Roman" w:hAnsi="Times New Roman"/>
          <w:sz w:val="23"/>
          <w:lang w:val="en-US" w:bidi="en-US"/>
        </w:rPr>
        <w:t>set a date by which any objections to the settlement must be lodged by class members.</w:t>
      </w:r>
    </w:p>
    <w:p w14:paraId="34B23759" w14:textId="1B39C027" w:rsidR="006A2CBA" w:rsidRPr="006A2CBA" w:rsidRDefault="00BD5C95" w:rsidP="00B73434">
      <w:pPr>
        <w:widowControl w:val="0"/>
        <w:numPr>
          <w:ilvl w:val="0"/>
          <w:numId w:val="73"/>
        </w:numPr>
        <w:tabs>
          <w:tab w:val="left" w:pos="905"/>
        </w:tabs>
        <w:autoSpaceDE w:val="0"/>
        <w:autoSpaceDN w:val="0"/>
        <w:spacing w:before="82" w:line="249" w:lineRule="auto"/>
        <w:ind w:right="299" w:hanging="601"/>
        <w:jc w:val="both"/>
        <w:rPr>
          <w:rFonts w:ascii="Times New Roman" w:hAnsi="Times New Roman"/>
          <w:sz w:val="23"/>
          <w:lang w:val="en-US" w:bidi="en-US"/>
        </w:rPr>
      </w:pPr>
      <w:r>
        <w:rPr>
          <w:rFonts w:ascii="ZWAdobeF" w:hAnsi="ZWAdobeF" w:cs="ZWAdobeF"/>
          <w:color w:val="auto"/>
          <w:sz w:val="2"/>
          <w:szCs w:val="2"/>
          <w:lang w:val="en-US" w:bidi="en-US"/>
        </w:rPr>
        <w:t>1183B</w:t>
      </w:r>
      <w:r w:rsidR="0049638A">
        <w:rPr>
          <w:rFonts w:ascii="ZWAdobeF" w:hAnsi="ZWAdobeF" w:cs="ZWAdobeF"/>
          <w:color w:val="auto"/>
          <w:sz w:val="2"/>
          <w:szCs w:val="2"/>
          <w:lang w:val="en-US" w:bidi="en-US"/>
        </w:rPr>
        <w:t>1183B</w:t>
      </w:r>
      <w:r w:rsidR="00D629FA">
        <w:rPr>
          <w:rFonts w:ascii="ZWAdobeF" w:hAnsi="ZWAdobeF" w:cs="ZWAdobeF"/>
          <w:color w:val="auto"/>
          <w:sz w:val="2"/>
          <w:szCs w:val="2"/>
          <w:lang w:val="en-US" w:bidi="en-US"/>
        </w:rPr>
        <w:t>1183B</w:t>
      </w:r>
      <w:r w:rsidR="006A2CBA" w:rsidRPr="006A2CBA">
        <w:rPr>
          <w:rFonts w:ascii="Times New Roman" w:hAnsi="Times New Roman"/>
          <w:sz w:val="23"/>
          <w:lang w:val="en-US" w:bidi="en-US"/>
        </w:rPr>
        <w:t>The court must not approve the settlement unless it is satisfied that it is fair, reasonable, and in the interests of the class as a whole after taking into account—</w:t>
      </w:r>
    </w:p>
    <w:p w14:paraId="34023357" w14:textId="1A787C00" w:rsidR="006A2CBA" w:rsidRPr="006A2CBA" w:rsidRDefault="00BD5C95" w:rsidP="00B73434">
      <w:pPr>
        <w:widowControl w:val="0"/>
        <w:numPr>
          <w:ilvl w:val="1"/>
          <w:numId w:val="73"/>
        </w:numPr>
        <w:tabs>
          <w:tab w:val="left" w:pos="1505"/>
        </w:tabs>
        <w:autoSpaceDE w:val="0"/>
        <w:autoSpaceDN w:val="0"/>
        <w:spacing w:before="83"/>
        <w:ind w:hanging="601"/>
        <w:jc w:val="both"/>
        <w:rPr>
          <w:rFonts w:ascii="Times New Roman" w:hAnsi="Times New Roman"/>
          <w:sz w:val="23"/>
          <w:lang w:val="en-US" w:bidi="en-US"/>
        </w:rPr>
      </w:pPr>
      <w:r>
        <w:rPr>
          <w:rFonts w:ascii="ZWAdobeF" w:hAnsi="ZWAdobeF" w:cs="ZWAdobeF"/>
          <w:color w:val="auto"/>
          <w:sz w:val="2"/>
          <w:szCs w:val="2"/>
          <w:lang w:val="en-US" w:bidi="en-US"/>
        </w:rPr>
        <w:t>1184B</w:t>
      </w:r>
      <w:r w:rsidR="0049638A">
        <w:rPr>
          <w:rFonts w:ascii="ZWAdobeF" w:hAnsi="ZWAdobeF" w:cs="ZWAdobeF"/>
          <w:color w:val="auto"/>
          <w:sz w:val="2"/>
          <w:szCs w:val="2"/>
          <w:lang w:val="en-US" w:bidi="en-US"/>
        </w:rPr>
        <w:t>1184B</w:t>
      </w:r>
      <w:r w:rsidR="00D629FA">
        <w:rPr>
          <w:rFonts w:ascii="ZWAdobeF" w:hAnsi="ZWAdobeF" w:cs="ZWAdobeF"/>
          <w:color w:val="auto"/>
          <w:sz w:val="2"/>
          <w:szCs w:val="2"/>
          <w:lang w:val="en-US" w:bidi="en-US"/>
        </w:rPr>
        <w:t>1184B</w:t>
      </w:r>
      <w:r w:rsidR="006A2CBA" w:rsidRPr="006A2CBA">
        <w:rPr>
          <w:rFonts w:ascii="Times New Roman" w:hAnsi="Times New Roman"/>
          <w:sz w:val="23"/>
          <w:lang w:val="en-US" w:bidi="en-US"/>
        </w:rPr>
        <w:t>the terms and conditions of the settlement,</w:t>
      </w:r>
      <w:r w:rsidR="006A2CBA" w:rsidRPr="006A2CBA">
        <w:rPr>
          <w:rFonts w:ascii="Times New Roman" w:hAnsi="Times New Roman"/>
          <w:spacing w:val="-3"/>
          <w:sz w:val="23"/>
          <w:lang w:val="en-US" w:bidi="en-US"/>
        </w:rPr>
        <w:t xml:space="preserve"> </w:t>
      </w:r>
      <w:r w:rsidR="006A2CBA" w:rsidRPr="006A2CBA">
        <w:rPr>
          <w:rFonts w:ascii="Times New Roman" w:hAnsi="Times New Roman"/>
          <w:sz w:val="23"/>
          <w:lang w:val="en-US" w:bidi="en-US"/>
        </w:rPr>
        <w:t>including—</w:t>
      </w:r>
    </w:p>
    <w:p w14:paraId="53785A8F" w14:textId="0F7BC670" w:rsidR="006A2CBA" w:rsidRPr="006A2CBA" w:rsidRDefault="00BD5C95" w:rsidP="00B73434">
      <w:pPr>
        <w:widowControl w:val="0"/>
        <w:numPr>
          <w:ilvl w:val="2"/>
          <w:numId w:val="73"/>
        </w:numPr>
        <w:tabs>
          <w:tab w:val="left" w:pos="2105"/>
        </w:tabs>
        <w:autoSpaceDE w:val="0"/>
        <w:autoSpaceDN w:val="0"/>
        <w:spacing w:before="91"/>
        <w:ind w:hanging="601"/>
        <w:jc w:val="both"/>
        <w:rPr>
          <w:rFonts w:ascii="Times New Roman" w:hAnsi="Times New Roman"/>
          <w:sz w:val="23"/>
          <w:lang w:val="en-US" w:bidi="en-US"/>
        </w:rPr>
      </w:pPr>
      <w:r>
        <w:rPr>
          <w:rFonts w:ascii="ZWAdobeF" w:hAnsi="ZWAdobeF" w:cs="ZWAdobeF"/>
          <w:color w:val="auto"/>
          <w:sz w:val="2"/>
          <w:szCs w:val="2"/>
          <w:lang w:val="en-US" w:bidi="en-US"/>
        </w:rPr>
        <w:t>1185B</w:t>
      </w:r>
      <w:r w:rsidR="0049638A">
        <w:rPr>
          <w:rFonts w:ascii="ZWAdobeF" w:hAnsi="ZWAdobeF" w:cs="ZWAdobeF"/>
          <w:color w:val="auto"/>
          <w:sz w:val="2"/>
          <w:szCs w:val="2"/>
          <w:lang w:val="en-US" w:bidi="en-US"/>
        </w:rPr>
        <w:t>1185B</w:t>
      </w:r>
      <w:r w:rsidR="00D629FA">
        <w:rPr>
          <w:rFonts w:ascii="ZWAdobeF" w:hAnsi="ZWAdobeF" w:cs="ZWAdobeF"/>
          <w:color w:val="auto"/>
          <w:sz w:val="2"/>
          <w:szCs w:val="2"/>
          <w:lang w:val="en-US" w:bidi="en-US"/>
        </w:rPr>
        <w:t>1185B</w:t>
      </w:r>
      <w:r w:rsidR="006A2CBA" w:rsidRPr="006A2CBA">
        <w:rPr>
          <w:rFonts w:ascii="Times New Roman" w:hAnsi="Times New Roman"/>
          <w:sz w:val="23"/>
          <w:lang w:val="en-US" w:bidi="en-US"/>
        </w:rPr>
        <w:t>any relief that will be provided to class members;</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and</w:t>
      </w:r>
    </w:p>
    <w:p w14:paraId="4B370481" w14:textId="70AF4876" w:rsidR="006A2CBA" w:rsidRPr="006A2CBA" w:rsidRDefault="00BD5C95" w:rsidP="00B73434">
      <w:pPr>
        <w:widowControl w:val="0"/>
        <w:numPr>
          <w:ilvl w:val="2"/>
          <w:numId w:val="73"/>
        </w:numPr>
        <w:tabs>
          <w:tab w:val="left" w:pos="2105"/>
        </w:tabs>
        <w:autoSpaceDE w:val="0"/>
        <w:autoSpaceDN w:val="0"/>
        <w:spacing w:before="92" w:line="249" w:lineRule="auto"/>
        <w:ind w:right="299" w:hanging="601"/>
        <w:jc w:val="both"/>
        <w:rPr>
          <w:rFonts w:ascii="Times New Roman" w:hAnsi="Times New Roman"/>
          <w:sz w:val="23"/>
          <w:lang w:val="en-US" w:bidi="en-US"/>
        </w:rPr>
      </w:pPr>
      <w:r>
        <w:rPr>
          <w:rFonts w:ascii="ZWAdobeF" w:hAnsi="ZWAdobeF" w:cs="ZWAdobeF"/>
          <w:color w:val="auto"/>
          <w:sz w:val="2"/>
          <w:szCs w:val="2"/>
          <w:lang w:val="en-US" w:bidi="en-US"/>
        </w:rPr>
        <w:t>1186B</w:t>
      </w:r>
      <w:r w:rsidR="0049638A">
        <w:rPr>
          <w:rFonts w:ascii="ZWAdobeF" w:hAnsi="ZWAdobeF" w:cs="ZWAdobeF"/>
          <w:color w:val="auto"/>
          <w:sz w:val="2"/>
          <w:szCs w:val="2"/>
          <w:lang w:val="en-US" w:bidi="en-US"/>
        </w:rPr>
        <w:t>1186B</w:t>
      </w:r>
      <w:r w:rsidR="00D629FA">
        <w:rPr>
          <w:rFonts w:ascii="ZWAdobeF" w:hAnsi="ZWAdobeF" w:cs="ZWAdobeF"/>
          <w:color w:val="auto"/>
          <w:sz w:val="2"/>
          <w:szCs w:val="2"/>
          <w:lang w:val="en-US" w:bidi="en-US"/>
        </w:rPr>
        <w:t>1186B</w:t>
      </w:r>
      <w:r w:rsidR="006A2CBA" w:rsidRPr="006A2CBA">
        <w:rPr>
          <w:rFonts w:ascii="Times New Roman" w:hAnsi="Times New Roman"/>
          <w:sz w:val="23"/>
          <w:lang w:val="en-US" w:bidi="en-US"/>
        </w:rPr>
        <w:t>whether class members are treated equitably in relation to each other; and</w:t>
      </w:r>
    </w:p>
    <w:p w14:paraId="18B49990" w14:textId="4310A5A3" w:rsidR="006A2CBA" w:rsidRPr="006A2CBA" w:rsidRDefault="00BD5C95" w:rsidP="00B73434">
      <w:pPr>
        <w:widowControl w:val="0"/>
        <w:numPr>
          <w:ilvl w:val="2"/>
          <w:numId w:val="73"/>
        </w:numPr>
        <w:tabs>
          <w:tab w:val="left" w:pos="2105"/>
        </w:tabs>
        <w:autoSpaceDE w:val="0"/>
        <w:autoSpaceDN w:val="0"/>
        <w:spacing w:before="82"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1187B</w:t>
      </w:r>
      <w:r w:rsidR="0049638A">
        <w:rPr>
          <w:rFonts w:ascii="ZWAdobeF" w:hAnsi="ZWAdobeF" w:cs="ZWAdobeF"/>
          <w:color w:val="auto"/>
          <w:sz w:val="2"/>
          <w:szCs w:val="2"/>
          <w:lang w:val="en-US" w:bidi="en-US"/>
        </w:rPr>
        <w:t>1187B</w:t>
      </w:r>
      <w:r w:rsidR="00D629FA">
        <w:rPr>
          <w:rFonts w:ascii="ZWAdobeF" w:hAnsi="ZWAdobeF" w:cs="ZWAdobeF"/>
          <w:color w:val="auto"/>
          <w:sz w:val="2"/>
          <w:szCs w:val="2"/>
          <w:lang w:val="en-US" w:bidi="en-US"/>
        </w:rPr>
        <w:t>1187B</w:t>
      </w:r>
      <w:r w:rsidR="006A2CBA" w:rsidRPr="006A2CBA">
        <w:rPr>
          <w:rFonts w:ascii="Times New Roman" w:hAnsi="Times New Roman"/>
          <w:sz w:val="23"/>
          <w:lang w:val="en-US" w:bidi="en-US"/>
        </w:rPr>
        <w:t>the proposed method of distributing any settlement amounts to class members; and</w:t>
      </w:r>
    </w:p>
    <w:p w14:paraId="11B5BA62" w14:textId="374DE9D7" w:rsidR="006A2CBA" w:rsidRPr="006A2CBA" w:rsidRDefault="00BD5C95" w:rsidP="00B73434">
      <w:pPr>
        <w:widowControl w:val="0"/>
        <w:numPr>
          <w:ilvl w:val="2"/>
          <w:numId w:val="73"/>
        </w:numPr>
        <w:tabs>
          <w:tab w:val="left" w:pos="2104"/>
          <w:tab w:val="left" w:pos="2105"/>
        </w:tabs>
        <w:autoSpaceDE w:val="0"/>
        <w:autoSpaceDN w:val="0"/>
        <w:spacing w:before="90" w:line="249" w:lineRule="auto"/>
        <w:ind w:right="302" w:hanging="601"/>
        <w:rPr>
          <w:rFonts w:ascii="Times New Roman" w:hAnsi="Times New Roman"/>
          <w:sz w:val="23"/>
          <w:lang w:val="en-US" w:bidi="en-US"/>
        </w:rPr>
      </w:pPr>
      <w:r>
        <w:rPr>
          <w:rFonts w:ascii="ZWAdobeF" w:hAnsi="ZWAdobeF" w:cs="ZWAdobeF"/>
          <w:color w:val="auto"/>
          <w:sz w:val="2"/>
          <w:szCs w:val="2"/>
          <w:lang w:val="en-US" w:bidi="en-US"/>
        </w:rPr>
        <w:t>1188B</w:t>
      </w:r>
      <w:r w:rsidR="0049638A">
        <w:rPr>
          <w:rFonts w:ascii="ZWAdobeF" w:hAnsi="ZWAdobeF" w:cs="ZWAdobeF"/>
          <w:color w:val="auto"/>
          <w:sz w:val="2"/>
          <w:szCs w:val="2"/>
          <w:lang w:val="en-US" w:bidi="en-US"/>
        </w:rPr>
        <w:t>1188B</w:t>
      </w:r>
      <w:r w:rsidR="00D629FA">
        <w:rPr>
          <w:rFonts w:ascii="ZWAdobeF" w:hAnsi="ZWAdobeF" w:cs="ZWAdobeF"/>
          <w:color w:val="auto"/>
          <w:sz w:val="2"/>
          <w:szCs w:val="2"/>
          <w:lang w:val="en-US" w:bidi="en-US"/>
        </w:rPr>
        <w:t>1188B</w:t>
      </w:r>
      <w:r w:rsidR="006A2CBA" w:rsidRPr="006A2CBA">
        <w:rPr>
          <w:rFonts w:ascii="Times New Roman" w:hAnsi="Times New Roman"/>
          <w:sz w:val="23"/>
          <w:lang w:val="en-US" w:bidi="en-US"/>
        </w:rPr>
        <w:t>the proposed method of dealing with any unclaimed settlement amounts; and</w:t>
      </w:r>
    </w:p>
    <w:p w14:paraId="03BBF83A" w14:textId="03177E1E" w:rsidR="006A2CBA" w:rsidRPr="006A2CBA" w:rsidRDefault="00BD5C95" w:rsidP="00B73434">
      <w:pPr>
        <w:widowControl w:val="0"/>
        <w:numPr>
          <w:ilvl w:val="1"/>
          <w:numId w:val="73"/>
        </w:numPr>
        <w:tabs>
          <w:tab w:val="left" w:pos="1504"/>
          <w:tab w:val="left" w:pos="1505"/>
        </w:tabs>
        <w:autoSpaceDE w:val="0"/>
        <w:autoSpaceDN w:val="0"/>
        <w:spacing w:before="82" w:line="249" w:lineRule="auto"/>
        <w:ind w:right="300"/>
        <w:rPr>
          <w:rFonts w:ascii="Times New Roman" w:hAnsi="Times New Roman"/>
          <w:sz w:val="23"/>
          <w:lang w:val="en-US" w:bidi="en-US"/>
        </w:rPr>
      </w:pPr>
      <w:r>
        <w:rPr>
          <w:rFonts w:ascii="ZWAdobeF" w:hAnsi="ZWAdobeF" w:cs="ZWAdobeF"/>
          <w:color w:val="auto"/>
          <w:sz w:val="2"/>
          <w:szCs w:val="2"/>
          <w:lang w:val="en-US" w:bidi="en-US"/>
        </w:rPr>
        <w:t>1189B</w:t>
      </w:r>
      <w:r w:rsidR="0049638A">
        <w:rPr>
          <w:rFonts w:ascii="ZWAdobeF" w:hAnsi="ZWAdobeF" w:cs="ZWAdobeF"/>
          <w:color w:val="auto"/>
          <w:sz w:val="2"/>
          <w:szCs w:val="2"/>
          <w:lang w:val="en-US" w:bidi="en-US"/>
        </w:rPr>
        <w:t>1189B</w:t>
      </w:r>
      <w:r w:rsidR="00D629FA">
        <w:rPr>
          <w:rFonts w:ascii="ZWAdobeF" w:hAnsi="ZWAdobeF" w:cs="ZWAdobeF"/>
          <w:color w:val="auto"/>
          <w:sz w:val="2"/>
          <w:szCs w:val="2"/>
          <w:lang w:val="en-US" w:bidi="en-US"/>
        </w:rPr>
        <w:t>1189B</w:t>
      </w:r>
      <w:r w:rsidR="006A2CBA" w:rsidRPr="006A2CBA">
        <w:rPr>
          <w:rFonts w:ascii="Times New Roman" w:hAnsi="Times New Roman"/>
          <w:sz w:val="23"/>
          <w:lang w:val="en-US" w:bidi="en-US"/>
        </w:rPr>
        <w:t xml:space="preserve">any legal fees and litigation funding fees that may be deducted from </w:t>
      </w:r>
      <w:r w:rsidR="006A2CBA" w:rsidRPr="006A2CBA">
        <w:rPr>
          <w:rFonts w:ascii="Times New Roman" w:hAnsi="Times New Roman"/>
          <w:spacing w:val="-5"/>
          <w:sz w:val="23"/>
          <w:lang w:val="en-US" w:bidi="en-US"/>
        </w:rPr>
        <w:t xml:space="preserve">the </w:t>
      </w:r>
      <w:r w:rsidR="006A2CBA" w:rsidRPr="006A2CBA">
        <w:rPr>
          <w:rFonts w:ascii="Times New Roman" w:hAnsi="Times New Roman"/>
          <w:sz w:val="23"/>
          <w:lang w:val="en-US" w:bidi="en-US"/>
        </w:rPr>
        <w:t>relief payable to class members; and</w:t>
      </w:r>
    </w:p>
    <w:p w14:paraId="5D2E8C81" w14:textId="2898A5A5" w:rsidR="006A2CBA" w:rsidRPr="006A2CBA" w:rsidRDefault="00BD5C95" w:rsidP="00B73434">
      <w:pPr>
        <w:widowControl w:val="0"/>
        <w:numPr>
          <w:ilvl w:val="1"/>
          <w:numId w:val="73"/>
        </w:numPr>
        <w:tabs>
          <w:tab w:val="left" w:pos="1504"/>
          <w:tab w:val="left" w:pos="1505"/>
        </w:tabs>
        <w:autoSpaceDE w:val="0"/>
        <w:autoSpaceDN w:val="0"/>
        <w:spacing w:before="82" w:line="249" w:lineRule="auto"/>
        <w:ind w:right="299"/>
        <w:rPr>
          <w:rFonts w:ascii="Times New Roman" w:hAnsi="Times New Roman"/>
          <w:sz w:val="23"/>
          <w:lang w:val="en-US" w:bidi="en-US"/>
        </w:rPr>
      </w:pPr>
      <w:r>
        <w:rPr>
          <w:rFonts w:ascii="ZWAdobeF" w:hAnsi="ZWAdobeF" w:cs="ZWAdobeF"/>
          <w:color w:val="auto"/>
          <w:sz w:val="2"/>
          <w:szCs w:val="2"/>
          <w:lang w:val="en-US" w:bidi="en-US"/>
        </w:rPr>
        <w:t>1190B</w:t>
      </w:r>
      <w:r w:rsidR="0049638A">
        <w:rPr>
          <w:rFonts w:ascii="ZWAdobeF" w:hAnsi="ZWAdobeF" w:cs="ZWAdobeF"/>
          <w:color w:val="auto"/>
          <w:sz w:val="2"/>
          <w:szCs w:val="2"/>
          <w:lang w:val="en-US" w:bidi="en-US"/>
        </w:rPr>
        <w:t>1190B</w:t>
      </w:r>
      <w:r w:rsidR="00D629FA">
        <w:rPr>
          <w:rFonts w:ascii="ZWAdobeF" w:hAnsi="ZWAdobeF" w:cs="ZWAdobeF"/>
          <w:color w:val="auto"/>
          <w:sz w:val="2"/>
          <w:szCs w:val="2"/>
          <w:lang w:val="en-US" w:bidi="en-US"/>
        </w:rPr>
        <w:t>1190B</w:t>
      </w:r>
      <w:r w:rsidR="006A2CBA" w:rsidRPr="006A2CBA">
        <w:rPr>
          <w:rFonts w:ascii="Times New Roman" w:hAnsi="Times New Roman"/>
          <w:sz w:val="23"/>
          <w:lang w:val="en-US" w:bidi="en-US"/>
        </w:rPr>
        <w:t>any information that is readily available to the court about the potential risks, costs, and benefits of continuing with the proceeding;</w:t>
      </w:r>
      <w:r w:rsidR="006A2CBA" w:rsidRPr="006A2CBA">
        <w:rPr>
          <w:rFonts w:ascii="Times New Roman" w:hAnsi="Times New Roman"/>
          <w:spacing w:val="-3"/>
          <w:sz w:val="23"/>
          <w:lang w:val="en-US" w:bidi="en-US"/>
        </w:rPr>
        <w:t xml:space="preserve"> </w:t>
      </w:r>
      <w:r w:rsidR="006A2CBA" w:rsidRPr="006A2CBA">
        <w:rPr>
          <w:rFonts w:ascii="Times New Roman" w:hAnsi="Times New Roman"/>
          <w:sz w:val="23"/>
          <w:lang w:val="en-US" w:bidi="en-US"/>
        </w:rPr>
        <w:t>and</w:t>
      </w:r>
    </w:p>
    <w:p w14:paraId="5DD11CFC" w14:textId="4F0FB4D1" w:rsidR="006A2CBA" w:rsidRPr="006A2CBA" w:rsidRDefault="00BD5C95" w:rsidP="00B73434">
      <w:pPr>
        <w:widowControl w:val="0"/>
        <w:numPr>
          <w:ilvl w:val="1"/>
          <w:numId w:val="73"/>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1191B</w:t>
      </w:r>
      <w:r w:rsidR="0049638A">
        <w:rPr>
          <w:rFonts w:ascii="ZWAdobeF" w:hAnsi="ZWAdobeF" w:cs="ZWAdobeF"/>
          <w:color w:val="auto"/>
          <w:sz w:val="2"/>
          <w:szCs w:val="2"/>
          <w:lang w:val="en-US" w:bidi="en-US"/>
        </w:rPr>
        <w:t>1191B</w:t>
      </w:r>
      <w:r w:rsidR="00D629FA">
        <w:rPr>
          <w:rFonts w:ascii="ZWAdobeF" w:hAnsi="ZWAdobeF" w:cs="ZWAdobeF"/>
          <w:color w:val="auto"/>
          <w:sz w:val="2"/>
          <w:szCs w:val="2"/>
          <w:lang w:val="en-US" w:bidi="en-US"/>
        </w:rPr>
        <w:t>1191B</w:t>
      </w:r>
      <w:r w:rsidR="006A2CBA" w:rsidRPr="006A2CBA">
        <w:rPr>
          <w:rFonts w:ascii="Times New Roman" w:hAnsi="Times New Roman"/>
          <w:sz w:val="23"/>
          <w:lang w:val="en-US" w:bidi="en-US"/>
        </w:rPr>
        <w:t>any views of class members; and</w:t>
      </w:r>
    </w:p>
    <w:p w14:paraId="3A51CD82" w14:textId="5631C998" w:rsidR="006A2CBA" w:rsidRPr="006A2CBA" w:rsidRDefault="00BD5C95" w:rsidP="00B73434">
      <w:pPr>
        <w:widowControl w:val="0"/>
        <w:numPr>
          <w:ilvl w:val="1"/>
          <w:numId w:val="73"/>
        </w:numPr>
        <w:tabs>
          <w:tab w:val="left" w:pos="1504"/>
          <w:tab w:val="left" w:pos="1505"/>
        </w:tabs>
        <w:autoSpaceDE w:val="0"/>
        <w:autoSpaceDN w:val="0"/>
        <w:spacing w:before="91" w:line="249" w:lineRule="auto"/>
        <w:ind w:right="302"/>
        <w:rPr>
          <w:rFonts w:ascii="Times New Roman" w:hAnsi="Times New Roman"/>
          <w:sz w:val="23"/>
          <w:lang w:val="en-US" w:bidi="en-US"/>
        </w:rPr>
      </w:pPr>
      <w:r>
        <w:rPr>
          <w:rFonts w:ascii="ZWAdobeF" w:hAnsi="ZWAdobeF" w:cs="ZWAdobeF"/>
          <w:color w:val="auto"/>
          <w:sz w:val="2"/>
          <w:szCs w:val="2"/>
          <w:lang w:val="en-US" w:bidi="en-US"/>
        </w:rPr>
        <w:t>1192B</w:t>
      </w:r>
      <w:r w:rsidR="0049638A">
        <w:rPr>
          <w:rFonts w:ascii="ZWAdobeF" w:hAnsi="ZWAdobeF" w:cs="ZWAdobeF"/>
          <w:color w:val="auto"/>
          <w:sz w:val="2"/>
          <w:szCs w:val="2"/>
          <w:lang w:val="en-US" w:bidi="en-US"/>
        </w:rPr>
        <w:t>1192B</w:t>
      </w:r>
      <w:r w:rsidR="00D629FA">
        <w:rPr>
          <w:rFonts w:ascii="ZWAdobeF" w:hAnsi="ZWAdobeF" w:cs="ZWAdobeF"/>
          <w:color w:val="auto"/>
          <w:sz w:val="2"/>
          <w:szCs w:val="2"/>
          <w:lang w:val="en-US" w:bidi="en-US"/>
        </w:rPr>
        <w:t>1192B</w:t>
      </w:r>
      <w:r w:rsidR="006A2CBA" w:rsidRPr="006A2CBA">
        <w:rPr>
          <w:rFonts w:ascii="Times New Roman" w:hAnsi="Times New Roman"/>
          <w:sz w:val="23"/>
          <w:lang w:val="en-US" w:bidi="en-US"/>
        </w:rPr>
        <w:t xml:space="preserve">the process by which the settlement was reached, including whether any </w:t>
      </w:r>
      <w:r w:rsidR="006A2CBA" w:rsidRPr="006A2CBA">
        <w:rPr>
          <w:rFonts w:ascii="Times New Roman" w:hAnsi="Times New Roman"/>
          <w:sz w:val="23"/>
          <w:lang w:val="en-US" w:bidi="en-US"/>
        </w:rPr>
        <w:lastRenderedPageBreak/>
        <w:t>potential conflicts of interest were properly managed;</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and</w:t>
      </w:r>
    </w:p>
    <w:p w14:paraId="6F45C585" w14:textId="51160E5C" w:rsidR="006A2CBA" w:rsidRPr="006A2CBA" w:rsidRDefault="00BD5C95" w:rsidP="00B73434">
      <w:pPr>
        <w:widowControl w:val="0"/>
        <w:numPr>
          <w:ilvl w:val="1"/>
          <w:numId w:val="73"/>
        </w:numPr>
        <w:tabs>
          <w:tab w:val="left" w:pos="1504"/>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1193B</w:t>
      </w:r>
      <w:r w:rsidR="0049638A">
        <w:rPr>
          <w:rFonts w:ascii="ZWAdobeF" w:hAnsi="ZWAdobeF" w:cs="ZWAdobeF"/>
          <w:color w:val="auto"/>
          <w:sz w:val="2"/>
          <w:szCs w:val="2"/>
          <w:lang w:val="en-US" w:bidi="en-US"/>
        </w:rPr>
        <w:t>1193B</w:t>
      </w:r>
      <w:r w:rsidR="00D629FA">
        <w:rPr>
          <w:rFonts w:ascii="ZWAdobeF" w:hAnsi="ZWAdobeF" w:cs="ZWAdobeF"/>
          <w:color w:val="auto"/>
          <w:sz w:val="2"/>
          <w:szCs w:val="2"/>
          <w:lang w:val="en-US" w:bidi="en-US"/>
        </w:rPr>
        <w:t>1193B</w:t>
      </w:r>
      <w:r w:rsidR="006A2CBA" w:rsidRPr="006A2CBA">
        <w:rPr>
          <w:rFonts w:ascii="Times New Roman" w:hAnsi="Times New Roman"/>
          <w:sz w:val="23"/>
          <w:lang w:val="en-US" w:bidi="en-US"/>
        </w:rPr>
        <w:t>any other factors it considers relevant.</w:t>
      </w:r>
    </w:p>
    <w:p w14:paraId="62B78297" w14:textId="5B9DD58B" w:rsidR="006A2CBA" w:rsidRPr="006A2CBA" w:rsidRDefault="00BD5C95" w:rsidP="00B73434">
      <w:pPr>
        <w:widowControl w:val="0"/>
        <w:numPr>
          <w:ilvl w:val="0"/>
          <w:numId w:val="67"/>
        </w:numPr>
        <w:tabs>
          <w:tab w:val="left" w:pos="905"/>
        </w:tabs>
        <w:autoSpaceDE w:val="0"/>
        <w:autoSpaceDN w:val="0"/>
        <w:spacing w:before="212"/>
        <w:ind w:hanging="601"/>
        <w:jc w:val="both"/>
        <w:outlineLvl w:val="2"/>
        <w:rPr>
          <w:rFonts w:ascii="Times New Roman" w:hAnsi="Times New Roman"/>
          <w:b/>
          <w:sz w:val="23"/>
          <w:szCs w:val="23"/>
          <w:lang w:val="en-US" w:bidi="en-US"/>
        </w:rPr>
      </w:pPr>
      <w:r>
        <w:rPr>
          <w:rFonts w:ascii="ZWAdobeF" w:hAnsi="ZWAdobeF" w:cs="ZWAdobeF"/>
          <w:color w:val="auto"/>
          <w:sz w:val="2"/>
          <w:szCs w:val="2"/>
          <w:lang w:val="en-US" w:bidi="en-US"/>
        </w:rPr>
        <w:t>1194B</w:t>
      </w:r>
      <w:r w:rsidR="0049638A">
        <w:rPr>
          <w:rFonts w:ascii="ZWAdobeF" w:hAnsi="ZWAdobeF" w:cs="ZWAdobeF"/>
          <w:color w:val="auto"/>
          <w:sz w:val="2"/>
          <w:szCs w:val="2"/>
          <w:lang w:val="en-US" w:bidi="en-US"/>
        </w:rPr>
        <w:t>1194B</w:t>
      </w:r>
      <w:r w:rsidR="00D629FA">
        <w:rPr>
          <w:rFonts w:ascii="ZWAdobeF" w:hAnsi="ZWAdobeF" w:cs="ZWAdobeF"/>
          <w:color w:val="auto"/>
          <w:sz w:val="2"/>
          <w:szCs w:val="2"/>
          <w:lang w:val="en-US" w:bidi="en-US"/>
        </w:rPr>
        <w:t>1194B</w:t>
      </w:r>
      <w:r w:rsidR="006A2CBA" w:rsidRPr="006A2CBA">
        <w:rPr>
          <w:rFonts w:ascii="Times New Roman" w:hAnsi="Times New Roman"/>
          <w:b/>
          <w:sz w:val="23"/>
          <w:szCs w:val="23"/>
          <w:lang w:val="en-US" w:bidi="en-US"/>
        </w:rPr>
        <w:t>Settlement application prior to certification of</w:t>
      </w:r>
      <w:r w:rsidR="006A2CBA" w:rsidRPr="006A2CBA">
        <w:rPr>
          <w:rFonts w:ascii="Times New Roman" w:hAnsi="Times New Roman"/>
          <w:b/>
          <w:spacing w:val="-5"/>
          <w:sz w:val="23"/>
          <w:szCs w:val="23"/>
          <w:lang w:val="en-US" w:bidi="en-US"/>
        </w:rPr>
        <w:t xml:space="preserve"> </w:t>
      </w:r>
      <w:r w:rsidR="006A2CBA" w:rsidRPr="006A2CBA">
        <w:rPr>
          <w:rFonts w:ascii="Times New Roman" w:hAnsi="Times New Roman"/>
          <w:b/>
          <w:sz w:val="23"/>
          <w:szCs w:val="23"/>
          <w:lang w:val="en-US" w:bidi="en-US"/>
        </w:rPr>
        <w:t>proceeding</w:t>
      </w:r>
    </w:p>
    <w:p w14:paraId="3519BDB0" w14:textId="38F9A0E2" w:rsidR="006A2CBA" w:rsidRPr="006A2CBA" w:rsidRDefault="00BD5C95" w:rsidP="00B73434">
      <w:pPr>
        <w:widowControl w:val="0"/>
        <w:numPr>
          <w:ilvl w:val="0"/>
          <w:numId w:val="68"/>
        </w:numPr>
        <w:tabs>
          <w:tab w:val="left" w:pos="905"/>
        </w:tabs>
        <w:autoSpaceDE w:val="0"/>
        <w:autoSpaceDN w:val="0"/>
        <w:spacing w:before="91" w:line="249" w:lineRule="auto"/>
        <w:ind w:right="301"/>
        <w:jc w:val="both"/>
        <w:rPr>
          <w:rFonts w:ascii="Times New Roman" w:hAnsi="Times New Roman"/>
          <w:sz w:val="23"/>
          <w:lang w:val="en-US" w:bidi="en-US"/>
        </w:rPr>
      </w:pPr>
      <w:r>
        <w:rPr>
          <w:rFonts w:ascii="ZWAdobeF" w:hAnsi="ZWAdobeF" w:cs="ZWAdobeF"/>
          <w:color w:val="auto"/>
          <w:sz w:val="2"/>
          <w:szCs w:val="2"/>
          <w:lang w:val="en-US" w:bidi="en-US"/>
        </w:rPr>
        <w:t>1195B</w:t>
      </w:r>
      <w:r w:rsidR="0049638A">
        <w:rPr>
          <w:rFonts w:ascii="ZWAdobeF" w:hAnsi="ZWAdobeF" w:cs="ZWAdobeF"/>
          <w:color w:val="auto"/>
          <w:sz w:val="2"/>
          <w:szCs w:val="2"/>
          <w:lang w:val="en-US" w:bidi="en-US"/>
        </w:rPr>
        <w:t>1195B</w:t>
      </w:r>
      <w:r w:rsidR="00D629FA">
        <w:rPr>
          <w:rFonts w:ascii="ZWAdobeF" w:hAnsi="ZWAdobeF" w:cs="ZWAdobeF"/>
          <w:color w:val="auto"/>
          <w:sz w:val="2"/>
          <w:szCs w:val="2"/>
          <w:lang w:val="en-US" w:bidi="en-US"/>
        </w:rPr>
        <w:t>1195B</w:t>
      </w:r>
      <w:r w:rsidR="006A2CBA" w:rsidRPr="006A2CBA">
        <w:rPr>
          <w:rFonts w:ascii="Times New Roman" w:hAnsi="Times New Roman"/>
          <w:sz w:val="23"/>
          <w:lang w:val="en-US" w:bidi="en-US"/>
        </w:rPr>
        <w:t>This section applies if an application for approval of a settlement is made prior to the certification of a class action proceeding.</w:t>
      </w:r>
    </w:p>
    <w:p w14:paraId="378ED2D1" w14:textId="7D8D8378" w:rsidR="006A2CBA" w:rsidRPr="006A2CBA" w:rsidRDefault="00BD5C95" w:rsidP="00B73434">
      <w:pPr>
        <w:widowControl w:val="0"/>
        <w:numPr>
          <w:ilvl w:val="0"/>
          <w:numId w:val="68"/>
        </w:numPr>
        <w:tabs>
          <w:tab w:val="left" w:pos="905"/>
        </w:tabs>
        <w:autoSpaceDE w:val="0"/>
        <w:autoSpaceDN w:val="0"/>
        <w:spacing w:before="82" w:line="247" w:lineRule="auto"/>
        <w:ind w:right="298" w:hanging="601"/>
        <w:jc w:val="both"/>
        <w:rPr>
          <w:rFonts w:ascii="Times New Roman" w:hAnsi="Times New Roman"/>
          <w:sz w:val="23"/>
          <w:lang w:val="en-US" w:bidi="en-US"/>
        </w:rPr>
      </w:pPr>
      <w:r>
        <w:rPr>
          <w:rFonts w:ascii="ZWAdobeF" w:hAnsi="ZWAdobeF" w:cs="ZWAdobeF"/>
          <w:color w:val="auto"/>
          <w:sz w:val="2"/>
          <w:szCs w:val="2"/>
          <w:lang w:val="en-US" w:bidi="en-US"/>
        </w:rPr>
        <w:t>1196B</w:t>
      </w:r>
      <w:r w:rsidR="0049638A">
        <w:rPr>
          <w:rFonts w:ascii="ZWAdobeF" w:hAnsi="ZWAdobeF" w:cs="ZWAdobeF"/>
          <w:color w:val="auto"/>
          <w:sz w:val="2"/>
          <w:szCs w:val="2"/>
          <w:lang w:val="en-US" w:bidi="en-US"/>
        </w:rPr>
        <w:t>1196B</w:t>
      </w:r>
      <w:r w:rsidR="00D629FA">
        <w:rPr>
          <w:rFonts w:ascii="ZWAdobeF" w:hAnsi="ZWAdobeF" w:cs="ZWAdobeF"/>
          <w:color w:val="auto"/>
          <w:sz w:val="2"/>
          <w:szCs w:val="2"/>
          <w:lang w:val="en-US" w:bidi="en-US"/>
        </w:rPr>
        <w:t>1196B</w:t>
      </w:r>
      <w:r w:rsidR="006A2CBA" w:rsidRPr="006A2CBA">
        <w:rPr>
          <w:rFonts w:ascii="Times New Roman" w:hAnsi="Times New Roman"/>
          <w:sz w:val="23"/>
          <w:lang w:val="en-US" w:bidi="en-US"/>
        </w:rPr>
        <w:t xml:space="preserve">The court must, before considering that application, consider whether the proceeding meets the requirements of </w:t>
      </w:r>
      <w:r w:rsidR="006A2CBA" w:rsidRPr="006A2CBA">
        <w:rPr>
          <w:rFonts w:ascii="Arial Black" w:hAnsi="Arial Black"/>
          <w:sz w:val="19"/>
          <w:lang w:val="en-US" w:bidi="en-US"/>
        </w:rPr>
        <w:t xml:space="preserve">section 4 </w:t>
      </w:r>
      <w:r w:rsidR="006A2CBA" w:rsidRPr="006A2CBA">
        <w:rPr>
          <w:rFonts w:ascii="Times New Roman" w:hAnsi="Times New Roman"/>
          <w:sz w:val="23"/>
          <w:lang w:val="en-US" w:bidi="en-US"/>
        </w:rPr>
        <w:t>(with any necessary modifications) and if so, for the purposes of</w:t>
      </w:r>
      <w:r w:rsidR="006A2CBA" w:rsidRPr="006A2CBA">
        <w:rPr>
          <w:rFonts w:ascii="Times New Roman" w:hAnsi="Times New Roman"/>
          <w:spacing w:val="-3"/>
          <w:sz w:val="23"/>
          <w:lang w:val="en-US" w:bidi="en-US"/>
        </w:rPr>
        <w:t xml:space="preserve"> </w:t>
      </w:r>
      <w:r w:rsidR="006A2CBA" w:rsidRPr="006A2CBA">
        <w:rPr>
          <w:rFonts w:ascii="Times New Roman" w:hAnsi="Times New Roman"/>
          <w:sz w:val="23"/>
          <w:lang w:val="en-US" w:bidi="en-US"/>
        </w:rPr>
        <w:t>settlement,—</w:t>
      </w:r>
    </w:p>
    <w:p w14:paraId="7D3A7982" w14:textId="7A49D56C" w:rsidR="006A2CBA" w:rsidRPr="006A2CBA" w:rsidRDefault="00BD5C95" w:rsidP="00B73434">
      <w:pPr>
        <w:widowControl w:val="0"/>
        <w:numPr>
          <w:ilvl w:val="1"/>
          <w:numId w:val="68"/>
        </w:numPr>
        <w:tabs>
          <w:tab w:val="left" w:pos="1505"/>
        </w:tabs>
        <w:autoSpaceDE w:val="0"/>
        <w:autoSpaceDN w:val="0"/>
        <w:spacing w:before="82"/>
        <w:ind w:hanging="601"/>
        <w:jc w:val="both"/>
        <w:rPr>
          <w:rFonts w:ascii="Times New Roman" w:hAnsi="Times New Roman"/>
          <w:sz w:val="23"/>
          <w:lang w:val="en-US" w:bidi="en-US"/>
        </w:rPr>
      </w:pPr>
      <w:r>
        <w:rPr>
          <w:rFonts w:ascii="ZWAdobeF" w:hAnsi="ZWAdobeF" w:cs="ZWAdobeF"/>
          <w:color w:val="auto"/>
          <w:sz w:val="2"/>
          <w:szCs w:val="2"/>
          <w:lang w:val="en-US" w:bidi="en-US"/>
        </w:rPr>
        <w:t>1197B</w:t>
      </w:r>
      <w:r w:rsidR="0049638A">
        <w:rPr>
          <w:rFonts w:ascii="ZWAdobeF" w:hAnsi="ZWAdobeF" w:cs="ZWAdobeF"/>
          <w:color w:val="auto"/>
          <w:sz w:val="2"/>
          <w:szCs w:val="2"/>
          <w:lang w:val="en-US" w:bidi="en-US"/>
        </w:rPr>
        <w:t>1197B</w:t>
      </w:r>
      <w:r w:rsidR="00D629FA">
        <w:rPr>
          <w:rFonts w:ascii="ZWAdobeF" w:hAnsi="ZWAdobeF" w:cs="ZWAdobeF"/>
          <w:color w:val="auto"/>
          <w:sz w:val="2"/>
          <w:szCs w:val="2"/>
          <w:lang w:val="en-US" w:bidi="en-US"/>
        </w:rPr>
        <w:t>1197B</w:t>
      </w:r>
      <w:r w:rsidR="006A2CBA" w:rsidRPr="006A2CBA">
        <w:rPr>
          <w:rFonts w:ascii="Times New Roman" w:hAnsi="Times New Roman"/>
          <w:sz w:val="23"/>
          <w:lang w:val="en-US" w:bidi="en-US"/>
        </w:rPr>
        <w:t>certify the proceeding as a class action proceeding; and</w:t>
      </w:r>
    </w:p>
    <w:p w14:paraId="47546B69" w14:textId="40E708CF" w:rsidR="006A2CBA" w:rsidRPr="006A2CBA" w:rsidRDefault="00BD5C95" w:rsidP="00B73434">
      <w:pPr>
        <w:widowControl w:val="0"/>
        <w:numPr>
          <w:ilvl w:val="1"/>
          <w:numId w:val="68"/>
        </w:numPr>
        <w:tabs>
          <w:tab w:val="left" w:pos="1505"/>
        </w:tabs>
        <w:autoSpaceDE w:val="0"/>
        <w:autoSpaceDN w:val="0"/>
        <w:spacing w:before="91"/>
        <w:ind w:hanging="601"/>
        <w:jc w:val="both"/>
        <w:rPr>
          <w:rFonts w:ascii="Times New Roman" w:hAnsi="Times New Roman"/>
          <w:sz w:val="23"/>
          <w:lang w:val="en-US" w:bidi="en-US"/>
        </w:rPr>
      </w:pPr>
      <w:r>
        <w:rPr>
          <w:rFonts w:ascii="ZWAdobeF" w:hAnsi="ZWAdobeF" w:cs="ZWAdobeF"/>
          <w:color w:val="auto"/>
          <w:sz w:val="2"/>
          <w:szCs w:val="2"/>
          <w:lang w:val="en-US" w:bidi="en-US"/>
        </w:rPr>
        <w:t>1198B</w:t>
      </w:r>
      <w:r w:rsidR="0049638A">
        <w:rPr>
          <w:rFonts w:ascii="ZWAdobeF" w:hAnsi="ZWAdobeF" w:cs="ZWAdobeF"/>
          <w:color w:val="auto"/>
          <w:sz w:val="2"/>
          <w:szCs w:val="2"/>
          <w:lang w:val="en-US" w:bidi="en-US"/>
        </w:rPr>
        <w:t>1198B</w:t>
      </w:r>
      <w:r w:rsidR="00D629FA">
        <w:rPr>
          <w:rFonts w:ascii="ZWAdobeF" w:hAnsi="ZWAdobeF" w:cs="ZWAdobeF"/>
          <w:color w:val="auto"/>
          <w:sz w:val="2"/>
          <w:szCs w:val="2"/>
          <w:lang w:val="en-US" w:bidi="en-US"/>
        </w:rPr>
        <w:t>1198B</w:t>
      </w:r>
      <w:r w:rsidR="006A2CBA" w:rsidRPr="006A2CBA">
        <w:rPr>
          <w:rFonts w:ascii="Times New Roman" w:hAnsi="Times New Roman"/>
          <w:sz w:val="23"/>
          <w:lang w:val="en-US" w:bidi="en-US"/>
        </w:rPr>
        <w:t>appoint 1 or more representative</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plaintiffs.</w:t>
      </w:r>
    </w:p>
    <w:p w14:paraId="0CA9664D" w14:textId="1CA35455" w:rsidR="006A2CBA" w:rsidRPr="006A2CBA" w:rsidRDefault="00BD5C95" w:rsidP="00B73434">
      <w:pPr>
        <w:widowControl w:val="0"/>
        <w:numPr>
          <w:ilvl w:val="0"/>
          <w:numId w:val="68"/>
        </w:numPr>
        <w:tabs>
          <w:tab w:val="left" w:pos="905"/>
        </w:tabs>
        <w:autoSpaceDE w:val="0"/>
        <w:autoSpaceDN w:val="0"/>
        <w:spacing w:before="92" w:line="242" w:lineRule="auto"/>
        <w:ind w:right="300"/>
        <w:jc w:val="both"/>
        <w:rPr>
          <w:rFonts w:ascii="Times New Roman" w:hAnsi="Times New Roman"/>
          <w:sz w:val="23"/>
          <w:lang w:val="en-US" w:bidi="en-US"/>
        </w:rPr>
      </w:pPr>
      <w:r>
        <w:rPr>
          <w:rFonts w:ascii="ZWAdobeF" w:hAnsi="ZWAdobeF" w:cs="ZWAdobeF"/>
          <w:color w:val="auto"/>
          <w:sz w:val="2"/>
          <w:szCs w:val="2"/>
          <w:lang w:val="en-US" w:bidi="en-US"/>
        </w:rPr>
        <w:t>1199B</w:t>
      </w:r>
      <w:r w:rsidR="0049638A">
        <w:rPr>
          <w:rFonts w:ascii="ZWAdobeF" w:hAnsi="ZWAdobeF" w:cs="ZWAdobeF"/>
          <w:color w:val="auto"/>
          <w:sz w:val="2"/>
          <w:szCs w:val="2"/>
          <w:lang w:val="en-US" w:bidi="en-US"/>
        </w:rPr>
        <w:t>1199B</w:t>
      </w:r>
      <w:r w:rsidR="00D629FA">
        <w:rPr>
          <w:rFonts w:ascii="ZWAdobeF" w:hAnsi="ZWAdobeF" w:cs="ZWAdobeF"/>
          <w:color w:val="auto"/>
          <w:sz w:val="2"/>
          <w:szCs w:val="2"/>
          <w:lang w:val="en-US" w:bidi="en-US"/>
        </w:rPr>
        <w:t>1199B</w:t>
      </w:r>
      <w:r w:rsidR="006A2CBA" w:rsidRPr="006A2CBA">
        <w:rPr>
          <w:rFonts w:ascii="Times New Roman" w:hAnsi="Times New Roman"/>
          <w:sz w:val="23"/>
          <w:lang w:val="en-US" w:bidi="en-US"/>
        </w:rPr>
        <w:t xml:space="preserve">If the court certifies the proceeding, </w:t>
      </w:r>
      <w:r w:rsidR="006A2CBA" w:rsidRPr="006A2CBA">
        <w:rPr>
          <w:rFonts w:ascii="Arial Black" w:hAnsi="Arial Black"/>
          <w:sz w:val="19"/>
          <w:lang w:val="en-US" w:bidi="en-US"/>
        </w:rPr>
        <w:t xml:space="preserve">section 7 </w:t>
      </w:r>
      <w:r w:rsidR="006A2CBA" w:rsidRPr="006A2CBA">
        <w:rPr>
          <w:rFonts w:ascii="Times New Roman" w:hAnsi="Times New Roman"/>
          <w:sz w:val="23"/>
          <w:lang w:val="en-US" w:bidi="en-US"/>
        </w:rPr>
        <w:t xml:space="preserve">applies to the application except that the notice referred to in </w:t>
      </w:r>
      <w:r w:rsidR="006A2CBA" w:rsidRPr="006A2CBA">
        <w:rPr>
          <w:rFonts w:ascii="Arial Black" w:hAnsi="Arial Black"/>
          <w:sz w:val="19"/>
          <w:lang w:val="en-US" w:bidi="en-US"/>
        </w:rPr>
        <w:t xml:space="preserve">section 7(4)(a) </w:t>
      </w:r>
      <w:r w:rsidR="006A2CBA" w:rsidRPr="006A2CBA">
        <w:rPr>
          <w:rFonts w:ascii="Times New Roman" w:hAnsi="Times New Roman"/>
          <w:sz w:val="23"/>
          <w:lang w:val="en-US" w:bidi="en-US"/>
        </w:rPr>
        <w:t>must also give notice that—</w:t>
      </w:r>
    </w:p>
    <w:p w14:paraId="59C65291" w14:textId="1433A73C" w:rsidR="006A2CBA" w:rsidRPr="006A2CBA" w:rsidRDefault="00BD5C95" w:rsidP="00B73434">
      <w:pPr>
        <w:widowControl w:val="0"/>
        <w:numPr>
          <w:ilvl w:val="1"/>
          <w:numId w:val="68"/>
        </w:numPr>
        <w:tabs>
          <w:tab w:val="left" w:pos="1505"/>
        </w:tabs>
        <w:autoSpaceDE w:val="0"/>
        <w:autoSpaceDN w:val="0"/>
        <w:spacing w:before="88" w:line="249" w:lineRule="auto"/>
        <w:ind w:right="301" w:hanging="601"/>
        <w:jc w:val="both"/>
        <w:rPr>
          <w:rFonts w:ascii="Times New Roman" w:hAnsi="Times New Roman"/>
          <w:sz w:val="23"/>
          <w:lang w:val="en-US" w:bidi="en-US"/>
        </w:rPr>
      </w:pPr>
      <w:r>
        <w:rPr>
          <w:rFonts w:ascii="ZWAdobeF" w:hAnsi="ZWAdobeF" w:cs="ZWAdobeF"/>
          <w:color w:val="auto"/>
          <w:sz w:val="2"/>
          <w:szCs w:val="2"/>
          <w:lang w:val="en-US" w:bidi="en-US"/>
        </w:rPr>
        <w:t>1200B</w:t>
      </w:r>
      <w:r w:rsidR="0049638A">
        <w:rPr>
          <w:rFonts w:ascii="ZWAdobeF" w:hAnsi="ZWAdobeF" w:cs="ZWAdobeF"/>
          <w:color w:val="auto"/>
          <w:sz w:val="2"/>
          <w:szCs w:val="2"/>
          <w:lang w:val="en-US" w:bidi="en-US"/>
        </w:rPr>
        <w:t>1200B</w:t>
      </w:r>
      <w:r w:rsidR="00D629FA">
        <w:rPr>
          <w:rFonts w:ascii="ZWAdobeF" w:hAnsi="ZWAdobeF" w:cs="ZWAdobeF"/>
          <w:color w:val="auto"/>
          <w:sz w:val="2"/>
          <w:szCs w:val="2"/>
          <w:lang w:val="en-US" w:bidi="en-US"/>
        </w:rPr>
        <w:t>1200B</w:t>
      </w:r>
      <w:r w:rsidR="006A2CBA" w:rsidRPr="006A2CBA">
        <w:rPr>
          <w:rFonts w:ascii="Times New Roman" w:hAnsi="Times New Roman"/>
          <w:sz w:val="23"/>
          <w:lang w:val="en-US" w:bidi="en-US"/>
        </w:rPr>
        <w:t>the proceeding has been certified as a class action proceeding for the purposes of settlement;</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and</w:t>
      </w:r>
    </w:p>
    <w:p w14:paraId="285A602A" w14:textId="4BD3B781" w:rsidR="006A2CBA" w:rsidRPr="006A2CBA" w:rsidRDefault="00BD5C95" w:rsidP="00B73434">
      <w:pPr>
        <w:widowControl w:val="0"/>
        <w:numPr>
          <w:ilvl w:val="1"/>
          <w:numId w:val="68"/>
        </w:numPr>
        <w:tabs>
          <w:tab w:val="left" w:pos="1505"/>
        </w:tabs>
        <w:autoSpaceDE w:val="0"/>
        <w:autoSpaceDN w:val="0"/>
        <w:spacing w:before="82"/>
        <w:ind w:hanging="601"/>
        <w:jc w:val="both"/>
        <w:rPr>
          <w:rFonts w:ascii="Times New Roman" w:hAnsi="Times New Roman"/>
          <w:sz w:val="23"/>
          <w:lang w:val="en-US" w:bidi="en-US"/>
        </w:rPr>
      </w:pPr>
      <w:r>
        <w:rPr>
          <w:rFonts w:ascii="ZWAdobeF" w:hAnsi="ZWAdobeF" w:cs="ZWAdobeF"/>
          <w:color w:val="auto"/>
          <w:sz w:val="2"/>
          <w:szCs w:val="2"/>
          <w:lang w:val="en-US" w:bidi="en-US"/>
        </w:rPr>
        <w:t>1201B</w:t>
      </w:r>
      <w:r w:rsidR="0049638A">
        <w:rPr>
          <w:rFonts w:ascii="ZWAdobeF" w:hAnsi="ZWAdobeF" w:cs="ZWAdobeF"/>
          <w:color w:val="auto"/>
          <w:sz w:val="2"/>
          <w:szCs w:val="2"/>
          <w:lang w:val="en-US" w:bidi="en-US"/>
        </w:rPr>
        <w:t>1201B</w:t>
      </w:r>
      <w:r w:rsidR="00D629FA">
        <w:rPr>
          <w:rFonts w:ascii="ZWAdobeF" w:hAnsi="ZWAdobeF" w:cs="ZWAdobeF"/>
          <w:color w:val="auto"/>
          <w:sz w:val="2"/>
          <w:szCs w:val="2"/>
          <w:lang w:val="en-US" w:bidi="en-US"/>
        </w:rPr>
        <w:t>1201B</w:t>
      </w:r>
      <w:r w:rsidR="006A2CBA" w:rsidRPr="006A2CBA">
        <w:rPr>
          <w:rFonts w:ascii="Times New Roman" w:hAnsi="Times New Roman"/>
          <w:sz w:val="23"/>
          <w:lang w:val="en-US" w:bidi="en-US"/>
        </w:rPr>
        <w:t>1 or more representative plaintiffs have been</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appointed.</w:t>
      </w:r>
    </w:p>
    <w:p w14:paraId="2E27FCC8" w14:textId="3C8B6CA5" w:rsidR="006A2CBA" w:rsidRPr="006A2CBA" w:rsidRDefault="00BD5C95" w:rsidP="00B73434">
      <w:pPr>
        <w:widowControl w:val="0"/>
        <w:numPr>
          <w:ilvl w:val="0"/>
          <w:numId w:val="68"/>
        </w:numPr>
        <w:tabs>
          <w:tab w:val="left" w:pos="905"/>
        </w:tabs>
        <w:autoSpaceDE w:val="0"/>
        <w:autoSpaceDN w:val="0"/>
        <w:spacing w:before="9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1202B</w:t>
      </w:r>
      <w:r w:rsidR="0049638A">
        <w:rPr>
          <w:rFonts w:ascii="ZWAdobeF" w:hAnsi="ZWAdobeF" w:cs="ZWAdobeF"/>
          <w:color w:val="auto"/>
          <w:sz w:val="2"/>
          <w:szCs w:val="2"/>
          <w:lang w:val="en-US" w:bidi="en-US"/>
        </w:rPr>
        <w:t>1202B</w:t>
      </w:r>
      <w:r w:rsidR="00D629FA">
        <w:rPr>
          <w:rFonts w:ascii="ZWAdobeF" w:hAnsi="ZWAdobeF" w:cs="ZWAdobeF"/>
          <w:color w:val="auto"/>
          <w:sz w:val="2"/>
          <w:szCs w:val="2"/>
          <w:lang w:val="en-US" w:bidi="en-US"/>
        </w:rPr>
        <w:t>1202B</w:t>
      </w:r>
      <w:r w:rsidR="006A2CBA" w:rsidRPr="006A2CBA">
        <w:rPr>
          <w:rFonts w:ascii="Times New Roman" w:hAnsi="Times New Roman"/>
          <w:sz w:val="23"/>
          <w:lang w:val="en-US" w:bidi="en-US"/>
        </w:rPr>
        <w:t xml:space="preserve">If the court certifies the proceeding as an opt-in proceeding, the notice </w:t>
      </w:r>
      <w:r w:rsidR="006A2CBA" w:rsidRPr="006A2CBA">
        <w:rPr>
          <w:rFonts w:ascii="Times New Roman" w:hAnsi="Times New Roman"/>
          <w:spacing w:val="-3"/>
          <w:sz w:val="23"/>
          <w:lang w:val="en-US" w:bidi="en-US"/>
        </w:rPr>
        <w:t>must</w:t>
      </w:r>
      <w:r w:rsidR="006A2CBA" w:rsidRPr="006A2CBA">
        <w:rPr>
          <w:rFonts w:ascii="Times New Roman" w:hAnsi="Times New Roman"/>
          <w:spacing w:val="51"/>
          <w:sz w:val="23"/>
          <w:lang w:val="en-US" w:bidi="en-US"/>
        </w:rPr>
        <w:t xml:space="preserve"> </w:t>
      </w:r>
      <w:r w:rsidR="006A2CBA" w:rsidRPr="006A2CBA">
        <w:rPr>
          <w:rFonts w:ascii="Times New Roman" w:hAnsi="Times New Roman"/>
          <w:sz w:val="23"/>
          <w:lang w:val="en-US" w:bidi="en-US"/>
        </w:rPr>
        <w:t>also specify the date by which a person who is eligible to opt in as a class member must do</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so.</w:t>
      </w:r>
    </w:p>
    <w:p w14:paraId="4F19501C" w14:textId="1BB2FC72" w:rsidR="006A2CBA" w:rsidRPr="006A2CBA" w:rsidRDefault="00BD5C95" w:rsidP="00B73434">
      <w:pPr>
        <w:widowControl w:val="0"/>
        <w:numPr>
          <w:ilvl w:val="0"/>
          <w:numId w:val="67"/>
        </w:numPr>
        <w:tabs>
          <w:tab w:val="left" w:pos="905"/>
        </w:tabs>
        <w:autoSpaceDE w:val="0"/>
        <w:autoSpaceDN w:val="0"/>
        <w:spacing w:before="203"/>
        <w:ind w:hanging="601"/>
        <w:jc w:val="both"/>
        <w:outlineLvl w:val="2"/>
        <w:rPr>
          <w:rFonts w:ascii="Times New Roman" w:hAnsi="Times New Roman"/>
          <w:b/>
          <w:sz w:val="23"/>
          <w:szCs w:val="23"/>
          <w:lang w:val="en-US" w:bidi="en-US"/>
        </w:rPr>
      </w:pPr>
      <w:r>
        <w:rPr>
          <w:rFonts w:ascii="ZWAdobeF" w:hAnsi="ZWAdobeF" w:cs="ZWAdobeF"/>
          <w:color w:val="auto"/>
          <w:sz w:val="2"/>
          <w:szCs w:val="2"/>
          <w:lang w:val="en-US" w:bidi="en-US"/>
        </w:rPr>
        <w:t>1203B</w:t>
      </w:r>
      <w:r w:rsidR="0049638A">
        <w:rPr>
          <w:rFonts w:ascii="ZWAdobeF" w:hAnsi="ZWAdobeF" w:cs="ZWAdobeF"/>
          <w:color w:val="auto"/>
          <w:sz w:val="2"/>
          <w:szCs w:val="2"/>
          <w:lang w:val="en-US" w:bidi="en-US"/>
        </w:rPr>
        <w:t>1203B</w:t>
      </w:r>
      <w:r w:rsidR="00D629FA">
        <w:rPr>
          <w:rFonts w:ascii="ZWAdobeF" w:hAnsi="ZWAdobeF" w:cs="ZWAdobeF"/>
          <w:color w:val="auto"/>
          <w:sz w:val="2"/>
          <w:szCs w:val="2"/>
          <w:lang w:val="en-US" w:bidi="en-US"/>
        </w:rPr>
        <w:t>1203B</w:t>
      </w:r>
      <w:r w:rsidR="006A2CBA" w:rsidRPr="006A2CBA">
        <w:rPr>
          <w:rFonts w:ascii="Times New Roman" w:hAnsi="Times New Roman"/>
          <w:b/>
          <w:sz w:val="23"/>
          <w:szCs w:val="23"/>
          <w:lang w:val="en-US" w:bidi="en-US"/>
        </w:rPr>
        <w:t>Appointment of counsel to assist court or</w:t>
      </w:r>
      <w:r w:rsidR="006A2CBA" w:rsidRPr="006A2CBA">
        <w:rPr>
          <w:rFonts w:ascii="Times New Roman" w:hAnsi="Times New Roman"/>
          <w:b/>
          <w:spacing w:val="-3"/>
          <w:sz w:val="23"/>
          <w:szCs w:val="23"/>
          <w:lang w:val="en-US" w:bidi="en-US"/>
        </w:rPr>
        <w:t xml:space="preserve"> </w:t>
      </w:r>
      <w:r w:rsidR="006A2CBA" w:rsidRPr="006A2CBA">
        <w:rPr>
          <w:rFonts w:ascii="Times New Roman" w:hAnsi="Times New Roman"/>
          <w:b/>
          <w:sz w:val="23"/>
          <w:szCs w:val="23"/>
          <w:lang w:val="en-US" w:bidi="en-US"/>
        </w:rPr>
        <w:t>expert</w:t>
      </w:r>
    </w:p>
    <w:p w14:paraId="192318A4" w14:textId="6602FD0E" w:rsidR="006A2CBA" w:rsidRPr="006A2CBA" w:rsidRDefault="00BD5C95" w:rsidP="00B73434">
      <w:pPr>
        <w:widowControl w:val="0"/>
        <w:numPr>
          <w:ilvl w:val="0"/>
          <w:numId w:val="74"/>
        </w:numPr>
        <w:tabs>
          <w:tab w:val="left" w:pos="905"/>
        </w:tabs>
        <w:autoSpaceDE w:val="0"/>
        <w:autoSpaceDN w:val="0"/>
        <w:spacing w:before="91" w:line="249" w:lineRule="auto"/>
        <w:ind w:right="298"/>
        <w:jc w:val="both"/>
        <w:rPr>
          <w:rFonts w:ascii="Times New Roman" w:hAnsi="Times New Roman"/>
          <w:sz w:val="23"/>
          <w:lang w:val="en-US" w:bidi="en-US"/>
        </w:rPr>
      </w:pPr>
      <w:r>
        <w:rPr>
          <w:rFonts w:ascii="ZWAdobeF" w:hAnsi="ZWAdobeF" w:cs="ZWAdobeF"/>
          <w:color w:val="auto"/>
          <w:sz w:val="2"/>
          <w:szCs w:val="2"/>
          <w:lang w:val="en-US" w:bidi="en-US"/>
        </w:rPr>
        <w:t>1204B</w:t>
      </w:r>
      <w:r w:rsidR="0049638A">
        <w:rPr>
          <w:rFonts w:ascii="ZWAdobeF" w:hAnsi="ZWAdobeF" w:cs="ZWAdobeF"/>
          <w:color w:val="auto"/>
          <w:sz w:val="2"/>
          <w:szCs w:val="2"/>
          <w:lang w:val="en-US" w:bidi="en-US"/>
        </w:rPr>
        <w:t>1204B</w:t>
      </w:r>
      <w:r w:rsidR="00D629FA">
        <w:rPr>
          <w:rFonts w:ascii="ZWAdobeF" w:hAnsi="ZWAdobeF" w:cs="ZWAdobeF"/>
          <w:color w:val="auto"/>
          <w:sz w:val="2"/>
          <w:szCs w:val="2"/>
          <w:lang w:val="en-US" w:bidi="en-US"/>
        </w:rPr>
        <w:t>1204B</w:t>
      </w:r>
      <w:r w:rsidR="006A2CBA" w:rsidRPr="006A2CBA">
        <w:rPr>
          <w:rFonts w:ascii="Times New Roman" w:hAnsi="Times New Roman"/>
          <w:sz w:val="23"/>
          <w:lang w:val="en-US" w:bidi="en-US"/>
        </w:rPr>
        <w:t xml:space="preserve">The court may appoint counsel to assist the court or a court expert if it </w:t>
      </w:r>
      <w:r w:rsidR="006A2CBA" w:rsidRPr="006A2CBA">
        <w:rPr>
          <w:rFonts w:ascii="Times New Roman" w:hAnsi="Times New Roman"/>
          <w:spacing w:val="-3"/>
          <w:sz w:val="23"/>
          <w:lang w:val="en-US" w:bidi="en-US"/>
        </w:rPr>
        <w:t>con</w:t>
      </w:r>
      <w:r w:rsidR="006A2CBA" w:rsidRPr="006A2CBA">
        <w:rPr>
          <w:rFonts w:ascii="Times New Roman" w:hAnsi="Times New Roman"/>
          <w:sz w:val="23"/>
          <w:lang w:val="en-US" w:bidi="en-US"/>
        </w:rPr>
        <w:t>siders this will assist the court to determine whether a settlement is fair, reasonable, and in the interests of the class as a</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whole.</w:t>
      </w:r>
    </w:p>
    <w:p w14:paraId="72751694" w14:textId="18433989" w:rsidR="006A2CBA" w:rsidRPr="006A2CBA" w:rsidRDefault="00BD5C95" w:rsidP="00B73434">
      <w:pPr>
        <w:widowControl w:val="0"/>
        <w:numPr>
          <w:ilvl w:val="0"/>
          <w:numId w:val="74"/>
        </w:numPr>
        <w:tabs>
          <w:tab w:val="left" w:pos="905"/>
        </w:tabs>
        <w:autoSpaceDE w:val="0"/>
        <w:autoSpaceDN w:val="0"/>
        <w:spacing w:before="83"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1205B</w:t>
      </w:r>
      <w:r w:rsidR="0049638A">
        <w:rPr>
          <w:rFonts w:ascii="ZWAdobeF" w:hAnsi="ZWAdobeF" w:cs="ZWAdobeF"/>
          <w:color w:val="auto"/>
          <w:sz w:val="2"/>
          <w:szCs w:val="2"/>
          <w:lang w:val="en-US" w:bidi="en-US"/>
        </w:rPr>
        <w:t>1205B</w:t>
      </w:r>
      <w:r w:rsidR="00D629FA">
        <w:rPr>
          <w:rFonts w:ascii="ZWAdobeF" w:hAnsi="ZWAdobeF" w:cs="ZWAdobeF"/>
          <w:color w:val="auto"/>
          <w:sz w:val="2"/>
          <w:szCs w:val="2"/>
          <w:lang w:val="en-US" w:bidi="en-US"/>
        </w:rPr>
        <w:t>1205B</w:t>
      </w:r>
      <w:r w:rsidR="006A2CBA" w:rsidRPr="006A2CBA">
        <w:rPr>
          <w:rFonts w:ascii="Times New Roman" w:hAnsi="Times New Roman"/>
          <w:sz w:val="23"/>
          <w:lang w:val="en-US" w:bidi="en-US"/>
        </w:rPr>
        <w:t xml:space="preserve">The court may order that 1 or more of the parties pay part or all of the costs </w:t>
      </w:r>
      <w:r w:rsidR="006A2CBA" w:rsidRPr="006A2CBA">
        <w:rPr>
          <w:rFonts w:ascii="Times New Roman" w:hAnsi="Times New Roman"/>
          <w:spacing w:val="-7"/>
          <w:sz w:val="23"/>
          <w:lang w:val="en-US" w:bidi="en-US"/>
        </w:rPr>
        <w:t xml:space="preserve">of </w:t>
      </w:r>
      <w:r w:rsidR="006A2CBA" w:rsidRPr="006A2CBA">
        <w:rPr>
          <w:rFonts w:ascii="Times New Roman" w:hAnsi="Times New Roman"/>
          <w:sz w:val="23"/>
          <w:lang w:val="en-US" w:bidi="en-US"/>
        </w:rPr>
        <w:t>the counsel or expert.</w:t>
      </w:r>
    </w:p>
    <w:p w14:paraId="10F02527" w14:textId="3915E6C7" w:rsidR="006A2CBA" w:rsidRPr="006A2CBA" w:rsidRDefault="00BD5C95" w:rsidP="00B73434">
      <w:pPr>
        <w:widowControl w:val="0"/>
        <w:numPr>
          <w:ilvl w:val="0"/>
          <w:numId w:val="67"/>
        </w:numPr>
        <w:tabs>
          <w:tab w:val="left" w:pos="904"/>
          <w:tab w:val="left" w:pos="905"/>
        </w:tabs>
        <w:autoSpaceDE w:val="0"/>
        <w:autoSpaceDN w:val="0"/>
        <w:spacing w:before="202"/>
        <w:ind w:hanging="601"/>
        <w:outlineLvl w:val="2"/>
        <w:rPr>
          <w:rFonts w:ascii="Times New Roman" w:hAnsi="Times New Roman"/>
          <w:b/>
          <w:sz w:val="23"/>
          <w:szCs w:val="23"/>
          <w:lang w:val="en-US" w:bidi="en-US"/>
        </w:rPr>
      </w:pPr>
      <w:r>
        <w:rPr>
          <w:rFonts w:ascii="ZWAdobeF" w:hAnsi="ZWAdobeF" w:cs="ZWAdobeF"/>
          <w:color w:val="auto"/>
          <w:sz w:val="2"/>
          <w:szCs w:val="2"/>
          <w:lang w:val="en-US" w:bidi="en-US"/>
        </w:rPr>
        <w:t>1206B</w:t>
      </w:r>
      <w:r w:rsidR="0049638A">
        <w:rPr>
          <w:rFonts w:ascii="ZWAdobeF" w:hAnsi="ZWAdobeF" w:cs="ZWAdobeF"/>
          <w:color w:val="auto"/>
          <w:sz w:val="2"/>
          <w:szCs w:val="2"/>
          <w:lang w:val="en-US" w:bidi="en-US"/>
        </w:rPr>
        <w:t>1206B</w:t>
      </w:r>
      <w:r w:rsidR="00D629FA">
        <w:rPr>
          <w:rFonts w:ascii="ZWAdobeF" w:hAnsi="ZWAdobeF" w:cs="ZWAdobeF"/>
          <w:color w:val="auto"/>
          <w:sz w:val="2"/>
          <w:szCs w:val="2"/>
          <w:lang w:val="en-US" w:bidi="en-US"/>
        </w:rPr>
        <w:t>1206B</w:t>
      </w:r>
      <w:r w:rsidR="006A2CBA" w:rsidRPr="006A2CBA">
        <w:rPr>
          <w:rFonts w:ascii="Times New Roman" w:hAnsi="Times New Roman"/>
          <w:b/>
          <w:sz w:val="23"/>
          <w:szCs w:val="23"/>
          <w:lang w:val="en-US" w:bidi="en-US"/>
        </w:rPr>
        <w:t>Approval of</w:t>
      </w:r>
      <w:r w:rsidR="006A2CBA" w:rsidRPr="006A2CBA">
        <w:rPr>
          <w:rFonts w:ascii="Times New Roman" w:hAnsi="Times New Roman"/>
          <w:b/>
          <w:spacing w:val="-1"/>
          <w:sz w:val="23"/>
          <w:szCs w:val="23"/>
          <w:lang w:val="en-US" w:bidi="en-US"/>
        </w:rPr>
        <w:t xml:space="preserve"> </w:t>
      </w:r>
      <w:r w:rsidR="006A2CBA" w:rsidRPr="006A2CBA">
        <w:rPr>
          <w:rFonts w:ascii="Times New Roman" w:hAnsi="Times New Roman"/>
          <w:b/>
          <w:sz w:val="23"/>
          <w:szCs w:val="23"/>
          <w:lang w:val="en-US" w:bidi="en-US"/>
        </w:rPr>
        <w:t>settlement</w:t>
      </w:r>
    </w:p>
    <w:p w14:paraId="67CE0688" w14:textId="7A26AF09" w:rsidR="006A2CBA" w:rsidRPr="006A2CBA" w:rsidRDefault="00BD5C95" w:rsidP="00B73434">
      <w:pPr>
        <w:widowControl w:val="0"/>
        <w:numPr>
          <w:ilvl w:val="0"/>
          <w:numId w:val="77"/>
        </w:numPr>
        <w:tabs>
          <w:tab w:val="left" w:pos="904"/>
          <w:tab w:val="left" w:pos="905"/>
        </w:tabs>
        <w:autoSpaceDE w:val="0"/>
        <w:autoSpaceDN w:val="0"/>
        <w:spacing w:before="91"/>
        <w:rPr>
          <w:rFonts w:ascii="Times New Roman" w:hAnsi="Times New Roman"/>
          <w:sz w:val="23"/>
          <w:lang w:val="en-US" w:bidi="en-US"/>
        </w:rPr>
      </w:pPr>
      <w:r>
        <w:rPr>
          <w:rFonts w:ascii="ZWAdobeF" w:hAnsi="ZWAdobeF" w:cs="ZWAdobeF"/>
          <w:color w:val="auto"/>
          <w:sz w:val="2"/>
          <w:szCs w:val="2"/>
          <w:lang w:val="en-US" w:bidi="en-US"/>
        </w:rPr>
        <w:t>1207B</w:t>
      </w:r>
      <w:r w:rsidR="0049638A">
        <w:rPr>
          <w:rFonts w:ascii="ZWAdobeF" w:hAnsi="ZWAdobeF" w:cs="ZWAdobeF"/>
          <w:color w:val="auto"/>
          <w:sz w:val="2"/>
          <w:szCs w:val="2"/>
          <w:lang w:val="en-US" w:bidi="en-US"/>
        </w:rPr>
        <w:t>1207B</w:t>
      </w:r>
      <w:r w:rsidR="00D629FA">
        <w:rPr>
          <w:rFonts w:ascii="ZWAdobeF" w:hAnsi="ZWAdobeF" w:cs="ZWAdobeF"/>
          <w:color w:val="auto"/>
          <w:sz w:val="2"/>
          <w:szCs w:val="2"/>
          <w:lang w:val="en-US" w:bidi="en-US"/>
        </w:rPr>
        <w:t>1207B</w:t>
      </w:r>
      <w:r w:rsidR="006A2CBA" w:rsidRPr="006A2CBA">
        <w:rPr>
          <w:rFonts w:ascii="Times New Roman" w:hAnsi="Times New Roman"/>
          <w:sz w:val="23"/>
          <w:lang w:val="en-US" w:bidi="en-US"/>
        </w:rPr>
        <w:t>If the court approves a settlement,</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it—</w:t>
      </w:r>
    </w:p>
    <w:p w14:paraId="65DD868A" w14:textId="7DAD3DBE" w:rsidR="006A2CBA" w:rsidRPr="006A2CBA" w:rsidRDefault="00BD5C95" w:rsidP="00B73434">
      <w:pPr>
        <w:widowControl w:val="0"/>
        <w:numPr>
          <w:ilvl w:val="1"/>
          <w:numId w:val="77"/>
        </w:numPr>
        <w:tabs>
          <w:tab w:val="left" w:pos="1504"/>
          <w:tab w:val="left" w:pos="1505"/>
        </w:tabs>
        <w:autoSpaceDE w:val="0"/>
        <w:autoSpaceDN w:val="0"/>
        <w:spacing w:before="92"/>
        <w:ind w:hanging="601"/>
        <w:rPr>
          <w:rFonts w:ascii="Times New Roman" w:hAnsi="Times New Roman"/>
          <w:sz w:val="23"/>
          <w:lang w:val="en-US" w:bidi="en-US"/>
        </w:rPr>
      </w:pPr>
      <w:r>
        <w:rPr>
          <w:rFonts w:ascii="ZWAdobeF" w:hAnsi="ZWAdobeF" w:cs="ZWAdobeF"/>
          <w:color w:val="auto"/>
          <w:sz w:val="2"/>
          <w:szCs w:val="2"/>
          <w:lang w:val="en-US" w:bidi="en-US"/>
        </w:rPr>
        <w:t>1208B</w:t>
      </w:r>
      <w:r w:rsidR="0049638A">
        <w:rPr>
          <w:rFonts w:ascii="ZWAdobeF" w:hAnsi="ZWAdobeF" w:cs="ZWAdobeF"/>
          <w:color w:val="auto"/>
          <w:sz w:val="2"/>
          <w:szCs w:val="2"/>
          <w:lang w:val="en-US" w:bidi="en-US"/>
        </w:rPr>
        <w:t>1208B</w:t>
      </w:r>
      <w:r w:rsidR="00D629FA">
        <w:rPr>
          <w:rFonts w:ascii="ZWAdobeF" w:hAnsi="ZWAdobeF" w:cs="ZWAdobeF"/>
          <w:color w:val="auto"/>
          <w:sz w:val="2"/>
          <w:szCs w:val="2"/>
          <w:lang w:val="en-US" w:bidi="en-US"/>
        </w:rPr>
        <w:t>1208B</w:t>
      </w:r>
      <w:r w:rsidR="006A2CBA" w:rsidRPr="006A2CBA">
        <w:rPr>
          <w:rFonts w:ascii="Times New Roman" w:hAnsi="Times New Roman"/>
          <w:sz w:val="23"/>
          <w:lang w:val="en-US" w:bidi="en-US"/>
        </w:rPr>
        <w:t>must approve a notice of the approved settlement to class members;</w:t>
      </w:r>
      <w:r w:rsidR="006A2CBA" w:rsidRPr="006A2CBA">
        <w:rPr>
          <w:rFonts w:ascii="Times New Roman" w:hAnsi="Times New Roman"/>
          <w:spacing w:val="-7"/>
          <w:sz w:val="23"/>
          <w:lang w:val="en-US" w:bidi="en-US"/>
        </w:rPr>
        <w:t xml:space="preserve"> </w:t>
      </w:r>
      <w:r w:rsidR="006A2CBA" w:rsidRPr="006A2CBA">
        <w:rPr>
          <w:rFonts w:ascii="Times New Roman" w:hAnsi="Times New Roman"/>
          <w:sz w:val="23"/>
          <w:lang w:val="en-US" w:bidi="en-US"/>
        </w:rPr>
        <w:t>and</w:t>
      </w:r>
    </w:p>
    <w:p w14:paraId="3043F43C" w14:textId="56866A6A" w:rsidR="006A2CBA" w:rsidRPr="006A2CBA" w:rsidRDefault="00BD5C95" w:rsidP="00B73434">
      <w:pPr>
        <w:widowControl w:val="0"/>
        <w:numPr>
          <w:ilvl w:val="1"/>
          <w:numId w:val="77"/>
        </w:numPr>
        <w:tabs>
          <w:tab w:val="left" w:pos="1504"/>
          <w:tab w:val="left" w:pos="1505"/>
        </w:tabs>
        <w:autoSpaceDE w:val="0"/>
        <w:autoSpaceDN w:val="0"/>
        <w:spacing w:before="101" w:line="242" w:lineRule="auto"/>
        <w:ind w:right="301"/>
        <w:rPr>
          <w:rFonts w:ascii="Times New Roman" w:hAnsi="Times New Roman"/>
          <w:sz w:val="23"/>
          <w:lang w:val="en-US" w:bidi="en-US"/>
        </w:rPr>
      </w:pPr>
      <w:r>
        <w:rPr>
          <w:rFonts w:ascii="ZWAdobeF" w:hAnsi="ZWAdobeF" w:cs="ZWAdobeF"/>
          <w:color w:val="auto"/>
          <w:sz w:val="2"/>
          <w:szCs w:val="2"/>
          <w:lang w:val="en-US" w:bidi="en-US"/>
        </w:rPr>
        <w:t>1209B</w:t>
      </w:r>
      <w:r w:rsidR="0049638A">
        <w:rPr>
          <w:rFonts w:ascii="ZWAdobeF" w:hAnsi="ZWAdobeF" w:cs="ZWAdobeF"/>
          <w:color w:val="auto"/>
          <w:sz w:val="2"/>
          <w:szCs w:val="2"/>
          <w:lang w:val="en-US" w:bidi="en-US"/>
        </w:rPr>
        <w:t>1209B</w:t>
      </w:r>
      <w:r w:rsidR="00D629FA">
        <w:rPr>
          <w:rFonts w:ascii="ZWAdobeF" w:hAnsi="ZWAdobeF" w:cs="ZWAdobeF"/>
          <w:color w:val="auto"/>
          <w:sz w:val="2"/>
          <w:szCs w:val="2"/>
          <w:lang w:val="en-US" w:bidi="en-US"/>
        </w:rPr>
        <w:t>1209B</w:t>
      </w:r>
      <w:r w:rsidR="006A2CBA" w:rsidRPr="006A2CBA">
        <w:rPr>
          <w:rFonts w:ascii="Times New Roman" w:hAnsi="Times New Roman"/>
          <w:sz w:val="23"/>
          <w:lang w:val="en-US" w:bidi="en-US"/>
        </w:rPr>
        <w:t xml:space="preserve">must specify a date by which class members (subject to </w:t>
      </w:r>
      <w:r w:rsidR="006A2CBA" w:rsidRPr="006A2CBA">
        <w:rPr>
          <w:rFonts w:ascii="Arial Black" w:hAnsi="Times New Roman"/>
          <w:sz w:val="19"/>
          <w:lang w:val="en-US" w:bidi="en-US"/>
        </w:rPr>
        <w:t>subsection (2)</w:t>
      </w:r>
      <w:r w:rsidR="006A2CBA" w:rsidRPr="006A2CBA">
        <w:rPr>
          <w:rFonts w:ascii="Times New Roman" w:hAnsi="Times New Roman"/>
          <w:sz w:val="23"/>
          <w:lang w:val="en-US" w:bidi="en-US"/>
        </w:rPr>
        <w:t xml:space="preserve">) may opt out of the settlement (the </w:t>
      </w:r>
      <w:r w:rsidR="006A2CBA" w:rsidRPr="006A2CBA">
        <w:rPr>
          <w:rFonts w:ascii="Times New Roman" w:hAnsi="Times New Roman"/>
          <w:b/>
          <w:sz w:val="23"/>
          <w:lang w:val="en-US" w:bidi="en-US"/>
        </w:rPr>
        <w:t>opt-out date</w:t>
      </w:r>
      <w:r w:rsidR="006A2CBA" w:rsidRPr="006A2CBA">
        <w:rPr>
          <w:rFonts w:ascii="Times New Roman" w:hAnsi="Times New Roman"/>
          <w:sz w:val="23"/>
          <w:lang w:val="en-US" w:bidi="en-US"/>
        </w:rPr>
        <w:t>);</w:t>
      </w:r>
      <w:r w:rsidR="006A2CBA" w:rsidRPr="006A2CBA">
        <w:rPr>
          <w:rFonts w:ascii="Times New Roman" w:hAnsi="Times New Roman"/>
          <w:spacing w:val="-3"/>
          <w:sz w:val="23"/>
          <w:lang w:val="en-US" w:bidi="en-US"/>
        </w:rPr>
        <w:t xml:space="preserve"> </w:t>
      </w:r>
      <w:r w:rsidR="006A2CBA" w:rsidRPr="006A2CBA">
        <w:rPr>
          <w:rFonts w:ascii="Times New Roman" w:hAnsi="Times New Roman"/>
          <w:sz w:val="23"/>
          <w:lang w:val="en-US" w:bidi="en-US"/>
        </w:rPr>
        <w:t>and</w:t>
      </w:r>
    </w:p>
    <w:p w14:paraId="39FD6682" w14:textId="76E551F7" w:rsidR="006A2CBA" w:rsidRPr="006A2CBA" w:rsidRDefault="00BD5C95" w:rsidP="00B73434">
      <w:pPr>
        <w:widowControl w:val="0"/>
        <w:numPr>
          <w:ilvl w:val="1"/>
          <w:numId w:val="77"/>
        </w:numPr>
        <w:tabs>
          <w:tab w:val="left" w:pos="1504"/>
          <w:tab w:val="left" w:pos="1505"/>
        </w:tabs>
        <w:autoSpaceDE w:val="0"/>
        <w:autoSpaceDN w:val="0"/>
        <w:spacing w:before="79" w:line="249" w:lineRule="auto"/>
        <w:ind w:right="304"/>
        <w:rPr>
          <w:rFonts w:ascii="Times New Roman" w:hAnsi="Times New Roman"/>
          <w:sz w:val="23"/>
          <w:lang w:val="en-US" w:bidi="en-US"/>
        </w:rPr>
      </w:pPr>
      <w:r>
        <w:rPr>
          <w:rFonts w:ascii="ZWAdobeF" w:hAnsi="ZWAdobeF" w:cs="ZWAdobeF"/>
          <w:color w:val="auto"/>
          <w:sz w:val="2"/>
          <w:szCs w:val="2"/>
          <w:lang w:val="en-US" w:bidi="en-US"/>
        </w:rPr>
        <w:t>1210B</w:t>
      </w:r>
      <w:r w:rsidR="0049638A">
        <w:rPr>
          <w:rFonts w:ascii="ZWAdobeF" w:hAnsi="ZWAdobeF" w:cs="ZWAdobeF"/>
          <w:color w:val="auto"/>
          <w:sz w:val="2"/>
          <w:szCs w:val="2"/>
          <w:lang w:val="en-US" w:bidi="en-US"/>
        </w:rPr>
        <w:t>1210B</w:t>
      </w:r>
      <w:r w:rsidR="00D629FA">
        <w:rPr>
          <w:rFonts w:ascii="ZWAdobeF" w:hAnsi="ZWAdobeF" w:cs="ZWAdobeF"/>
          <w:color w:val="auto"/>
          <w:sz w:val="2"/>
          <w:szCs w:val="2"/>
          <w:lang w:val="en-US" w:bidi="en-US"/>
        </w:rPr>
        <w:t>1210B</w:t>
      </w:r>
      <w:r w:rsidR="006A2CBA" w:rsidRPr="006A2CBA">
        <w:rPr>
          <w:rFonts w:ascii="Times New Roman" w:hAnsi="Times New Roman"/>
          <w:spacing w:val="-4"/>
          <w:sz w:val="23"/>
          <w:lang w:val="en-US" w:bidi="en-US"/>
        </w:rPr>
        <w:t xml:space="preserve">may, </w:t>
      </w:r>
      <w:r w:rsidR="006A2CBA" w:rsidRPr="006A2CBA">
        <w:rPr>
          <w:rFonts w:ascii="Times New Roman" w:hAnsi="Times New Roman"/>
          <w:sz w:val="23"/>
          <w:lang w:val="en-US" w:bidi="en-US"/>
        </w:rPr>
        <w:t>if permitted by the terms of settlement, specify a date by which persons who are eligible to opt in as a class member may do so;</w:t>
      </w:r>
      <w:r w:rsidR="006A2CBA" w:rsidRPr="006A2CBA">
        <w:rPr>
          <w:rFonts w:ascii="Times New Roman" w:hAnsi="Times New Roman"/>
          <w:spacing w:val="-7"/>
          <w:sz w:val="23"/>
          <w:lang w:val="en-US" w:bidi="en-US"/>
        </w:rPr>
        <w:t xml:space="preserve"> </w:t>
      </w:r>
      <w:r w:rsidR="006A2CBA" w:rsidRPr="006A2CBA">
        <w:rPr>
          <w:rFonts w:ascii="Times New Roman" w:hAnsi="Times New Roman"/>
          <w:sz w:val="23"/>
          <w:lang w:val="en-US" w:bidi="en-US"/>
        </w:rPr>
        <w:t>and</w:t>
      </w:r>
    </w:p>
    <w:p w14:paraId="4952525B" w14:textId="137B291F" w:rsidR="006A2CBA" w:rsidRPr="006A2CBA" w:rsidRDefault="00BD5C95" w:rsidP="00B73434">
      <w:pPr>
        <w:widowControl w:val="0"/>
        <w:numPr>
          <w:ilvl w:val="1"/>
          <w:numId w:val="77"/>
        </w:numPr>
        <w:tabs>
          <w:tab w:val="left" w:pos="1504"/>
          <w:tab w:val="left" w:pos="1505"/>
        </w:tabs>
        <w:autoSpaceDE w:val="0"/>
        <w:autoSpaceDN w:val="0"/>
        <w:spacing w:before="82" w:line="249" w:lineRule="auto"/>
        <w:ind w:right="298" w:hanging="601"/>
        <w:rPr>
          <w:rFonts w:ascii="Times New Roman" w:hAnsi="Times New Roman"/>
          <w:sz w:val="23"/>
          <w:lang w:val="en-US" w:bidi="en-US"/>
        </w:rPr>
      </w:pPr>
      <w:r>
        <w:rPr>
          <w:rFonts w:ascii="ZWAdobeF" w:hAnsi="ZWAdobeF" w:cs="ZWAdobeF"/>
          <w:color w:val="auto"/>
          <w:sz w:val="2"/>
          <w:szCs w:val="2"/>
          <w:lang w:val="en-US" w:bidi="en-US"/>
        </w:rPr>
        <w:t>1211B</w:t>
      </w:r>
      <w:r w:rsidR="0049638A">
        <w:rPr>
          <w:rFonts w:ascii="ZWAdobeF" w:hAnsi="ZWAdobeF" w:cs="ZWAdobeF"/>
          <w:color w:val="auto"/>
          <w:sz w:val="2"/>
          <w:szCs w:val="2"/>
          <w:lang w:val="en-US" w:bidi="en-US"/>
        </w:rPr>
        <w:t>1211B</w:t>
      </w:r>
      <w:r w:rsidR="00D629FA">
        <w:rPr>
          <w:rFonts w:ascii="ZWAdobeF" w:hAnsi="ZWAdobeF" w:cs="ZWAdobeF"/>
          <w:color w:val="auto"/>
          <w:sz w:val="2"/>
          <w:szCs w:val="2"/>
          <w:lang w:val="en-US" w:bidi="en-US"/>
        </w:rPr>
        <w:t>1211B</w:t>
      </w:r>
      <w:r w:rsidR="006A2CBA" w:rsidRPr="006A2CBA">
        <w:rPr>
          <w:rFonts w:ascii="Times New Roman" w:hAnsi="Times New Roman"/>
          <w:sz w:val="23"/>
          <w:lang w:val="en-US" w:bidi="en-US"/>
        </w:rPr>
        <w:t>may appoint a person as an administrator to implement the settlement; and</w:t>
      </w:r>
    </w:p>
    <w:p w14:paraId="762E51AF" w14:textId="3D80DBC0" w:rsidR="006A2CBA" w:rsidRPr="006A2CBA" w:rsidRDefault="00BD5C95" w:rsidP="00B73434">
      <w:pPr>
        <w:widowControl w:val="0"/>
        <w:numPr>
          <w:ilvl w:val="1"/>
          <w:numId w:val="77"/>
        </w:numPr>
        <w:tabs>
          <w:tab w:val="left" w:pos="1504"/>
          <w:tab w:val="left" w:pos="1505"/>
        </w:tabs>
        <w:autoSpaceDE w:val="0"/>
        <w:autoSpaceDN w:val="0"/>
        <w:spacing w:before="82" w:line="249" w:lineRule="auto"/>
        <w:ind w:right="299"/>
        <w:rPr>
          <w:rFonts w:ascii="Times New Roman" w:hAnsi="Times New Roman"/>
          <w:sz w:val="23"/>
          <w:lang w:val="en-US" w:bidi="en-US"/>
        </w:rPr>
      </w:pPr>
      <w:r>
        <w:rPr>
          <w:rFonts w:ascii="ZWAdobeF" w:hAnsi="ZWAdobeF" w:cs="ZWAdobeF"/>
          <w:color w:val="auto"/>
          <w:sz w:val="2"/>
          <w:szCs w:val="2"/>
          <w:lang w:val="en-US" w:bidi="en-US"/>
        </w:rPr>
        <w:t>1212B</w:t>
      </w:r>
      <w:r w:rsidR="0049638A">
        <w:rPr>
          <w:rFonts w:ascii="ZWAdobeF" w:hAnsi="ZWAdobeF" w:cs="ZWAdobeF"/>
          <w:color w:val="auto"/>
          <w:sz w:val="2"/>
          <w:szCs w:val="2"/>
          <w:lang w:val="en-US" w:bidi="en-US"/>
        </w:rPr>
        <w:t>1212B</w:t>
      </w:r>
      <w:r w:rsidR="00D629FA">
        <w:rPr>
          <w:rFonts w:ascii="ZWAdobeF" w:hAnsi="ZWAdobeF" w:cs="ZWAdobeF"/>
          <w:color w:val="auto"/>
          <w:sz w:val="2"/>
          <w:szCs w:val="2"/>
          <w:lang w:val="en-US" w:bidi="en-US"/>
        </w:rPr>
        <w:t>1212B</w:t>
      </w:r>
      <w:r w:rsidR="006A2CBA" w:rsidRPr="006A2CBA">
        <w:rPr>
          <w:rFonts w:ascii="Times New Roman" w:hAnsi="Times New Roman"/>
          <w:sz w:val="23"/>
          <w:lang w:val="en-US" w:bidi="en-US"/>
        </w:rPr>
        <w:t>may make other orders it considers appropriate for the administration and implementation of the</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settlement.</w:t>
      </w:r>
    </w:p>
    <w:p w14:paraId="6A00A49A" w14:textId="495ADA98" w:rsidR="006A2CBA" w:rsidRPr="006A2CBA" w:rsidRDefault="00BD5C95" w:rsidP="00B73434">
      <w:pPr>
        <w:widowControl w:val="0"/>
        <w:numPr>
          <w:ilvl w:val="0"/>
          <w:numId w:val="77"/>
        </w:numPr>
        <w:tabs>
          <w:tab w:val="left" w:pos="905"/>
        </w:tabs>
        <w:autoSpaceDE w:val="0"/>
        <w:autoSpaceDN w:val="0"/>
        <w:spacing w:before="82" w:line="249" w:lineRule="auto"/>
        <w:ind w:right="299" w:hanging="601"/>
        <w:jc w:val="both"/>
        <w:rPr>
          <w:rFonts w:ascii="Times New Roman" w:hAnsi="Times New Roman"/>
          <w:sz w:val="23"/>
          <w:lang w:val="en-US" w:bidi="en-US"/>
        </w:rPr>
      </w:pPr>
      <w:r>
        <w:rPr>
          <w:rFonts w:ascii="ZWAdobeF" w:hAnsi="ZWAdobeF" w:cs="ZWAdobeF"/>
          <w:color w:val="auto"/>
          <w:sz w:val="2"/>
          <w:szCs w:val="2"/>
          <w:lang w:val="en-US" w:bidi="en-US"/>
        </w:rPr>
        <w:t>1213B</w:t>
      </w:r>
      <w:r w:rsidR="0049638A">
        <w:rPr>
          <w:rFonts w:ascii="ZWAdobeF" w:hAnsi="ZWAdobeF" w:cs="ZWAdobeF"/>
          <w:color w:val="auto"/>
          <w:sz w:val="2"/>
          <w:szCs w:val="2"/>
          <w:lang w:val="en-US" w:bidi="en-US"/>
        </w:rPr>
        <w:t>1213B</w:t>
      </w:r>
      <w:r w:rsidR="00D629FA">
        <w:rPr>
          <w:rFonts w:ascii="ZWAdobeF" w:hAnsi="ZWAdobeF" w:cs="ZWAdobeF"/>
          <w:color w:val="auto"/>
          <w:sz w:val="2"/>
          <w:szCs w:val="2"/>
          <w:lang w:val="en-US" w:bidi="en-US"/>
        </w:rPr>
        <w:t>1213B</w:t>
      </w:r>
      <w:r w:rsidR="006A2CBA" w:rsidRPr="006A2CBA">
        <w:rPr>
          <w:rFonts w:ascii="Times New Roman" w:hAnsi="Times New Roman"/>
          <w:sz w:val="23"/>
          <w:lang w:val="en-US" w:bidi="en-US"/>
        </w:rPr>
        <w:t>In an opt-in proceeding, it is not necessary to give an opportunity to opt out to class members who opted in to the proceeding after being notified of the proposed terms of</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settlement.</w:t>
      </w:r>
    </w:p>
    <w:p w14:paraId="35B795DE" w14:textId="4BCB17BF" w:rsidR="006A2CBA" w:rsidRPr="006A2CBA" w:rsidRDefault="00BD5C95" w:rsidP="00B73434">
      <w:pPr>
        <w:widowControl w:val="0"/>
        <w:numPr>
          <w:ilvl w:val="0"/>
          <w:numId w:val="77"/>
        </w:numPr>
        <w:tabs>
          <w:tab w:val="left" w:pos="905"/>
        </w:tabs>
        <w:autoSpaceDE w:val="0"/>
        <w:autoSpaceDN w:val="0"/>
        <w:spacing w:before="83" w:line="242" w:lineRule="auto"/>
        <w:ind w:right="299"/>
        <w:jc w:val="both"/>
        <w:rPr>
          <w:rFonts w:ascii="Times New Roman" w:hAnsi="Times New Roman"/>
          <w:sz w:val="23"/>
          <w:lang w:val="en-US" w:bidi="en-US"/>
        </w:rPr>
      </w:pPr>
      <w:r>
        <w:rPr>
          <w:rFonts w:ascii="ZWAdobeF" w:hAnsi="ZWAdobeF" w:cs="ZWAdobeF"/>
          <w:color w:val="auto"/>
          <w:sz w:val="2"/>
          <w:szCs w:val="2"/>
          <w:lang w:val="en-US" w:bidi="en-US"/>
        </w:rPr>
        <w:t>1214B</w:t>
      </w:r>
      <w:r w:rsidR="0049638A">
        <w:rPr>
          <w:rFonts w:ascii="ZWAdobeF" w:hAnsi="ZWAdobeF" w:cs="ZWAdobeF"/>
          <w:color w:val="auto"/>
          <w:sz w:val="2"/>
          <w:szCs w:val="2"/>
          <w:lang w:val="en-US" w:bidi="en-US"/>
        </w:rPr>
        <w:t>1214B</w:t>
      </w:r>
      <w:r w:rsidR="00D629FA">
        <w:rPr>
          <w:rFonts w:ascii="ZWAdobeF" w:hAnsi="ZWAdobeF" w:cs="ZWAdobeF"/>
          <w:color w:val="auto"/>
          <w:sz w:val="2"/>
          <w:szCs w:val="2"/>
          <w:lang w:val="en-US" w:bidi="en-US"/>
        </w:rPr>
        <w:t>1214B</w:t>
      </w:r>
      <w:r w:rsidR="006A2CBA" w:rsidRPr="006A2CBA">
        <w:rPr>
          <w:rFonts w:ascii="Times New Roman" w:hAnsi="Times New Roman"/>
          <w:sz w:val="23"/>
          <w:lang w:val="en-US" w:bidi="en-US"/>
        </w:rPr>
        <w:t xml:space="preserve">If a class member opts out of the settlement, the suspension period under </w:t>
      </w:r>
      <w:r w:rsidR="006A2CBA" w:rsidRPr="006A2CBA">
        <w:rPr>
          <w:rFonts w:ascii="Arial Black" w:hAnsi="Times New Roman"/>
          <w:sz w:val="19"/>
          <w:lang w:val="en-US" w:bidi="en-US"/>
        </w:rPr>
        <w:t xml:space="preserve">section 5 </w:t>
      </w:r>
      <w:r w:rsidR="006A2CBA" w:rsidRPr="006A2CBA">
        <w:rPr>
          <w:rFonts w:ascii="Times New Roman" w:hAnsi="Times New Roman"/>
          <w:sz w:val="23"/>
          <w:lang w:val="en-US" w:bidi="en-US"/>
        </w:rPr>
        <w:lastRenderedPageBreak/>
        <w:t>(relating to any limitation period that applies to their claim) ends on the day they do</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so.</w:t>
      </w:r>
    </w:p>
    <w:p w14:paraId="5EFD2B08" w14:textId="28331C22" w:rsidR="006A2CBA" w:rsidRPr="006A2CBA" w:rsidRDefault="00BD5C95" w:rsidP="00B73434">
      <w:pPr>
        <w:widowControl w:val="0"/>
        <w:numPr>
          <w:ilvl w:val="0"/>
          <w:numId w:val="77"/>
        </w:numPr>
        <w:tabs>
          <w:tab w:val="left" w:pos="905"/>
        </w:tabs>
        <w:autoSpaceDE w:val="0"/>
        <w:autoSpaceDN w:val="0"/>
        <w:spacing w:before="88" w:line="249" w:lineRule="auto"/>
        <w:ind w:right="300" w:hanging="601"/>
        <w:jc w:val="both"/>
        <w:rPr>
          <w:rFonts w:ascii="Times New Roman" w:hAnsi="Times New Roman"/>
          <w:sz w:val="23"/>
          <w:lang w:val="en-US" w:bidi="en-US"/>
        </w:rPr>
      </w:pPr>
      <w:r>
        <w:rPr>
          <w:rFonts w:ascii="ZWAdobeF" w:hAnsi="ZWAdobeF" w:cs="ZWAdobeF"/>
          <w:color w:val="auto"/>
          <w:sz w:val="2"/>
          <w:szCs w:val="2"/>
          <w:lang w:val="en-US" w:bidi="en-US"/>
        </w:rPr>
        <w:t>1215B</w:t>
      </w:r>
      <w:r w:rsidR="0049638A">
        <w:rPr>
          <w:rFonts w:ascii="ZWAdobeF" w:hAnsi="ZWAdobeF" w:cs="ZWAdobeF"/>
          <w:color w:val="auto"/>
          <w:sz w:val="2"/>
          <w:szCs w:val="2"/>
          <w:lang w:val="en-US" w:bidi="en-US"/>
        </w:rPr>
        <w:t>1215B</w:t>
      </w:r>
      <w:r w:rsidR="00D629FA">
        <w:rPr>
          <w:rFonts w:ascii="ZWAdobeF" w:hAnsi="ZWAdobeF" w:cs="ZWAdobeF"/>
          <w:color w:val="auto"/>
          <w:sz w:val="2"/>
          <w:szCs w:val="2"/>
          <w:lang w:val="en-US" w:bidi="en-US"/>
        </w:rPr>
        <w:t>1215B</w:t>
      </w:r>
      <w:r w:rsidR="006A2CBA" w:rsidRPr="006A2CBA">
        <w:rPr>
          <w:rFonts w:ascii="Times New Roman" w:hAnsi="Times New Roman"/>
          <w:sz w:val="23"/>
          <w:lang w:val="en-US" w:bidi="en-US"/>
        </w:rPr>
        <w:t>On the day immediately following the opt-out date, the settlement is binding on all parties to the settlement and all remaining class</w:t>
      </w:r>
      <w:r w:rsidR="006A2CBA" w:rsidRPr="006A2CBA">
        <w:rPr>
          <w:rFonts w:ascii="Times New Roman" w:hAnsi="Times New Roman"/>
          <w:spacing w:val="-4"/>
          <w:sz w:val="23"/>
          <w:lang w:val="en-US" w:bidi="en-US"/>
        </w:rPr>
        <w:t xml:space="preserve"> </w:t>
      </w:r>
      <w:r w:rsidR="006A2CBA" w:rsidRPr="006A2CBA">
        <w:rPr>
          <w:rFonts w:ascii="Times New Roman" w:hAnsi="Times New Roman"/>
          <w:sz w:val="23"/>
          <w:lang w:val="en-US" w:bidi="en-US"/>
        </w:rPr>
        <w:t>members.</w:t>
      </w:r>
    </w:p>
    <w:p w14:paraId="3168B364" w14:textId="5A87D63F" w:rsidR="006A2CBA" w:rsidRPr="006A2CBA" w:rsidRDefault="00BD5C95" w:rsidP="00B73434">
      <w:pPr>
        <w:widowControl w:val="0"/>
        <w:numPr>
          <w:ilvl w:val="0"/>
          <w:numId w:val="67"/>
        </w:numPr>
        <w:tabs>
          <w:tab w:val="left" w:pos="905"/>
        </w:tabs>
        <w:autoSpaceDE w:val="0"/>
        <w:autoSpaceDN w:val="0"/>
        <w:spacing w:before="202"/>
        <w:ind w:hanging="601"/>
        <w:jc w:val="both"/>
        <w:outlineLvl w:val="2"/>
        <w:rPr>
          <w:rFonts w:ascii="Times New Roman" w:hAnsi="Times New Roman"/>
          <w:b/>
          <w:sz w:val="23"/>
          <w:szCs w:val="23"/>
          <w:lang w:val="en-US" w:bidi="en-US"/>
        </w:rPr>
      </w:pPr>
      <w:r>
        <w:rPr>
          <w:rFonts w:ascii="ZWAdobeF" w:hAnsi="ZWAdobeF" w:cs="ZWAdobeF"/>
          <w:color w:val="auto"/>
          <w:sz w:val="2"/>
          <w:szCs w:val="2"/>
          <w:lang w:val="en-US" w:bidi="en-US"/>
        </w:rPr>
        <w:t>1216B</w:t>
      </w:r>
      <w:r w:rsidR="0049638A">
        <w:rPr>
          <w:rFonts w:ascii="ZWAdobeF" w:hAnsi="ZWAdobeF" w:cs="ZWAdobeF"/>
          <w:color w:val="auto"/>
          <w:sz w:val="2"/>
          <w:szCs w:val="2"/>
          <w:lang w:val="en-US" w:bidi="en-US"/>
        </w:rPr>
        <w:t>1216B</w:t>
      </w:r>
      <w:r w:rsidR="00D629FA">
        <w:rPr>
          <w:rFonts w:ascii="ZWAdobeF" w:hAnsi="ZWAdobeF" w:cs="ZWAdobeF"/>
          <w:color w:val="auto"/>
          <w:sz w:val="2"/>
          <w:szCs w:val="2"/>
          <w:lang w:val="en-US" w:bidi="en-US"/>
        </w:rPr>
        <w:t>1216B</w:t>
      </w:r>
      <w:r w:rsidR="006A2CBA" w:rsidRPr="006A2CBA">
        <w:rPr>
          <w:rFonts w:ascii="Times New Roman" w:hAnsi="Times New Roman"/>
          <w:b/>
          <w:sz w:val="23"/>
          <w:szCs w:val="23"/>
          <w:lang w:val="en-US" w:bidi="en-US"/>
        </w:rPr>
        <w:t>Administration and implementation of</w:t>
      </w:r>
      <w:r w:rsidR="006A2CBA" w:rsidRPr="006A2CBA">
        <w:rPr>
          <w:rFonts w:ascii="Times New Roman" w:hAnsi="Times New Roman"/>
          <w:b/>
          <w:spacing w:val="-3"/>
          <w:sz w:val="23"/>
          <w:szCs w:val="23"/>
          <w:lang w:val="en-US" w:bidi="en-US"/>
        </w:rPr>
        <w:t xml:space="preserve"> </w:t>
      </w:r>
      <w:r w:rsidR="006A2CBA" w:rsidRPr="006A2CBA">
        <w:rPr>
          <w:rFonts w:ascii="Times New Roman" w:hAnsi="Times New Roman"/>
          <w:b/>
          <w:sz w:val="23"/>
          <w:szCs w:val="23"/>
          <w:lang w:val="en-US" w:bidi="en-US"/>
        </w:rPr>
        <w:t>settlement</w:t>
      </w:r>
    </w:p>
    <w:p w14:paraId="18B6C2DF" w14:textId="084BAF11" w:rsidR="006A2CBA" w:rsidRPr="006A2CBA" w:rsidRDefault="00BD5C95" w:rsidP="00B73434">
      <w:pPr>
        <w:widowControl w:val="0"/>
        <w:numPr>
          <w:ilvl w:val="0"/>
          <w:numId w:val="78"/>
        </w:numPr>
        <w:tabs>
          <w:tab w:val="left" w:pos="905"/>
        </w:tabs>
        <w:autoSpaceDE w:val="0"/>
        <w:autoSpaceDN w:val="0"/>
        <w:spacing w:before="92"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1217B</w:t>
      </w:r>
      <w:r w:rsidR="0049638A">
        <w:rPr>
          <w:rFonts w:ascii="ZWAdobeF" w:hAnsi="ZWAdobeF" w:cs="ZWAdobeF"/>
          <w:color w:val="auto"/>
          <w:sz w:val="2"/>
          <w:szCs w:val="2"/>
          <w:lang w:val="en-US" w:bidi="en-US"/>
        </w:rPr>
        <w:t>1217B</w:t>
      </w:r>
      <w:r w:rsidR="00D629FA">
        <w:rPr>
          <w:rFonts w:ascii="ZWAdobeF" w:hAnsi="ZWAdobeF" w:cs="ZWAdobeF"/>
          <w:color w:val="auto"/>
          <w:sz w:val="2"/>
          <w:szCs w:val="2"/>
          <w:lang w:val="en-US" w:bidi="en-US"/>
        </w:rPr>
        <w:t>1217B</w:t>
      </w:r>
      <w:r w:rsidR="006A2CBA" w:rsidRPr="006A2CBA">
        <w:rPr>
          <w:rFonts w:ascii="Times New Roman" w:hAnsi="Times New Roman"/>
          <w:sz w:val="23"/>
          <w:lang w:val="en-US" w:bidi="en-US"/>
        </w:rPr>
        <w:t>The court must supervise the administration and implementation of the settlement whether or not it has appointed an</w:t>
      </w:r>
      <w:r w:rsidR="006A2CBA" w:rsidRPr="006A2CBA">
        <w:rPr>
          <w:rFonts w:ascii="Times New Roman" w:hAnsi="Times New Roman"/>
          <w:spacing w:val="-5"/>
          <w:sz w:val="23"/>
          <w:lang w:val="en-US" w:bidi="en-US"/>
        </w:rPr>
        <w:t xml:space="preserve"> </w:t>
      </w:r>
      <w:r w:rsidR="006A2CBA" w:rsidRPr="006A2CBA">
        <w:rPr>
          <w:rFonts w:ascii="Times New Roman" w:hAnsi="Times New Roman"/>
          <w:sz w:val="23"/>
          <w:lang w:val="en-US" w:bidi="en-US"/>
        </w:rPr>
        <w:t>administrator.</w:t>
      </w:r>
    </w:p>
    <w:p w14:paraId="365E99B0" w14:textId="77B2253E" w:rsidR="006A2CBA" w:rsidRPr="006A2CBA" w:rsidRDefault="00BD5C95" w:rsidP="00B73434">
      <w:pPr>
        <w:widowControl w:val="0"/>
        <w:numPr>
          <w:ilvl w:val="0"/>
          <w:numId w:val="78"/>
        </w:numPr>
        <w:tabs>
          <w:tab w:val="left" w:pos="905"/>
        </w:tabs>
        <w:autoSpaceDE w:val="0"/>
        <w:autoSpaceDN w:val="0"/>
        <w:spacing w:before="8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1218B</w:t>
      </w:r>
      <w:r w:rsidR="0049638A">
        <w:rPr>
          <w:rFonts w:ascii="ZWAdobeF" w:hAnsi="ZWAdobeF" w:cs="ZWAdobeF"/>
          <w:color w:val="auto"/>
          <w:sz w:val="2"/>
          <w:szCs w:val="2"/>
          <w:lang w:val="en-US" w:bidi="en-US"/>
        </w:rPr>
        <w:t>1218B</w:t>
      </w:r>
      <w:r w:rsidR="00D629FA">
        <w:rPr>
          <w:rFonts w:ascii="ZWAdobeF" w:hAnsi="ZWAdobeF" w:cs="ZWAdobeF"/>
          <w:color w:val="auto"/>
          <w:sz w:val="2"/>
          <w:szCs w:val="2"/>
          <w:lang w:val="en-US" w:bidi="en-US"/>
        </w:rPr>
        <w:t>1218B</w:t>
      </w:r>
      <w:r w:rsidR="006A2CBA" w:rsidRPr="006A2CBA">
        <w:rPr>
          <w:rFonts w:ascii="Times New Roman" w:hAnsi="Times New Roman"/>
          <w:sz w:val="23"/>
          <w:lang w:val="en-US" w:bidi="en-US"/>
        </w:rPr>
        <w:t>An administrator or the parties (if the court has not appointed an administrator) must file a report with information about the process and outcome of the implementation of the settlement within 60 days of the implementation process being completed.</w:t>
      </w:r>
    </w:p>
    <w:p w14:paraId="0CF3E14A" w14:textId="1CDD7A86" w:rsidR="006A2CBA" w:rsidRPr="006A2CBA" w:rsidRDefault="00BD5C95" w:rsidP="00B73434">
      <w:pPr>
        <w:widowControl w:val="0"/>
        <w:numPr>
          <w:ilvl w:val="0"/>
          <w:numId w:val="67"/>
        </w:numPr>
        <w:tabs>
          <w:tab w:val="left" w:pos="905"/>
        </w:tabs>
        <w:autoSpaceDE w:val="0"/>
        <w:autoSpaceDN w:val="0"/>
        <w:spacing w:before="213"/>
        <w:ind w:hanging="601"/>
        <w:jc w:val="both"/>
        <w:outlineLvl w:val="2"/>
        <w:rPr>
          <w:rFonts w:ascii="Times New Roman" w:hAnsi="Times New Roman"/>
          <w:b/>
          <w:sz w:val="23"/>
          <w:szCs w:val="23"/>
          <w:lang w:val="en-US" w:bidi="en-US"/>
        </w:rPr>
      </w:pPr>
      <w:bookmarkStart w:id="120" w:name="_bookmark13"/>
      <w:bookmarkStart w:id="121" w:name="_bookmark14"/>
      <w:bookmarkEnd w:id="120"/>
      <w:bookmarkEnd w:id="121"/>
      <w:r>
        <w:rPr>
          <w:rFonts w:ascii="ZWAdobeF" w:hAnsi="ZWAdobeF" w:cs="ZWAdobeF"/>
          <w:color w:val="auto"/>
          <w:sz w:val="2"/>
          <w:szCs w:val="2"/>
          <w:lang w:val="en-US" w:bidi="en-US"/>
        </w:rPr>
        <w:t>1219B</w:t>
      </w:r>
      <w:r w:rsidR="0049638A">
        <w:rPr>
          <w:rFonts w:ascii="ZWAdobeF" w:hAnsi="ZWAdobeF" w:cs="ZWAdobeF"/>
          <w:color w:val="auto"/>
          <w:sz w:val="2"/>
          <w:szCs w:val="2"/>
          <w:lang w:val="en-US" w:bidi="en-US"/>
        </w:rPr>
        <w:t>1219B</w:t>
      </w:r>
      <w:r w:rsidR="00D629FA">
        <w:rPr>
          <w:rFonts w:ascii="ZWAdobeF" w:hAnsi="ZWAdobeF" w:cs="ZWAdobeF"/>
          <w:color w:val="auto"/>
          <w:sz w:val="2"/>
          <w:szCs w:val="2"/>
          <w:lang w:val="en-US" w:bidi="en-US"/>
        </w:rPr>
        <w:t>1219B</w:t>
      </w:r>
      <w:r w:rsidR="006A2CBA" w:rsidRPr="006A2CBA">
        <w:rPr>
          <w:rFonts w:ascii="Times New Roman" w:hAnsi="Times New Roman"/>
          <w:b/>
          <w:sz w:val="23"/>
          <w:szCs w:val="23"/>
          <w:lang w:val="en-US" w:bidi="en-US"/>
        </w:rPr>
        <w:t>Aggregate monetary</w:t>
      </w:r>
      <w:r w:rsidR="006A2CBA" w:rsidRPr="006A2CBA">
        <w:rPr>
          <w:rFonts w:ascii="Times New Roman" w:hAnsi="Times New Roman"/>
          <w:b/>
          <w:spacing w:val="-1"/>
          <w:sz w:val="23"/>
          <w:szCs w:val="23"/>
          <w:lang w:val="en-US" w:bidi="en-US"/>
        </w:rPr>
        <w:t xml:space="preserve"> </w:t>
      </w:r>
      <w:r w:rsidR="006A2CBA" w:rsidRPr="006A2CBA">
        <w:rPr>
          <w:rFonts w:ascii="Times New Roman" w:hAnsi="Times New Roman"/>
          <w:b/>
          <w:sz w:val="23"/>
          <w:szCs w:val="23"/>
          <w:lang w:val="en-US" w:bidi="en-US"/>
        </w:rPr>
        <w:t>relief</w:t>
      </w:r>
    </w:p>
    <w:p w14:paraId="03168DA8" w14:textId="4768DC6F" w:rsidR="006A2CBA" w:rsidRPr="006A2CBA" w:rsidRDefault="00BD5C95" w:rsidP="00B73434">
      <w:pPr>
        <w:widowControl w:val="0"/>
        <w:numPr>
          <w:ilvl w:val="0"/>
          <w:numId w:val="79"/>
        </w:numPr>
        <w:tabs>
          <w:tab w:val="left" w:pos="905"/>
        </w:tabs>
        <w:autoSpaceDE w:val="0"/>
        <w:autoSpaceDN w:val="0"/>
        <w:spacing w:before="92" w:line="249" w:lineRule="auto"/>
        <w:ind w:right="297"/>
        <w:jc w:val="both"/>
        <w:rPr>
          <w:rFonts w:ascii="Times New Roman" w:hAnsi="Times New Roman"/>
          <w:sz w:val="23"/>
          <w:lang w:val="en-US" w:bidi="en-US"/>
        </w:rPr>
      </w:pPr>
      <w:r>
        <w:rPr>
          <w:rFonts w:ascii="ZWAdobeF" w:hAnsi="ZWAdobeF" w:cs="ZWAdobeF"/>
          <w:color w:val="auto"/>
          <w:sz w:val="2"/>
          <w:szCs w:val="2"/>
          <w:lang w:val="en-US" w:bidi="en-US"/>
        </w:rPr>
        <w:t>1220B</w:t>
      </w:r>
      <w:r w:rsidR="0049638A">
        <w:rPr>
          <w:rFonts w:ascii="ZWAdobeF" w:hAnsi="ZWAdobeF" w:cs="ZWAdobeF"/>
          <w:color w:val="auto"/>
          <w:sz w:val="2"/>
          <w:szCs w:val="2"/>
          <w:lang w:val="en-US" w:bidi="en-US"/>
        </w:rPr>
        <w:t>1220B</w:t>
      </w:r>
      <w:r w:rsidR="00D629FA">
        <w:rPr>
          <w:rFonts w:ascii="ZWAdobeF" w:hAnsi="ZWAdobeF" w:cs="ZWAdobeF"/>
          <w:color w:val="auto"/>
          <w:sz w:val="2"/>
          <w:szCs w:val="2"/>
          <w:lang w:val="en-US" w:bidi="en-US"/>
        </w:rPr>
        <w:t>1220B</w:t>
      </w:r>
      <w:r w:rsidR="006A2CBA" w:rsidRPr="006A2CBA">
        <w:rPr>
          <w:rFonts w:ascii="Times New Roman" w:hAnsi="Times New Roman"/>
          <w:sz w:val="23"/>
          <w:lang w:val="en-US" w:bidi="en-US"/>
        </w:rPr>
        <w:t xml:space="preserve">A court may award monetary relief to class members on an aggregate </w:t>
      </w:r>
      <w:r w:rsidR="006A2CBA" w:rsidRPr="006A2CBA">
        <w:rPr>
          <w:rFonts w:ascii="Times New Roman" w:hAnsi="Times New Roman"/>
          <w:spacing w:val="-3"/>
          <w:sz w:val="23"/>
          <w:lang w:val="en-US" w:bidi="en-US"/>
        </w:rPr>
        <w:t>basis</w:t>
      </w:r>
      <w:r w:rsidR="006A2CBA" w:rsidRPr="006A2CBA">
        <w:rPr>
          <w:rFonts w:ascii="Times New Roman" w:hAnsi="Times New Roman"/>
          <w:spacing w:val="51"/>
          <w:sz w:val="23"/>
          <w:lang w:val="en-US" w:bidi="en-US"/>
        </w:rPr>
        <w:t xml:space="preserve"> </w:t>
      </w:r>
      <w:r w:rsidR="006A2CBA" w:rsidRPr="006A2CBA">
        <w:rPr>
          <w:rFonts w:ascii="Times New Roman" w:hAnsi="Times New Roman"/>
          <w:sz w:val="23"/>
          <w:lang w:val="en-US" w:bidi="en-US"/>
        </w:rPr>
        <w:t>if—</w:t>
      </w:r>
    </w:p>
    <w:p w14:paraId="13451B3C" w14:textId="11E2DDEF" w:rsidR="006A2CBA" w:rsidRPr="006A2CBA" w:rsidRDefault="00BD5C95" w:rsidP="00B73434">
      <w:pPr>
        <w:widowControl w:val="0"/>
        <w:numPr>
          <w:ilvl w:val="1"/>
          <w:numId w:val="79"/>
        </w:numPr>
        <w:tabs>
          <w:tab w:val="left" w:pos="1505"/>
        </w:tabs>
        <w:autoSpaceDE w:val="0"/>
        <w:autoSpaceDN w:val="0"/>
        <w:spacing w:before="82" w:line="249" w:lineRule="auto"/>
        <w:ind w:right="300" w:hanging="601"/>
        <w:jc w:val="both"/>
        <w:rPr>
          <w:rFonts w:ascii="Times New Roman" w:hAnsi="Times New Roman"/>
          <w:sz w:val="23"/>
          <w:lang w:val="en-US" w:bidi="en-US"/>
        </w:rPr>
      </w:pPr>
      <w:r>
        <w:rPr>
          <w:rFonts w:ascii="ZWAdobeF" w:hAnsi="ZWAdobeF" w:cs="ZWAdobeF"/>
          <w:color w:val="auto"/>
          <w:sz w:val="2"/>
          <w:szCs w:val="2"/>
          <w:lang w:val="en-US" w:bidi="en-US"/>
        </w:rPr>
        <w:t>1221B</w:t>
      </w:r>
      <w:r w:rsidR="0049638A">
        <w:rPr>
          <w:rFonts w:ascii="ZWAdobeF" w:hAnsi="ZWAdobeF" w:cs="ZWAdobeF"/>
          <w:color w:val="auto"/>
          <w:sz w:val="2"/>
          <w:szCs w:val="2"/>
          <w:lang w:val="en-US" w:bidi="en-US"/>
        </w:rPr>
        <w:t>1221B</w:t>
      </w:r>
      <w:r w:rsidR="00D629FA">
        <w:rPr>
          <w:rFonts w:ascii="ZWAdobeF" w:hAnsi="ZWAdobeF" w:cs="ZWAdobeF"/>
          <w:color w:val="auto"/>
          <w:sz w:val="2"/>
          <w:szCs w:val="2"/>
          <w:lang w:val="en-US" w:bidi="en-US"/>
        </w:rPr>
        <w:t>1221B</w:t>
      </w:r>
      <w:r w:rsidR="006A2CBA" w:rsidRPr="006A2CBA">
        <w:rPr>
          <w:rFonts w:ascii="Times New Roman" w:hAnsi="Times New Roman"/>
          <w:sz w:val="23"/>
          <w:lang w:val="en-US" w:bidi="en-US"/>
        </w:rPr>
        <w:t xml:space="preserve">it is satisfied that it can make a reasonably accurate assessment of the total amount to which class members are entitled (the </w:t>
      </w:r>
      <w:r w:rsidR="006A2CBA" w:rsidRPr="006A2CBA">
        <w:rPr>
          <w:rFonts w:ascii="Times New Roman" w:hAnsi="Times New Roman"/>
          <w:b/>
          <w:sz w:val="23"/>
          <w:lang w:val="en-US" w:bidi="en-US"/>
        </w:rPr>
        <w:t>award</w:t>
      </w:r>
      <w:r w:rsidR="006A2CBA" w:rsidRPr="006A2CBA">
        <w:rPr>
          <w:rFonts w:ascii="Times New Roman" w:hAnsi="Times New Roman"/>
          <w:sz w:val="23"/>
          <w:lang w:val="en-US" w:bidi="en-US"/>
        </w:rPr>
        <w:t>);</w:t>
      </w:r>
      <w:r w:rsidR="006A2CBA" w:rsidRPr="006A2CBA">
        <w:rPr>
          <w:rFonts w:ascii="Times New Roman" w:hAnsi="Times New Roman"/>
          <w:spacing w:val="-7"/>
          <w:sz w:val="23"/>
          <w:lang w:val="en-US" w:bidi="en-US"/>
        </w:rPr>
        <w:t xml:space="preserve"> </w:t>
      </w:r>
      <w:r w:rsidR="006A2CBA" w:rsidRPr="006A2CBA">
        <w:rPr>
          <w:rFonts w:ascii="Times New Roman" w:hAnsi="Times New Roman"/>
          <w:sz w:val="23"/>
          <w:lang w:val="en-US" w:bidi="en-US"/>
        </w:rPr>
        <w:t>and</w:t>
      </w:r>
    </w:p>
    <w:p w14:paraId="5D327EED" w14:textId="41847755" w:rsidR="006A2CBA" w:rsidRPr="006A2CBA" w:rsidRDefault="00BD5C95" w:rsidP="00B73434">
      <w:pPr>
        <w:widowControl w:val="0"/>
        <w:numPr>
          <w:ilvl w:val="1"/>
          <w:numId w:val="79"/>
        </w:numPr>
        <w:tabs>
          <w:tab w:val="left" w:pos="1505"/>
        </w:tabs>
        <w:autoSpaceDE w:val="0"/>
        <w:autoSpaceDN w:val="0"/>
        <w:spacing w:before="82"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1222B</w:t>
      </w:r>
      <w:r w:rsidR="0049638A">
        <w:rPr>
          <w:rFonts w:ascii="ZWAdobeF" w:hAnsi="ZWAdobeF" w:cs="ZWAdobeF"/>
          <w:color w:val="auto"/>
          <w:sz w:val="2"/>
          <w:szCs w:val="2"/>
          <w:lang w:val="en-US" w:bidi="en-US"/>
        </w:rPr>
        <w:t>1222B</w:t>
      </w:r>
      <w:r w:rsidR="00D629FA">
        <w:rPr>
          <w:rFonts w:ascii="ZWAdobeF" w:hAnsi="ZWAdobeF" w:cs="ZWAdobeF"/>
          <w:color w:val="auto"/>
          <w:sz w:val="2"/>
          <w:szCs w:val="2"/>
          <w:lang w:val="en-US" w:bidi="en-US"/>
        </w:rPr>
        <w:t>1222B</w:t>
      </w:r>
      <w:r w:rsidR="006A2CBA" w:rsidRPr="006A2CBA">
        <w:rPr>
          <w:rFonts w:ascii="Times New Roman" w:hAnsi="Times New Roman"/>
          <w:sz w:val="23"/>
          <w:lang w:val="en-US" w:bidi="en-US"/>
        </w:rPr>
        <w:t xml:space="preserve">no question of fact or law remains to be determined to establish the amount of the defendant’s liability other than questions relating to </w:t>
      </w:r>
      <w:r w:rsidR="006A2CBA" w:rsidRPr="006A2CBA">
        <w:rPr>
          <w:rFonts w:ascii="Times New Roman" w:hAnsi="Times New Roman"/>
          <w:spacing w:val="-4"/>
          <w:sz w:val="23"/>
          <w:lang w:val="en-US" w:bidi="en-US"/>
        </w:rPr>
        <w:t>the</w:t>
      </w:r>
      <w:r w:rsidR="006A2CBA" w:rsidRPr="006A2CBA">
        <w:rPr>
          <w:rFonts w:ascii="Times New Roman" w:hAnsi="Times New Roman"/>
          <w:spacing w:val="49"/>
          <w:sz w:val="23"/>
          <w:lang w:val="en-US" w:bidi="en-US"/>
        </w:rPr>
        <w:t xml:space="preserve"> </w:t>
      </w:r>
      <w:r w:rsidR="006A2CBA" w:rsidRPr="006A2CBA">
        <w:rPr>
          <w:rFonts w:ascii="Times New Roman" w:hAnsi="Times New Roman"/>
          <w:sz w:val="23"/>
          <w:lang w:val="en-US" w:bidi="en-US"/>
        </w:rPr>
        <w:t>assessment of monetary relief.</w:t>
      </w:r>
    </w:p>
    <w:p w14:paraId="753C286E" w14:textId="35BD7D80" w:rsidR="006A2CBA" w:rsidRPr="006A2CBA" w:rsidRDefault="00BD5C95" w:rsidP="00B73434">
      <w:pPr>
        <w:widowControl w:val="0"/>
        <w:numPr>
          <w:ilvl w:val="0"/>
          <w:numId w:val="79"/>
        </w:numPr>
        <w:tabs>
          <w:tab w:val="left" w:pos="905"/>
        </w:tabs>
        <w:autoSpaceDE w:val="0"/>
        <w:autoSpaceDN w:val="0"/>
        <w:spacing w:before="82" w:line="249" w:lineRule="auto"/>
        <w:ind w:right="298"/>
        <w:jc w:val="both"/>
        <w:rPr>
          <w:rFonts w:ascii="Times New Roman" w:hAnsi="Times New Roman"/>
          <w:sz w:val="23"/>
          <w:lang w:val="en-US" w:bidi="en-US"/>
        </w:rPr>
      </w:pPr>
      <w:r>
        <w:rPr>
          <w:rFonts w:ascii="ZWAdobeF" w:hAnsi="ZWAdobeF" w:cs="ZWAdobeF"/>
          <w:color w:val="auto"/>
          <w:sz w:val="2"/>
          <w:szCs w:val="2"/>
          <w:lang w:val="en-US" w:bidi="en-US"/>
        </w:rPr>
        <w:t>1223B</w:t>
      </w:r>
      <w:r w:rsidR="0049638A">
        <w:rPr>
          <w:rFonts w:ascii="ZWAdobeF" w:hAnsi="ZWAdobeF" w:cs="ZWAdobeF"/>
          <w:color w:val="auto"/>
          <w:sz w:val="2"/>
          <w:szCs w:val="2"/>
          <w:lang w:val="en-US" w:bidi="en-US"/>
        </w:rPr>
        <w:t>1223B</w:t>
      </w:r>
      <w:r w:rsidR="00D629FA">
        <w:rPr>
          <w:rFonts w:ascii="ZWAdobeF" w:hAnsi="ZWAdobeF" w:cs="ZWAdobeF"/>
          <w:color w:val="auto"/>
          <w:sz w:val="2"/>
          <w:szCs w:val="2"/>
          <w:lang w:val="en-US" w:bidi="en-US"/>
        </w:rPr>
        <w:t>1223B</w:t>
      </w:r>
      <w:r w:rsidR="006A2CBA" w:rsidRPr="006A2CBA">
        <w:rPr>
          <w:rFonts w:ascii="Times New Roman" w:hAnsi="Times New Roman"/>
          <w:sz w:val="23"/>
          <w:lang w:val="en-US" w:bidi="en-US"/>
        </w:rPr>
        <w:t>For the purpose of the court’s assessment of the award, it is not necessary for any individual class member to establish the amount of loss or damage suffered by them.</w:t>
      </w:r>
    </w:p>
    <w:p w14:paraId="1FE7F81A" w14:textId="7DAB753C" w:rsidR="006A2CBA" w:rsidRPr="006A2CBA" w:rsidRDefault="00BD5C95" w:rsidP="00B73434">
      <w:pPr>
        <w:widowControl w:val="0"/>
        <w:numPr>
          <w:ilvl w:val="0"/>
          <w:numId w:val="79"/>
        </w:numPr>
        <w:tabs>
          <w:tab w:val="left" w:pos="905"/>
        </w:tabs>
        <w:autoSpaceDE w:val="0"/>
        <w:autoSpaceDN w:val="0"/>
        <w:spacing w:before="83" w:line="249" w:lineRule="auto"/>
        <w:ind w:right="298"/>
        <w:jc w:val="both"/>
        <w:rPr>
          <w:rFonts w:ascii="Times New Roman" w:hAnsi="Times New Roman"/>
          <w:sz w:val="23"/>
          <w:lang w:val="en-US" w:bidi="en-US"/>
        </w:rPr>
      </w:pPr>
      <w:r>
        <w:rPr>
          <w:rFonts w:ascii="ZWAdobeF" w:hAnsi="ZWAdobeF" w:cs="ZWAdobeF"/>
          <w:color w:val="auto"/>
          <w:sz w:val="2"/>
          <w:szCs w:val="2"/>
          <w:lang w:val="en-US" w:bidi="en-US"/>
        </w:rPr>
        <w:t>1224B</w:t>
      </w:r>
      <w:r w:rsidR="0049638A">
        <w:rPr>
          <w:rFonts w:ascii="ZWAdobeF" w:hAnsi="ZWAdobeF" w:cs="ZWAdobeF"/>
          <w:color w:val="auto"/>
          <w:sz w:val="2"/>
          <w:szCs w:val="2"/>
          <w:lang w:val="en-US" w:bidi="en-US"/>
        </w:rPr>
        <w:t>1224B</w:t>
      </w:r>
      <w:r w:rsidR="00D629FA">
        <w:rPr>
          <w:rFonts w:ascii="ZWAdobeF" w:hAnsi="ZWAdobeF" w:cs="ZWAdobeF"/>
          <w:color w:val="auto"/>
          <w:sz w:val="2"/>
          <w:szCs w:val="2"/>
          <w:lang w:val="en-US" w:bidi="en-US"/>
        </w:rPr>
        <w:t>1224B</w:t>
      </w:r>
      <w:r w:rsidR="006A2CBA" w:rsidRPr="006A2CBA">
        <w:rPr>
          <w:rFonts w:ascii="Times New Roman" w:hAnsi="Times New Roman"/>
          <w:sz w:val="23"/>
          <w:lang w:val="en-US" w:bidi="en-US"/>
        </w:rPr>
        <w:t>The court may make any orders for the distribution of the award that it considers appropriate, and these may include an</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order—</w:t>
      </w:r>
    </w:p>
    <w:p w14:paraId="2125C5E7" w14:textId="2E2C89B3" w:rsidR="006A2CBA" w:rsidRPr="006A2CBA" w:rsidRDefault="00BD5C95" w:rsidP="00B73434">
      <w:pPr>
        <w:widowControl w:val="0"/>
        <w:numPr>
          <w:ilvl w:val="1"/>
          <w:numId w:val="79"/>
        </w:numPr>
        <w:tabs>
          <w:tab w:val="left" w:pos="1505"/>
        </w:tabs>
        <w:autoSpaceDE w:val="0"/>
        <w:autoSpaceDN w:val="0"/>
        <w:spacing w:before="82"/>
        <w:ind w:hanging="601"/>
        <w:jc w:val="both"/>
        <w:rPr>
          <w:rFonts w:ascii="Times New Roman" w:hAnsi="Times New Roman"/>
          <w:sz w:val="23"/>
          <w:lang w:val="en-US" w:bidi="en-US"/>
        </w:rPr>
      </w:pPr>
      <w:r>
        <w:rPr>
          <w:rFonts w:ascii="ZWAdobeF" w:hAnsi="ZWAdobeF" w:cs="ZWAdobeF"/>
          <w:color w:val="auto"/>
          <w:sz w:val="2"/>
          <w:szCs w:val="2"/>
          <w:lang w:val="en-US" w:bidi="en-US"/>
        </w:rPr>
        <w:t>1225B</w:t>
      </w:r>
      <w:r w:rsidR="0049638A">
        <w:rPr>
          <w:rFonts w:ascii="ZWAdobeF" w:hAnsi="ZWAdobeF" w:cs="ZWAdobeF"/>
          <w:color w:val="auto"/>
          <w:sz w:val="2"/>
          <w:szCs w:val="2"/>
          <w:lang w:val="en-US" w:bidi="en-US"/>
        </w:rPr>
        <w:t>1225B</w:t>
      </w:r>
      <w:r w:rsidR="00D629FA">
        <w:rPr>
          <w:rFonts w:ascii="ZWAdobeF" w:hAnsi="ZWAdobeF" w:cs="ZWAdobeF"/>
          <w:color w:val="auto"/>
          <w:sz w:val="2"/>
          <w:szCs w:val="2"/>
          <w:lang w:val="en-US" w:bidi="en-US"/>
        </w:rPr>
        <w:t>1225B</w:t>
      </w:r>
      <w:r w:rsidR="006A2CBA" w:rsidRPr="006A2CBA">
        <w:rPr>
          <w:rFonts w:ascii="Times New Roman" w:hAnsi="Times New Roman"/>
          <w:sz w:val="23"/>
          <w:lang w:val="en-US" w:bidi="en-US"/>
        </w:rPr>
        <w:t>that the defendant must distribute the award directly to class members:</w:t>
      </w:r>
    </w:p>
    <w:p w14:paraId="54BE5465" w14:textId="33BB294F" w:rsidR="006A2CBA" w:rsidRPr="006A2CBA" w:rsidRDefault="00BD5C95" w:rsidP="00B73434">
      <w:pPr>
        <w:widowControl w:val="0"/>
        <w:numPr>
          <w:ilvl w:val="1"/>
          <w:numId w:val="79"/>
        </w:numPr>
        <w:tabs>
          <w:tab w:val="left" w:pos="1505"/>
          <w:tab w:val="left" w:pos="1505"/>
        </w:tabs>
        <w:autoSpaceDE w:val="0"/>
        <w:autoSpaceDN w:val="0"/>
        <w:spacing w:before="90" w:line="249" w:lineRule="auto"/>
        <w:ind w:right="299"/>
        <w:rPr>
          <w:rFonts w:ascii="Times New Roman" w:hAnsi="Times New Roman"/>
          <w:sz w:val="23"/>
          <w:lang w:val="en-US" w:bidi="en-US"/>
        </w:rPr>
      </w:pPr>
      <w:r>
        <w:rPr>
          <w:rFonts w:ascii="ZWAdobeF" w:hAnsi="ZWAdobeF" w:cs="ZWAdobeF"/>
          <w:color w:val="auto"/>
          <w:sz w:val="2"/>
          <w:szCs w:val="2"/>
          <w:lang w:val="en-US" w:bidi="en-US"/>
        </w:rPr>
        <w:t>1226B</w:t>
      </w:r>
      <w:r w:rsidR="0049638A">
        <w:rPr>
          <w:rFonts w:ascii="ZWAdobeF" w:hAnsi="ZWAdobeF" w:cs="ZWAdobeF"/>
          <w:color w:val="auto"/>
          <w:sz w:val="2"/>
          <w:szCs w:val="2"/>
          <w:lang w:val="en-US" w:bidi="en-US"/>
        </w:rPr>
        <w:t>1226B</w:t>
      </w:r>
      <w:r w:rsidR="00D629FA">
        <w:rPr>
          <w:rFonts w:ascii="ZWAdobeF" w:hAnsi="ZWAdobeF" w:cs="ZWAdobeF"/>
          <w:color w:val="auto"/>
          <w:sz w:val="2"/>
          <w:szCs w:val="2"/>
          <w:lang w:val="en-US" w:bidi="en-US"/>
        </w:rPr>
        <w:t>1226B</w:t>
      </w:r>
      <w:r w:rsidR="006A2CBA" w:rsidRPr="006A2CBA">
        <w:rPr>
          <w:rFonts w:ascii="Times New Roman" w:hAnsi="Times New Roman"/>
          <w:sz w:val="23"/>
          <w:lang w:val="en-US" w:bidi="en-US"/>
        </w:rPr>
        <w:t xml:space="preserve">appointing a person as the administrator to distribute the award to </w:t>
      </w:r>
      <w:r w:rsidR="006A2CBA" w:rsidRPr="006A2CBA">
        <w:rPr>
          <w:rFonts w:ascii="Times New Roman" w:hAnsi="Times New Roman"/>
          <w:spacing w:val="-3"/>
          <w:sz w:val="23"/>
          <w:lang w:val="en-US" w:bidi="en-US"/>
        </w:rPr>
        <w:t xml:space="preserve">class </w:t>
      </w:r>
      <w:r w:rsidR="006A2CBA" w:rsidRPr="006A2CBA">
        <w:rPr>
          <w:rFonts w:ascii="Times New Roman" w:hAnsi="Times New Roman"/>
          <w:sz w:val="23"/>
          <w:lang w:val="en-US" w:bidi="en-US"/>
        </w:rPr>
        <w:t>members:</w:t>
      </w:r>
    </w:p>
    <w:p w14:paraId="24B87C43" w14:textId="1EDD881B" w:rsidR="006A2CBA" w:rsidRPr="006A2CBA" w:rsidRDefault="00BD5C95" w:rsidP="00B73434">
      <w:pPr>
        <w:widowControl w:val="0"/>
        <w:numPr>
          <w:ilvl w:val="1"/>
          <w:numId w:val="79"/>
        </w:numPr>
        <w:tabs>
          <w:tab w:val="left" w:pos="1505"/>
          <w:tab w:val="left" w:pos="1505"/>
        </w:tabs>
        <w:autoSpaceDE w:val="0"/>
        <w:autoSpaceDN w:val="0"/>
        <w:spacing w:before="82" w:line="249" w:lineRule="auto"/>
        <w:ind w:right="304"/>
        <w:rPr>
          <w:rFonts w:ascii="Times New Roman" w:hAnsi="Times New Roman"/>
          <w:sz w:val="23"/>
          <w:lang w:val="en-US" w:bidi="en-US"/>
        </w:rPr>
      </w:pPr>
      <w:r>
        <w:rPr>
          <w:rFonts w:ascii="ZWAdobeF" w:hAnsi="ZWAdobeF" w:cs="ZWAdobeF"/>
          <w:color w:val="auto"/>
          <w:sz w:val="2"/>
          <w:szCs w:val="2"/>
          <w:lang w:val="en-US" w:bidi="en-US"/>
        </w:rPr>
        <w:t>1227B</w:t>
      </w:r>
      <w:r w:rsidR="0049638A">
        <w:rPr>
          <w:rFonts w:ascii="ZWAdobeF" w:hAnsi="ZWAdobeF" w:cs="ZWAdobeF"/>
          <w:color w:val="auto"/>
          <w:sz w:val="2"/>
          <w:szCs w:val="2"/>
          <w:lang w:val="en-US" w:bidi="en-US"/>
        </w:rPr>
        <w:t>1227B</w:t>
      </w:r>
      <w:r w:rsidR="00D629FA">
        <w:rPr>
          <w:rFonts w:ascii="ZWAdobeF" w:hAnsi="ZWAdobeF" w:cs="ZWAdobeF"/>
          <w:color w:val="auto"/>
          <w:sz w:val="2"/>
          <w:szCs w:val="2"/>
          <w:lang w:val="en-US" w:bidi="en-US"/>
        </w:rPr>
        <w:t>1227B</w:t>
      </w:r>
      <w:r w:rsidR="006A2CBA" w:rsidRPr="006A2CBA">
        <w:rPr>
          <w:rFonts w:ascii="Times New Roman" w:hAnsi="Times New Roman"/>
          <w:sz w:val="23"/>
          <w:lang w:val="en-US" w:bidi="en-US"/>
        </w:rPr>
        <w:t>directing the manner in which a class member is to establish their entitlement to a share of the</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award:</w:t>
      </w:r>
    </w:p>
    <w:p w14:paraId="5483DA73" w14:textId="5D519C14" w:rsidR="006A2CBA" w:rsidRPr="006A2CBA" w:rsidRDefault="00BD5C95" w:rsidP="00B73434">
      <w:pPr>
        <w:widowControl w:val="0"/>
        <w:numPr>
          <w:ilvl w:val="1"/>
          <w:numId w:val="79"/>
        </w:numPr>
        <w:tabs>
          <w:tab w:val="left" w:pos="1505"/>
          <w:tab w:val="left" w:pos="1505"/>
        </w:tabs>
        <w:autoSpaceDE w:val="0"/>
        <w:autoSpaceDN w:val="0"/>
        <w:spacing w:before="82"/>
        <w:ind w:hanging="601"/>
        <w:rPr>
          <w:rFonts w:ascii="Times New Roman" w:hAnsi="Times New Roman"/>
          <w:sz w:val="23"/>
          <w:lang w:val="en-US" w:bidi="en-US"/>
        </w:rPr>
      </w:pPr>
      <w:r>
        <w:rPr>
          <w:rFonts w:ascii="ZWAdobeF" w:hAnsi="ZWAdobeF" w:cs="ZWAdobeF"/>
          <w:color w:val="auto"/>
          <w:sz w:val="2"/>
          <w:szCs w:val="2"/>
          <w:lang w:val="en-US" w:bidi="en-US"/>
        </w:rPr>
        <w:t>1228B</w:t>
      </w:r>
      <w:r w:rsidR="0049638A">
        <w:rPr>
          <w:rFonts w:ascii="ZWAdobeF" w:hAnsi="ZWAdobeF" w:cs="ZWAdobeF"/>
          <w:color w:val="auto"/>
          <w:sz w:val="2"/>
          <w:szCs w:val="2"/>
          <w:lang w:val="en-US" w:bidi="en-US"/>
        </w:rPr>
        <w:t>1228B</w:t>
      </w:r>
      <w:r w:rsidR="00D629FA">
        <w:rPr>
          <w:rFonts w:ascii="ZWAdobeF" w:hAnsi="ZWAdobeF" w:cs="ZWAdobeF"/>
          <w:color w:val="auto"/>
          <w:sz w:val="2"/>
          <w:szCs w:val="2"/>
          <w:lang w:val="en-US" w:bidi="en-US"/>
        </w:rPr>
        <w:t>1228B</w:t>
      </w:r>
      <w:r w:rsidR="006A2CBA" w:rsidRPr="006A2CBA">
        <w:rPr>
          <w:rFonts w:ascii="Times New Roman" w:hAnsi="Times New Roman"/>
          <w:sz w:val="23"/>
          <w:lang w:val="en-US" w:bidi="en-US"/>
        </w:rPr>
        <w:t>directing how any unclaimed portion of the award is to be distributed:</w:t>
      </w:r>
    </w:p>
    <w:p w14:paraId="61604BE3" w14:textId="772EE69A" w:rsidR="006A2CBA" w:rsidRPr="006A2CBA" w:rsidRDefault="00BD5C95" w:rsidP="00B73434">
      <w:pPr>
        <w:widowControl w:val="0"/>
        <w:numPr>
          <w:ilvl w:val="1"/>
          <w:numId w:val="79"/>
        </w:numPr>
        <w:tabs>
          <w:tab w:val="left" w:pos="1505"/>
          <w:tab w:val="left" w:pos="1505"/>
        </w:tabs>
        <w:autoSpaceDE w:val="0"/>
        <w:autoSpaceDN w:val="0"/>
        <w:spacing w:before="92"/>
        <w:ind w:hanging="601"/>
        <w:rPr>
          <w:rFonts w:ascii="Times New Roman" w:hAnsi="Times New Roman"/>
          <w:sz w:val="23"/>
          <w:lang w:val="en-US" w:bidi="en-US"/>
        </w:rPr>
      </w:pPr>
      <w:r>
        <w:rPr>
          <w:rFonts w:ascii="ZWAdobeF" w:hAnsi="ZWAdobeF" w:cs="ZWAdobeF"/>
          <w:color w:val="auto"/>
          <w:sz w:val="2"/>
          <w:szCs w:val="2"/>
          <w:lang w:val="en-US" w:bidi="en-US"/>
        </w:rPr>
        <w:t>1229B</w:t>
      </w:r>
      <w:r w:rsidR="0049638A">
        <w:rPr>
          <w:rFonts w:ascii="ZWAdobeF" w:hAnsi="ZWAdobeF" w:cs="ZWAdobeF"/>
          <w:color w:val="auto"/>
          <w:sz w:val="2"/>
          <w:szCs w:val="2"/>
          <w:lang w:val="en-US" w:bidi="en-US"/>
        </w:rPr>
        <w:t>1229B</w:t>
      </w:r>
      <w:r w:rsidR="00D629FA">
        <w:rPr>
          <w:rFonts w:ascii="ZWAdobeF" w:hAnsi="ZWAdobeF" w:cs="ZWAdobeF"/>
          <w:color w:val="auto"/>
          <w:sz w:val="2"/>
          <w:szCs w:val="2"/>
          <w:lang w:val="en-US" w:bidi="en-US"/>
        </w:rPr>
        <w:t>1229B</w:t>
      </w:r>
      <w:r w:rsidR="006A2CBA" w:rsidRPr="006A2CBA">
        <w:rPr>
          <w:rFonts w:ascii="Times New Roman" w:hAnsi="Times New Roman"/>
          <w:sz w:val="23"/>
          <w:lang w:val="en-US" w:bidi="en-US"/>
        </w:rPr>
        <w:t>directing how the costs of the distribution are to be met.</w:t>
      </w:r>
    </w:p>
    <w:p w14:paraId="464C22B3" w14:textId="2E75C5B8" w:rsidR="006A2CBA" w:rsidRPr="006A2CBA" w:rsidRDefault="00BD5C95" w:rsidP="00B73434">
      <w:pPr>
        <w:widowControl w:val="0"/>
        <w:numPr>
          <w:ilvl w:val="0"/>
          <w:numId w:val="79"/>
        </w:numPr>
        <w:tabs>
          <w:tab w:val="left" w:pos="905"/>
        </w:tabs>
        <w:autoSpaceDE w:val="0"/>
        <w:autoSpaceDN w:val="0"/>
        <w:spacing w:before="91" w:line="249" w:lineRule="auto"/>
        <w:ind w:right="299" w:hanging="601"/>
        <w:jc w:val="both"/>
        <w:rPr>
          <w:rFonts w:ascii="Times New Roman" w:hAnsi="Times New Roman"/>
          <w:sz w:val="23"/>
          <w:lang w:val="en-US" w:bidi="en-US"/>
        </w:rPr>
      </w:pPr>
      <w:r>
        <w:rPr>
          <w:rFonts w:ascii="ZWAdobeF" w:hAnsi="ZWAdobeF" w:cs="ZWAdobeF"/>
          <w:color w:val="auto"/>
          <w:sz w:val="2"/>
          <w:szCs w:val="2"/>
          <w:lang w:val="en-US" w:bidi="en-US"/>
        </w:rPr>
        <w:t>1230B</w:t>
      </w:r>
      <w:r w:rsidR="0049638A">
        <w:rPr>
          <w:rFonts w:ascii="ZWAdobeF" w:hAnsi="ZWAdobeF" w:cs="ZWAdobeF"/>
          <w:color w:val="auto"/>
          <w:sz w:val="2"/>
          <w:szCs w:val="2"/>
          <w:lang w:val="en-US" w:bidi="en-US"/>
        </w:rPr>
        <w:t>1230B</w:t>
      </w:r>
      <w:r w:rsidR="00D629FA">
        <w:rPr>
          <w:rFonts w:ascii="ZWAdobeF" w:hAnsi="ZWAdobeF" w:cs="ZWAdobeF"/>
          <w:color w:val="auto"/>
          <w:sz w:val="2"/>
          <w:szCs w:val="2"/>
          <w:lang w:val="en-US" w:bidi="en-US"/>
        </w:rPr>
        <w:t>1230B</w:t>
      </w:r>
      <w:r w:rsidR="006A2CBA" w:rsidRPr="006A2CBA">
        <w:rPr>
          <w:rFonts w:ascii="Times New Roman" w:hAnsi="Times New Roman"/>
          <w:sz w:val="23"/>
          <w:lang w:val="en-US" w:bidi="en-US"/>
        </w:rPr>
        <w:t>An administrator or the parties (if the court has not appointed an administrator) must file a report with information about the process and outcome of the distribution of the award within 60 days of the distribution process being</w:t>
      </w:r>
      <w:r w:rsidR="006A2CBA" w:rsidRPr="006A2CBA">
        <w:rPr>
          <w:rFonts w:ascii="Times New Roman" w:hAnsi="Times New Roman"/>
          <w:spacing w:val="-6"/>
          <w:sz w:val="23"/>
          <w:lang w:val="en-US" w:bidi="en-US"/>
        </w:rPr>
        <w:t xml:space="preserve"> </w:t>
      </w:r>
      <w:r w:rsidR="006A2CBA" w:rsidRPr="006A2CBA">
        <w:rPr>
          <w:rFonts w:ascii="Times New Roman" w:hAnsi="Times New Roman"/>
          <w:sz w:val="23"/>
          <w:lang w:val="en-US" w:bidi="en-US"/>
        </w:rPr>
        <w:t>completed.</w:t>
      </w:r>
    </w:p>
    <w:p w14:paraId="71DC01B2" w14:textId="1531B191" w:rsidR="006A2CBA" w:rsidRPr="006A2CBA" w:rsidRDefault="00BD5C95" w:rsidP="00B73434">
      <w:pPr>
        <w:widowControl w:val="0"/>
        <w:numPr>
          <w:ilvl w:val="0"/>
          <w:numId w:val="67"/>
        </w:numPr>
        <w:tabs>
          <w:tab w:val="left" w:pos="905"/>
        </w:tabs>
        <w:autoSpaceDE w:val="0"/>
        <w:autoSpaceDN w:val="0"/>
        <w:spacing w:before="203"/>
        <w:ind w:hanging="601"/>
        <w:jc w:val="both"/>
        <w:outlineLvl w:val="2"/>
        <w:rPr>
          <w:rFonts w:ascii="Times New Roman" w:hAnsi="Times New Roman"/>
          <w:b/>
          <w:sz w:val="23"/>
          <w:szCs w:val="23"/>
          <w:lang w:val="en-US" w:bidi="en-US"/>
        </w:rPr>
      </w:pPr>
      <w:r>
        <w:rPr>
          <w:rFonts w:ascii="ZWAdobeF" w:hAnsi="ZWAdobeF" w:cs="ZWAdobeF"/>
          <w:color w:val="auto"/>
          <w:sz w:val="2"/>
          <w:szCs w:val="2"/>
          <w:lang w:val="en-US" w:bidi="en-US"/>
        </w:rPr>
        <w:t>1231B</w:t>
      </w:r>
      <w:r w:rsidR="0049638A">
        <w:rPr>
          <w:rFonts w:ascii="ZWAdobeF" w:hAnsi="ZWAdobeF" w:cs="ZWAdobeF"/>
          <w:color w:val="auto"/>
          <w:sz w:val="2"/>
          <w:szCs w:val="2"/>
          <w:lang w:val="en-US" w:bidi="en-US"/>
        </w:rPr>
        <w:t>1231B</w:t>
      </w:r>
      <w:r w:rsidR="00D629FA">
        <w:rPr>
          <w:rFonts w:ascii="ZWAdobeF" w:hAnsi="ZWAdobeF" w:cs="ZWAdobeF"/>
          <w:color w:val="auto"/>
          <w:sz w:val="2"/>
          <w:szCs w:val="2"/>
          <w:lang w:val="en-US" w:bidi="en-US"/>
        </w:rPr>
        <w:t>1231B</w:t>
      </w:r>
      <w:r w:rsidR="006A2CBA" w:rsidRPr="006A2CBA">
        <w:rPr>
          <w:rFonts w:ascii="Times New Roman" w:hAnsi="Times New Roman"/>
          <w:b/>
          <w:sz w:val="23"/>
          <w:szCs w:val="23"/>
          <w:lang w:val="en-US" w:bidi="en-US"/>
        </w:rPr>
        <w:t>Alternative</w:t>
      </w:r>
      <w:r w:rsidR="006A2CBA" w:rsidRPr="006A2CBA">
        <w:rPr>
          <w:rFonts w:ascii="Times New Roman" w:hAnsi="Times New Roman"/>
          <w:b/>
          <w:spacing w:val="-2"/>
          <w:sz w:val="23"/>
          <w:szCs w:val="23"/>
          <w:lang w:val="en-US" w:bidi="en-US"/>
        </w:rPr>
        <w:t xml:space="preserve"> </w:t>
      </w:r>
      <w:r w:rsidR="006A2CBA" w:rsidRPr="006A2CBA">
        <w:rPr>
          <w:rFonts w:ascii="Times New Roman" w:hAnsi="Times New Roman"/>
          <w:b/>
          <w:sz w:val="23"/>
          <w:szCs w:val="23"/>
          <w:lang w:val="en-US" w:bidi="en-US"/>
        </w:rPr>
        <w:t>distribution</w:t>
      </w:r>
    </w:p>
    <w:p w14:paraId="2039ED3F" w14:textId="1F0B726E" w:rsidR="006A2CBA" w:rsidRPr="006A2CBA" w:rsidRDefault="00BD5C95" w:rsidP="00B73434">
      <w:pPr>
        <w:widowControl w:val="0"/>
        <w:numPr>
          <w:ilvl w:val="0"/>
          <w:numId w:val="83"/>
        </w:numPr>
        <w:tabs>
          <w:tab w:val="left" w:pos="905"/>
        </w:tabs>
        <w:autoSpaceDE w:val="0"/>
        <w:autoSpaceDN w:val="0"/>
        <w:spacing w:before="91"/>
        <w:jc w:val="both"/>
        <w:rPr>
          <w:rFonts w:ascii="Times New Roman" w:hAnsi="Times New Roman"/>
          <w:sz w:val="23"/>
          <w:lang w:val="en-US" w:bidi="en-US"/>
        </w:rPr>
      </w:pPr>
      <w:r>
        <w:rPr>
          <w:rFonts w:ascii="ZWAdobeF" w:hAnsi="ZWAdobeF" w:cs="ZWAdobeF"/>
          <w:color w:val="auto"/>
          <w:sz w:val="2"/>
          <w:szCs w:val="2"/>
          <w:lang w:val="en-US" w:bidi="en-US"/>
        </w:rPr>
        <w:t>1232B</w:t>
      </w:r>
      <w:r w:rsidR="0049638A">
        <w:rPr>
          <w:rFonts w:ascii="ZWAdobeF" w:hAnsi="ZWAdobeF" w:cs="ZWAdobeF"/>
          <w:color w:val="auto"/>
          <w:sz w:val="2"/>
          <w:szCs w:val="2"/>
          <w:lang w:val="en-US" w:bidi="en-US"/>
        </w:rPr>
        <w:t>1232B</w:t>
      </w:r>
      <w:r w:rsidR="00D629FA">
        <w:rPr>
          <w:rFonts w:ascii="ZWAdobeF" w:hAnsi="ZWAdobeF" w:cs="ZWAdobeF"/>
          <w:color w:val="auto"/>
          <w:sz w:val="2"/>
          <w:szCs w:val="2"/>
          <w:lang w:val="en-US" w:bidi="en-US"/>
        </w:rPr>
        <w:t>1232B</w:t>
      </w:r>
      <w:r w:rsidR="006A2CBA" w:rsidRPr="006A2CBA">
        <w:rPr>
          <w:rFonts w:ascii="Times New Roman" w:hAnsi="Times New Roman"/>
          <w:sz w:val="23"/>
          <w:lang w:val="en-US" w:bidi="en-US"/>
        </w:rPr>
        <w:t>This</w:t>
      </w:r>
      <w:r w:rsidR="006A2CBA" w:rsidRPr="006A2CBA">
        <w:rPr>
          <w:rFonts w:ascii="Times New Roman" w:hAnsi="Times New Roman"/>
          <w:spacing w:val="20"/>
          <w:sz w:val="23"/>
          <w:lang w:val="en-US" w:bidi="en-US"/>
        </w:rPr>
        <w:t xml:space="preserve"> </w:t>
      </w:r>
      <w:r w:rsidR="006A2CBA" w:rsidRPr="006A2CBA">
        <w:rPr>
          <w:rFonts w:ascii="Times New Roman" w:hAnsi="Times New Roman"/>
          <w:sz w:val="23"/>
          <w:lang w:val="en-US" w:bidi="en-US"/>
        </w:rPr>
        <w:t>section</w:t>
      </w:r>
      <w:r w:rsidR="006A2CBA" w:rsidRPr="006A2CBA">
        <w:rPr>
          <w:rFonts w:ascii="Times New Roman" w:hAnsi="Times New Roman"/>
          <w:spacing w:val="21"/>
          <w:sz w:val="23"/>
          <w:lang w:val="en-US" w:bidi="en-US"/>
        </w:rPr>
        <w:t xml:space="preserve"> </w:t>
      </w:r>
      <w:r w:rsidR="006A2CBA" w:rsidRPr="006A2CBA">
        <w:rPr>
          <w:rFonts w:ascii="Times New Roman" w:hAnsi="Times New Roman"/>
          <w:sz w:val="23"/>
          <w:lang w:val="en-US" w:bidi="en-US"/>
        </w:rPr>
        <w:t>applies</w:t>
      </w:r>
      <w:r w:rsidR="006A2CBA" w:rsidRPr="006A2CBA">
        <w:rPr>
          <w:rFonts w:ascii="Times New Roman" w:hAnsi="Times New Roman"/>
          <w:spacing w:val="21"/>
          <w:sz w:val="23"/>
          <w:lang w:val="en-US" w:bidi="en-US"/>
        </w:rPr>
        <w:t xml:space="preserve"> </w:t>
      </w:r>
      <w:r w:rsidR="006A2CBA" w:rsidRPr="006A2CBA">
        <w:rPr>
          <w:rFonts w:ascii="Times New Roman" w:hAnsi="Times New Roman"/>
          <w:sz w:val="23"/>
          <w:lang w:val="en-US" w:bidi="en-US"/>
        </w:rPr>
        <w:t>if</w:t>
      </w:r>
      <w:r w:rsidR="006A2CBA" w:rsidRPr="006A2CBA">
        <w:rPr>
          <w:rFonts w:ascii="Times New Roman" w:hAnsi="Times New Roman"/>
          <w:spacing w:val="20"/>
          <w:sz w:val="23"/>
          <w:lang w:val="en-US" w:bidi="en-US"/>
        </w:rPr>
        <w:t xml:space="preserve"> </w:t>
      </w:r>
      <w:r w:rsidR="006A2CBA" w:rsidRPr="006A2CBA">
        <w:rPr>
          <w:rFonts w:ascii="Times New Roman" w:hAnsi="Times New Roman"/>
          <w:sz w:val="23"/>
          <w:lang w:val="en-US" w:bidi="en-US"/>
        </w:rPr>
        <w:t>it</w:t>
      </w:r>
      <w:r w:rsidR="006A2CBA" w:rsidRPr="006A2CBA">
        <w:rPr>
          <w:rFonts w:ascii="Times New Roman" w:hAnsi="Times New Roman"/>
          <w:spacing w:val="21"/>
          <w:sz w:val="23"/>
          <w:lang w:val="en-US" w:bidi="en-US"/>
        </w:rPr>
        <w:t xml:space="preserve"> </w:t>
      </w:r>
      <w:r w:rsidR="006A2CBA" w:rsidRPr="006A2CBA">
        <w:rPr>
          <w:rFonts w:ascii="Times New Roman" w:hAnsi="Times New Roman"/>
          <w:sz w:val="23"/>
          <w:lang w:val="en-US" w:bidi="en-US"/>
        </w:rPr>
        <w:t>is</w:t>
      </w:r>
      <w:r w:rsidR="006A2CBA" w:rsidRPr="006A2CBA">
        <w:rPr>
          <w:rFonts w:ascii="Times New Roman" w:hAnsi="Times New Roman"/>
          <w:spacing w:val="21"/>
          <w:sz w:val="23"/>
          <w:lang w:val="en-US" w:bidi="en-US"/>
        </w:rPr>
        <w:t xml:space="preserve"> </w:t>
      </w:r>
      <w:r w:rsidR="006A2CBA" w:rsidRPr="006A2CBA">
        <w:rPr>
          <w:rFonts w:ascii="Times New Roman" w:hAnsi="Times New Roman"/>
          <w:sz w:val="23"/>
          <w:lang w:val="en-US" w:bidi="en-US"/>
        </w:rPr>
        <w:t>not</w:t>
      </w:r>
      <w:r w:rsidR="006A2CBA" w:rsidRPr="006A2CBA">
        <w:rPr>
          <w:rFonts w:ascii="Times New Roman" w:hAnsi="Times New Roman"/>
          <w:spacing w:val="20"/>
          <w:sz w:val="23"/>
          <w:lang w:val="en-US" w:bidi="en-US"/>
        </w:rPr>
        <w:t xml:space="preserve"> </w:t>
      </w:r>
      <w:r w:rsidR="006A2CBA" w:rsidRPr="006A2CBA">
        <w:rPr>
          <w:rFonts w:ascii="Times New Roman" w:hAnsi="Times New Roman"/>
          <w:sz w:val="23"/>
          <w:lang w:val="en-US" w:bidi="en-US"/>
        </w:rPr>
        <w:t>practical</w:t>
      </w:r>
      <w:r w:rsidR="006A2CBA" w:rsidRPr="006A2CBA">
        <w:rPr>
          <w:rFonts w:ascii="Times New Roman" w:hAnsi="Times New Roman"/>
          <w:spacing w:val="21"/>
          <w:sz w:val="23"/>
          <w:lang w:val="en-US" w:bidi="en-US"/>
        </w:rPr>
        <w:t xml:space="preserve"> </w:t>
      </w:r>
      <w:r w:rsidR="006A2CBA" w:rsidRPr="006A2CBA">
        <w:rPr>
          <w:rFonts w:ascii="Times New Roman" w:hAnsi="Times New Roman"/>
          <w:sz w:val="23"/>
          <w:lang w:val="en-US" w:bidi="en-US"/>
        </w:rPr>
        <w:t>or</w:t>
      </w:r>
      <w:r w:rsidR="006A2CBA" w:rsidRPr="006A2CBA">
        <w:rPr>
          <w:rFonts w:ascii="Times New Roman" w:hAnsi="Times New Roman"/>
          <w:spacing w:val="21"/>
          <w:sz w:val="23"/>
          <w:lang w:val="en-US" w:bidi="en-US"/>
        </w:rPr>
        <w:t xml:space="preserve"> </w:t>
      </w:r>
      <w:r w:rsidR="006A2CBA" w:rsidRPr="006A2CBA">
        <w:rPr>
          <w:rFonts w:ascii="Times New Roman" w:hAnsi="Times New Roman"/>
          <w:sz w:val="23"/>
          <w:lang w:val="en-US" w:bidi="en-US"/>
        </w:rPr>
        <w:t>possible</w:t>
      </w:r>
      <w:r w:rsidR="006A2CBA" w:rsidRPr="006A2CBA">
        <w:rPr>
          <w:rFonts w:ascii="Times New Roman" w:hAnsi="Times New Roman"/>
          <w:spacing w:val="20"/>
          <w:sz w:val="23"/>
          <w:lang w:val="en-US" w:bidi="en-US"/>
        </w:rPr>
        <w:t xml:space="preserve"> </w:t>
      </w:r>
      <w:r w:rsidR="006A2CBA" w:rsidRPr="006A2CBA">
        <w:rPr>
          <w:rFonts w:ascii="Times New Roman" w:hAnsi="Times New Roman"/>
          <w:sz w:val="23"/>
          <w:lang w:val="en-US" w:bidi="en-US"/>
        </w:rPr>
        <w:t>for</w:t>
      </w:r>
      <w:r w:rsidR="006A2CBA" w:rsidRPr="006A2CBA">
        <w:rPr>
          <w:rFonts w:ascii="Times New Roman" w:hAnsi="Times New Roman"/>
          <w:spacing w:val="21"/>
          <w:sz w:val="23"/>
          <w:lang w:val="en-US" w:bidi="en-US"/>
        </w:rPr>
        <w:t xml:space="preserve"> </w:t>
      </w:r>
      <w:r w:rsidR="006A2CBA" w:rsidRPr="006A2CBA">
        <w:rPr>
          <w:rFonts w:ascii="Times New Roman" w:hAnsi="Times New Roman"/>
          <w:sz w:val="23"/>
          <w:lang w:val="en-US" w:bidi="en-US"/>
        </w:rPr>
        <w:t>an</w:t>
      </w:r>
      <w:r w:rsidR="006A2CBA" w:rsidRPr="006A2CBA">
        <w:rPr>
          <w:rFonts w:ascii="Times New Roman" w:hAnsi="Times New Roman"/>
          <w:spacing w:val="21"/>
          <w:sz w:val="23"/>
          <w:lang w:val="en-US" w:bidi="en-US"/>
        </w:rPr>
        <w:t xml:space="preserve"> </w:t>
      </w:r>
      <w:r w:rsidR="006A2CBA" w:rsidRPr="006A2CBA">
        <w:rPr>
          <w:rFonts w:ascii="Times New Roman" w:hAnsi="Times New Roman"/>
          <w:sz w:val="23"/>
          <w:lang w:val="en-US" w:bidi="en-US"/>
        </w:rPr>
        <w:t>award</w:t>
      </w:r>
      <w:r w:rsidR="006A2CBA" w:rsidRPr="006A2CBA">
        <w:rPr>
          <w:rFonts w:ascii="Times New Roman" w:hAnsi="Times New Roman"/>
          <w:spacing w:val="20"/>
          <w:sz w:val="23"/>
          <w:lang w:val="en-US" w:bidi="en-US"/>
        </w:rPr>
        <w:t xml:space="preserve"> </w:t>
      </w:r>
      <w:r w:rsidR="006A2CBA" w:rsidRPr="006A2CBA">
        <w:rPr>
          <w:rFonts w:ascii="Times New Roman" w:hAnsi="Times New Roman"/>
          <w:sz w:val="23"/>
          <w:lang w:val="en-US" w:bidi="en-US"/>
        </w:rPr>
        <w:t>made</w:t>
      </w:r>
      <w:r w:rsidR="006A2CBA" w:rsidRPr="006A2CBA">
        <w:rPr>
          <w:rFonts w:ascii="Times New Roman" w:hAnsi="Times New Roman"/>
          <w:spacing w:val="21"/>
          <w:sz w:val="23"/>
          <w:lang w:val="en-US" w:bidi="en-US"/>
        </w:rPr>
        <w:t xml:space="preserve"> </w:t>
      </w:r>
      <w:r w:rsidR="006A2CBA" w:rsidRPr="006A2CBA">
        <w:rPr>
          <w:rFonts w:ascii="Times New Roman" w:hAnsi="Times New Roman"/>
          <w:sz w:val="23"/>
          <w:lang w:val="en-US" w:bidi="en-US"/>
        </w:rPr>
        <w:t>under</w:t>
      </w:r>
    </w:p>
    <w:p w14:paraId="694F4CCC" w14:textId="429A06E6" w:rsidR="006A2CBA" w:rsidRPr="006A2CBA" w:rsidRDefault="00BD5C95" w:rsidP="006A2CBA">
      <w:pPr>
        <w:widowControl w:val="0"/>
        <w:autoSpaceDE w:val="0"/>
        <w:autoSpaceDN w:val="0"/>
        <w:spacing w:before="12"/>
        <w:ind w:left="904"/>
        <w:jc w:val="both"/>
        <w:rPr>
          <w:rFonts w:ascii="Times New Roman" w:hAnsi="Times New Roman"/>
          <w:sz w:val="23"/>
          <w:szCs w:val="23"/>
          <w:lang w:val="en-US" w:bidi="en-US"/>
        </w:rPr>
      </w:pPr>
      <w:r>
        <w:rPr>
          <w:rFonts w:ascii="ZWAdobeF" w:hAnsi="ZWAdobeF" w:cs="ZWAdobeF"/>
          <w:color w:val="auto"/>
          <w:sz w:val="2"/>
          <w:szCs w:val="2"/>
          <w:lang w:val="en-US" w:bidi="en-US"/>
        </w:rPr>
        <w:t>1233B</w:t>
      </w:r>
      <w:r w:rsidR="0049638A">
        <w:rPr>
          <w:rFonts w:ascii="ZWAdobeF" w:hAnsi="ZWAdobeF" w:cs="ZWAdobeF"/>
          <w:color w:val="auto"/>
          <w:sz w:val="2"/>
          <w:szCs w:val="2"/>
          <w:lang w:val="en-US" w:bidi="en-US"/>
        </w:rPr>
        <w:t>1233B</w:t>
      </w:r>
      <w:r w:rsidR="00D629FA">
        <w:rPr>
          <w:rFonts w:ascii="ZWAdobeF" w:hAnsi="ZWAdobeF" w:cs="ZWAdobeF"/>
          <w:color w:val="auto"/>
          <w:sz w:val="2"/>
          <w:szCs w:val="2"/>
          <w:lang w:val="en-US" w:bidi="en-US"/>
        </w:rPr>
        <w:t>1233B</w:t>
      </w:r>
      <w:r w:rsidR="006A2CBA" w:rsidRPr="006A2CBA">
        <w:rPr>
          <w:rFonts w:ascii="Arial Black" w:hAnsi="Times New Roman"/>
          <w:sz w:val="19"/>
          <w:szCs w:val="23"/>
          <w:lang w:val="en-US" w:bidi="en-US"/>
        </w:rPr>
        <w:t>section 1</w:t>
      </w:r>
      <w:r w:rsidR="00F54412">
        <w:rPr>
          <w:rFonts w:ascii="Arial Black" w:hAnsi="Times New Roman"/>
          <w:sz w:val="19"/>
          <w:szCs w:val="23"/>
          <w:lang w:val="en-US" w:bidi="en-US"/>
        </w:rPr>
        <w:t>1</w:t>
      </w:r>
      <w:r w:rsidR="006A2CBA" w:rsidRPr="006A2CBA">
        <w:rPr>
          <w:rFonts w:ascii="Arial Black" w:hAnsi="Times New Roman"/>
          <w:sz w:val="19"/>
          <w:szCs w:val="23"/>
          <w:lang w:val="en-US" w:bidi="en-US"/>
        </w:rPr>
        <w:t xml:space="preserve"> </w:t>
      </w:r>
      <w:r w:rsidR="006A2CBA" w:rsidRPr="006A2CBA">
        <w:rPr>
          <w:rFonts w:ascii="Times New Roman" w:hAnsi="Times New Roman"/>
          <w:sz w:val="23"/>
          <w:szCs w:val="23"/>
          <w:lang w:val="en-US" w:bidi="en-US"/>
        </w:rPr>
        <w:t>or any portion of it to be distributed to individual class members.</w:t>
      </w:r>
    </w:p>
    <w:p w14:paraId="22420FD1" w14:textId="136110F4" w:rsidR="006A2CBA" w:rsidRPr="006A2CBA" w:rsidRDefault="00BD5C95" w:rsidP="00B73434">
      <w:pPr>
        <w:widowControl w:val="0"/>
        <w:numPr>
          <w:ilvl w:val="0"/>
          <w:numId w:val="83"/>
        </w:numPr>
        <w:tabs>
          <w:tab w:val="left" w:pos="905"/>
        </w:tabs>
        <w:autoSpaceDE w:val="0"/>
        <w:autoSpaceDN w:val="0"/>
        <w:spacing w:before="82"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1234B</w:t>
      </w:r>
      <w:r w:rsidR="0049638A">
        <w:rPr>
          <w:rFonts w:ascii="ZWAdobeF" w:hAnsi="ZWAdobeF" w:cs="ZWAdobeF"/>
          <w:color w:val="auto"/>
          <w:sz w:val="2"/>
          <w:szCs w:val="2"/>
          <w:lang w:val="en-US" w:bidi="en-US"/>
        </w:rPr>
        <w:t>1234B</w:t>
      </w:r>
      <w:r w:rsidR="00D629FA">
        <w:rPr>
          <w:rFonts w:ascii="ZWAdobeF" w:hAnsi="ZWAdobeF" w:cs="ZWAdobeF"/>
          <w:color w:val="auto"/>
          <w:sz w:val="2"/>
          <w:szCs w:val="2"/>
          <w:lang w:val="en-US" w:bidi="en-US"/>
        </w:rPr>
        <w:t>1234B</w:t>
      </w:r>
      <w:r w:rsidR="006A2CBA" w:rsidRPr="006A2CBA">
        <w:rPr>
          <w:rFonts w:ascii="Times New Roman" w:hAnsi="Times New Roman"/>
          <w:sz w:val="23"/>
          <w:lang w:val="en-US" w:bidi="en-US"/>
        </w:rPr>
        <w:t>The court may order that the award be paid instead to an eligible charity or organisation.</w:t>
      </w:r>
    </w:p>
    <w:p w14:paraId="5B65995E" w14:textId="78BA050F" w:rsidR="006A2CBA" w:rsidRPr="006A2CBA" w:rsidRDefault="00BD5C95" w:rsidP="00B73434">
      <w:pPr>
        <w:widowControl w:val="0"/>
        <w:numPr>
          <w:ilvl w:val="0"/>
          <w:numId w:val="83"/>
        </w:numPr>
        <w:tabs>
          <w:tab w:val="left" w:pos="905"/>
        </w:tabs>
        <w:autoSpaceDE w:val="0"/>
        <w:autoSpaceDN w:val="0"/>
        <w:spacing w:before="82"/>
        <w:ind w:hanging="601"/>
        <w:jc w:val="both"/>
        <w:rPr>
          <w:rFonts w:ascii="Times New Roman" w:hAnsi="Times New Roman"/>
          <w:sz w:val="23"/>
          <w:lang w:val="en-US" w:bidi="en-US"/>
        </w:rPr>
      </w:pPr>
      <w:r>
        <w:rPr>
          <w:rFonts w:ascii="ZWAdobeF" w:hAnsi="ZWAdobeF" w:cs="ZWAdobeF"/>
          <w:color w:val="auto"/>
          <w:sz w:val="2"/>
          <w:szCs w:val="2"/>
          <w:lang w:val="en-US" w:bidi="en-US"/>
        </w:rPr>
        <w:t>1235B</w:t>
      </w:r>
      <w:r w:rsidR="0049638A">
        <w:rPr>
          <w:rFonts w:ascii="ZWAdobeF" w:hAnsi="ZWAdobeF" w:cs="ZWAdobeF"/>
          <w:color w:val="auto"/>
          <w:sz w:val="2"/>
          <w:szCs w:val="2"/>
          <w:lang w:val="en-US" w:bidi="en-US"/>
        </w:rPr>
        <w:t>1235B</w:t>
      </w:r>
      <w:r w:rsidR="00D629FA">
        <w:rPr>
          <w:rFonts w:ascii="ZWAdobeF" w:hAnsi="ZWAdobeF" w:cs="ZWAdobeF"/>
          <w:color w:val="auto"/>
          <w:sz w:val="2"/>
          <w:szCs w:val="2"/>
          <w:lang w:val="en-US" w:bidi="en-US"/>
        </w:rPr>
        <w:t>1235B</w:t>
      </w:r>
      <w:r w:rsidR="006A2CBA" w:rsidRPr="006A2CBA">
        <w:rPr>
          <w:rFonts w:ascii="Times New Roman" w:hAnsi="Times New Roman"/>
          <w:sz w:val="23"/>
          <w:lang w:val="en-US" w:bidi="en-US"/>
        </w:rPr>
        <w:t xml:space="preserve">In this section, </w:t>
      </w:r>
      <w:r w:rsidR="006A2CBA" w:rsidRPr="006A2CBA">
        <w:rPr>
          <w:rFonts w:ascii="Times New Roman" w:hAnsi="Times New Roman"/>
          <w:b/>
          <w:sz w:val="23"/>
          <w:lang w:val="en-US" w:bidi="en-US"/>
        </w:rPr>
        <w:t>eligible charity or organisation</w:t>
      </w:r>
      <w:r w:rsidR="006A2CBA" w:rsidRPr="006A2CBA">
        <w:rPr>
          <w:rFonts w:ascii="Times New Roman" w:hAnsi="Times New Roman"/>
          <w:b/>
          <w:spacing w:val="-3"/>
          <w:sz w:val="23"/>
          <w:lang w:val="en-US" w:bidi="en-US"/>
        </w:rPr>
        <w:t xml:space="preserve"> </w:t>
      </w:r>
      <w:r w:rsidR="006A2CBA" w:rsidRPr="006A2CBA">
        <w:rPr>
          <w:rFonts w:ascii="Times New Roman" w:hAnsi="Times New Roman"/>
          <w:sz w:val="23"/>
          <w:lang w:val="en-US" w:bidi="en-US"/>
        </w:rPr>
        <w:t>means—</w:t>
      </w:r>
    </w:p>
    <w:p w14:paraId="63B9A02F" w14:textId="7F7CFB1A" w:rsidR="006A2CBA" w:rsidRPr="006A2CBA" w:rsidRDefault="00BD5C95" w:rsidP="00B73434">
      <w:pPr>
        <w:widowControl w:val="0"/>
        <w:numPr>
          <w:ilvl w:val="1"/>
          <w:numId w:val="83"/>
        </w:numPr>
        <w:tabs>
          <w:tab w:val="left" w:pos="1505"/>
        </w:tabs>
        <w:autoSpaceDE w:val="0"/>
        <w:autoSpaceDN w:val="0"/>
        <w:spacing w:before="92" w:line="249" w:lineRule="auto"/>
        <w:ind w:right="299"/>
        <w:jc w:val="both"/>
        <w:rPr>
          <w:rFonts w:ascii="Times New Roman" w:hAnsi="Times New Roman"/>
          <w:sz w:val="23"/>
          <w:lang w:val="en-US" w:bidi="en-US"/>
        </w:rPr>
      </w:pPr>
      <w:r>
        <w:rPr>
          <w:rFonts w:ascii="ZWAdobeF" w:hAnsi="ZWAdobeF" w:cs="ZWAdobeF"/>
          <w:color w:val="auto"/>
          <w:sz w:val="2"/>
          <w:szCs w:val="2"/>
          <w:lang w:val="en-US" w:bidi="en-US"/>
        </w:rPr>
        <w:t>1236B</w:t>
      </w:r>
      <w:r w:rsidR="0049638A">
        <w:rPr>
          <w:rFonts w:ascii="ZWAdobeF" w:hAnsi="ZWAdobeF" w:cs="ZWAdobeF"/>
          <w:color w:val="auto"/>
          <w:sz w:val="2"/>
          <w:szCs w:val="2"/>
          <w:lang w:val="en-US" w:bidi="en-US"/>
        </w:rPr>
        <w:t>1236B</w:t>
      </w:r>
      <w:r w:rsidR="00D629FA">
        <w:rPr>
          <w:rFonts w:ascii="ZWAdobeF" w:hAnsi="ZWAdobeF" w:cs="ZWAdobeF"/>
          <w:color w:val="auto"/>
          <w:sz w:val="2"/>
          <w:szCs w:val="2"/>
          <w:lang w:val="en-US" w:bidi="en-US"/>
        </w:rPr>
        <w:t>1236B</w:t>
      </w:r>
      <w:r w:rsidR="006A2CBA" w:rsidRPr="006A2CBA">
        <w:rPr>
          <w:rFonts w:ascii="Times New Roman" w:hAnsi="Times New Roman"/>
          <w:sz w:val="23"/>
          <w:lang w:val="en-US" w:bidi="en-US"/>
        </w:rPr>
        <w:t xml:space="preserve">an entity whose activities are related to claims in the class action proceeding </w:t>
      </w:r>
      <w:r w:rsidR="006A2CBA" w:rsidRPr="006A2CBA">
        <w:rPr>
          <w:rFonts w:ascii="Times New Roman" w:hAnsi="Times New Roman"/>
          <w:sz w:val="23"/>
          <w:lang w:val="en-US" w:bidi="en-US"/>
        </w:rPr>
        <w:lastRenderedPageBreak/>
        <w:t>and whose activities are likely to directly or indirectly benefit some or all class</w:t>
      </w:r>
      <w:r w:rsidR="006A2CBA" w:rsidRPr="006A2CBA">
        <w:rPr>
          <w:rFonts w:ascii="Times New Roman" w:hAnsi="Times New Roman"/>
          <w:spacing w:val="-2"/>
          <w:sz w:val="23"/>
          <w:lang w:val="en-US" w:bidi="en-US"/>
        </w:rPr>
        <w:t xml:space="preserve"> </w:t>
      </w:r>
      <w:r w:rsidR="006A2CBA" w:rsidRPr="006A2CBA">
        <w:rPr>
          <w:rFonts w:ascii="Times New Roman" w:hAnsi="Times New Roman"/>
          <w:sz w:val="23"/>
          <w:lang w:val="en-US" w:bidi="en-US"/>
        </w:rPr>
        <w:t>members:</w:t>
      </w:r>
    </w:p>
    <w:p w14:paraId="634320A3" w14:textId="78696CB9" w:rsidR="006A2CBA" w:rsidRPr="006A2CBA" w:rsidRDefault="00BD5C95" w:rsidP="00B73434">
      <w:pPr>
        <w:widowControl w:val="0"/>
        <w:numPr>
          <w:ilvl w:val="1"/>
          <w:numId w:val="83"/>
        </w:numPr>
        <w:tabs>
          <w:tab w:val="left" w:pos="1505"/>
        </w:tabs>
        <w:autoSpaceDE w:val="0"/>
        <w:autoSpaceDN w:val="0"/>
        <w:spacing w:before="83" w:line="249" w:lineRule="auto"/>
        <w:ind w:right="300"/>
        <w:jc w:val="both"/>
        <w:rPr>
          <w:rFonts w:ascii="Times New Roman" w:hAnsi="Times New Roman"/>
          <w:sz w:val="23"/>
          <w:lang w:val="en-US" w:bidi="en-US"/>
        </w:rPr>
      </w:pPr>
      <w:r>
        <w:rPr>
          <w:rFonts w:ascii="ZWAdobeF" w:hAnsi="ZWAdobeF" w:cs="ZWAdobeF"/>
          <w:color w:val="auto"/>
          <w:sz w:val="2"/>
          <w:szCs w:val="2"/>
          <w:lang w:val="en-US" w:bidi="en-US"/>
        </w:rPr>
        <w:t>1237B</w:t>
      </w:r>
      <w:r w:rsidR="0049638A">
        <w:rPr>
          <w:rFonts w:ascii="ZWAdobeF" w:hAnsi="ZWAdobeF" w:cs="ZWAdobeF"/>
          <w:color w:val="auto"/>
          <w:sz w:val="2"/>
          <w:szCs w:val="2"/>
          <w:lang w:val="en-US" w:bidi="en-US"/>
        </w:rPr>
        <w:t>1237B</w:t>
      </w:r>
      <w:r w:rsidR="00D629FA">
        <w:rPr>
          <w:rFonts w:ascii="ZWAdobeF" w:hAnsi="ZWAdobeF" w:cs="ZWAdobeF"/>
          <w:color w:val="auto"/>
          <w:sz w:val="2"/>
          <w:szCs w:val="2"/>
          <w:lang w:val="en-US" w:bidi="en-US"/>
        </w:rPr>
        <w:t>1237B</w:t>
      </w:r>
      <w:r w:rsidR="006A2CBA" w:rsidRPr="006A2CBA">
        <w:rPr>
          <w:rFonts w:ascii="Times New Roman" w:hAnsi="Times New Roman"/>
          <w:sz w:val="23"/>
          <w:lang w:val="en-US" w:bidi="en-US"/>
        </w:rPr>
        <w:t>an entity prescribed by regulations as an eligible charity or organisation for the purposes of this</w:t>
      </w:r>
      <w:r w:rsidR="006A2CBA" w:rsidRPr="006A2CBA">
        <w:rPr>
          <w:rFonts w:ascii="Times New Roman" w:hAnsi="Times New Roman"/>
          <w:spacing w:val="-1"/>
          <w:sz w:val="23"/>
          <w:lang w:val="en-US" w:bidi="en-US"/>
        </w:rPr>
        <w:t xml:space="preserve"> </w:t>
      </w:r>
      <w:r w:rsidR="006A2CBA" w:rsidRPr="006A2CBA">
        <w:rPr>
          <w:rFonts w:ascii="Times New Roman" w:hAnsi="Times New Roman"/>
          <w:sz w:val="23"/>
          <w:lang w:val="en-US" w:bidi="en-US"/>
        </w:rPr>
        <w:t>section.</w:t>
      </w:r>
    </w:p>
    <w:p w14:paraId="17D45ECF" w14:textId="096263BC" w:rsidR="006A2CBA" w:rsidRDefault="006A2CBA" w:rsidP="00293F87"/>
    <w:p w14:paraId="1990581B" w14:textId="621100DD" w:rsidR="006A2CBA" w:rsidRDefault="00CA6F60" w:rsidP="00293F87">
      <w:r w:rsidRPr="00D37FCE">
        <w:rPr>
          <w:noProof/>
          <w:lang w:eastAsia="en-NZ"/>
        </w:rPr>
        <mc:AlternateContent>
          <mc:Choice Requires="wpg">
            <w:drawing>
              <wp:anchor distT="0" distB="0" distL="114300" distR="114300" simplePos="0" relativeHeight="251651103" behindDoc="1" locked="0" layoutInCell="1" allowOverlap="1" wp14:anchorId="5ADA6FCB" wp14:editId="70EC6A86">
                <wp:simplePos x="0" y="0"/>
                <wp:positionH relativeFrom="page">
                  <wp:posOffset>835660</wp:posOffset>
                </wp:positionH>
                <wp:positionV relativeFrom="paragraph">
                  <wp:posOffset>367665</wp:posOffset>
                </wp:positionV>
                <wp:extent cx="2411730" cy="1270"/>
                <wp:effectExtent l="0" t="19050" r="26670" b="17780"/>
                <wp:wrapNone/>
                <wp:docPr id="53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730" cy="1270"/>
                          <a:chOff x="1134" y="-469"/>
                          <a:chExt cx="2098" cy="2"/>
                        </a:xfrm>
                      </wpg:grpSpPr>
                      <wps:wsp>
                        <wps:cNvPr id="54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A11B" id="Group 135" o:spid="_x0000_s1026" style="position:absolute;margin-left:65.8pt;margin-top:28.95pt;width:189.9pt;height:.1pt;z-index:-25166537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" path="m,l2097,e" filled="f" strokecolor="#72ab6a" strokeweight="3pt">
                  <v:path arrowok="t" o:connecttype="custom" o:connectlocs="0,0;2097,0" o:connectangles="0,0"/>
                </v:shape>
                <w10:wrap anchorx="page"/>
              </v:group>
            </w:pict>
          </mc:Fallback>
        </mc:AlternateContent>
      </w:r>
    </w:p>
    <w:p w14:paraId="77D750B1" w14:textId="6DA4B06C" w:rsidR="006A2CBA" w:rsidRDefault="006A2CBA" w:rsidP="00293F87"/>
    <w:p w14:paraId="120B00CE" w14:textId="4B2AA8DD" w:rsidR="006A2CBA" w:rsidRDefault="006A2CBA" w:rsidP="00293F87"/>
    <w:p w14:paraId="19D4D3E9" w14:textId="14D2408D" w:rsidR="006A2CBA" w:rsidRDefault="006A2CBA" w:rsidP="00293F87"/>
    <w:p w14:paraId="2A50C899" w14:textId="77777777" w:rsidR="00C56AD8" w:rsidRDefault="00C56AD8" w:rsidP="00293F87">
      <w:pPr>
        <w:sectPr w:rsidR="00C56AD8" w:rsidSect="00972090">
          <w:headerReference w:type="default" r:id="rId47"/>
          <w:footnotePr>
            <w:numRestart w:val="eachSect"/>
          </w:footnotePr>
          <w:pgSz w:w="11907" w:h="16840" w:code="9"/>
          <w:pgMar w:top="1134" w:right="1134" w:bottom="1134" w:left="1701" w:header="499" w:footer="499" w:gutter="0"/>
          <w:cols w:space="720"/>
          <w:docGrid w:linePitch="272"/>
        </w:sectPr>
      </w:pPr>
    </w:p>
    <w:p w14:paraId="782C5545" w14:textId="77777777" w:rsidR="004C04D3" w:rsidRDefault="004C04D3">
      <w:pPr>
        <w:widowControl w:val="0"/>
        <w:spacing w:after="200" w:line="276" w:lineRule="auto"/>
      </w:pPr>
    </w:p>
    <w:p w14:paraId="57D0210A" w14:textId="77777777" w:rsidR="00845921" w:rsidRDefault="00845921" w:rsidP="00293F87"/>
    <w:p w14:paraId="669068E7" w14:textId="77777777" w:rsidR="004C04D3" w:rsidRDefault="004C04D3" w:rsidP="00293F87"/>
    <w:p w14:paraId="4D1551D0" w14:textId="77777777" w:rsidR="004C04D3" w:rsidRDefault="004C04D3" w:rsidP="00293F87"/>
    <w:p w14:paraId="45F087FB" w14:textId="77777777" w:rsidR="004C04D3" w:rsidRDefault="004C04D3" w:rsidP="00293F87"/>
    <w:p w14:paraId="379D85D8" w14:textId="77777777" w:rsidR="004C04D3" w:rsidRDefault="004C04D3" w:rsidP="00293F87"/>
    <w:p w14:paraId="31248B42" w14:textId="77777777" w:rsidR="004C04D3" w:rsidRDefault="004C04D3" w:rsidP="00293F87"/>
    <w:p w14:paraId="61FF2A02" w14:textId="77777777" w:rsidR="004C04D3" w:rsidRDefault="004C04D3" w:rsidP="00293F87"/>
    <w:p w14:paraId="14FB7010" w14:textId="77777777" w:rsidR="004C04D3" w:rsidRDefault="004C04D3" w:rsidP="00293F87"/>
    <w:p w14:paraId="0D06C76B" w14:textId="77777777" w:rsidR="004C04D3" w:rsidRDefault="004C04D3" w:rsidP="00293F87"/>
    <w:p w14:paraId="581D10C9" w14:textId="77777777" w:rsidR="004C04D3" w:rsidRDefault="004C04D3" w:rsidP="00293F87"/>
    <w:p w14:paraId="6E19E2B5" w14:textId="77777777" w:rsidR="004C04D3" w:rsidRDefault="004C04D3" w:rsidP="00293F87"/>
    <w:p w14:paraId="721B24F9" w14:textId="77777777" w:rsidR="004C04D3" w:rsidRDefault="004C04D3" w:rsidP="00293F87"/>
    <w:p w14:paraId="166661F7" w14:textId="77777777" w:rsidR="004C04D3" w:rsidRDefault="004C04D3" w:rsidP="00293F87"/>
    <w:p w14:paraId="70C8FDCB" w14:textId="77777777" w:rsidR="004C04D3" w:rsidRDefault="004C04D3" w:rsidP="00293F87"/>
    <w:p w14:paraId="69BD565F" w14:textId="77777777" w:rsidR="004C04D3" w:rsidRDefault="004C04D3" w:rsidP="00293F87"/>
    <w:p w14:paraId="1FA75DA5" w14:textId="77777777" w:rsidR="004C04D3" w:rsidRDefault="004C04D3" w:rsidP="00293F87"/>
    <w:p w14:paraId="72C04254" w14:textId="77777777" w:rsidR="004C04D3" w:rsidRDefault="00C56AD8" w:rsidP="00293F87">
      <w:r w:rsidRPr="00D37FCE">
        <w:rPr>
          <w:noProof/>
          <w:lang w:eastAsia="en-NZ"/>
        </w:rPr>
        <mc:AlternateContent>
          <mc:Choice Requires="wpg">
            <w:drawing>
              <wp:anchor distT="0" distB="0" distL="114300" distR="114300" simplePos="0" relativeHeight="251651094" behindDoc="1" locked="0" layoutInCell="1" allowOverlap="1" wp14:anchorId="532E25E7" wp14:editId="38BF9995">
                <wp:simplePos x="0" y="0"/>
                <wp:positionH relativeFrom="page">
                  <wp:posOffset>1076325</wp:posOffset>
                </wp:positionH>
                <wp:positionV relativeFrom="paragraph">
                  <wp:posOffset>89513</wp:posOffset>
                </wp:positionV>
                <wp:extent cx="2412000" cy="1270"/>
                <wp:effectExtent l="0" t="19050" r="26670" b="17780"/>
                <wp:wrapNone/>
                <wp:docPr id="76451797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797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2E5A7" id="Group 135" o:spid="_x0000_s1026" style="position:absolute;margin-left:84.75pt;margin-top:7.05pt;width:189.9pt;height:.1pt;z-index:-25166538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54BD83FB" w14:textId="77777777" w:rsidR="004C04D3" w:rsidRDefault="004C04D3" w:rsidP="00293F87"/>
    <w:p w14:paraId="057D0A94" w14:textId="6038A6F2" w:rsidR="00E17837" w:rsidRDefault="00BD5C95" w:rsidP="00293F87">
      <w:r>
        <w:rPr>
          <w:rFonts w:ascii="ZWAdobeF" w:hAnsi="ZWAdobeF" w:cs="ZWAdobeF"/>
          <w:color w:val="auto"/>
          <w:sz w:val="2"/>
          <w:szCs w:val="2"/>
        </w:rPr>
        <w:t>1238B</w:t>
      </w:r>
      <w:r w:rsidR="0049638A">
        <w:rPr>
          <w:rFonts w:ascii="ZWAdobeF" w:hAnsi="ZWAdobeF" w:cs="ZWAdobeF"/>
          <w:color w:val="auto"/>
          <w:sz w:val="2"/>
          <w:szCs w:val="2"/>
        </w:rPr>
        <w:t>1238B</w:t>
      </w:r>
      <w:r w:rsidR="00D629FA">
        <w:rPr>
          <w:rFonts w:ascii="ZWAdobeF" w:hAnsi="ZWAdobeF" w:cs="ZWAdobeF"/>
          <w:color w:val="auto"/>
          <w:sz w:val="2"/>
          <w:szCs w:val="2"/>
        </w:rPr>
        <w:t>1238B</w:t>
      </w:r>
      <w:r w:rsidR="000B5A8B">
        <w:rPr>
          <w:noProof/>
        </w:rPr>
        <w:drawing>
          <wp:inline distT="0" distB="0" distL="0" distR="0" wp14:anchorId="01C3B5FB" wp14:editId="2973A932">
            <wp:extent cx="2489689" cy="998768"/>
            <wp:effectExtent l="0" t="0" r="6350" b="0"/>
            <wp:docPr id="764517973" name="Picture 76451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290B93CD" w14:textId="77777777" w:rsidR="00C17389" w:rsidRPr="004A2211" w:rsidRDefault="00C17389" w:rsidP="00C17389">
      <w:pPr>
        <w:spacing w:before="360"/>
        <w:ind w:left="113" w:right="3243"/>
        <w:rPr>
          <w:rFonts w:eastAsia="Times"/>
          <w:b/>
          <w:bCs/>
          <w:sz w:val="2"/>
          <w:szCs w:val="6"/>
        </w:rPr>
      </w:pPr>
    </w:p>
    <w:p w14:paraId="3C31F69D" w14:textId="4AB36BBA" w:rsidR="00C17389" w:rsidRPr="00D37FCE" w:rsidRDefault="00BD5C95" w:rsidP="00C17389">
      <w:pPr>
        <w:ind w:left="113" w:right="3243"/>
        <w:rPr>
          <w:rFonts w:eastAsia="Times"/>
          <w:sz w:val="18"/>
        </w:rPr>
      </w:pPr>
      <w:r>
        <w:rPr>
          <w:rFonts w:ascii="ZWAdobeF" w:eastAsia="Times" w:hAnsi="ZWAdobeF" w:cs="ZWAdobeF"/>
          <w:color w:val="auto"/>
          <w:sz w:val="2"/>
          <w:szCs w:val="2"/>
        </w:rPr>
        <w:t>1239B</w:t>
      </w:r>
      <w:r w:rsidR="0049638A">
        <w:rPr>
          <w:rFonts w:ascii="ZWAdobeF" w:eastAsia="Times" w:hAnsi="ZWAdobeF" w:cs="ZWAdobeF"/>
          <w:color w:val="auto"/>
          <w:sz w:val="2"/>
          <w:szCs w:val="2"/>
        </w:rPr>
        <w:t>1239B</w:t>
      </w:r>
      <w:r w:rsidR="00D629FA">
        <w:rPr>
          <w:rFonts w:ascii="ZWAdobeF" w:eastAsia="Times" w:hAnsi="ZWAdobeF" w:cs="ZWAdobeF"/>
          <w:color w:val="auto"/>
          <w:sz w:val="2"/>
          <w:szCs w:val="2"/>
        </w:rPr>
        <w:t>1239B</w:t>
      </w:r>
      <w:r w:rsidR="001B1FDA">
        <w:rPr>
          <w:rFonts w:eastAsia="Times"/>
          <w:sz w:val="18"/>
        </w:rPr>
        <w:t xml:space="preserve">Office: </w:t>
      </w:r>
      <w:r w:rsidR="00C17389" w:rsidRPr="00D37FCE">
        <w:rPr>
          <w:rFonts w:eastAsia="Times"/>
          <w:sz w:val="18"/>
        </w:rPr>
        <w:t>Level 9, Solnet House, 70 The Terrace, Wellington 6011</w:t>
      </w:r>
    </w:p>
    <w:p w14:paraId="63CEC863" w14:textId="5681C019" w:rsidR="00C17389" w:rsidRPr="00D37FCE" w:rsidRDefault="00BD5C95" w:rsidP="00C17389">
      <w:pPr>
        <w:ind w:left="113" w:right="3243"/>
        <w:rPr>
          <w:rFonts w:eastAsia="Times"/>
          <w:sz w:val="18"/>
        </w:rPr>
      </w:pPr>
      <w:r>
        <w:rPr>
          <w:rFonts w:ascii="ZWAdobeF" w:eastAsia="Times" w:hAnsi="ZWAdobeF" w:cs="ZWAdobeF"/>
          <w:color w:val="auto"/>
          <w:sz w:val="2"/>
          <w:szCs w:val="2"/>
        </w:rPr>
        <w:t>1240B</w:t>
      </w:r>
      <w:r w:rsidR="0049638A">
        <w:rPr>
          <w:rFonts w:ascii="ZWAdobeF" w:eastAsia="Times" w:hAnsi="ZWAdobeF" w:cs="ZWAdobeF"/>
          <w:color w:val="auto"/>
          <w:sz w:val="2"/>
          <w:szCs w:val="2"/>
        </w:rPr>
        <w:t>1240B</w:t>
      </w:r>
      <w:r w:rsidR="00D629FA">
        <w:rPr>
          <w:rFonts w:ascii="ZWAdobeF" w:eastAsia="Times" w:hAnsi="ZWAdobeF" w:cs="ZWAdobeF"/>
          <w:color w:val="auto"/>
          <w:sz w:val="2"/>
          <w:szCs w:val="2"/>
        </w:rPr>
        <w:t>1240B</w:t>
      </w:r>
      <w:r w:rsidR="00C17389" w:rsidRPr="00D37FCE">
        <w:rPr>
          <w:rFonts w:eastAsia="Times"/>
          <w:sz w:val="18"/>
        </w:rPr>
        <w:t>Telephone: 04 473 3453</w:t>
      </w:r>
      <w:r w:rsidR="00DA4DC8">
        <w:rPr>
          <w:rFonts w:eastAsia="Times"/>
          <w:sz w:val="18"/>
        </w:rPr>
        <w:t xml:space="preserve"> - </w:t>
      </w:r>
      <w:hyperlink r:id="rId49">
        <w:r w:rsidR="00C17389" w:rsidRPr="00D37FCE">
          <w:rPr>
            <w:rFonts w:eastAsia="Times"/>
            <w:sz w:val="18"/>
          </w:rPr>
          <w:t>Email: com@lawcom.govt.nz</w:t>
        </w:r>
      </w:hyperlink>
    </w:p>
    <w:p w14:paraId="0EEA78A0" w14:textId="0AA4273B" w:rsidR="00C17389" w:rsidRPr="00D37FCE" w:rsidRDefault="00BD5C95" w:rsidP="00C17389">
      <w:pPr>
        <w:ind w:left="113" w:right="3243"/>
        <w:rPr>
          <w:rFonts w:eastAsia="Times"/>
          <w:sz w:val="18"/>
        </w:rPr>
      </w:pPr>
      <w:r>
        <w:rPr>
          <w:rFonts w:ascii="ZWAdobeF" w:eastAsia="Times" w:hAnsi="ZWAdobeF" w:cs="ZWAdobeF"/>
          <w:color w:val="auto"/>
          <w:sz w:val="2"/>
          <w:szCs w:val="2"/>
        </w:rPr>
        <w:t>1241B</w:t>
      </w:r>
      <w:r w:rsidR="0049638A">
        <w:rPr>
          <w:rFonts w:ascii="ZWAdobeF" w:eastAsia="Times" w:hAnsi="ZWAdobeF" w:cs="ZWAdobeF"/>
          <w:color w:val="auto"/>
          <w:sz w:val="2"/>
          <w:szCs w:val="2"/>
        </w:rPr>
        <w:t>1241B</w:t>
      </w:r>
      <w:r w:rsidR="00D629FA">
        <w:rPr>
          <w:rFonts w:ascii="ZWAdobeF" w:eastAsia="Times" w:hAnsi="ZWAdobeF" w:cs="ZWAdobeF"/>
          <w:color w:val="auto"/>
          <w:sz w:val="2"/>
          <w:szCs w:val="2"/>
        </w:rPr>
        <w:t>1241B</w:t>
      </w:r>
      <w:r w:rsidR="00A46643" w:rsidRPr="00D42FEF">
        <w:rPr>
          <w:rFonts w:eastAsia="Times"/>
          <w:sz w:val="18"/>
        </w:rPr>
        <w:t xml:space="preserve">Website: </w:t>
      </w:r>
      <w:hyperlink r:id="rId50" w:history="1">
        <w:r w:rsidR="00D42FEF" w:rsidRPr="00CA1F9E">
          <w:rPr>
            <w:rStyle w:val="Hyperlink"/>
            <w:rFonts w:eastAsia="Times"/>
            <w:sz w:val="18"/>
          </w:rPr>
          <w:t>www.lawcom.govt.nz</w:t>
        </w:r>
      </w:hyperlink>
      <w:r w:rsidR="00D42FEF">
        <w:rPr>
          <w:rFonts w:eastAsia="Times"/>
          <w:sz w:val="18"/>
        </w:rPr>
        <w:t xml:space="preserve"> </w:t>
      </w:r>
    </w:p>
    <w:p w14:paraId="542252DD" w14:textId="2DC21B75" w:rsidR="00C17389" w:rsidRPr="00D37FCE" w:rsidRDefault="00BD5C95" w:rsidP="00C17389">
      <w:pPr>
        <w:tabs>
          <w:tab w:val="left" w:pos="3119"/>
        </w:tabs>
        <w:spacing w:before="360" w:line="334" w:lineRule="auto"/>
        <w:ind w:left="113" w:right="5256"/>
        <w:rPr>
          <w:rFonts w:eastAsia="Times" w:cs="Times"/>
          <w:sz w:val="18"/>
          <w:szCs w:val="18"/>
        </w:rPr>
      </w:pPr>
      <w:r>
        <w:rPr>
          <w:rFonts w:ascii="ZWAdobeF" w:eastAsia="Times" w:hAnsi="ZWAdobeF" w:cs="ZWAdobeF"/>
          <w:color w:val="auto"/>
          <w:sz w:val="2"/>
          <w:szCs w:val="2"/>
        </w:rPr>
        <w:t>1242B</w:t>
      </w:r>
      <w:r w:rsidR="0049638A">
        <w:rPr>
          <w:rFonts w:ascii="ZWAdobeF" w:eastAsia="Times" w:hAnsi="ZWAdobeF" w:cs="ZWAdobeF"/>
          <w:color w:val="auto"/>
          <w:sz w:val="2"/>
          <w:szCs w:val="2"/>
        </w:rPr>
        <w:t>1242B</w:t>
      </w:r>
      <w:r w:rsidR="00D629FA">
        <w:rPr>
          <w:rFonts w:ascii="ZWAdobeF" w:eastAsia="Times" w:hAnsi="ZWAdobeF" w:cs="ZWAdobeF"/>
          <w:color w:val="auto"/>
          <w:sz w:val="2"/>
          <w:szCs w:val="2"/>
        </w:rPr>
        <w:t>1242B</w:t>
      </w:r>
      <w:r w:rsidR="00C17389" w:rsidRPr="00D37FCE">
        <w:rPr>
          <w:rFonts w:eastAsia="Times"/>
          <w:sz w:val="18"/>
        </w:rPr>
        <w:t>ISBN 978-0-9951291-</w:t>
      </w:r>
      <w:r w:rsidR="00147887" w:rsidRPr="00871A4C">
        <w:rPr>
          <w:rFonts w:eastAsia="Times"/>
          <w:sz w:val="18"/>
        </w:rPr>
        <w:t>2-2</w:t>
      </w:r>
      <w:r w:rsidR="00C17389" w:rsidRPr="00D37FCE">
        <w:rPr>
          <w:rFonts w:eastAsia="Times"/>
          <w:sz w:val="18"/>
        </w:rPr>
        <w:t xml:space="preserve"> (Online)</w:t>
      </w:r>
    </w:p>
    <w:p w14:paraId="43D1BFBA" w14:textId="34B8B9F1" w:rsidR="00C17389" w:rsidRPr="00D37FCE" w:rsidRDefault="00BD5C95" w:rsidP="00C17389">
      <w:pPr>
        <w:spacing w:line="333" w:lineRule="auto"/>
        <w:ind w:left="114" w:right="5824"/>
        <w:rPr>
          <w:rFonts w:eastAsia="Times" w:cs="Times"/>
          <w:sz w:val="18"/>
          <w:szCs w:val="18"/>
        </w:rPr>
      </w:pPr>
      <w:r>
        <w:rPr>
          <w:rFonts w:ascii="ZWAdobeF" w:eastAsia="Times" w:hAnsi="ZWAdobeF" w:cs="ZWAdobeF"/>
          <w:color w:val="auto"/>
          <w:sz w:val="2"/>
          <w:szCs w:val="2"/>
        </w:rPr>
        <w:t>1243B</w:t>
      </w:r>
      <w:r w:rsidR="0049638A">
        <w:rPr>
          <w:rFonts w:ascii="ZWAdobeF" w:eastAsia="Times" w:hAnsi="ZWAdobeF" w:cs="ZWAdobeF"/>
          <w:color w:val="auto"/>
          <w:sz w:val="2"/>
          <w:szCs w:val="2"/>
        </w:rPr>
        <w:t>1243B</w:t>
      </w:r>
      <w:r w:rsidR="00D629FA">
        <w:rPr>
          <w:rFonts w:ascii="ZWAdobeF" w:eastAsia="Times" w:hAnsi="ZWAdobeF" w:cs="ZWAdobeF"/>
          <w:color w:val="auto"/>
          <w:sz w:val="2"/>
          <w:szCs w:val="2"/>
        </w:rPr>
        <w:t>1243B</w:t>
      </w:r>
      <w:r w:rsidR="00C17389" w:rsidRPr="00D37FCE">
        <w:rPr>
          <w:rFonts w:eastAsia="Times"/>
          <w:sz w:val="18"/>
        </w:rPr>
        <w:t>ISSN 1177-7877 (Online)</w:t>
      </w:r>
    </w:p>
    <w:p w14:paraId="60B51B6F" w14:textId="44A2CDAA" w:rsidR="00C17389" w:rsidRPr="00D37FCE" w:rsidRDefault="00BD5C95" w:rsidP="00C17389">
      <w:pPr>
        <w:spacing w:line="333" w:lineRule="auto"/>
        <w:ind w:left="114" w:right="1997"/>
        <w:rPr>
          <w:rFonts w:eastAsia="Times" w:cs="Times"/>
          <w:sz w:val="18"/>
          <w:szCs w:val="18"/>
        </w:rPr>
      </w:pPr>
      <w:r>
        <w:rPr>
          <w:rFonts w:ascii="ZWAdobeF" w:eastAsia="Times" w:hAnsi="ZWAdobeF" w:cs="ZWAdobeF"/>
          <w:color w:val="auto"/>
          <w:sz w:val="2"/>
          <w:szCs w:val="2"/>
        </w:rPr>
        <w:t>1244B</w:t>
      </w:r>
      <w:r w:rsidR="0049638A">
        <w:rPr>
          <w:rFonts w:ascii="ZWAdobeF" w:eastAsia="Times" w:hAnsi="ZWAdobeF" w:cs="ZWAdobeF"/>
          <w:color w:val="auto"/>
          <w:sz w:val="2"/>
          <w:szCs w:val="2"/>
        </w:rPr>
        <w:t>1244B</w:t>
      </w:r>
      <w:r w:rsidR="00D629FA">
        <w:rPr>
          <w:rFonts w:ascii="ZWAdobeF" w:eastAsia="Times" w:hAnsi="ZWAdobeF" w:cs="ZWAdobeF"/>
          <w:color w:val="auto"/>
          <w:sz w:val="2"/>
          <w:szCs w:val="2"/>
        </w:rPr>
        <w:t>1244B</w:t>
      </w:r>
      <w:r w:rsidR="00C17389" w:rsidRPr="00D37FCE">
        <w:rPr>
          <w:rFonts w:eastAsia="Times"/>
          <w:sz w:val="18"/>
        </w:rPr>
        <w:t>This title may be cited as NZLC IP4</w:t>
      </w:r>
      <w:r w:rsidR="00E6045A">
        <w:rPr>
          <w:rFonts w:eastAsia="Times"/>
          <w:sz w:val="18"/>
        </w:rPr>
        <w:t>8</w:t>
      </w:r>
      <w:r w:rsidR="00C17389" w:rsidRPr="00D37FCE">
        <w:rPr>
          <w:rFonts w:eastAsia="Times"/>
          <w:sz w:val="18"/>
        </w:rPr>
        <w:t xml:space="preserve">. </w:t>
      </w:r>
    </w:p>
    <w:p w14:paraId="1EEA5B80" w14:textId="77777777" w:rsidR="004A2211" w:rsidRPr="004A2211" w:rsidRDefault="004A2211" w:rsidP="00C17389">
      <w:pPr>
        <w:spacing w:before="240" w:line="334" w:lineRule="auto"/>
        <w:ind w:left="113" w:right="1996"/>
        <w:rPr>
          <w:rFonts w:eastAsia="Arial Unicode MS"/>
          <w:sz w:val="2"/>
          <w:szCs w:val="2"/>
        </w:rPr>
      </w:pPr>
    </w:p>
    <w:p w14:paraId="1FC4FFBD" w14:textId="3A82BD3E" w:rsidR="00C17389" w:rsidRPr="00D37FCE" w:rsidRDefault="00BD5C95" w:rsidP="00C17389">
      <w:pPr>
        <w:spacing w:before="240" w:line="334" w:lineRule="auto"/>
        <w:ind w:left="113" w:right="1996"/>
        <w:rPr>
          <w:sz w:val="18"/>
          <w:szCs w:val="18"/>
        </w:rPr>
      </w:pPr>
      <w:r>
        <w:rPr>
          <w:rFonts w:ascii="ZWAdobeF" w:eastAsia="Arial Unicode MS" w:hAnsi="ZWAdobeF" w:cs="ZWAdobeF"/>
          <w:color w:val="auto"/>
          <w:sz w:val="2"/>
          <w:szCs w:val="2"/>
        </w:rPr>
        <w:t>1245B</w:t>
      </w:r>
      <w:r w:rsidR="0049638A">
        <w:rPr>
          <w:rFonts w:ascii="ZWAdobeF" w:eastAsia="Arial Unicode MS" w:hAnsi="ZWAdobeF" w:cs="ZWAdobeF"/>
          <w:color w:val="auto"/>
          <w:sz w:val="2"/>
          <w:szCs w:val="2"/>
        </w:rPr>
        <w:t>1245B</w:t>
      </w:r>
      <w:r w:rsidR="00D629FA">
        <w:rPr>
          <w:rFonts w:ascii="ZWAdobeF" w:eastAsia="Arial Unicode MS" w:hAnsi="ZWAdobeF" w:cs="ZWAdobeF"/>
          <w:color w:val="auto"/>
          <w:sz w:val="2"/>
          <w:szCs w:val="2"/>
        </w:rPr>
        <w:t>1245B</w:t>
      </w:r>
      <w:r w:rsidR="00C17389" w:rsidRPr="00D37FCE">
        <w:rPr>
          <w:rFonts w:eastAsia="Arial Unicode MS"/>
          <w:sz w:val="18"/>
          <w:szCs w:val="18"/>
        </w:rPr>
        <w:t xml:space="preserve">Copyright </w:t>
      </w:r>
      <w:r w:rsidR="00C17389" w:rsidRPr="00D37FCE">
        <w:rPr>
          <w:rFonts w:ascii="Calibri" w:eastAsia="Arial Unicode MS" w:hAnsi="Calibri" w:cs="Calibri"/>
          <w:sz w:val="18"/>
          <w:szCs w:val="18"/>
        </w:rPr>
        <w:t>©</w:t>
      </w:r>
      <w:r w:rsidR="00C17389" w:rsidRPr="00D37FCE">
        <w:rPr>
          <w:rFonts w:eastAsia="Arial Unicode MS"/>
          <w:sz w:val="18"/>
          <w:szCs w:val="18"/>
        </w:rPr>
        <w:t xml:space="preserve"> 2021 </w:t>
      </w:r>
      <w:r w:rsidR="00C17389" w:rsidRPr="00D37FCE">
        <w:rPr>
          <w:sz w:val="18"/>
          <w:szCs w:val="18"/>
        </w:rPr>
        <w:t>Te Aka Matua o te Ture |</w:t>
      </w:r>
      <w:r w:rsidR="00C17389" w:rsidRPr="00D37FCE">
        <w:rPr>
          <w:rFonts w:eastAsia="Arial Unicode MS"/>
          <w:sz w:val="18"/>
          <w:szCs w:val="18"/>
        </w:rPr>
        <w:t xml:space="preserve"> Law Commission.</w:t>
      </w:r>
    </w:p>
    <w:p w14:paraId="6393BF03" w14:textId="77777777" w:rsidR="00C17389" w:rsidRPr="00D37FCE" w:rsidRDefault="00C17389" w:rsidP="00C17389">
      <w:pPr>
        <w:spacing w:before="3" w:line="180" w:lineRule="exact"/>
        <w:rPr>
          <w:sz w:val="18"/>
          <w:szCs w:val="18"/>
        </w:rPr>
      </w:pPr>
    </w:p>
    <w:p w14:paraId="3613CFA0" w14:textId="292CE610" w:rsidR="002C572D" w:rsidRPr="00C56AD8" w:rsidRDefault="00C56AD8" w:rsidP="00C56AD8">
      <w:pPr>
        <w:spacing w:before="3" w:line="180" w:lineRule="exact"/>
        <w:rPr>
          <w:color w:val="262626" w:themeColor="text1" w:themeTint="D9"/>
          <w:sz w:val="14"/>
        </w:rPr>
      </w:pPr>
      <w:r w:rsidRPr="00D37FCE">
        <w:rPr>
          <w:noProof/>
          <w:color w:val="262626" w:themeColor="text1" w:themeTint="D9"/>
          <w:sz w:val="14"/>
          <w:szCs w:val="16"/>
          <w:lang w:eastAsia="en-NZ"/>
        </w:rPr>
        <mc:AlternateContent>
          <mc:Choice Requires="wpg">
            <w:drawing>
              <wp:anchor distT="0" distB="0" distL="114300" distR="114300" simplePos="0" relativeHeight="251651113" behindDoc="1" locked="0" layoutInCell="1" allowOverlap="1" wp14:anchorId="5F7787FB" wp14:editId="552EA241">
                <wp:simplePos x="0" y="0"/>
                <wp:positionH relativeFrom="page">
                  <wp:posOffset>1163955</wp:posOffset>
                </wp:positionH>
                <wp:positionV relativeFrom="page">
                  <wp:posOffset>9494262</wp:posOffset>
                </wp:positionV>
                <wp:extent cx="1007110" cy="344170"/>
                <wp:effectExtent l="0" t="0" r="2540" b="0"/>
                <wp:wrapSquare wrapText="bothSides"/>
                <wp:docPr id="764517969" name="Group 764517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110" cy="344170"/>
                          <a:chOff x="1440" y="109"/>
                          <a:chExt cx="1320" cy="497"/>
                        </a:xfrm>
                      </wpg:grpSpPr>
                      <wpg:grpSp>
                        <wpg:cNvPr id="764517971" name="Group 227"/>
                        <wpg:cNvGrpSpPr>
                          <a:grpSpLocks/>
                        </wpg:cNvGrpSpPr>
                        <wpg:grpSpPr bwMode="auto">
                          <a:xfrm>
                            <a:off x="1440" y="109"/>
                            <a:ext cx="1320" cy="497"/>
                            <a:chOff x="1440" y="109"/>
                            <a:chExt cx="1320" cy="497"/>
                          </a:xfrm>
                        </wpg:grpSpPr>
                        <wps:wsp>
                          <wps:cNvPr id="764517972" name="Freeform 228"/>
                          <wps:cNvSpPr>
                            <a:spLocks/>
                          </wps:cNvSpPr>
                          <wps:spPr bwMode="auto">
                            <a:xfrm>
                              <a:off x="1440" y="126"/>
                              <a:ext cx="1320" cy="480"/>
                            </a:xfrm>
                            <a:custGeom>
                              <a:avLst/>
                              <a:gdLst>
                                <a:gd name="T0" fmla="+- 0 1440 1440"/>
                                <a:gd name="T1" fmla="*/ T0 w 1320"/>
                                <a:gd name="T2" fmla="+- 0 606 126"/>
                                <a:gd name="T3" fmla="*/ 606 h 480"/>
                                <a:gd name="T4" fmla="+- 0 2760 1440"/>
                                <a:gd name="T5" fmla="*/ T4 w 1320"/>
                                <a:gd name="T6" fmla="+- 0 606 126"/>
                                <a:gd name="T7" fmla="*/ 606 h 480"/>
                                <a:gd name="T8" fmla="+- 0 2760 1440"/>
                                <a:gd name="T9" fmla="*/ T8 w 1320"/>
                                <a:gd name="T10" fmla="+- 0 126 126"/>
                                <a:gd name="T11" fmla="*/ 126 h 480"/>
                                <a:gd name="T12" fmla="+- 0 1440 1440"/>
                                <a:gd name="T13" fmla="*/ T12 w 1320"/>
                                <a:gd name="T14" fmla="+- 0 126 126"/>
                                <a:gd name="T15" fmla="*/ 126 h 480"/>
                                <a:gd name="T16" fmla="+- 0 1440 1440"/>
                                <a:gd name="T17" fmla="*/ T16 w 1320"/>
                                <a:gd name="T18" fmla="+- 0 606 126"/>
                                <a:gd name="T19" fmla="*/ 606 h 480"/>
                              </a:gdLst>
                              <a:ahLst/>
                              <a:cxnLst>
                                <a:cxn ang="0">
                                  <a:pos x="T1" y="T3"/>
                                </a:cxn>
                                <a:cxn ang="0">
                                  <a:pos x="T5" y="T7"/>
                                </a:cxn>
                                <a:cxn ang="0">
                                  <a:pos x="T9" y="T11"/>
                                </a:cxn>
                                <a:cxn ang="0">
                                  <a:pos x="T13" y="T15"/>
                                </a:cxn>
                                <a:cxn ang="0">
                                  <a:pos x="T17" y="T19"/>
                                </a:cxn>
                              </a:cxnLst>
                              <a:rect l="0" t="0" r="r" b="b"/>
                              <a:pathLst>
                                <a:path w="1320" h="480">
                                  <a:moveTo>
                                    <a:pt x="0" y="480"/>
                                  </a:moveTo>
                                  <a:lnTo>
                                    <a:pt x="1320" y="480"/>
                                  </a:lnTo>
                                  <a:lnTo>
                                    <a:pt x="1320" y="0"/>
                                  </a:lnTo>
                                  <a:lnTo>
                                    <a:pt x="0" y="0"/>
                                  </a:lnTo>
                                  <a:lnTo>
                                    <a:pt x="0" y="480"/>
                                  </a:lnTo>
                                </a:path>
                              </a:pathLst>
                            </a:custGeom>
                            <a:solidFill>
                              <a:srgbClr val="002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518010" name="Picture 2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0" y="109"/>
                              <a:ext cx="1320" cy="4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D425AC6" id="Group 764517969" o:spid="_x0000_s1026" style="position:absolute;margin-left:91.65pt;margin-top:747.6pt;width:79.3pt;height:27.1pt;z-index:-251665367;mso-position-horizontal-relative:page;mso-position-vertical-relative:page" coordorigin="1440,109" coordsize="1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">
                <v:group id="Group 227" o:spid="_x0000_s1027" style="position:absolute;left:1440;top:109;width:1320;height:497" coordorigin="1440,109" coordsize="1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">
                  <v:shape id="Freeform 228" o:spid="_x0000_s1028" style="position:absolute;left:1440;top:126;width:1320;height:480;visibility:visible;mso-wrap-style:square;v-text-anchor:top" coordsize="1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" path="m,480r1320,l1320,,,,,480e" fillcolor="#002c30" stroked="f">
                    <v:path arrowok="t" o:connecttype="custom" o:connectlocs="0,606;1320,606;1320,126;0,126;0,606" o:connectangles="0,0,0,0,0"/>
                  </v:shape>
                  <v:shape id="Picture 229" o:spid="_x0000_s1029" type="#_x0000_t75" style="position:absolute;left:1440;top:109;width:132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">
                    <v:imagedata r:id="rId20" o:title=""/>
                  </v:shape>
                </v:group>
                <w10:wrap type="square" anchorx="page" anchory="page"/>
              </v:group>
            </w:pict>
          </mc:Fallback>
        </mc:AlternateContent>
      </w:r>
      <w:r w:rsidR="00BD5C95">
        <w:rPr>
          <w:rFonts w:ascii="ZWAdobeF" w:hAnsi="ZWAdobeF" w:cs="ZWAdobeF"/>
          <w:color w:val="auto"/>
          <w:sz w:val="2"/>
          <w:szCs w:val="2"/>
        </w:rPr>
        <w:t>1246B</w:t>
      </w:r>
      <w:r w:rsidR="0049638A">
        <w:rPr>
          <w:rFonts w:ascii="ZWAdobeF" w:hAnsi="ZWAdobeF" w:cs="ZWAdobeF"/>
          <w:color w:val="auto"/>
          <w:sz w:val="2"/>
          <w:szCs w:val="2"/>
        </w:rPr>
        <w:t>1246B</w:t>
      </w:r>
      <w:r w:rsidR="00D629FA">
        <w:rPr>
          <w:rFonts w:ascii="ZWAdobeF" w:hAnsi="ZWAdobeF" w:cs="ZWAdobeF"/>
          <w:color w:val="auto"/>
          <w:sz w:val="2"/>
          <w:szCs w:val="2"/>
        </w:rPr>
        <w:t>1246B</w:t>
      </w:r>
      <w:r w:rsidR="00C17389" w:rsidRPr="00D37FCE">
        <w:rPr>
          <w:color w:val="262626" w:themeColor="text1" w:themeTint="D9"/>
          <w:sz w:val="14"/>
        </w:rPr>
        <w:t>T</w:t>
      </w:r>
      <w:r w:rsidR="00C17389" w:rsidRPr="00D37FCE">
        <w:rPr>
          <w:color w:val="262626" w:themeColor="text1" w:themeTint="D9"/>
          <w:sz w:val="12"/>
          <w:szCs w:val="20"/>
        </w:rPr>
        <w:t>his work is licensed under the Creative Commons Attribution 4.0 International licence. In essence, you are free to copy, distribute and adapt the work, as long as you attribute the work to Te Aka Matua o te Ture | Law Commission and abide by other licence terms. To view a copy of this licence, visit https://creativecommons.org/licenses/by/4.0</w:t>
      </w:r>
      <w:bookmarkEnd w:id="0"/>
    </w:p>
    <w:sectPr w:rsidR="002C572D" w:rsidRPr="00C56AD8" w:rsidSect="00C56AD8">
      <w:headerReference w:type="default" r:id="rId51"/>
      <w:footnotePr>
        <w:numRestart w:val="eachSect"/>
      </w:footnotePr>
      <w:pgSz w:w="11907" w:h="16840" w:code="9"/>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92D3B" w14:textId="77777777" w:rsidR="00750D1B" w:rsidRDefault="00750D1B">
      <w:r>
        <w:separator/>
      </w:r>
    </w:p>
  </w:endnote>
  <w:endnote w:type="continuationSeparator" w:id="0">
    <w:p w14:paraId="2BD9E2CE" w14:textId="77777777" w:rsidR="00750D1B" w:rsidRDefault="00750D1B">
      <w:r>
        <w:continuationSeparator/>
      </w:r>
    </w:p>
  </w:endnote>
  <w:endnote w:type="continuationNotice" w:id="1">
    <w:p w14:paraId="5FAF63BC" w14:textId="77777777" w:rsidR="00750D1B" w:rsidRDefault="00750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äori">
    <w:altName w:val="Times New Roman"/>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Light">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etropolis">
    <w:altName w:val="Calibri"/>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subsetted="1" w:fontKey="{8D63CBF5-8299-4233-AD72-1C82E970AAD0}"/>
    <w:embedItalic r:id="rId2" w:subsetted="1" w:fontKey="{06D836A1-0E20-4A30-9626-F9B97AC6D62E}"/>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Metropolis Light">
    <w:panose1 w:val="00000500000000000000"/>
    <w:charset w:val="00"/>
    <w:family w:val="modern"/>
    <w:notTrueType/>
    <w:pitch w:val="variable"/>
    <w:sig w:usb0="00000007" w:usb1="00000000" w:usb2="00000000" w:usb3="00000000" w:csb0="00000093"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Yu Gothic UI Semibold">
    <w:charset w:val="80"/>
    <w:family w:val="swiss"/>
    <w:pitch w:val="variable"/>
    <w:sig w:usb0="E00002FF" w:usb1="2AC7FDFF" w:usb2="00000016" w:usb3="00000000" w:csb0="0002009F" w:csb1="00000000"/>
  </w:font>
  <w:font w:name="Futura Lt BT">
    <w:altName w:val="Arial"/>
    <w:charset w:val="00"/>
    <w:family w:val="swiss"/>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ZWAdobeF">
    <w:panose1 w:val="00000000000000000000"/>
    <w:charset w:val="00"/>
    <w:family w:val="auto"/>
    <w:pitch w:val="variable"/>
    <w:sig w:usb0="20002A87" w:usb1="00000000" w:usb2="00000000" w:usb3="00000000" w:csb0="000001FF" w:csb1="00000000"/>
    <w:embedRegular r:id="rId3" w:subsetted="1" w:fontKey="{71B3ECBA-3D54-4CB9-B2E0-DCC651629B0F}"/>
  </w:font>
  <w:font w:name="Metropolis Extra Bold">
    <w:panose1 w:val="00000900000000000000"/>
    <w:charset w:val="00"/>
    <w:family w:val="modern"/>
    <w:notTrueType/>
    <w:pitch w:val="variable"/>
    <w:sig w:usb0="00000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4" w:subsetted="1" w:fontKey="{EACBFBDC-E648-40D3-BFBD-2665D575EFEB}"/>
  </w:font>
  <w:font w:name="Palatino">
    <w:altName w:val="Palatino Linotype"/>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F64C0" w14:textId="77777777" w:rsidR="00A55F53" w:rsidRDefault="00A55F53">
    <w:pPr>
      <w:pStyle w:val="Footer"/>
    </w:pPr>
    <w:r>
      <w:rPr>
        <w:noProof/>
        <w:lang w:eastAsia="en-NZ"/>
      </w:rPr>
      <w:drawing>
        <wp:anchor distT="0" distB="0" distL="114300" distR="114300" simplePos="0" relativeHeight="251658240" behindDoc="0" locked="0" layoutInCell="1" allowOverlap="1" wp14:anchorId="657B357E" wp14:editId="42C01A6F">
          <wp:simplePos x="0" y="0"/>
          <wp:positionH relativeFrom="page">
            <wp:posOffset>146636</wp:posOffset>
          </wp:positionH>
          <wp:positionV relativeFrom="page">
            <wp:posOffset>9571600</wp:posOffset>
          </wp:positionV>
          <wp:extent cx="7242810" cy="1014095"/>
          <wp:effectExtent l="0" t="0" r="0" b="0"/>
          <wp:wrapNone/>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281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F14C8" w14:textId="77777777" w:rsidR="00A55F53" w:rsidRDefault="00A55F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AD57B" w14:textId="4A9FE714" w:rsidR="00A55F53" w:rsidRDefault="00A55F53" w:rsidP="004975F3">
    <w:pPr>
      <w:pStyle w:val="Footer"/>
      <w:tabs>
        <w:tab w:val="clear" w:pos="4536"/>
        <w:tab w:val="clear" w:pos="9072"/>
        <w:tab w:val="left" w:pos="1038"/>
        <w:tab w:val="left" w:pos="3031"/>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F73B3" w14:textId="77777777" w:rsidR="00A55F53" w:rsidRPr="006D6443" w:rsidRDefault="00A55F53" w:rsidP="006D64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C9C1A" w14:textId="77777777" w:rsidR="00A55F53" w:rsidRDefault="00A55F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61640" w14:textId="77777777" w:rsidR="00A55F53" w:rsidRDefault="00A55F5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5382E" w14:textId="77777777" w:rsidR="00A55F53" w:rsidRDefault="00A55F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979FB" w14:textId="77777777" w:rsidR="00A55F53" w:rsidRPr="00123E01" w:rsidRDefault="00A55F53" w:rsidP="00123E0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73644" w14:textId="77777777" w:rsidR="00A55F53" w:rsidRDefault="00A55F5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28"/>
      <w:gridCol w:w="3028"/>
      <w:gridCol w:w="3028"/>
    </w:tblGrid>
    <w:tr w:rsidR="00A55F53" w14:paraId="7B74CE0D" w14:textId="77777777" w:rsidTr="2A4E7D65">
      <w:tc>
        <w:tcPr>
          <w:tcW w:w="3028" w:type="dxa"/>
        </w:tcPr>
        <w:p w14:paraId="70EA16A0" w14:textId="77777777" w:rsidR="00A55F53" w:rsidRDefault="00A55F53" w:rsidP="2A4E7D65">
          <w:pPr>
            <w:pStyle w:val="Header"/>
            <w:ind w:left="-115"/>
          </w:pPr>
        </w:p>
      </w:tc>
      <w:tc>
        <w:tcPr>
          <w:tcW w:w="3028" w:type="dxa"/>
        </w:tcPr>
        <w:p w14:paraId="5F72FA0D" w14:textId="77777777" w:rsidR="00A55F53" w:rsidRDefault="00A55F53" w:rsidP="00C02600">
          <w:pPr>
            <w:pStyle w:val="Header"/>
            <w:jc w:val="right"/>
          </w:pPr>
        </w:p>
      </w:tc>
      <w:tc>
        <w:tcPr>
          <w:tcW w:w="3028" w:type="dxa"/>
        </w:tcPr>
        <w:p w14:paraId="58EF9D5D" w14:textId="77777777" w:rsidR="00A55F53" w:rsidRDefault="00A55F53" w:rsidP="2A4E7D65">
          <w:pPr>
            <w:pStyle w:val="Header"/>
            <w:ind w:right="-115"/>
            <w:jc w:val="right"/>
          </w:pPr>
        </w:p>
      </w:tc>
    </w:tr>
  </w:tbl>
  <w:p w14:paraId="4B11BDAF" w14:textId="77777777" w:rsidR="00A55F53" w:rsidRDefault="00A55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4A23B" w14:textId="77777777" w:rsidR="00750D1B" w:rsidRDefault="00750D1B">
      <w:r>
        <w:separator/>
      </w:r>
    </w:p>
  </w:footnote>
  <w:footnote w:type="continuationSeparator" w:id="0">
    <w:p w14:paraId="2A103FF7" w14:textId="77777777" w:rsidR="00750D1B" w:rsidRDefault="00750D1B">
      <w:r>
        <w:continuationSeparator/>
      </w:r>
    </w:p>
  </w:footnote>
  <w:footnote w:type="continuationNotice" w:id="1">
    <w:p w14:paraId="6941337C" w14:textId="77777777" w:rsidR="00750D1B" w:rsidRDefault="00750D1B"/>
  </w:footnote>
  <w:footnote w:id="2">
    <w:p w14:paraId="44640589" w14:textId="77777777" w:rsidR="00A55F53" w:rsidRPr="00421C05" w:rsidRDefault="00A55F53" w:rsidP="005D450C">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Houghton</w:t>
      </w:r>
      <w:r w:rsidRPr="00421C05">
        <w:rPr>
          <w:i/>
          <w:iCs/>
          <w:szCs w:val="15"/>
        </w:rPr>
        <w:t xml:space="preserve"> v Saunders </w:t>
      </w:r>
      <w:r w:rsidRPr="00421C05">
        <w:rPr>
          <w:szCs w:val="15"/>
        </w:rPr>
        <w:t xml:space="preserve">[2020] NZCA 638. As outlined at [4], the High Court had made an “unless” order striking out the proceedings unless security for costs was provided by a specified date and senior counsel for the claimants confirmed the claimants were adequately resourced to prepare for and present their stage two claims. The Supreme Court declined leave to appeal the Court of Appeal’s decision: </w:t>
      </w:r>
      <w:r w:rsidRPr="00421C05">
        <w:rPr>
          <w:i/>
          <w:iCs/>
          <w:szCs w:val="15"/>
        </w:rPr>
        <w:t xml:space="preserve">Houghton v Saunders </w:t>
      </w:r>
      <w:r w:rsidRPr="00421C05">
        <w:rPr>
          <w:szCs w:val="15"/>
        </w:rPr>
        <w:t>[2021] NZSC 38.</w:t>
      </w:r>
    </w:p>
  </w:footnote>
  <w:footnote w:id="3">
    <w:p w14:paraId="582B857D" w14:textId="77777777" w:rsidR="00A55F53" w:rsidRPr="00421C05" w:rsidRDefault="00A55F53" w:rsidP="005D450C">
      <w:pPr>
        <w:pStyle w:val="FootnoteText"/>
        <w:rPr>
          <w:szCs w:val="15"/>
        </w:rPr>
      </w:pPr>
      <w:r w:rsidRPr="00421C05">
        <w:rPr>
          <w:rStyle w:val="FootnoteReference"/>
          <w:sz w:val="15"/>
          <w:szCs w:val="15"/>
        </w:rPr>
        <w:footnoteRef/>
      </w:r>
      <w:r w:rsidRPr="00421C05">
        <w:rPr>
          <w:szCs w:val="15"/>
        </w:rPr>
        <w:t xml:space="preserve"> </w:t>
      </w:r>
      <w:r w:rsidRPr="00421C05">
        <w:rPr>
          <w:szCs w:val="15"/>
        </w:rPr>
        <w:tab/>
        <w:t>David Clark “Proactive package for Southern Response Claimants”</w:t>
      </w:r>
      <w:r w:rsidRPr="00421C05">
        <w:rPr>
          <w:i/>
          <w:iCs/>
          <w:szCs w:val="15"/>
        </w:rPr>
        <w:t xml:space="preserve"> </w:t>
      </w:r>
      <w:r w:rsidRPr="00421C05">
        <w:rPr>
          <w:szCs w:val="15"/>
        </w:rPr>
        <w:t>(press release, 14 December 2020).</w:t>
      </w:r>
    </w:p>
  </w:footnote>
  <w:footnote w:id="4">
    <w:p w14:paraId="435A672C" w14:textId="77777777" w:rsidR="00A55F53" w:rsidRPr="00421C05" w:rsidRDefault="00A55F53" w:rsidP="00E72EF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Claims</w:t>
      </w:r>
      <w:r w:rsidRPr="00421C05">
        <w:rPr>
          <w:i/>
          <w:iCs/>
          <w:szCs w:val="15"/>
        </w:rPr>
        <w:t xml:space="preserve"> Resolution Service Ltd v Smith </w:t>
      </w:r>
      <w:r w:rsidRPr="00421C05">
        <w:rPr>
          <w:szCs w:val="15"/>
        </w:rPr>
        <w:t>[2020] NZCA 664.</w:t>
      </w:r>
    </w:p>
  </w:footnote>
  <w:footnote w:id="5">
    <w:p w14:paraId="76601A32" w14:textId="57105819"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Ministry for Primary Industries “Crown and kiwifruit sector plaintiffs settle long-running litigation over PSA (press release, 13 February 2021). The Crown’s insurer contributed $15 million.</w:t>
      </w:r>
    </w:p>
  </w:footnote>
  <w:footnote w:id="6">
    <w:p w14:paraId="65A2E277" w14:textId="039E8250" w:rsidR="00A55F53" w:rsidRPr="00421C05" w:rsidRDefault="00A55F53" w:rsidP="009C726F">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Tim Hunter “Carter Holt Harvey class action discontinued” </w:t>
      </w:r>
      <w:r w:rsidRPr="00421C05">
        <w:rPr>
          <w:i/>
          <w:iCs/>
          <w:szCs w:val="15"/>
        </w:rPr>
        <w:t>The National Business Review</w:t>
      </w:r>
      <w:r w:rsidRPr="00421C05">
        <w:rPr>
          <w:szCs w:val="15"/>
        </w:rPr>
        <w:t xml:space="preserve"> (online ed, Aotearoa New Zealand 16 June 2021). </w:t>
      </w:r>
    </w:p>
  </w:footnote>
  <w:footnote w:id="7">
    <w:p w14:paraId="34D6CB78" w14:textId="77777777" w:rsidR="00A55F53" w:rsidRPr="00421C05" w:rsidRDefault="00A55F53" w:rsidP="009C726F">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Rob Stock “Shock end to James Hardie class action lawsuit prompts calls for controls over litigation lenders” </w:t>
      </w:r>
      <w:r w:rsidRPr="00421C05">
        <w:rPr>
          <w:i/>
          <w:iCs/>
          <w:szCs w:val="15"/>
        </w:rPr>
        <w:t xml:space="preserve">Stuff </w:t>
      </w:r>
      <w:r w:rsidRPr="00421C05">
        <w:rPr>
          <w:szCs w:val="15"/>
        </w:rPr>
        <w:t xml:space="preserve">(online ed, 8 August 2021). Note that </w:t>
      </w:r>
      <w:r w:rsidRPr="00421C05">
        <w:rPr>
          <w:i/>
          <w:iCs/>
          <w:szCs w:val="15"/>
        </w:rPr>
        <w:t xml:space="preserve">White v James Hardie </w:t>
      </w:r>
      <w:r w:rsidRPr="00421C05">
        <w:rPr>
          <w:szCs w:val="15"/>
        </w:rPr>
        <w:t>was brought with a large number of plaintiffs, rather than as a representative action under HCR 4.24.</w:t>
      </w:r>
    </w:p>
  </w:footnote>
  <w:footnote w:id="8">
    <w:p w14:paraId="0B83D13D" w14:textId="77777777" w:rsidR="00A55F53" w:rsidRPr="00421C05" w:rsidRDefault="00A55F53" w:rsidP="009C726F">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Cridge</w:t>
      </w:r>
      <w:r w:rsidRPr="00421C05">
        <w:rPr>
          <w:i/>
          <w:iCs/>
          <w:szCs w:val="15"/>
        </w:rPr>
        <w:t xml:space="preserve"> v Studorp Ltd </w:t>
      </w:r>
      <w:r w:rsidRPr="00421C05">
        <w:rPr>
          <w:szCs w:val="15"/>
        </w:rPr>
        <w:t>[2021] NZHC 2077.</w:t>
      </w:r>
    </w:p>
  </w:footnote>
  <w:footnote w:id="9">
    <w:p w14:paraId="550F0283" w14:textId="2035013B" w:rsidR="00A55F53" w:rsidRPr="00421C05" w:rsidRDefault="00A55F53" w:rsidP="009C726F">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Tim Hunter “ANZ settles class action claim on Ross Fraud” </w:t>
      </w:r>
      <w:r w:rsidRPr="00421C05">
        <w:rPr>
          <w:i/>
          <w:iCs/>
          <w:szCs w:val="15"/>
        </w:rPr>
        <w:t>The National Business Review</w:t>
      </w:r>
      <w:r w:rsidRPr="00421C05">
        <w:rPr>
          <w:szCs w:val="15"/>
        </w:rPr>
        <w:t xml:space="preserve"> (online ed, Aotearoa New Zealand, 23 August 2021).</w:t>
      </w:r>
    </w:p>
  </w:footnote>
  <w:footnote w:id="10">
    <w:p w14:paraId="036A561F" w14:textId="3AB9B69E"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w:t>
      </w:r>
      <w:r w:rsidRPr="00421C05">
        <w:rPr>
          <w:i/>
          <w:iCs/>
          <w:szCs w:val="15"/>
        </w:rPr>
        <w:t xml:space="preserve"> v Southern Response Earthquake Services Ltd </w:t>
      </w:r>
      <w:r w:rsidRPr="00421C05">
        <w:rPr>
          <w:szCs w:val="15"/>
        </w:rPr>
        <w:t xml:space="preserve">[2021] NZHC 2451 (reasons judgment); </w:t>
      </w:r>
      <w:r w:rsidRPr="00421C05">
        <w:rPr>
          <w:i/>
          <w:iCs/>
          <w:szCs w:val="15"/>
        </w:rPr>
        <w:t xml:space="preserve">Ross v Southern Response Earthquake Services Ltd </w:t>
      </w:r>
      <w:r w:rsidRPr="00421C05">
        <w:rPr>
          <w:szCs w:val="15"/>
        </w:rPr>
        <w:t xml:space="preserve">[2021] NZHC 2452 </w:t>
      </w:r>
      <w:bookmarkStart w:id="35" w:name="_Hlk83822155"/>
      <w:r w:rsidRPr="00421C05">
        <w:rPr>
          <w:szCs w:val="15"/>
        </w:rPr>
        <w:t>(opt-out notice requirements)</w:t>
      </w:r>
      <w:bookmarkEnd w:id="35"/>
      <w:r w:rsidRPr="00421C05">
        <w:rPr>
          <w:szCs w:val="15"/>
        </w:rPr>
        <w:t xml:space="preserve">; </w:t>
      </w:r>
      <w:r w:rsidRPr="00421C05">
        <w:rPr>
          <w:i/>
          <w:iCs/>
          <w:szCs w:val="15"/>
        </w:rPr>
        <w:t xml:space="preserve">Ross v Southern Response Earthquake Services Ltd </w:t>
      </w:r>
      <w:r w:rsidRPr="00421C05">
        <w:rPr>
          <w:szCs w:val="15"/>
        </w:rPr>
        <w:t xml:space="preserve">[2021] NZHC 2453 (review of defendant’s communication); and </w:t>
      </w:r>
      <w:r w:rsidRPr="00421C05">
        <w:rPr>
          <w:i/>
          <w:iCs/>
          <w:szCs w:val="15"/>
        </w:rPr>
        <w:t xml:space="preserve">Ross v Southern Response Earthquake Services Ltd </w:t>
      </w:r>
      <w:r w:rsidRPr="00421C05">
        <w:rPr>
          <w:szCs w:val="15"/>
        </w:rPr>
        <w:t xml:space="preserve">[2021] NZHC 2454 (set-aside application). </w:t>
      </w:r>
    </w:p>
  </w:footnote>
  <w:footnote w:id="11">
    <w:p w14:paraId="2CA711F0" w14:textId="0E446960"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Jenny Ruth “ANZ, ASB sued in multimillion dollar class action” </w:t>
      </w:r>
      <w:r w:rsidRPr="00421C05">
        <w:rPr>
          <w:i/>
          <w:iCs/>
          <w:szCs w:val="15"/>
        </w:rPr>
        <w:t>BusinessDesk</w:t>
      </w:r>
      <w:r w:rsidRPr="00421C05">
        <w:rPr>
          <w:szCs w:val="15"/>
        </w:rPr>
        <w:t xml:space="preserve"> (online ed, Aotearoa New Zealand, 29 September 2021).</w:t>
      </w:r>
    </w:p>
  </w:footnote>
  <w:footnote w:id="12">
    <w:p w14:paraId="19DD04CB" w14:textId="7769B322"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Te Komiti mō ngā Tikanga Kooti | The Rules Committee </w:t>
      </w:r>
      <w:r w:rsidRPr="00421C05">
        <w:rPr>
          <w:i/>
          <w:iCs/>
          <w:szCs w:val="15"/>
        </w:rPr>
        <w:t xml:space="preserve">Improving Access to Civil Justice: Further Consultation with the Legal Profession and Wider Community </w:t>
      </w:r>
      <w:r w:rsidRPr="00421C05">
        <w:rPr>
          <w:szCs w:val="15"/>
        </w:rPr>
        <w:t>(14 May 2021).</w:t>
      </w:r>
    </w:p>
  </w:footnote>
  <w:footnote w:id="13">
    <w:p w14:paraId="4F0DA7E7"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“Improving Access to Civil Justice” (20 July 2021) Ngā Kōti o Aotearoa | Courts of New Zealand &lt;</w:t>
      </w:r>
      <w:hyperlink r:id="rId1" w:history="1">
        <w:r w:rsidRPr="00421C05">
          <w:rPr>
            <w:rStyle w:val="Hyperlink"/>
            <w:szCs w:val="15"/>
          </w:rPr>
          <w:t>www.courtsofnz.govt.nz</w:t>
        </w:r>
      </w:hyperlink>
      <w:r w:rsidRPr="00421C05">
        <w:rPr>
          <w:szCs w:val="15"/>
        </w:rPr>
        <w:t>&gt;.</w:t>
      </w:r>
    </w:p>
  </w:footnote>
  <w:footnote w:id="14">
    <w:p w14:paraId="59EF1FAF" w14:textId="0924E71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“Access to Justice survey of the profession” (30 August 2021) Te Kāhui Ture o Aotearoa | New Zealand Law Society &lt;</w:t>
      </w:r>
      <w:hyperlink r:id="rId2" w:history="1">
        <w:r w:rsidRPr="00421C05">
          <w:rPr>
            <w:rStyle w:val="Hyperlink"/>
            <w:szCs w:val="15"/>
          </w:rPr>
          <w:t>www.lawsociety.org.nz</w:t>
        </w:r>
      </w:hyperlink>
      <w:r w:rsidRPr="00421C05">
        <w:rPr>
          <w:szCs w:val="15"/>
        </w:rPr>
        <w:t>&gt;.</w:t>
      </w:r>
    </w:p>
  </w:footnote>
  <w:footnote w:id="15">
    <w:p w14:paraId="459F6373" w14:textId="05A4B976"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iCs/>
          <w:szCs w:val="15"/>
        </w:rPr>
        <w:t xml:space="preserve">Litigation funding and the regulation of the class action industry </w:t>
      </w:r>
      <w:r w:rsidRPr="00421C05">
        <w:rPr>
          <w:szCs w:val="15"/>
        </w:rPr>
        <w:t>(December 2020).</w:t>
      </w:r>
    </w:p>
  </w:footnote>
  <w:footnote w:id="16">
    <w:p w14:paraId="0EB71BAE"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Wigmans</w:t>
      </w:r>
      <w:r w:rsidRPr="00421C05">
        <w:rPr>
          <w:i/>
          <w:iCs/>
          <w:szCs w:val="15"/>
        </w:rPr>
        <w:t xml:space="preserve"> v AMP Ltd </w:t>
      </w:r>
      <w:r w:rsidRPr="00421C05">
        <w:rPr>
          <w:szCs w:val="15"/>
        </w:rPr>
        <w:t xml:space="preserve">[2021] HCA 7. We discuss this decision in Chapter 2. </w:t>
      </w:r>
    </w:p>
  </w:footnote>
  <w:footnote w:id="17">
    <w:p w14:paraId="21ADA114"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Mastercard</w:t>
      </w:r>
      <w:r w:rsidRPr="00421C05">
        <w:rPr>
          <w:i/>
          <w:iCs/>
          <w:szCs w:val="15"/>
        </w:rPr>
        <w:t xml:space="preserve"> Incorporated and Ors v Merricks </w:t>
      </w:r>
      <w:r w:rsidRPr="00421C05">
        <w:rPr>
          <w:szCs w:val="15"/>
        </w:rPr>
        <w:t>[2020] UKSC 51.</w:t>
      </w:r>
    </w:p>
  </w:footnote>
  <w:footnote w:id="18">
    <w:p w14:paraId="1D093EF4" w14:textId="3C715CF6"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received 21 submissions on this question. They were from: Andrew Barker QC, Bell Gully, Buddle Findlay, Carter Holt Harvey, Colin Carruthers QC, Chapman Tripp, Claims Resolution Service, Gilbert Walker, Johnson &amp; Johnson, LPF Group, Maurice Blackburn/Claims Funding Australia, Meredith Connell, NZX, Omni Bridgeway, Simpson Grierson, Nicole Smith, Solicitor-General, Te Kāhui Inihua o Aotearoa | Insurance Council, Te Kāhui Ture o Aotearoa | New Zealand Law Society, Kate Tokeley and Tom Weston QC.</w:t>
      </w:r>
    </w:p>
  </w:footnote>
  <w:footnote w:id="19">
    <w:p w14:paraId="06C0E372" w14:textId="453C4C66"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received 11 submissions on this question. They were from: BusinessNZ, Consumer NZ, LPF Group, Maurice Blackburn/Claims Funding Australia, Meredith Connell, Omni Bridgeway, Simpson Grierson, Nicole Smith, Te Kāhui Inihua o Aotearoa | Insurance Council, Kate Tokeley and Tom Weston QC.</w:t>
      </w:r>
    </w:p>
  </w:footnote>
  <w:footnote w:id="20">
    <w:p w14:paraId="30E246DC" w14:textId="6D133F6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received 31 submissions on this question. They were from: Barry Allan, Association of Litigation Funders of Australia, Bell Gully, Samuel Becher, Jennifer Braithwaite, BusinessNZ, Carter Holt Harvey, Chapman Tripp, Claims Resolution Service, Consumer NZ, Michael Duffy, Tony Ellis, Gilbert Walker, Hīkina Whakatutuki | Ministry of Business, Innovation and Employment, International Bar Association Antitrust Committee, Jasminka Kalajdzic, Michael Legg, Maurice Blackburn/Claims Funding Australia, Meredith Connell, Shareholders’ Association, Omni Bridgeway, Simpson Grierson, Nicole Smith, Christopher St Johanser, Te Kāhui Inihua o Aotearoa | Insurance Council, Te Kāhui Ture o Aotearoa | New Zealand Law Society, Te Komihana Tauhokhoko | Commerce Commission, Te Mana Mātāpono Matatapu | Privacy Commissioner, Kate Tokeley, Vicki Waye and Tom Weston QC.  </w:t>
      </w:r>
    </w:p>
  </w:footnote>
  <w:footnote w:id="21">
    <w:p w14:paraId="73C53378" w14:textId="743BD089"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received 28 submissions on this question. They were from: Barry Allan, Association of Litigation Funders of Australia, Bell Gully, Buddle Findlay, BusinessNZ, Carter Holt Harvey, Chapman Tripp, Claims Resolution Service, Consumer NZ, Michael Duffy, Gilbert Walker, Institute of Directors, International Bar Association Antitrust Committee, Johnson &amp; Johnson, Michael Legg, LPF Group, Marsh, Maurice Blackburn/Claims Funding Australia, NZX, Omni Bridgeway, Shareholders’ Association, Simpson Grierson, Solicitor-General, Te Kāhui Inihua o Aotearoa | Insurance Council, Te Kāhui Ture o Aotearoa | New Zealand Law Society, Te Komihana Tauhokhoko | Commerce Commission, Vicki Waye and Tom Weston QC.</w:t>
      </w:r>
    </w:p>
  </w:footnote>
  <w:footnote w:id="22">
    <w:p w14:paraId="6AA0B86F" w14:textId="4B0C269D"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Te Aka Matua o te Ture | Law Commission </w:t>
      </w:r>
      <w:r w:rsidRPr="00421C05">
        <w:rPr>
          <w:i/>
          <w:iCs/>
          <w:szCs w:val="15"/>
        </w:rPr>
        <w:t>Class Actions and Litigation Funding | Ko ngā Hunga Take Whaipānga me ngā Pūtea Tautiringa</w:t>
      </w:r>
      <w:r w:rsidRPr="00421C05">
        <w:rPr>
          <w:szCs w:val="15"/>
        </w:rPr>
        <w:t xml:space="preserve"> (NZLC IP45, 2020) at Chapter 7.</w:t>
      </w:r>
    </w:p>
  </w:footnote>
  <w:footnote w:id="23">
    <w:p w14:paraId="6F5482B8" w14:textId="3BF815B8"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Submissions in favour of a statutory class actions regime were from: Barry Allan, Association of Litigation Funders of Australia, Samuel Becher, Bell Gully, Buddle Findlay, Colin Carruthers QC, Nikki Chamberlain, Chapman Tripp, Claims Resolution Service, Consumer NZ, Michael Duffy, Hīkina Whakatutuki | Ministry of Business, Innovation and Employment, Institute of Directors, Gilbert Walker, International Bar Association Antitrust Committee, Johnson &amp; Johnson, Jasminka Kalajdzic, Michael Legg, LPF Group, Marsh, Maurice Blackburn/Claims Funding Australia, Meredith Connell, Shareholders’ Association, NZX, Omni Bridgeway, Simpson Grierson, Nicole Smith, Solicitor-General, Te Kāhui Inihua o Aotearoa | Insurance Council, Te Kāhui Ture o Aotearoa | New Zealand Law Society, Te Komihana Tauhokhoko | Commerce Commission, Te Mana Tatai Hokohoko | Financial Markets Authority, Kate Tokeley, Tom Weston QC and Woodsford Litigation Funding.</w:t>
      </w:r>
    </w:p>
  </w:footnote>
  <w:footnote w:id="24">
    <w:p w14:paraId="1827BE10"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Carter Holt Harvey and Tony Gavigan.</w:t>
      </w:r>
    </w:p>
  </w:footnote>
  <w:footnote w:id="25">
    <w:p w14:paraId="47B330F9"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Carter Holt Harvey.</w:t>
      </w:r>
    </w:p>
  </w:footnote>
  <w:footnote w:id="26">
    <w:p w14:paraId="406A8D09"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Tony Gavigan.</w:t>
      </w:r>
    </w:p>
  </w:footnote>
  <w:footnote w:id="27">
    <w:p w14:paraId="52B15E2C"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BusinessNZ.</w:t>
      </w:r>
    </w:p>
  </w:footnote>
  <w:footnote w:id="28">
    <w:p w14:paraId="797697E5" w14:textId="11374EDA"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also note that some aspects of a class actions regime would need to be in the High Court Rules rather than in a statute. We envisage there could be a separate class actions part of the Rules. On some matters we ask whether existing provisions of the Rules are adequate or whether new provisions for class actions may be needed.</w:t>
      </w:r>
    </w:p>
  </w:footnote>
  <w:footnote w:id="29">
    <w:p w14:paraId="55AE2B32" w14:textId="0B24E171"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Issues Paper at [9.4]. </w:t>
      </w:r>
    </w:p>
  </w:footnote>
  <w:footnote w:id="30">
    <w:p w14:paraId="15BBF283" w14:textId="381DF18E"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Issues Paper at [9.6]. </w:t>
      </w:r>
    </w:p>
  </w:footnote>
  <w:footnote w:id="31">
    <w:p w14:paraId="66533ACB" w14:textId="1DB96308"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[9.7].</w:t>
      </w:r>
    </w:p>
  </w:footnote>
  <w:footnote w:id="32">
    <w:p w14:paraId="22036839" w14:textId="4B15CEFB"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[9.9].</w:t>
      </w:r>
    </w:p>
  </w:footnote>
  <w:footnote w:id="33">
    <w:p w14:paraId="77C20A73" w14:textId="5F1A228D"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[9.10].</w:t>
      </w:r>
    </w:p>
  </w:footnote>
  <w:footnote w:id="34">
    <w:p w14:paraId="6A17E35F" w14:textId="5051079A"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Association of Litigation Funders of Australia, Bell Gully, Jennifer Braithwaite, BusinessNZ, Nikki Chamberlain, Chapman Tripp, Claims Resolution Service, Consumer NZ, Michael Duffy, Gilbert Walker, International Bar Association Antitrust Committee, Jasminka Kalajdzic, Michael Legg, LPF Group, Maurice Blackburn/Claims Funding Australia, Omni Bridgeway, Simpson Grierson, Te Kāhui Inihua o Aotearoa | Insurance Council, Te Kāhui Ture o Aotearoa | New Zealand Law Society, Kate Tokeley and Tom Weston QC.</w:t>
      </w:r>
    </w:p>
  </w:footnote>
  <w:footnote w:id="35">
    <w:p w14:paraId="317AAE9F" w14:textId="4F25FE81"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Association of Litigation Funders of Australia, Jennifer Braithwaite, BusinessNZ, Consumer NZ, Jasminka Kalajdzic, LPF Group, Maurice Blackburn/Claims Funding Australia, Omni Bridgeway, Te Kāhui Inihua o Aotearoa | Insurance Council, Kate Tokeley. Submitters phrased this in different ways including “promoting the role of law and equal justice for all” or “promoting access to justice to plaintiffs who would otherwise struggle to obtain access to the courts”. In addition to these 10 submitters, Te Kāhui Ture o Aotearoa | New Zealand Law Society said that while it saw access to justice as the main objective of class actions, it was not desirable to treat it as an overriding objective.</w:t>
      </w:r>
    </w:p>
  </w:footnote>
  <w:footnote w:id="36">
    <w:p w14:paraId="4A89CDF2"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Barry Allan, Bell Gully and Gilbert Walker. </w:t>
      </w:r>
    </w:p>
  </w:footnote>
  <w:footnote w:id="37">
    <w:p w14:paraId="23AEA1FF" w14:textId="35342BF5"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Tom Weston QC. Other submitters made this point in response to Q 3.</w:t>
      </w:r>
    </w:p>
  </w:footnote>
  <w:footnote w:id="38">
    <w:p w14:paraId="7D896862" w14:textId="1430BEC3"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Michael Duffy (he considered access to civil justice should be an important secondary objective); and Claims Resolution Service.</w:t>
      </w:r>
    </w:p>
  </w:footnote>
  <w:footnote w:id="39">
    <w:p w14:paraId="1B767303" w14:textId="63E140B2"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Te Kāhui Inihua o Aotearoa | Insurance Council and Tom Weston QC.</w:t>
      </w:r>
    </w:p>
  </w:footnote>
  <w:footnote w:id="40">
    <w:p w14:paraId="2A26F3DC"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Bell Gully, Nikki Chamberlain, Chapman Tripp and Simpson Grierson. Some of these submitters supported additional objectives as well.</w:t>
      </w:r>
    </w:p>
  </w:footnote>
  <w:footnote w:id="41">
    <w:p w14:paraId="33661A7C" w14:textId="4575DA1C"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BusinessNZ, Nikki Chamberlain, Consumer NZ, Gilbert Walker, International Bar Association Antitrust Committee, Simpson Grierson, Te Kāhui Inihua o Aotearoa | Insurance Council and Kate Tokeley.</w:t>
      </w:r>
    </w:p>
  </w:footnote>
  <w:footnote w:id="42">
    <w:p w14:paraId="6F12DF89" w14:textId="1A5D81BB"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Maurice Blackburn/Claims Funding Australia, Jasminka Kalajdzic and Tom Weston QC (while he was not persuaded of any of the proposed advantages of class actions, he saw strengthening compliance with the law as the most real). </w:t>
      </w:r>
    </w:p>
  </w:footnote>
  <w:footnote w:id="43">
    <w:p w14:paraId="42167877"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These included: the need to protect the rights and interests of defendants, providing clear guidance on oversight of litigation funding, protecting the interests of class members, proportionality and certainty and clarity. We think these fit better as considerations for the design of a class actions regime, rather than the objectives of class actions themselves.</w:t>
      </w:r>
    </w:p>
  </w:footnote>
  <w:footnote w:id="44">
    <w:p w14:paraId="73184412"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refer to these as the objectives of class actions to distinguish them from our broader design principles for a class actions regime. In other words, we see the objectives as the goals of class actions themselves and the key reasons for having a class actions regime. </w:t>
      </w:r>
    </w:p>
  </w:footnote>
  <w:footnote w:id="45">
    <w:p w14:paraId="04F85463" w14:textId="35A8BD89"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szCs w:val="15"/>
        </w:rPr>
        <w:tab/>
        <w:t xml:space="preserve">Issues Paper at [5.4]–[5.28]. </w:t>
      </w:r>
    </w:p>
  </w:footnote>
  <w:footnote w:id="46">
    <w:p w14:paraId="45CA1888" w14:textId="68F0DBD6"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have therefore revised the view we expressed in the Issues Paper that access to justice should be the primary objective: Issues Paper at [9.6].</w:t>
      </w:r>
    </w:p>
  </w:footnote>
  <w:footnote w:id="47">
    <w:p w14:paraId="751BE694"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High Court Rules 2016, r 1.2.</w:t>
      </w:r>
    </w:p>
  </w:footnote>
  <w:footnote w:id="48">
    <w:p w14:paraId="4A69BF6A" w14:textId="755F70AD"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For example, it might allow a class action to be certified where the main benefit would be strengthening a defendant’s incentives to comply with the law, but the class action would result in very minimal compensation to class members and would be lengthy and expensive to run. </w:t>
      </w:r>
    </w:p>
  </w:footnote>
  <w:footnote w:id="49">
    <w:p w14:paraId="55E124E4" w14:textId="64749FB8"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Association of Litigation Funders of Australia, Samuel Becher, BusinessNZ, Nikki Chamberlain, Chapman Tripp, Claims Resolution Service, Michael Duffy, LPF Group, Maurice Blackburn/Claims Funding Australia, Meredith Connell, Omni Bridgeway, Simpson Grierson, Te Kāhui Inihua o Aotearoa | Insurance Council, Te Kāhui Ture o Aotearoa | New Zealand Law Society and Vicki Waye.</w:t>
      </w:r>
    </w:p>
  </w:footnote>
  <w:footnote w:id="50">
    <w:p w14:paraId="3951216F" w14:textId="48B7EEA2"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szCs w:val="15"/>
          <w:lang w:val="en-US"/>
        </w:rPr>
        <w:t xml:space="preserve">Association of Litigation Funders of Australia, BusinessNZ, Nikki Chamberlain, Chapman Tripp, Claims Resolution Service, Michael Duffy, LPF Group, </w:t>
      </w:r>
      <w:r w:rsidRPr="00421C05">
        <w:rPr>
          <w:szCs w:val="15"/>
        </w:rPr>
        <w:t xml:space="preserve">Maurice Blackburn/Claims Funding Australia, Omni Bridgeway, Simpson Grierson and Te Kāhui Inihua o Aotearoa | Insurance Council. </w:t>
      </w:r>
    </w:p>
  </w:footnote>
  <w:footnote w:id="51">
    <w:p w14:paraId="787C7AA9" w14:textId="4257E3E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To avoid confusion, we have removed principle (a) from the list we outlined in the Issues Paper (have clear objectives for the class action procedure). </w:t>
      </w:r>
    </w:p>
  </w:footnote>
  <w:footnote w:id="52">
    <w:p w14:paraId="5A7A8F58" w14:textId="55A618D4"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asked submitters whether proportionality was an appropriate principle for a class actions regime and, if so, what features of a regime could help to achieve that (Q13). There were 15 submissions which addressed this question. Twelve agreed that proportionality was an appropriate principle (Association of Litigation Funders of Australia, Bell Gully, Carter Holt Harvey, Nikki Chamberlain, Chapman Tripp, LPF Group, Maurice Blackburn/Claims Funding Australia, Omni Bridgeway, Simpson Grierson, Te Kāhui Inihua o Aotearoa | Insurance Council, Te Kāhui Ture o Aotearoa | New Zealand Law Society and Tom Weston QC). In addition, Barry Allan and Michael Duffy indicated some limitations of a proportionality requirement, while BusinessNZ did not express a clear preference on this question.</w:t>
      </w:r>
    </w:p>
  </w:footnote>
  <w:footnote w:id="53">
    <w:p w14:paraId="2AD9F6D1" w14:textId="6FF6A4DF"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Simpson Grierson, Te Kāhui Ture o Aotearoa | New Zealand Law Society and Vicki Waye.</w:t>
      </w:r>
    </w:p>
  </w:footnote>
  <w:footnote w:id="54">
    <w:p w14:paraId="06DE6D39" w14:textId="452FA631"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[8.29].</w:t>
      </w:r>
    </w:p>
  </w:footnote>
  <w:footnote w:id="55">
    <w:p w14:paraId="1E10C727" w14:textId="570FF419"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[8.28].</w:t>
      </w:r>
    </w:p>
  </w:footnote>
  <w:footnote w:id="56">
    <w:p w14:paraId="04B4D36D" w14:textId="26E10B2B"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Bell Gully, BusinessNZ, Carter Holt Harvey, Nikki Chamberlain, Chapman Tripp, Claims Resolution Service, Michael Duffy, Gilbert Walker, LPF Group, Michael Legg, NZX, Omni Bridgeway, Michael Riordan, Shareholders’ Association, Simpson Grierson, Nicole Smith, Te Kāhui Inihua o Aotearoa | Insurance Council, Te Kāhui Ture o Aotearoa | New Zealand Law Society and Tom Weston QC.</w:t>
      </w:r>
    </w:p>
  </w:footnote>
  <w:footnote w:id="57">
    <w:p w14:paraId="281FAF2D" w14:textId="194B491D"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Nikki Chamberlain, Chapman Tripp, Michael Duffy, Gilbert Walker, LPF Group, NZX, Michael Riordan, Simpson Grierson, Te Kāhui Inihua o Aotearoa | Insurance Council, Te Kāhui Ture o Aotearoa | New Zealand Law Society and Nicole Smith.</w:t>
      </w:r>
    </w:p>
  </w:footnote>
  <w:footnote w:id="58">
    <w:p w14:paraId="62901C20"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BusinessNZ, Carter Holt Harvey, Claims Resolution Service, Omni Bridgeway, Shareholders’ Association, and Tom Weston QC.</w:t>
      </w:r>
    </w:p>
  </w:footnote>
  <w:footnote w:id="59">
    <w:p w14:paraId="4D93DC1A"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Michael Legg. </w:t>
      </w:r>
    </w:p>
  </w:footnote>
  <w:footnote w:id="60">
    <w:p w14:paraId="3C6FC18A" w14:textId="16FF8194"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[8.20].</w:t>
      </w:r>
    </w:p>
  </w:footnote>
  <w:footnote w:id="61">
    <w:p w14:paraId="26609AC9" w14:textId="2B25E99C"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[8.23]. These include: the representative defendant is selected involuntarily and may be unwilling to perform the role; defendant class members are likely to opt out if given the option; unlike plaintiff class members, defendant class members are exposed to liability; the suspension of the limitation period gives the plaintiff additional time to pursue individual claims against defendant class members,</w:t>
      </w:r>
    </w:p>
  </w:footnote>
  <w:footnote w:id="62">
    <w:p w14:paraId="631EC7B7" w14:textId="3C8A5343"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[8.24].</w:t>
      </w:r>
    </w:p>
  </w:footnote>
  <w:footnote w:id="63">
    <w:p w14:paraId="2EE0A840" w14:textId="0B98D6D9"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BusinessNZ, Claims Resolution Service, Michael Duffy, LPF Group, NZX, Omni Bridgeway, Simpson Grierson, Nicole Smith, Te Kāhui Inihua o Aotearoa | Insurance Council, Te Kāhui Ture o Aotearoa | New Zealand Law Society and Tom Weston QC.</w:t>
      </w:r>
    </w:p>
  </w:footnote>
  <w:footnote w:id="64">
    <w:p w14:paraId="7BA360E2" w14:textId="6E57DD1A"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LPF Group, NZX and Te Kāhui Inihua o Aotearoa | Insurance Council.</w:t>
      </w:r>
    </w:p>
  </w:footnote>
  <w:footnote w:id="65">
    <w:p w14:paraId="45C8C2CD" w14:textId="77777777"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Simpson Grierson and Tom Weston QC.</w:t>
      </w:r>
    </w:p>
  </w:footnote>
  <w:footnote w:id="66">
    <w:p w14:paraId="41E60053" w14:textId="2496D172"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BusinessNZ, Claims Resolution Service, Michael Duffy, Omni Bridgeway, Nicole Smith and Te Kāhui Ture o Aotearoa | New Zealand Law Society.</w:t>
      </w:r>
    </w:p>
  </w:footnote>
  <w:footnote w:id="67">
    <w:p w14:paraId="2FA73F6E" w14:textId="3CAC3934"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Te Aka Matua o te Ture l Law Commission “Class Actions and Litigation Funding” (2020) </w:t>
      </w:r>
      <w:hyperlink w:history="1">
        <w:r w:rsidRPr="00421C05">
          <w:rPr>
            <w:rStyle w:val="Hyperlink"/>
            <w:szCs w:val="15"/>
          </w:rPr>
          <w:t>&lt;www.lawcom.govt.nz&gt;</w:t>
        </w:r>
      </w:hyperlink>
      <w:r w:rsidRPr="00421C05">
        <w:rPr>
          <w:szCs w:val="15"/>
        </w:rPr>
        <w:t>.</w:t>
      </w:r>
    </w:p>
  </w:footnote>
  <w:footnote w:id="68">
    <w:p w14:paraId="3E39192E" w14:textId="4ECA13EF" w:rsidR="00A55F53" w:rsidRPr="00421C05" w:rsidRDefault="00A55F53" w:rsidP="00213699">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intend to consider feedback received at these workshops when preparing our final report, without attributing workshop feedback to any particular participant.</w:t>
      </w:r>
    </w:p>
  </w:footnote>
  <w:footnote w:id="69">
    <w:p w14:paraId="0EDE0E96"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(1)(1). See also cl 2.</w:t>
      </w:r>
    </w:p>
  </w:footnote>
  <w:footnote w:id="70">
    <w:p w14:paraId="77E23727"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1(1)(b), cl 1(3)(b), cl 1(5) and cl 4(1)(b).</w:t>
      </w:r>
    </w:p>
  </w:footnote>
  <w:footnote w:id="71">
    <w:p w14:paraId="3C6AC8E2"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[10.33].</w:t>
      </w:r>
    </w:p>
  </w:footnote>
  <w:footnote w:id="72">
    <w:p w14:paraId="67A9475D" w14:textId="64A04DEA"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Bell Gully, BusinessNZ, Nikki Chamberlain, Chapman Tripp, Claims Resolution Service, Michael Duffy, LPF Group, Maurice Blackburn/Claims Funding Australia, Meredith Connell, Omni Bridgeway, Simpson Grierson, Nicole Smith, Te Kāhui Inihua o Aotearoa | Insurance Council, Te Kāhui Ture o Aotearoa | New Zealand Law Society and Tom Weston QC.</w:t>
      </w:r>
    </w:p>
  </w:footnote>
  <w:footnote w:id="73">
    <w:p w14:paraId="64239CA4" w14:textId="25210B7F"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Bell Gully, Nikki Chamberlain, Claims Resolution Service, Maurice Blackburn/Claims Funding Australia, Omni Bridgeway, Simpson Grierson, Nicole Smith, Te Kāhui Inihua o Aotearoa | Insurance Council, Te Kāhui Ture o Aotearoa | New Zealand Law Society and Tom Weston QC. </w:t>
      </w:r>
    </w:p>
  </w:footnote>
  <w:footnote w:id="74">
    <w:p w14:paraId="453D21F5"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[10.33(c)].</w:t>
      </w:r>
    </w:p>
  </w:footnote>
  <w:footnote w:id="75">
    <w:p w14:paraId="554CA0CC" w14:textId="04740A8E"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4(3)(e).</w:t>
      </w:r>
    </w:p>
  </w:footnote>
  <w:footnote w:id="76">
    <w:p w14:paraId="77C1A86B"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1(1)(a) and (3)(a). See also cl 2.</w:t>
      </w:r>
    </w:p>
  </w:footnote>
  <w:footnote w:id="77">
    <w:p w14:paraId="5B6709CE"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4(3)(a).</w:t>
      </w:r>
    </w:p>
  </w:footnote>
  <w:footnote w:id="78">
    <w:p w14:paraId="1AF00445"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[11.24].</w:t>
      </w:r>
    </w:p>
  </w:footnote>
  <w:footnote w:id="79">
    <w:p w14:paraId="4724DC75" w14:textId="741699CA" w:rsidR="00A55F53" w:rsidRPr="00421C05" w:rsidRDefault="00A55F53">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Barry Allan, Samuel Becher, Bell Gully, Jennifer Braithwaite, BusinessNZ, Nikki Chamberlain, Chapman Tripp, Claims Resolution Service, Consumer NZ, Michael Duffy, International Bar Association Antitrust Committee, LPF Group, Maurice Blackburn/Claims Funding Australia, Meredith Connell, NZX, Omni Bridgeway, Simpson Grierson, Nicole Smith, Christopher St Johanser, Te Kāhui Inihua o Aotearoa | Insurance Council, Te Kāhui Ture o Aotearoa | New Zealand Law Society, Te Mana Mātāpono Matatapu | Privacy Commissioner, Vicki Waye, and Tom Weston QC. </w:t>
      </w:r>
    </w:p>
  </w:footnote>
  <w:footnote w:id="80">
    <w:p w14:paraId="04E09C25" w14:textId="1A0D211C"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Submitters that said a representative plaintiff must be a class member were: Claims Resolution Service, Michael Duffy, Meredith Connell, Simpson Grierson, Nicole Smith, Te Kāhui Ture o Aotearoa | New Zealand Law Society and Tom Weston QC. Submitters that said a representative plaintiff could be a class member or have statutory standing were: Nikki Chamberlain, LPF Group, Maurice Blackburn/Claims Funding Australia, NZX and Omni Bridgeway. </w:t>
      </w:r>
      <w:bookmarkStart w:id="44" w:name="_Hlk83310086"/>
      <w:r w:rsidRPr="00421C05">
        <w:rPr>
          <w:szCs w:val="15"/>
        </w:rPr>
        <w:t xml:space="preserve">We also consider the submissions from Bell Gully and Te Kāhui Inihua o Aotearoa | Insurance Council fall into the latter category. </w:t>
      </w:r>
    </w:p>
    <w:bookmarkEnd w:id="44"/>
  </w:footnote>
  <w:footnote w:id="81">
    <w:p w14:paraId="37D2D916" w14:textId="21B66B7D"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Samuel Becher, Jennifer Braithwaite, Chapman Tripp, Consumer NZ, International Bar Association Antitrust Committee and Vicki Waye.</w:t>
      </w:r>
    </w:p>
  </w:footnote>
  <w:footnote w:id="82">
    <w:p w14:paraId="2EDEE9D3" w14:textId="3CF39C7D"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BusinessNZ, Christopher St Johanser and Te Mana Mātāpono Matatapu | Privacy Commissioner.</w:t>
      </w:r>
    </w:p>
  </w:footnote>
  <w:footnote w:id="83">
    <w:p w14:paraId="38BD0C69"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1(1)(a)–(b). Note that there may be more than one representative plaintiff in a class action.</w:t>
      </w:r>
    </w:p>
  </w:footnote>
  <w:footnote w:id="84">
    <w:p w14:paraId="4791D9EE" w14:textId="6C5BD620"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Barry Allan, Samuel Becher, Bell Gully, Jennifer Braithwaite, BusinessNZ, Nikki Chamberlain, Chapman Tripp, Claims Resolution Service, Michael Duffy, Institute of Directors, International Bar Association Antitrust Committee, LPF Group, Maurice Blackburn/Claims Funding Australia, NZX, Omni Bridgeway, Simpson Grierson, Te Kāhui Inihua o Aotearoa | Insurance Council, Te Kāhui Ture o Aotearoa | New Zealand Law Society and Tom Weston QC. </w:t>
      </w:r>
    </w:p>
  </w:footnote>
  <w:footnote w:id="85">
    <w:p w14:paraId="41626BBC" w14:textId="7271DE06"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(where the government entity shares the class members’ cause of action against the defendant and is seeking the same kind of relief); Nikki Chamberlain (where a government entity has its own claim against the defendant); Claims Resolution Service; Michael Duffy (where the government entity is among victims of illegality which involve common issues); Simpson Grierson (where the government entity is a class member, although it said in some cases it may not be desirable for this to occur because the position of a government entity is likely to be very different to a typical class member); Te Kāhui Inihua o Aotearoa | Insurance Council (when they have their own claim); and Maurice Blackburn/Claims Funding Australia (when a government entity also has its own claim).</w:t>
      </w:r>
    </w:p>
  </w:footnote>
  <w:footnote w:id="86">
    <w:p w14:paraId="77CBD0D4" w14:textId="05FAA168"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Nikki Chamberlain, Maurice Blackburn/Claims Funding Australia (it may be appropriate for certain other groups or entities to be given statutory standing), Omni Bridgeway, Te Kāhui Inihua o Aotearoa | Insurance Council and Tom Weston QC.</w:t>
      </w:r>
    </w:p>
  </w:footnote>
  <w:footnote w:id="87">
    <w:p w14:paraId="6117446F" w14:textId="2C552738"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Jennifer Braithwaite (where this does not conflict with the government entity’s statutory functions); and International Bar Association Antitrust Committee (in matters relating to their public purposes).</w:t>
      </w:r>
    </w:p>
  </w:footnote>
  <w:footnote w:id="88">
    <w:p w14:paraId="54A9340F" w14:textId="5DA42ED9" w:rsidR="00A55F53" w:rsidRPr="00421C05" w:rsidRDefault="00A55F53" w:rsidP="00B763FB">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Institute of Directors (consideration should be given to regulators playing a special role as lead claimants in class actions); and NZX (there should be a requirement for class actions to involve the appropriate regulatory body as representative plaintiff, particularly in relation to financial markets claims).</w:t>
      </w:r>
    </w:p>
  </w:footnote>
  <w:footnote w:id="89">
    <w:p w14:paraId="7A3F0634" w14:textId="30A7CC2E"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our draft legislation, cl 1(3). Our provision uses the term “State entity” to ensure it includes wider state sector organisations such as independent Crown entities. </w:t>
      </w:r>
    </w:p>
  </w:footnote>
  <w:footnote w:id="90">
    <w:p w14:paraId="5EDDE22A"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Financial Markets Authority Act 2011, </w:t>
      </w:r>
      <w:r w:rsidRPr="00421C05" w:rsidDel="00936F0E">
        <w:rPr>
          <w:szCs w:val="15"/>
        </w:rPr>
        <w:t>s</w:t>
      </w:r>
      <w:r w:rsidRPr="00421C05">
        <w:rPr>
          <w:szCs w:val="15"/>
        </w:rPr>
        <w:t xml:space="preserve"> 34(3) and (5).</w:t>
      </w:r>
    </w:p>
  </w:footnote>
  <w:footnote w:id="91">
    <w:p w14:paraId="013A470B" w14:textId="1D95AA34"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1(4).</w:t>
      </w:r>
    </w:p>
  </w:footnote>
  <w:footnote w:id="92">
    <w:p w14:paraId="33C4260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discussion of overseas case law on this issue in Rachael Mulheron </w:t>
      </w:r>
      <w:r w:rsidRPr="00421C05">
        <w:rPr>
          <w:i/>
          <w:iCs/>
          <w:szCs w:val="15"/>
        </w:rPr>
        <w:t>Class Actions and Government</w:t>
      </w:r>
      <w:r w:rsidRPr="00421C05">
        <w:rPr>
          <w:szCs w:val="15"/>
        </w:rPr>
        <w:t xml:space="preserve"> (Cambridge University Press, Cambridge, 2020) at 110</w:t>
      </w:r>
      <w:r w:rsidRPr="00421C05">
        <w:rPr>
          <w:szCs w:val="15"/>
        </w:rPr>
        <w:softHyphen/>
        <w:t>113 and Vince Morabito “Standing to Sue and Multiple Defendant Class Actions in Australia, Canada, and the United States” (2003) 41 Alta L Rev 295.</w:t>
      </w:r>
    </w:p>
  </w:footnote>
  <w:footnote w:id="93">
    <w:p w14:paraId="4E8ABAEA" w14:textId="01E38BC0"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2(1)(a), 2(2)(a).</w:t>
      </w:r>
    </w:p>
  </w:footnote>
  <w:footnote w:id="94">
    <w:p w14:paraId="38E22172" w14:textId="748D000C" w:rsidR="00A55F53" w:rsidRPr="00421C05" w:rsidRDefault="00A55F53" w:rsidP="00CE3A23">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[10.4]</w:t>
      </w:r>
      <w:r w:rsidRPr="00421C05">
        <w:rPr>
          <w:szCs w:val="15"/>
        </w:rPr>
        <w:softHyphen/>
        <w:t>–[10.19].</w:t>
      </w:r>
    </w:p>
  </w:footnote>
  <w:footnote w:id="95">
    <w:p w14:paraId="5629D879" w14:textId="77777777" w:rsidR="00A55F53" w:rsidRPr="00421C05" w:rsidRDefault="00A55F53" w:rsidP="00CE3A23">
      <w:pPr>
        <w:pStyle w:val="FootnoteText"/>
        <w:rPr>
          <w:color w:val="0070C0"/>
          <w:szCs w:val="15"/>
        </w:rPr>
      </w:pPr>
      <w:r w:rsidRPr="00421C05">
        <w:rPr>
          <w:rStyle w:val="FootnoteReference"/>
          <w:sz w:val="15"/>
          <w:szCs w:val="15"/>
        </w:rPr>
        <w:footnoteRef/>
      </w:r>
      <w:r w:rsidRPr="00421C05">
        <w:rPr>
          <w:szCs w:val="15"/>
        </w:rPr>
        <w:t xml:space="preserve"> </w:t>
      </w:r>
      <w:r w:rsidRPr="00421C05">
        <w:rPr>
          <w:szCs w:val="15"/>
        </w:rPr>
        <w:tab/>
        <w:t>Issues Paper at [10.4</w:t>
      </w:r>
      <w:r w:rsidRPr="00421C05" w:rsidDel="00E22D56">
        <w:rPr>
          <w:szCs w:val="15"/>
        </w:rPr>
        <w:t>]</w:t>
      </w:r>
      <w:r w:rsidRPr="00421C05">
        <w:rPr>
          <w:szCs w:val="15"/>
        </w:rPr>
        <w:t>.</w:t>
      </w:r>
      <w:r w:rsidRPr="00421C05">
        <w:rPr>
          <w:color w:val="0070C0"/>
          <w:szCs w:val="15"/>
        </w:rPr>
        <w:t xml:space="preserve"> </w:t>
      </w:r>
    </w:p>
  </w:footnote>
  <w:footnote w:id="96">
    <w:p w14:paraId="1E626D6E" w14:textId="77777777" w:rsidR="00A55F53" w:rsidRPr="00421C05" w:rsidRDefault="00A55F53" w:rsidP="00CE3A23">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[10.20]–[10.28].</w:t>
      </w:r>
    </w:p>
  </w:footnote>
  <w:footnote w:id="97">
    <w:p w14:paraId="410CD5C6" w14:textId="6B0B8F7B" w:rsidR="00A55F53" w:rsidRPr="00421C05" w:rsidRDefault="00A55F53" w:rsidP="00CE3A23">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Buddle Findlay, BusinessNZ, Carter Holt Harvey, Nikki Chamberlain, Chapman Tripp, Claims Resolution Service, Institute of Directors, International Bar Association Antitrust Committee, Johnson &amp; Johnson, LPF Group, NZX, Simpson Grierson, Te Kāhui Inihua o Aotearoa | Insurance Council, Te Kāhui Ture o Aotearoa | New Zealand Law Society and Tom Weston QC.</w:t>
      </w:r>
    </w:p>
  </w:footnote>
  <w:footnote w:id="98">
    <w:p w14:paraId="2471EB57" w14:textId="77777777" w:rsidR="00A55F53" w:rsidRPr="00421C05" w:rsidRDefault="00A55F53" w:rsidP="00CE3A23">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Association of Litigation Funders of Australia, Tony Gavigan, Maurice Blackburn/Claims Funding Australia, Meredith Connell, Omni Bridgeway, Nicole Smith, Vicki Waye and Woodsford Litigation Funding. </w:t>
      </w:r>
    </w:p>
  </w:footnote>
  <w:footnote w:id="99">
    <w:p w14:paraId="415E3D5A" w14:textId="77777777" w:rsidR="00A55F53" w:rsidRPr="00421C05" w:rsidRDefault="00A55F53" w:rsidP="00CE3A23">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Barry Allan, Samuel Becher, Colin Carruthers QC and Michael Legg. </w:t>
      </w:r>
    </w:p>
  </w:footnote>
  <w:footnote w:id="100">
    <w:p w14:paraId="576469E1" w14:textId="77777777" w:rsidR="00A55F53" w:rsidRPr="00421C05" w:rsidRDefault="00A55F53" w:rsidP="00CE3A23">
      <w:pPr>
        <w:pStyle w:val="FootnoteText"/>
        <w:rPr>
          <w:szCs w:val="15"/>
        </w:rPr>
      </w:pPr>
      <w:r w:rsidRPr="00421C05">
        <w:rPr>
          <w:rStyle w:val="FootnoteReference"/>
          <w:sz w:val="15"/>
          <w:szCs w:val="15"/>
        </w:rPr>
        <w:footnoteRef/>
      </w:r>
      <w:r w:rsidRPr="00421C05">
        <w:rPr>
          <w:szCs w:val="15"/>
        </w:rPr>
        <w:t xml:space="preserve"> </w:t>
      </w:r>
      <w:r w:rsidRPr="00421C05">
        <w:rPr>
          <w:szCs w:val="15"/>
        </w:rPr>
        <w:tab/>
        <w:t>In Chapter 2 we propose that competing class actions should be considered at the same time as certification.</w:t>
      </w:r>
    </w:p>
  </w:footnote>
  <w:footnote w:id="101">
    <w:p w14:paraId="423EC1D1" w14:textId="77777777" w:rsidR="00A55F53" w:rsidRPr="00421C05" w:rsidRDefault="00A55F53" w:rsidP="00CE3A23">
      <w:pPr>
        <w:pStyle w:val="FootnoteText"/>
        <w:rPr>
          <w:szCs w:val="15"/>
        </w:rPr>
      </w:pPr>
      <w:r w:rsidRPr="00421C05">
        <w:rPr>
          <w:rStyle w:val="FootnoteReference"/>
          <w:sz w:val="15"/>
          <w:szCs w:val="15"/>
        </w:rPr>
        <w:footnoteRef/>
      </w:r>
      <w:r w:rsidRPr="00421C05">
        <w:rPr>
          <w:szCs w:val="15"/>
        </w:rPr>
        <w:t xml:space="preserve"> </w:t>
      </w:r>
      <w:r w:rsidRPr="00421C05">
        <w:rPr>
          <w:szCs w:val="15"/>
        </w:rPr>
        <w:tab/>
        <w:t>An order will not be necessary if the person sues or is sued on a representative basis with the consent of the other persons who have the same interests in the subject matter of the proceeding: High Court Rules 2016, r 4.24(a). However, few representative actions have proceeded on this basis: see Issues Paper at [3.6].</w:t>
      </w:r>
    </w:p>
  </w:footnote>
  <w:footnote w:id="102">
    <w:p w14:paraId="7C9E4A09" w14:textId="77777777" w:rsidR="00A55F53" w:rsidRPr="00421C05" w:rsidRDefault="00A55F53" w:rsidP="00CE3A23">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There has been some suggestion that the lack of certification requirement in Australia has led to numerous interlocutory applications in class actions: see Issues Paper at [10.24].</w:t>
      </w:r>
    </w:p>
  </w:footnote>
  <w:footnote w:id="103">
    <w:p w14:paraId="06F464EB"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[10.35].</w:t>
      </w:r>
    </w:p>
  </w:footnote>
  <w:footnote w:id="104">
    <w:p w14:paraId="75193CB5" w14:textId="5F394380"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[3.32]–[3.36] and [10.47]–[10.48].</w:t>
      </w:r>
    </w:p>
  </w:footnote>
  <w:footnote w:id="105">
    <w:p w14:paraId="18374A5F"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Cridge</w:t>
      </w:r>
      <w:r w:rsidRPr="00421C05">
        <w:rPr>
          <w:i/>
          <w:iCs/>
          <w:szCs w:val="15"/>
        </w:rPr>
        <w:t xml:space="preserve"> v Studorp Ltd </w:t>
      </w:r>
      <w:r w:rsidRPr="00421C05">
        <w:rPr>
          <w:szCs w:val="15"/>
        </w:rPr>
        <w:t>[2017] NZCA 376, (2017) 23 PRNZ 582 at [11(d)].</w:t>
      </w:r>
    </w:p>
  </w:footnote>
  <w:footnote w:id="106">
    <w:p w14:paraId="1C2CED7D"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Credit</w:t>
      </w:r>
      <w:r w:rsidRPr="00421C05">
        <w:rPr>
          <w:i/>
          <w:iCs/>
          <w:szCs w:val="15"/>
        </w:rPr>
        <w:t xml:space="preserve"> Suisse </w:t>
      </w:r>
      <w:bookmarkStart w:id="49" w:name="_Hlk83115691"/>
      <w:r w:rsidRPr="00421C05">
        <w:rPr>
          <w:i/>
          <w:iCs/>
          <w:szCs w:val="15"/>
        </w:rPr>
        <w:t xml:space="preserve">Private Equity LLC v Houghton </w:t>
      </w:r>
      <w:r w:rsidRPr="00421C05">
        <w:rPr>
          <w:szCs w:val="15"/>
        </w:rPr>
        <w:t xml:space="preserve">[2014] NZSC 37, [2014] 1 NZLR 541 </w:t>
      </w:r>
      <w:bookmarkEnd w:id="49"/>
      <w:r w:rsidRPr="00421C05">
        <w:rPr>
          <w:szCs w:val="15"/>
        </w:rPr>
        <w:t xml:space="preserve">at [53] per Elias CJ and Anderson J. </w:t>
      </w:r>
    </w:p>
  </w:footnote>
  <w:footnote w:id="107">
    <w:p w14:paraId="029F9920"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Credit</w:t>
      </w:r>
      <w:r w:rsidRPr="00421C05">
        <w:rPr>
          <w:i/>
          <w:iCs/>
          <w:szCs w:val="15"/>
        </w:rPr>
        <w:t xml:space="preserve"> Suisse Private Equity LLC v Houghton </w:t>
      </w:r>
      <w:r w:rsidRPr="00421C05">
        <w:rPr>
          <w:szCs w:val="15"/>
        </w:rPr>
        <w:t xml:space="preserve">[2014] NZSC 37, [2014] 1 NZLR 541 at [51] per Elias CJ and Anderson J, citing </w:t>
      </w:r>
      <w:r w:rsidRPr="00421C05">
        <w:rPr>
          <w:i/>
          <w:iCs/>
          <w:szCs w:val="15"/>
        </w:rPr>
        <w:t xml:space="preserve">Carnie v Esanda Finance Corp Ltd </w:t>
      </w:r>
      <w:r w:rsidRPr="00421C05">
        <w:rPr>
          <w:szCs w:val="15"/>
        </w:rPr>
        <w:t>(1995) 182 CLR 398 at 408 per Brennan J and at 430 per McHugh J.</w:t>
      </w:r>
    </w:p>
  </w:footnote>
  <w:footnote w:id="108">
    <w:p w14:paraId="3FC20364"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Cridge</w:t>
      </w:r>
      <w:r w:rsidRPr="00421C05">
        <w:rPr>
          <w:i/>
          <w:iCs/>
          <w:szCs w:val="15"/>
        </w:rPr>
        <w:t xml:space="preserve"> v Studorp Ltd </w:t>
      </w:r>
      <w:r w:rsidRPr="00421C05">
        <w:rPr>
          <w:szCs w:val="15"/>
        </w:rPr>
        <w:t xml:space="preserve">[2017] NZCA 376, (2017) 23 PRNZ 582 at [11](g)] and [11(h)]. </w:t>
      </w:r>
    </w:p>
  </w:footnote>
  <w:footnote w:id="109">
    <w:p w14:paraId="1108F7F6"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Cridge</w:t>
      </w:r>
      <w:r w:rsidRPr="00421C05">
        <w:rPr>
          <w:i/>
          <w:iCs/>
          <w:szCs w:val="15"/>
        </w:rPr>
        <w:t xml:space="preserve"> v Studorp Ltd </w:t>
      </w:r>
      <w:r w:rsidRPr="00421C05">
        <w:rPr>
          <w:szCs w:val="15"/>
        </w:rPr>
        <w:t>[2017] NZCA 376, (2017) 23 PRNZ 582 at [11(e)].</w:t>
      </w:r>
    </w:p>
  </w:footnote>
  <w:footnote w:id="110">
    <w:p w14:paraId="201D60AD" w14:textId="395229D5"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Andrew Barker QC, Bell Gully, Buddle Findlay, BusinessNZ, Carter Holt Harvey, Nikki Chamberlain, Chapman Tripp, Claims Resolution Service, Michael Duffy, Jasminka Kalajdzic, Michael Legg, LPF Group, Maurice Bridgeway/Claims Funding Australia, Omni Bridgeway, Simpson Grierson, Te Kāhui Inihua o Aotearoa | Insurance Council and Tom Weston QC. Of these, 16 submissions which addressed both commonality and predominance, one submission addressed commonality only and one addressed predominance only.</w:t>
      </w:r>
    </w:p>
  </w:footnote>
  <w:footnote w:id="111">
    <w:p w14:paraId="22128B31"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Barry Allan, BusinessNZ, Nikki Chamberlain, Chapman Tripp, LPF Group, Maurice Blackburn/Claims Funding Australia, Omni Bridgeway and Simpson Grierson. </w:t>
      </w:r>
    </w:p>
  </w:footnote>
  <w:footnote w:id="112">
    <w:p w14:paraId="3C728F13" w14:textId="3AB6F1E2"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Andrew Barker QC, Bell Gully, Buddle Findlay, Claims Resolution Service, Carter Holt Harvey, Te Kāhui Inihua o Aotearoa | Insurance Council and Tom Weston QC. Submitters who supported a predominance requirement were: Andrew Barker QC, Bell Gully, Claims Resolution Service, Te Kāhui Inihua o Aotearoa | Insurance Council and Tom Weston QC.</w:t>
      </w:r>
    </w:p>
  </w:footnote>
  <w:footnote w:id="113">
    <w:p w14:paraId="11E78F31"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Michael Duffy, Jasminka Kalajdzic (although she indicated that she did not support a predominance test) and Michael Legg.</w:t>
      </w:r>
    </w:p>
  </w:footnote>
  <w:footnote w:id="114">
    <w:p w14:paraId="7B6D029E" w14:textId="2D8285EC"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cls 1(1)(b), 1(5) and 4(1)(b).</w:t>
      </w:r>
    </w:p>
  </w:footnote>
  <w:footnote w:id="115">
    <w:p w14:paraId="200A73F7"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Credit</w:t>
      </w:r>
      <w:r w:rsidRPr="00421C05">
        <w:rPr>
          <w:i/>
          <w:iCs/>
          <w:szCs w:val="15"/>
        </w:rPr>
        <w:t xml:space="preserve"> Suisse Private Equity LLC v Houghton </w:t>
      </w:r>
      <w:r w:rsidRPr="00421C05">
        <w:rPr>
          <w:szCs w:val="15"/>
        </w:rPr>
        <w:t xml:space="preserve">[2014] NZSC 37, [2014] 1 NZLR 541 at [163]. </w:t>
      </w:r>
    </w:p>
  </w:footnote>
  <w:footnote w:id="116">
    <w:p w14:paraId="4C0F9B47" w14:textId="798DC901" w:rsidR="00A55F53" w:rsidRPr="00421C05" w:rsidRDefault="00A55F53" w:rsidP="00B763FB">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t xml:space="preserve">We note that the rules around joinder and consolidation require a “common question of law or fact”: High Court Rules 2016, rr 4.2(1)(b) and 10.12(a). To avoid the risk of class actions case law applying to joinder and consolidation, we prefer the slightly different wording of “common issue of law or fact”. </w:t>
      </w:r>
    </w:p>
  </w:footnote>
  <w:footnote w:id="117">
    <w:p w14:paraId="0DC4D6C0" w14:textId="4166EBFC"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Credit</w:t>
      </w:r>
      <w:r w:rsidRPr="00421C05">
        <w:rPr>
          <w:i/>
          <w:iCs/>
          <w:szCs w:val="15"/>
        </w:rPr>
        <w:t xml:space="preserve"> Suisse Private Equity LLC v Houghton </w:t>
      </w:r>
      <w:r w:rsidRPr="00421C05">
        <w:rPr>
          <w:szCs w:val="15"/>
        </w:rPr>
        <w:t>[2014] NZSC 37, [2014] 1 NZLR 541</w:t>
      </w:r>
      <w:r w:rsidRPr="00421C05">
        <w:rPr>
          <w:i/>
          <w:szCs w:val="15"/>
        </w:rPr>
        <w:t xml:space="preserve"> </w:t>
      </w:r>
      <w:r w:rsidRPr="00421C05">
        <w:rPr>
          <w:szCs w:val="15"/>
        </w:rPr>
        <w:t xml:space="preserve">at [53](b) per Elias CJ and Anderson J (“there must be a common issue of fact or law of significance for each member of the class represented”) and </w:t>
      </w:r>
      <w:r w:rsidRPr="00421C05">
        <w:rPr>
          <w:i/>
          <w:szCs w:val="15"/>
        </w:rPr>
        <w:t>Cridge</w:t>
      </w:r>
      <w:r w:rsidRPr="00421C05">
        <w:rPr>
          <w:i/>
          <w:iCs/>
          <w:szCs w:val="15"/>
        </w:rPr>
        <w:t xml:space="preserve"> v Studorp Ltd </w:t>
      </w:r>
      <w:r w:rsidRPr="00421C05">
        <w:rPr>
          <w:szCs w:val="15"/>
        </w:rPr>
        <w:t>[2017] NZCA 376, (2017) 23 PRNZ 582 at [11(d)].</w:t>
      </w:r>
    </w:p>
  </w:footnote>
  <w:footnote w:id="118">
    <w:p w14:paraId="536F4310"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4(3)(c).</w:t>
      </w:r>
    </w:p>
  </w:footnote>
  <w:footnote w:id="119">
    <w:p w14:paraId="6E6CA94E" w14:textId="1849B9C8"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[10.50]–[10.55].</w:t>
      </w:r>
    </w:p>
  </w:footnote>
  <w:footnote w:id="120">
    <w:p w14:paraId="59A81623" w14:textId="04C96103"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BusinessNZ, Carter Holt Harvey, Nikki Chamberlain, Chapman Tripp, Claims Resolution Service, Michael Duffy, International Bar Association Antitrust Committee, Jasminka Kalajdzic, LPF Group, Maurice Blackburn/Claims Funding Australia, Meredith Connell, Simpson Grierson, Te Kāhui Inihua o Aotearoa | Insurance Council and Tom Weston QC.</w:t>
      </w:r>
    </w:p>
  </w:footnote>
  <w:footnote w:id="121">
    <w:p w14:paraId="20661FD9" w14:textId="74751430"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Carter Holt Harvey, Chapman Tripp, Michael Duffy, Te Kāhui Inihua o Aotearoa | Insurance Council (in circumstances where the class action follows an extant non-class action proceeding or the class action is brought on an opt-out basis) and Tom Weston QC.</w:t>
      </w:r>
    </w:p>
  </w:footnote>
  <w:footnote w:id="122">
    <w:p w14:paraId="08E0873A" w14:textId="4579DDAC"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Nikki Chamberlain, Jasminka Kalajdzic, LPF Group, Maurice Blackburn/Claims Funding Australia, Meredith Connell, and Simpson Grierson. Nikki Chamberlain said the court should determine whether the claim is suitable to be brought as a class action. Simpson Grierson said the representative plaintiff should be required to establish that a class action is an appropriate means of pursing the claim</w:t>
      </w:r>
      <w:r w:rsidRPr="00421C05" w:rsidDel="006C6A0E">
        <w:rPr>
          <w:szCs w:val="15"/>
        </w:rPr>
        <w:t>.</w:t>
      </w:r>
    </w:p>
  </w:footnote>
  <w:footnote w:id="123">
    <w:p w14:paraId="28B062CF" w14:textId="77777777" w:rsidR="00A55F53" w:rsidRPr="00421C05" w:rsidRDefault="00A55F53" w:rsidP="00B763FB">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BusinessNZ, Claims Resolution Service and International Bar Association Antitrust Committee. </w:t>
      </w:r>
    </w:p>
  </w:footnote>
  <w:footnote w:id="124">
    <w:p w14:paraId="11CB7585"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4(1)(e).</w:t>
      </w:r>
    </w:p>
  </w:footnote>
  <w:footnote w:id="125">
    <w:p w14:paraId="45682C62"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4(3)(e).</w:t>
      </w:r>
    </w:p>
  </w:footnote>
  <w:footnote w:id="126">
    <w:p w14:paraId="487B86DD"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4(3).</w:t>
      </w:r>
    </w:p>
  </w:footnote>
  <w:footnote w:id="127">
    <w:p w14:paraId="70F04443" w14:textId="37F3A034"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4(3)(f).</w:t>
      </w:r>
    </w:p>
  </w:footnote>
  <w:footnote w:id="128">
    <w:p w14:paraId="45F1AF44"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[12.15]</w:t>
      </w:r>
      <w:r w:rsidRPr="00421C05">
        <w:rPr>
          <w:szCs w:val="15"/>
        </w:rPr>
        <w:softHyphen/>
        <w:t>–[12.58].</w:t>
      </w:r>
    </w:p>
  </w:footnote>
  <w:footnote w:id="129">
    <w:p w14:paraId="63DD9B84" w14:textId="03C57E96" w:rsidR="00A55F53" w:rsidRPr="00421C05" w:rsidRDefault="00A55F53" w:rsidP="00B763FB">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r>
      <w:r w:rsidRPr="00421C05">
        <w:rPr>
          <w:szCs w:val="15"/>
          <w:lang w:val="mi-NZ"/>
        </w:rPr>
        <w:t xml:space="preserve">Barry Allan, Association of Litigation Funders of Australia, Andrew Barker QC, Bell Gully, Jennifer Braithwaite, Buddle Findlay, BusinessNZ, Carter Holt Harvey, Nikki Chamberlain, Chapman Tripp, Claims Resolution Services Ltd, Michael Duffy, Gilbert Walker, International Bar Association Antitrust Committee, Michael Legg, LPF Group, Maurice Blackburn/Claims Funding Australia, NZX, Omni Bridgeway, Ross Asset Management Investment Group, Simpson Grierson, Nicole Smith, Solicitor-General, </w:t>
      </w:r>
      <w:r w:rsidRPr="00421C05">
        <w:rPr>
          <w:szCs w:val="15"/>
        </w:rPr>
        <w:t>Te Kāhui Inihua o Aotearoa | Insurance Council, Te Kāhui Ture o Aotearoa | New Zealand Law Society,</w:t>
      </w:r>
      <w:r w:rsidRPr="00421C05">
        <w:rPr>
          <w:szCs w:val="15"/>
          <w:lang w:val="mi-NZ"/>
        </w:rPr>
        <w:t xml:space="preserve"> </w:t>
      </w:r>
      <w:r w:rsidRPr="00421C05">
        <w:rPr>
          <w:szCs w:val="15"/>
        </w:rPr>
        <w:t xml:space="preserve">Te Mana Mātāpono Matatapu | Privacy Commissioner, </w:t>
      </w:r>
      <w:r w:rsidRPr="00421C05">
        <w:rPr>
          <w:szCs w:val="15"/>
          <w:lang w:val="mi-NZ"/>
        </w:rPr>
        <w:t xml:space="preserve">Kate Tokeley, Vicki Waye, Tom Weston QC and Woodsford Litigation Funding. </w:t>
      </w:r>
    </w:p>
  </w:footnote>
  <w:footnote w:id="130">
    <w:p w14:paraId="47A412A9" w14:textId="15757EFD"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Carter Holt Harvey, Gilbert Walker, Te Kāhui Inihua o Aotearoa | Insurance Council (it said class membership should be determined on an opt-in basis, but if both approaches are available there should not be a default approach) and Tom Weston QC. </w:t>
      </w:r>
    </w:p>
  </w:footnote>
  <w:footnote w:id="131">
    <w:p w14:paraId="7C6CB2F6" w14:textId="2ACC285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Ross Asset Management Investors Group, Woodsford Litigation Funding (but there should be the ability to close the class in some circumstances, such as settlement), International Bar Association Antitrust Committee (although it said there should be</w:t>
      </w:r>
      <w:r w:rsidRPr="00421C05" w:rsidDel="00FA5B90">
        <w:rPr>
          <w:szCs w:val="15"/>
        </w:rPr>
        <w:t xml:space="preserve"> a</w:t>
      </w:r>
      <w:r w:rsidRPr="00421C05">
        <w:rPr>
          <w:szCs w:val="15"/>
        </w:rPr>
        <w:t xml:space="preserve"> power to close the class in certain circumstances, such as settlement) and Maurice Blackburn/Claims Funding Australia (opt-out is preferable, but if multiple approaches are available, opt-out should be the default). </w:t>
      </w:r>
    </w:p>
  </w:footnote>
  <w:footnote w:id="132">
    <w:p w14:paraId="711A71D6"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BusinessNZ, NZX and Kate Tokeley.</w:t>
      </w:r>
    </w:p>
  </w:footnote>
  <w:footnote w:id="133">
    <w:p w14:paraId="1E8E234B" w14:textId="0313C768"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Nicole Smith and Jennifer Braithwaite (especially if children and young people are possible class members).</w:t>
      </w:r>
    </w:p>
  </w:footnote>
  <w:footnote w:id="134">
    <w:p w14:paraId="4DECB429" w14:textId="69DD4495"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Association of Litigation Funders of Australia, Andrew Barker QC (but queries how opt-out would work when class members have individual causes of action, separate to the claim in the class action), Nikki Chamberlain, Chapman Tripp, Michael Duffy,</w:t>
      </w:r>
      <w:r w:rsidRPr="00421C05" w:rsidDel="006A1C9E">
        <w:rPr>
          <w:szCs w:val="15"/>
        </w:rPr>
        <w:t xml:space="preserve"> </w:t>
      </w:r>
      <w:r w:rsidRPr="00421C05">
        <w:rPr>
          <w:szCs w:val="15"/>
        </w:rPr>
        <w:t xml:space="preserve">Michael Legg, LPF Group, Omni Bridgeway, Simpson Grierson, Te Kāhui Ture o Aotearoa | New Zealand Law Society and Vicki Waye. </w:t>
      </w:r>
    </w:p>
  </w:footnote>
  <w:footnote w:id="135">
    <w:p w14:paraId="0CC8606A" w14:textId="77AA552F"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Nikki Chamberlain, Chapman Tripp, NZX, Simpson Grierson and Te Kāhui Ture o Aotearoa | New Zealand Law Society. </w:t>
      </w:r>
    </w:p>
  </w:footnote>
  <w:footnote w:id="136">
    <w:p w14:paraId="7E277BF9" w14:textId="48A27AFB"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Buddle Findlay (tended to prefer opt-in but anticipated the Supreme Court decision in </w:t>
      </w:r>
      <w:r w:rsidRPr="00421C05">
        <w:rPr>
          <w:i/>
          <w:iCs/>
          <w:szCs w:val="15"/>
        </w:rPr>
        <w:t xml:space="preserve">Southern Response v Ross </w:t>
      </w:r>
      <w:r w:rsidRPr="00421C05">
        <w:rPr>
          <w:szCs w:val="15"/>
        </w:rPr>
        <w:t>had pre-empted the approach), Claims Resolution Service, Solicitor-General and Te Mana Mātāpono Matatapu | Privacy Commissioner.</w:t>
      </w:r>
    </w:p>
  </w:footnote>
  <w:footnote w:id="137">
    <w:p w14:paraId="4BCC0BDF"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[12.15]</w:t>
      </w:r>
      <w:r w:rsidRPr="00421C05">
        <w:rPr>
          <w:szCs w:val="15"/>
        </w:rPr>
        <w:softHyphen/>
        <w:t>–[12.58].</w:t>
      </w:r>
    </w:p>
  </w:footnote>
  <w:footnote w:id="138">
    <w:p w14:paraId="6DF05322" w14:textId="2DF67D93"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Southern</w:t>
      </w:r>
      <w:r w:rsidRPr="00421C05">
        <w:rPr>
          <w:i/>
          <w:iCs/>
          <w:szCs w:val="15"/>
        </w:rPr>
        <w:t xml:space="preserve"> Response Earthquake Services Ltd v Ross </w:t>
      </w:r>
      <w:r w:rsidRPr="00421C05">
        <w:rPr>
          <w:szCs w:val="15"/>
        </w:rPr>
        <w:t>[2020] NZSC 126 at [108].</w:t>
      </w:r>
    </w:p>
  </w:footnote>
  <w:footnote w:id="139">
    <w:p w14:paraId="37B2397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This</w:t>
      </w:r>
      <w:r w:rsidRPr="00421C05" w:rsidDel="009B1FF0">
        <w:rPr>
          <w:szCs w:val="15"/>
        </w:rPr>
        <w:t xml:space="preserve"> </w:t>
      </w:r>
      <w:r w:rsidRPr="00421C05">
        <w:rPr>
          <w:szCs w:val="15"/>
        </w:rPr>
        <w:t xml:space="preserve">has occurred in Australia, with the development of ‘closed class actions’. We discuss this in our Issues Paper at [12.50(a)]. </w:t>
      </w:r>
    </w:p>
  </w:footnote>
  <w:footnote w:id="140">
    <w:p w14:paraId="4B5426E2" w14:textId="77777777" w:rsidR="00A55F53" w:rsidRPr="00421C05" w:rsidRDefault="00A55F53" w:rsidP="00B763FB">
      <w:pPr>
        <w:pStyle w:val="FootnoteText"/>
        <w:rPr>
          <w:szCs w:val="15"/>
        </w:rPr>
      </w:pPr>
      <w:r w:rsidRPr="00421C05">
        <w:rPr>
          <w:rStyle w:val="FootnoteReference"/>
          <w:sz w:val="15"/>
          <w:szCs w:val="15"/>
        </w:rPr>
        <w:footnoteRef/>
      </w:r>
      <w:r w:rsidRPr="00421C05">
        <w:rPr>
          <w:rStyle w:val="FootnoteReference"/>
          <w:sz w:val="15"/>
          <w:szCs w:val="15"/>
        </w:rPr>
        <w:t xml:space="preserve"> </w:t>
      </w:r>
      <w:r w:rsidRPr="00421C05">
        <w:rPr>
          <w:szCs w:val="15"/>
        </w:rPr>
        <w:tab/>
        <w:t>See our draft legislation, cl 4(1)(d).</w:t>
      </w:r>
    </w:p>
  </w:footnote>
  <w:footnote w:id="141">
    <w:p w14:paraId="766487F6" w14:textId="05E63DFE"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Southern</w:t>
      </w:r>
      <w:r w:rsidRPr="00421C05">
        <w:rPr>
          <w:i/>
          <w:iCs/>
          <w:szCs w:val="15"/>
        </w:rPr>
        <w:t xml:space="preserve"> Response Earthquake Services Ltd v Ross </w:t>
      </w:r>
      <w:r w:rsidRPr="00421C05">
        <w:rPr>
          <w:szCs w:val="15"/>
        </w:rPr>
        <w:t xml:space="preserve">[2020] NZSC 126 at [95]. The Court said it saw no basis in policy or practical terms for not taking this approach, so long as the court turns its mind to all of the relevant factors. </w:t>
      </w:r>
      <w:r w:rsidRPr="00421C05" w:rsidDel="00360ECE">
        <w:rPr>
          <w:szCs w:val="15"/>
        </w:rPr>
        <w:t xml:space="preserve"> </w:t>
      </w:r>
    </w:p>
  </w:footnote>
  <w:footnote w:id="142">
    <w:p w14:paraId="09C0DCBC" w14:textId="1D157509"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Southern</w:t>
      </w:r>
      <w:r w:rsidRPr="00421C05">
        <w:rPr>
          <w:i/>
          <w:iCs/>
          <w:szCs w:val="15"/>
        </w:rPr>
        <w:t xml:space="preserve"> Response Earthquake Services Ltd v Ross </w:t>
      </w:r>
      <w:r w:rsidRPr="00421C05">
        <w:rPr>
          <w:szCs w:val="15"/>
        </w:rPr>
        <w:t>[2020] NZSC 126 at [95]. We suggest that under a class actions regime, the court could consider whether the plaintiff’s proposed approach would be appropriate, having regard to the objectives of improving access to justice and managing multiple claims in an efficient way.</w:t>
      </w:r>
    </w:p>
  </w:footnote>
  <w:footnote w:id="143">
    <w:p w14:paraId="46E0CF38"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Southern</w:t>
      </w:r>
      <w:r w:rsidRPr="00421C05">
        <w:rPr>
          <w:i/>
          <w:iCs/>
          <w:szCs w:val="15"/>
        </w:rPr>
        <w:t xml:space="preserve"> Response Earthquake Services Ltd v Ross </w:t>
      </w:r>
      <w:r w:rsidRPr="00421C05">
        <w:rPr>
          <w:szCs w:val="15"/>
        </w:rPr>
        <w:t>[2020] NZSC 126 at [97].</w:t>
      </w:r>
    </w:p>
  </w:footnote>
  <w:footnote w:id="144">
    <w:p w14:paraId="397A76A7"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Southern</w:t>
      </w:r>
      <w:r w:rsidRPr="00421C05">
        <w:rPr>
          <w:i/>
          <w:iCs/>
          <w:szCs w:val="15"/>
        </w:rPr>
        <w:t xml:space="preserve"> Response Earthquake Services Ltd v Ross </w:t>
      </w:r>
      <w:r w:rsidRPr="00421C05">
        <w:rPr>
          <w:szCs w:val="15"/>
        </w:rPr>
        <w:t>[2020] NZSC 126 at [98].</w:t>
      </w:r>
    </w:p>
  </w:footnote>
  <w:footnote w:id="145">
    <w:p w14:paraId="2A26C04F" w14:textId="77777777" w:rsidR="00A55F53" w:rsidRPr="00421C05" w:rsidRDefault="00A55F53" w:rsidP="00B763FB">
      <w:pPr>
        <w:pStyle w:val="FootnoteText"/>
        <w:rPr>
          <w:noProof/>
          <w:szCs w:val="15"/>
        </w:rPr>
      </w:pPr>
      <w:r w:rsidRPr="00421C05">
        <w:rPr>
          <w:rStyle w:val="FootnoteReference"/>
          <w:noProof/>
          <w:sz w:val="15"/>
          <w:szCs w:val="15"/>
        </w:rPr>
        <w:footnoteRef/>
      </w:r>
      <w:r w:rsidRPr="00421C05">
        <w:rPr>
          <w:noProof/>
          <w:szCs w:val="15"/>
        </w:rPr>
        <w:t xml:space="preserve"> </w:t>
      </w:r>
      <w:r w:rsidRPr="00421C05">
        <w:rPr>
          <w:noProof/>
          <w:szCs w:val="15"/>
        </w:rPr>
        <w:tab/>
      </w:r>
      <w:r w:rsidRPr="00421C05">
        <w:rPr>
          <w:i/>
          <w:szCs w:val="15"/>
        </w:rPr>
        <w:t>Southern</w:t>
      </w:r>
      <w:r w:rsidRPr="00421C05">
        <w:rPr>
          <w:i/>
          <w:iCs/>
          <w:noProof/>
          <w:szCs w:val="15"/>
        </w:rPr>
        <w:t xml:space="preserve"> Response Earthquake Services Ltd v Ross </w:t>
      </w:r>
      <w:r w:rsidRPr="00421C05">
        <w:rPr>
          <w:noProof/>
          <w:szCs w:val="15"/>
        </w:rPr>
        <w:t>[2020] NZSC 126 at [99].</w:t>
      </w:r>
    </w:p>
  </w:footnote>
  <w:footnote w:id="146">
    <w:p w14:paraId="2BAC4FC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Southern</w:t>
      </w:r>
      <w:r w:rsidRPr="00421C05">
        <w:rPr>
          <w:i/>
          <w:iCs/>
          <w:szCs w:val="15"/>
        </w:rPr>
        <w:t xml:space="preserve"> Response Earthquake Services Ltd v Ross </w:t>
      </w:r>
      <w:r w:rsidRPr="00421C05">
        <w:rPr>
          <w:szCs w:val="15"/>
        </w:rPr>
        <w:t xml:space="preserve">[2020] NZSC 126 at [100]. As we discuss below, in the United States it is not necessary to provide an opportunity to opt out of this type of claim. </w:t>
      </w:r>
    </w:p>
  </w:footnote>
  <w:footnote w:id="147">
    <w:p w14:paraId="0C7E0853"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As we discuss in Chapter 2, we think that how the respective cases are formulated is likely to be relevant to the court’s assessment of how to manage competing class actions. </w:t>
      </w:r>
    </w:p>
  </w:footnote>
  <w:footnote w:id="148">
    <w:p w14:paraId="5A120901"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Note that courts do have discretion to permit class members to opt out of these kinds of case and have occasionally allowed this: see </w:t>
      </w:r>
      <w:r w:rsidRPr="00421C05">
        <w:rPr>
          <w:rFonts w:eastAsiaTheme="minorEastAsia" w:cstheme="minorBidi"/>
          <w:color w:val="000000"/>
          <w:szCs w:val="15"/>
          <w:shd w:val="clear" w:color="auto" w:fill="FFFFFF"/>
          <w:lang w:eastAsia="zh-CN" w:bidi="th-TH"/>
        </w:rPr>
        <w:t>William Rubenstein</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Newberg</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on Class Actions</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(online ed, Thomson Reuters) at </w:t>
      </w:r>
      <w:r w:rsidRPr="00421C05">
        <w:rPr>
          <w:rFonts w:ascii="Times New Roman" w:eastAsiaTheme="minorEastAsia" w:hAnsi="Times New Roman"/>
          <w:color w:val="000000"/>
          <w:szCs w:val="15"/>
          <w:shd w:val="clear" w:color="auto" w:fill="FFFFFF"/>
          <w:lang w:eastAsia="zh-CN" w:bidi="th-TH"/>
        </w:rPr>
        <w:t>§</w:t>
      </w:r>
      <w:r w:rsidRPr="00421C05">
        <w:rPr>
          <w:rFonts w:eastAsiaTheme="minorEastAsia" w:cstheme="minorBidi"/>
          <w:color w:val="000000"/>
          <w:szCs w:val="15"/>
          <w:shd w:val="clear" w:color="auto" w:fill="FFFFFF"/>
          <w:lang w:eastAsia="zh-CN" w:bidi="th-TH"/>
        </w:rPr>
        <w:t xml:space="preserve"> 9:51.</w:t>
      </w:r>
    </w:p>
  </w:footnote>
  <w:footnote w:id="149">
    <w:p w14:paraId="00F055B1"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lang w:eastAsia="zh-CN" w:bidi="th-TH"/>
        </w:rPr>
        <w:t>United States</w:t>
      </w:r>
      <w:r w:rsidRPr="00421C05">
        <w:rPr>
          <w:rFonts w:ascii="Calibri" w:eastAsiaTheme="minorEastAsia" w:hAnsi="Calibri" w:cs="Calibri"/>
          <w:color w:val="000000"/>
          <w:szCs w:val="15"/>
          <w:lang w:eastAsia="zh-CN" w:bidi="th-TH"/>
        </w:rPr>
        <w:t> </w:t>
      </w:r>
      <w:r w:rsidRPr="00421C05">
        <w:rPr>
          <w:rFonts w:eastAsiaTheme="minorEastAsia" w:cstheme="minorBidi"/>
          <w:color w:val="000000"/>
          <w:szCs w:val="15"/>
          <w:lang w:eastAsia="zh-CN" w:bidi="th-TH"/>
        </w:rPr>
        <w:t>Federal</w:t>
      </w:r>
      <w:r w:rsidRPr="00421C05">
        <w:rPr>
          <w:rFonts w:ascii="Calibri" w:eastAsiaTheme="minorEastAsia" w:hAnsi="Calibri" w:cs="Calibri"/>
          <w:color w:val="000000"/>
          <w:szCs w:val="15"/>
          <w:lang w:eastAsia="zh-CN" w:bidi="th-TH"/>
        </w:rPr>
        <w:t> </w:t>
      </w:r>
      <w:r w:rsidRPr="00421C05">
        <w:rPr>
          <w:rFonts w:eastAsiaTheme="minorEastAsia" w:cstheme="minorBidi"/>
          <w:color w:val="000000"/>
          <w:szCs w:val="15"/>
          <w:lang w:eastAsia="zh-CN" w:bidi="th-TH"/>
        </w:rPr>
        <w:t>Rules of Civil Procedure</w:t>
      </w:r>
      <w:r w:rsidRPr="00421C05">
        <w:rPr>
          <w:rFonts w:eastAsiaTheme="minorEastAsia" w:cstheme="minorBidi"/>
          <w:color w:val="000000"/>
          <w:szCs w:val="15"/>
          <w:shd w:val="clear" w:color="auto" w:fill="FFFFFF"/>
          <w:lang w:eastAsia="zh-CN" w:bidi="th-TH"/>
        </w:rPr>
        <w:t>, r 23(b)(1)(A).</w:t>
      </w:r>
    </w:p>
  </w:footnote>
  <w:footnote w:id="150">
    <w:p w14:paraId="1F14111D"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William Rubenstein</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Newberg</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on Class Actions</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(online ed, Thomson Reuters) at </w:t>
      </w:r>
      <w:r w:rsidRPr="00421C05">
        <w:rPr>
          <w:rFonts w:ascii="Times New Roman" w:eastAsiaTheme="minorEastAsia" w:hAnsi="Times New Roman"/>
          <w:color w:val="000000"/>
          <w:szCs w:val="15"/>
          <w:shd w:val="clear" w:color="auto" w:fill="FFFFFF"/>
          <w:lang w:eastAsia="zh-CN" w:bidi="th-TH"/>
        </w:rPr>
        <w:t>§</w:t>
      </w:r>
      <w:r w:rsidRPr="00421C05">
        <w:rPr>
          <w:rFonts w:eastAsiaTheme="minorEastAsia" w:cstheme="minorBidi"/>
          <w:color w:val="000000"/>
          <w:szCs w:val="15"/>
          <w:shd w:val="clear" w:color="auto" w:fill="FFFFFF"/>
          <w:lang w:eastAsia="zh-CN" w:bidi="th-TH"/>
        </w:rPr>
        <w:t xml:space="preserve"> 4:9.</w:t>
      </w:r>
    </w:p>
  </w:footnote>
  <w:footnote w:id="151">
    <w:p w14:paraId="5FE146A6"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William Rubenstein</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Newberg</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on Class Actions</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(online ed, Thomson Reuters) at </w:t>
      </w:r>
      <w:r w:rsidRPr="00421C05">
        <w:rPr>
          <w:rFonts w:ascii="Times New Roman" w:eastAsiaTheme="minorEastAsia" w:hAnsi="Times New Roman"/>
          <w:color w:val="000000"/>
          <w:szCs w:val="15"/>
          <w:shd w:val="clear" w:color="auto" w:fill="FFFFFF"/>
          <w:lang w:eastAsia="zh-CN" w:bidi="th-TH"/>
        </w:rPr>
        <w:t>§</w:t>
      </w:r>
      <w:r w:rsidRPr="00421C05">
        <w:rPr>
          <w:rFonts w:eastAsiaTheme="minorEastAsia" w:cstheme="minorBidi"/>
          <w:color w:val="000000"/>
          <w:szCs w:val="15"/>
          <w:shd w:val="clear" w:color="auto" w:fill="FFFFFF"/>
          <w:lang w:eastAsia="zh-CN" w:bidi="th-TH"/>
        </w:rPr>
        <w:t xml:space="preserve"> 4:7.</w:t>
      </w:r>
    </w:p>
  </w:footnote>
  <w:footnote w:id="152">
    <w:p w14:paraId="60602DB9"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lang w:eastAsia="zh-CN" w:bidi="th-TH"/>
        </w:rPr>
        <w:t>United States</w:t>
      </w:r>
      <w:r w:rsidRPr="00421C05">
        <w:rPr>
          <w:rFonts w:ascii="Calibri" w:eastAsiaTheme="minorEastAsia" w:hAnsi="Calibri" w:cs="Calibri"/>
          <w:color w:val="000000"/>
          <w:szCs w:val="15"/>
          <w:lang w:eastAsia="zh-CN" w:bidi="th-TH"/>
        </w:rPr>
        <w:t> </w:t>
      </w:r>
      <w:r w:rsidRPr="00421C05">
        <w:rPr>
          <w:rFonts w:eastAsiaTheme="minorEastAsia" w:cstheme="minorBidi"/>
          <w:color w:val="000000"/>
          <w:szCs w:val="15"/>
          <w:lang w:eastAsia="zh-CN" w:bidi="th-TH"/>
        </w:rPr>
        <w:t>Federal</w:t>
      </w:r>
      <w:r w:rsidRPr="00421C05">
        <w:rPr>
          <w:rFonts w:ascii="Calibri" w:eastAsiaTheme="minorEastAsia" w:hAnsi="Calibri" w:cs="Calibri"/>
          <w:color w:val="000000"/>
          <w:szCs w:val="15"/>
          <w:lang w:eastAsia="zh-CN" w:bidi="th-TH"/>
        </w:rPr>
        <w:t> </w:t>
      </w:r>
      <w:r w:rsidRPr="00421C05">
        <w:rPr>
          <w:rFonts w:eastAsiaTheme="minorEastAsia" w:cstheme="minorBidi"/>
          <w:color w:val="000000"/>
          <w:szCs w:val="15"/>
          <w:lang w:eastAsia="zh-CN" w:bidi="th-TH"/>
        </w:rPr>
        <w:t>Rules of Civil Procedure</w:t>
      </w:r>
      <w:r w:rsidRPr="00421C05">
        <w:rPr>
          <w:rFonts w:eastAsiaTheme="minorEastAsia" w:cstheme="minorBidi"/>
          <w:color w:val="000000"/>
          <w:szCs w:val="15"/>
          <w:shd w:val="clear" w:color="auto" w:fill="FFFFFF"/>
          <w:lang w:eastAsia="zh-CN" w:bidi="th-TH"/>
        </w:rPr>
        <w:t>, r 23(b)(1)(B).</w:t>
      </w:r>
    </w:p>
  </w:footnote>
  <w:footnote w:id="153">
    <w:p w14:paraId="64C70B70"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William Rubenstein</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Newberg</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on Class Actions</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(online ed, Thomson Reuters) at </w:t>
      </w:r>
      <w:r w:rsidRPr="00421C05">
        <w:rPr>
          <w:rFonts w:ascii="Times New Roman" w:eastAsiaTheme="minorEastAsia" w:hAnsi="Times New Roman"/>
          <w:color w:val="000000"/>
          <w:szCs w:val="15"/>
          <w:shd w:val="clear" w:color="auto" w:fill="FFFFFF"/>
          <w:lang w:eastAsia="zh-CN" w:bidi="th-TH"/>
        </w:rPr>
        <w:t>§</w:t>
      </w:r>
      <w:r w:rsidRPr="00421C05">
        <w:rPr>
          <w:rFonts w:eastAsiaTheme="minorEastAsia" w:cstheme="minorBidi"/>
          <w:color w:val="000000"/>
          <w:szCs w:val="15"/>
          <w:shd w:val="clear" w:color="auto" w:fill="FFFFFF"/>
          <w:lang w:eastAsia="zh-CN" w:bidi="th-TH"/>
        </w:rPr>
        <w:t xml:space="preserve"> 4:16.</w:t>
      </w:r>
    </w:p>
  </w:footnote>
  <w:footnote w:id="154">
    <w:p w14:paraId="430EC3D8"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lang w:eastAsia="zh-CN" w:bidi="th-TH"/>
        </w:rPr>
        <w:t>United States</w:t>
      </w:r>
      <w:r w:rsidRPr="00421C05">
        <w:rPr>
          <w:rFonts w:ascii="Calibri" w:eastAsiaTheme="minorEastAsia" w:hAnsi="Calibri" w:cs="Calibri"/>
          <w:color w:val="000000"/>
          <w:szCs w:val="15"/>
          <w:lang w:eastAsia="zh-CN" w:bidi="th-TH"/>
        </w:rPr>
        <w:t> </w:t>
      </w:r>
      <w:r w:rsidRPr="00421C05">
        <w:rPr>
          <w:rFonts w:eastAsiaTheme="minorEastAsia" w:cstheme="minorBidi"/>
          <w:color w:val="000000"/>
          <w:szCs w:val="15"/>
          <w:lang w:eastAsia="zh-CN" w:bidi="th-TH"/>
        </w:rPr>
        <w:t>Federal</w:t>
      </w:r>
      <w:r w:rsidRPr="00421C05">
        <w:rPr>
          <w:rFonts w:ascii="Calibri" w:eastAsiaTheme="minorEastAsia" w:hAnsi="Calibri" w:cs="Calibri"/>
          <w:color w:val="000000"/>
          <w:szCs w:val="15"/>
          <w:lang w:eastAsia="zh-CN" w:bidi="th-TH"/>
        </w:rPr>
        <w:t> </w:t>
      </w:r>
      <w:r w:rsidRPr="00421C05">
        <w:rPr>
          <w:rFonts w:eastAsiaTheme="minorEastAsia" w:cstheme="minorBidi"/>
          <w:color w:val="000000"/>
          <w:szCs w:val="15"/>
          <w:lang w:eastAsia="zh-CN" w:bidi="th-TH"/>
        </w:rPr>
        <w:t>Rules of Civil Procedure</w:t>
      </w:r>
      <w:r w:rsidRPr="00421C05">
        <w:rPr>
          <w:rFonts w:eastAsiaTheme="minorEastAsia" w:cstheme="minorBidi"/>
          <w:color w:val="000000"/>
          <w:szCs w:val="15"/>
          <w:shd w:val="clear" w:color="auto" w:fill="FFFFFF"/>
          <w:lang w:eastAsia="zh-CN" w:bidi="th-TH"/>
        </w:rPr>
        <w:t>, r 23(b)(2).</w:t>
      </w:r>
    </w:p>
  </w:footnote>
  <w:footnote w:id="155">
    <w:p w14:paraId="287C0E7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Rachael Mulheron “Opting in, Opting Out, and Closing the Class: Some Dilemmas for England’s Class Action Lawmakers” (2011) 50 CBLJ 376 at 388.</w:t>
      </w:r>
    </w:p>
  </w:footnote>
  <w:footnote w:id="156">
    <w:p w14:paraId="3A447CCB"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lang w:val="mi-NZ"/>
        </w:rPr>
        <w:t>Southern</w:t>
      </w:r>
      <w:r w:rsidRPr="00421C05">
        <w:rPr>
          <w:i/>
          <w:iCs/>
          <w:szCs w:val="15"/>
          <w:lang w:val="mi-NZ"/>
        </w:rPr>
        <w:t xml:space="preserve"> Response Earthquake Servicees Ltd v Ross </w:t>
      </w:r>
      <w:r w:rsidRPr="00421C05">
        <w:rPr>
          <w:szCs w:val="15"/>
          <w:lang w:val="mi-NZ"/>
        </w:rPr>
        <w:t xml:space="preserve">[2020] NZSC 126 at [100]. </w:t>
      </w:r>
    </w:p>
  </w:footnote>
  <w:footnote w:id="157">
    <w:p w14:paraId="7074581A"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[10.57].</w:t>
      </w:r>
    </w:p>
  </w:footnote>
  <w:footnote w:id="158">
    <w:p w14:paraId="3A64CDEA" w14:textId="4895C938"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Andrew Barker QC, Bell Gully, BusinessNZ, Carter Holt Harvey, Nikki Chamberlain, Chapman Tripp, Claims Resolution Service, Michael Duffy, Jasminka Kalajdzic, LPF Group, Maurice Blackburn/Claims Funding Australia, Meredith Connell, Omni Bridgeway, Simpson Grierson, Te Kāhui Inihua o Aotearoa | Insurance Council and Tom Weston QC.</w:t>
      </w:r>
    </w:p>
  </w:footnote>
  <w:footnote w:id="159">
    <w:p w14:paraId="483C5636" w14:textId="426EE5BB"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Andrew Barker QC, Bell Gully, Carter Holt Harvey, Nikki Chamberlain, Chapman Tripp (it said the court should either conduct a preliminary merits assessment or a cost-benefit analysis but its reasons related to the former), Claims Resolution Service and Te Kāhui Inihua o Aotearoa | Insurance Council. </w:t>
      </w:r>
    </w:p>
  </w:footnote>
  <w:footnote w:id="160">
    <w:p w14:paraId="4DC4250A"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BusinessNZ, Jasminka Kalajdzic (she simply noted that the Law Commission of Ontario studied this at length and did not recommend a preliminary merits test), LPF Group, Maurice Blackburn/Claims Funding Australia, Meredith Connell, Omni Bridgeway, Simpson Grierson and Tom Weston QC.</w:t>
      </w:r>
    </w:p>
  </w:footnote>
  <w:footnote w:id="161">
    <w:p w14:paraId="78CDDF26"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For example, the test proposed by the Ontario Law Reform Commission was “there is a reasonable possibility that material questions of fact and law common to the class will be resolved at trial in favour of the class”: Ontario Law Reform Commission </w:t>
      </w:r>
      <w:r w:rsidRPr="00421C05">
        <w:rPr>
          <w:i/>
          <w:iCs/>
          <w:szCs w:val="15"/>
        </w:rPr>
        <w:t xml:space="preserve">Report on Class Actions </w:t>
      </w:r>
      <w:r w:rsidRPr="00421C05">
        <w:rPr>
          <w:szCs w:val="15"/>
        </w:rPr>
        <w:t>(1982) vol II at 324.</w:t>
      </w:r>
    </w:p>
  </w:footnote>
  <w:footnote w:id="162">
    <w:p w14:paraId="0CF6B1F0" w14:textId="221C1CF4"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color w:val="000000"/>
          <w:szCs w:val="15"/>
          <w:bdr w:val="none" w:sz="0" w:space="0" w:color="auto" w:frame="1"/>
          <w:lang w:eastAsia="en-AU"/>
        </w:rPr>
        <w:t xml:space="preserve">Class Proceedings Act SO 1992 c 6, s 5(1)(a). </w:t>
      </w:r>
    </w:p>
  </w:footnote>
  <w:footnote w:id="163">
    <w:p w14:paraId="6F1504D9"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Hollick</w:t>
      </w:r>
      <w:r w:rsidRPr="00421C05">
        <w:rPr>
          <w:i/>
          <w:iCs/>
          <w:szCs w:val="15"/>
        </w:rPr>
        <w:t xml:space="preserve"> v Toronto (City)</w:t>
      </w:r>
      <w:r w:rsidRPr="00421C05">
        <w:rPr>
          <w:szCs w:val="15"/>
        </w:rPr>
        <w:t xml:space="preserve"> 2001 SCC 68,</w:t>
      </w:r>
      <w:r w:rsidRPr="00421C05">
        <w:rPr>
          <w:i/>
          <w:iCs/>
          <w:szCs w:val="15"/>
        </w:rPr>
        <w:t xml:space="preserve"> </w:t>
      </w:r>
      <w:r w:rsidRPr="00421C05">
        <w:rPr>
          <w:szCs w:val="15"/>
        </w:rPr>
        <w:t xml:space="preserve">[2001] 3 SCR 158 at [16] and </w:t>
      </w:r>
      <w:r w:rsidRPr="00421C05">
        <w:rPr>
          <w:i/>
          <w:szCs w:val="15"/>
        </w:rPr>
        <w:t>Pro-Sys</w:t>
      </w:r>
      <w:r w:rsidRPr="00421C05">
        <w:rPr>
          <w:i/>
          <w:iCs/>
          <w:szCs w:val="15"/>
        </w:rPr>
        <w:t xml:space="preserve"> Consultants Ltd v Microsoft Corporation </w:t>
      </w:r>
      <w:r w:rsidRPr="00421C05">
        <w:rPr>
          <w:szCs w:val="15"/>
        </w:rPr>
        <w:t>[2013] 3 SCR 477 at [63].</w:t>
      </w:r>
    </w:p>
  </w:footnote>
  <w:footnote w:id="164">
    <w:p w14:paraId="1467EFAC" w14:textId="6FA50B93"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Southern</w:t>
      </w:r>
      <w:r w:rsidRPr="00421C05">
        <w:rPr>
          <w:i/>
          <w:iCs/>
          <w:szCs w:val="15"/>
        </w:rPr>
        <w:t xml:space="preserve"> Response Earthquake Services Ltd v Southern Response Unresolved Claims Group</w:t>
      </w:r>
      <w:r w:rsidRPr="00421C05">
        <w:rPr>
          <w:i/>
          <w:szCs w:val="15"/>
        </w:rPr>
        <w:t xml:space="preserve"> </w:t>
      </w:r>
      <w:r w:rsidRPr="00421C05">
        <w:rPr>
          <w:szCs w:val="15"/>
        </w:rPr>
        <w:t xml:space="preserve">[2017] NZCA 489, [2018] 2 NZLR 312 at [16]–[17] citing </w:t>
      </w:r>
      <w:r w:rsidRPr="00421C05">
        <w:rPr>
          <w:i/>
          <w:szCs w:val="15"/>
        </w:rPr>
        <w:t>Hollick</w:t>
      </w:r>
      <w:r w:rsidRPr="00421C05">
        <w:rPr>
          <w:i/>
          <w:iCs/>
          <w:szCs w:val="15"/>
        </w:rPr>
        <w:t xml:space="preserve"> v City of Toronto </w:t>
      </w:r>
      <w:r w:rsidRPr="00421C05">
        <w:rPr>
          <w:szCs w:val="15"/>
        </w:rPr>
        <w:t>2001 SCC 68,</w:t>
      </w:r>
      <w:r w:rsidRPr="00421C05">
        <w:rPr>
          <w:i/>
          <w:iCs/>
          <w:szCs w:val="15"/>
        </w:rPr>
        <w:t xml:space="preserve"> </w:t>
      </w:r>
      <w:r w:rsidRPr="00421C05">
        <w:rPr>
          <w:szCs w:val="15"/>
        </w:rPr>
        <w:t>[2001] 3 SCR 158 at [16].</w:t>
      </w:r>
    </w:p>
  </w:footnote>
  <w:footnote w:id="165">
    <w:p w14:paraId="72625041" w14:textId="46FA23F8"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High Court Rules 2016, r 5.35B(2)(a). </w:t>
      </w:r>
    </w:p>
  </w:footnote>
  <w:footnote w:id="166">
    <w:p w14:paraId="40ADC559"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4(1)(a).</w:t>
      </w:r>
    </w:p>
  </w:footnote>
  <w:footnote w:id="167">
    <w:p w14:paraId="6578CB5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Southern</w:t>
      </w:r>
      <w:r w:rsidRPr="00421C05">
        <w:rPr>
          <w:i/>
          <w:iCs/>
          <w:szCs w:val="15"/>
        </w:rPr>
        <w:t xml:space="preserve"> Response Earthquake Services Ltd v Southern Response Unresolved Claims Group </w:t>
      </w:r>
      <w:r w:rsidRPr="00421C05">
        <w:rPr>
          <w:szCs w:val="15"/>
        </w:rPr>
        <w:t xml:space="preserve">[2017] NZCA 489, [2018] 2 NZLR 312 at [16]. </w:t>
      </w:r>
    </w:p>
  </w:footnote>
  <w:footnote w:id="168">
    <w:p w14:paraId="661E7511" w14:textId="17C88AEB"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Attorney</w:t>
      </w:r>
      <w:r w:rsidRPr="00421C05">
        <w:rPr>
          <w:i/>
          <w:iCs/>
          <w:szCs w:val="15"/>
        </w:rPr>
        <w:t xml:space="preserve">-General v Prince &amp; Gardner </w:t>
      </w:r>
      <w:r w:rsidRPr="00421C05">
        <w:rPr>
          <w:szCs w:val="15"/>
        </w:rPr>
        <w:t xml:space="preserve">[1998] 1 NZLR 262 (CA) at 267. See also </w:t>
      </w:r>
      <w:r w:rsidRPr="00421C05">
        <w:rPr>
          <w:i/>
          <w:szCs w:val="15"/>
        </w:rPr>
        <w:t>Couch</w:t>
      </w:r>
      <w:r w:rsidRPr="00421C05">
        <w:rPr>
          <w:i/>
          <w:iCs/>
          <w:szCs w:val="15"/>
        </w:rPr>
        <w:t xml:space="preserve"> v Attorney-General </w:t>
      </w:r>
      <w:r w:rsidRPr="00421C05">
        <w:rPr>
          <w:szCs w:val="15"/>
        </w:rPr>
        <w:t>[2008] NZSC 45, [2008] 3 NZLR 725 at [33] per Elias CJ and Anderson J.</w:t>
      </w:r>
    </w:p>
  </w:footnote>
  <w:footnote w:id="169">
    <w:p w14:paraId="397DF58D" w14:textId="55407DA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Attorney</w:t>
      </w:r>
      <w:r w:rsidRPr="00421C05">
        <w:rPr>
          <w:i/>
          <w:iCs/>
          <w:szCs w:val="15"/>
        </w:rPr>
        <w:t xml:space="preserve">-General v Prince &amp; Gardner </w:t>
      </w:r>
      <w:r w:rsidRPr="00421C05">
        <w:rPr>
          <w:szCs w:val="15"/>
        </w:rPr>
        <w:t>[1998] 1 NZLR 262 (CA) at 267.</w:t>
      </w:r>
    </w:p>
  </w:footnote>
  <w:footnote w:id="170">
    <w:p w14:paraId="3041FD09" w14:textId="217E2DB1"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Bell Gully, Carter Holt Harvey, Claims Resolution Service, Omni Bridgeway, Simpson Grierson and Te Kāhui Inihua o Aotearoa | Insurance Council. </w:t>
      </w:r>
    </w:p>
  </w:footnote>
  <w:footnote w:id="171">
    <w:p w14:paraId="6E9521CD"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BusinessNZ, Michael Duffy and Tom Weston QC.</w:t>
      </w:r>
    </w:p>
  </w:footnote>
  <w:footnote w:id="172">
    <w:p w14:paraId="6A3EA603"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4(3)(d)</w:t>
      </w:r>
      <w:r w:rsidRPr="00421C05">
        <w:rPr>
          <w:szCs w:val="15"/>
        </w:rPr>
        <w:softHyphen/>
      </w:r>
      <w:r w:rsidRPr="00421C05">
        <w:rPr>
          <w:szCs w:val="15"/>
        </w:rPr>
        <w:softHyphen/>
        <w:t>.</w:t>
      </w:r>
      <w:r w:rsidRPr="00421C05">
        <w:rPr>
          <w:szCs w:val="15"/>
        </w:rPr>
        <w:softHyphen/>
      </w:r>
      <w:r w:rsidRPr="00421C05">
        <w:rPr>
          <w:szCs w:val="15"/>
        </w:rPr>
        <w:softHyphen/>
      </w:r>
    </w:p>
  </w:footnote>
  <w:footnote w:id="173">
    <w:p w14:paraId="0073BAB4" w14:textId="01DD3EEB"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[5.6]–[5.8].</w:t>
      </w:r>
    </w:p>
  </w:footnote>
  <w:footnote w:id="174">
    <w:p w14:paraId="72CE374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w:t>
      </w:r>
      <w:r w:rsidRPr="00421C05" w:rsidDel="005C6E79">
        <w:rPr>
          <w:szCs w:val="15"/>
        </w:rPr>
        <w:t xml:space="preserve"> </w:t>
      </w:r>
      <w:r w:rsidRPr="00421C05">
        <w:rPr>
          <w:szCs w:val="15"/>
        </w:rPr>
        <w:t xml:space="preserve">Parliamentary Joint Committee on Corporations and Financial Services </w:t>
      </w:r>
      <w:r w:rsidRPr="00421C05">
        <w:rPr>
          <w:i/>
          <w:iCs/>
          <w:szCs w:val="15"/>
        </w:rPr>
        <w:t xml:space="preserve">Litigation funding and the regulation of the class action industry </w:t>
      </w:r>
      <w:r w:rsidRPr="00421C05">
        <w:rPr>
          <w:szCs w:val="15"/>
        </w:rPr>
        <w:t>(December 2020) at [6.78]–</w:t>
      </w:r>
      <w:r w:rsidRPr="00421C05">
        <w:rPr>
          <w:szCs w:val="15"/>
        </w:rPr>
        <w:softHyphen/>
        <w:t xml:space="preserve">[6.79] and Law Commission of Ontario </w:t>
      </w:r>
      <w:r w:rsidRPr="00421C05">
        <w:rPr>
          <w:i/>
          <w:szCs w:val="15"/>
        </w:rPr>
        <w:t xml:space="preserve">Class Actions: Objectives, Experiences </w:t>
      </w:r>
      <w:r w:rsidRPr="00421C05">
        <w:rPr>
          <w:szCs w:val="15"/>
        </w:rPr>
        <w:t>and</w:t>
      </w:r>
      <w:r w:rsidRPr="00421C05">
        <w:rPr>
          <w:i/>
          <w:szCs w:val="15"/>
        </w:rPr>
        <w:t xml:space="preserve"> Reforms </w:t>
      </w:r>
      <w:r w:rsidRPr="00421C05">
        <w:rPr>
          <w:szCs w:val="15"/>
        </w:rPr>
        <w:t xml:space="preserve">– </w:t>
      </w:r>
      <w:r w:rsidRPr="00421C05">
        <w:rPr>
          <w:i/>
          <w:iCs/>
          <w:szCs w:val="15"/>
        </w:rPr>
        <w:t>Final Report</w:t>
      </w:r>
      <w:r w:rsidRPr="00421C05">
        <w:rPr>
          <w:szCs w:val="15"/>
        </w:rPr>
        <w:t xml:space="preserve"> (July 2019) at 50.</w:t>
      </w:r>
    </w:p>
  </w:footnote>
  <w:footnote w:id="175">
    <w:p w14:paraId="6C2C4962"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Te Komiti mō ngā Tikanga Kooti | The Rules Committee </w:t>
      </w:r>
      <w:r w:rsidRPr="00421C05">
        <w:rPr>
          <w:i/>
          <w:iCs/>
          <w:szCs w:val="15"/>
        </w:rPr>
        <w:t xml:space="preserve">Improving Access to Civil Justice: Further Consultation with the Legal Profession and Wider Community </w:t>
      </w:r>
      <w:r w:rsidRPr="00421C05">
        <w:rPr>
          <w:szCs w:val="15"/>
        </w:rPr>
        <w:t>(14 May 2021) at [72].</w:t>
      </w:r>
    </w:p>
  </w:footnote>
  <w:footnote w:id="176">
    <w:p w14:paraId="14321C4C" w14:textId="77777777"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[11.2]–[11.23].</w:t>
      </w:r>
    </w:p>
  </w:footnote>
  <w:footnote w:id="177">
    <w:p w14:paraId="617454D7" w14:textId="3175530C"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Bell Gully, Jennifer Braithwaite, BusinessNZ, Nikki Chamberlain, Chapman Tripp, Claims Resolution Service, Michael Duffy, International Bar Association Antitrust Committee, Michael Legg, LPF Group, Maurice Blackburn/Claims Funding Australia, Omni Bridgeway, Simpson Grierson, Te Kāhui Inihua o Aotearoa | Insurance Council, Te Kāhui Ture o Aotearoa | New Zealand Law Society and Woodsford Litigation Funding.</w:t>
      </w:r>
    </w:p>
  </w:footnote>
  <w:footnote w:id="178">
    <w:p w14:paraId="46E7B604" w14:textId="7BD5D65A"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Jennifer Braithwaite, Nikki Chamberlain, Chapman Tripp, Claims Resolution Service, International Bar Association Antitrust Committee, Simpson Grierson and Te Kāhui Inihua o Aotearoa | Insurance Council.</w:t>
      </w:r>
    </w:p>
  </w:footnote>
  <w:footnote w:id="179">
    <w:p w14:paraId="423E7F3C" w14:textId="77777777"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LPF Group, Maurice Blackburn/Claims Funding Australia and Omni Bridgeway.</w:t>
      </w:r>
    </w:p>
  </w:footnote>
  <w:footnote w:id="180">
    <w:p w14:paraId="72A3FB15" w14:textId="6170A893"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BusinessNZ, Michael Duffy, Michael Legg, Te Kāhui Ture o Aotearoa | New Zealand Law Society and Woodsford Litigation Funding.</w:t>
      </w:r>
    </w:p>
  </w:footnote>
  <w:footnote w:id="181">
    <w:p w14:paraId="17E4501D" w14:textId="77777777"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4(1)(c).</w:t>
      </w:r>
    </w:p>
  </w:footnote>
  <w:footnote w:id="182">
    <w:p w14:paraId="2CE22933" w14:textId="7BE2FA2B"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our draft legislation, cl 4(2). </w:t>
      </w:r>
    </w:p>
  </w:footnote>
  <w:footnote w:id="183">
    <w:p w14:paraId="7B5359FF" w14:textId="0421D72E"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4(2)(a).</w:t>
      </w:r>
    </w:p>
  </w:footnote>
  <w:footnote w:id="184">
    <w:p w14:paraId="47B08EFC" w14:textId="2FA3B2F6"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Later in this chapter, we suggest the court should have a power to replace a representative plaintiff and discuss sub-classes. </w:t>
      </w:r>
    </w:p>
  </w:footnote>
  <w:footnote w:id="185">
    <w:p w14:paraId="5B6A436B" w14:textId="5E894127"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4(2)(b).</w:t>
      </w:r>
    </w:p>
  </w:footnote>
  <w:footnote w:id="186">
    <w:p w14:paraId="16A952F7" w14:textId="13C861C3" w:rsidR="00A55F53" w:rsidRPr="00421C05" w:rsidRDefault="00A55F53" w:rsidP="00E92CED">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4(2)(c).</w:t>
      </w:r>
    </w:p>
  </w:footnote>
  <w:footnote w:id="187">
    <w:p w14:paraId="7A0813D5" w14:textId="13194543"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Jennifer Braithwaite, BusinessNZ, Nikki Chamberlain, Chapman Tripp, LPF Group, Omni Bridgeway, Simpson Grierson, Te Kāhui Inihua o Aotearoa | Insurance Council and Te Hunga Rōia Māori o Aotearoa.</w:t>
      </w:r>
    </w:p>
  </w:footnote>
  <w:footnote w:id="188">
    <w:p w14:paraId="22EDCD7D"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[11.42].</w:t>
      </w:r>
    </w:p>
  </w:footnote>
  <w:footnote w:id="189">
    <w:p w14:paraId="17F0F8A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have outlined our principles for designing a class actions regime in the Introduction.</w:t>
      </w:r>
    </w:p>
  </w:footnote>
  <w:footnote w:id="190">
    <w:p w14:paraId="1280A42C" w14:textId="1B70765E"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4(2)(c).</w:t>
      </w:r>
    </w:p>
  </w:footnote>
  <w:footnote w:id="191">
    <w:p w14:paraId="6FC0788C" w14:textId="4F19916A"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discuss the obligations of the representative plaintiff in Chapter 3.</w:t>
      </w:r>
    </w:p>
  </w:footnote>
  <w:footnote w:id="192">
    <w:p w14:paraId="6C26DC9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High Court Rules 2016, r 9.36.</w:t>
      </w:r>
    </w:p>
  </w:footnote>
  <w:footnote w:id="193">
    <w:p w14:paraId="47F55F20" w14:textId="048309FB"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Using its power under Te Ture Whenua Maori Act | Maori Land Act 1993, s 30.</w:t>
      </w:r>
    </w:p>
  </w:footnote>
  <w:footnote w:id="194">
    <w:p w14:paraId="29EA4875"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[10.65]–[10.67].</w:t>
      </w:r>
    </w:p>
  </w:footnote>
  <w:footnote w:id="195">
    <w:p w14:paraId="1BEA66AE" w14:textId="3A6B88AA"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Barry Allan, Bell Gully, BusinessNZ, Carter Holt Harvey, Nikki Chamberlain, Chapman Tripp, Claims Resolution Service, LPF Group, Maurice Blackburn/Claims Funding Australia, Meredith Connell, Omni Bridgeway, Simpson Grierson, Te Kāhui Inihua o Aotearoa | Insurance Council and Tom Weston QC.</w:t>
      </w:r>
    </w:p>
  </w:footnote>
  <w:footnote w:id="196">
    <w:p w14:paraId="0A71E134" w14:textId="09DFD634"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Bell Gully, Carter Holt Harvey, Chapman Tripp and Te Kāhui Inihua o Aotearoa | Insurance Council expressly supported this. Claims Resolution Service and Barry Allan appeared to support it.</w:t>
      </w:r>
    </w:p>
  </w:footnote>
  <w:footnote w:id="197">
    <w:p w14:paraId="4DD94003"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Nikki Chamberlain, LPF Group, Maurice Blackburn/Claims Funding Australia, Omni Bridgeway and Simpson Grierson.</w:t>
      </w:r>
    </w:p>
  </w:footnote>
  <w:footnote w:id="198">
    <w:p w14:paraId="22798ECE"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BusinessNZ, Nikki Chamberlain, Maurice Blackburn/Claims Funding Australia, Meredith Connell, Omni Bridgeway and Simpson Grierson.</w:t>
      </w:r>
    </w:p>
  </w:footnote>
  <w:footnote w:id="199">
    <w:p w14:paraId="2C6834E7" w14:textId="77777777" w:rsidR="00A55F53" w:rsidRPr="00421C05" w:rsidRDefault="00A55F53" w:rsidP="00B763FB">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BusinessNZ, Meredith Connell and Tom Weston QC.</w:t>
      </w:r>
    </w:p>
  </w:footnote>
  <w:footnote w:id="200">
    <w:p w14:paraId="34C24102"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rFonts w:eastAsiaTheme="minorEastAsia" w:cstheme="minorBidi"/>
          <w:color w:val="000000"/>
          <w:szCs w:val="15"/>
          <w:shd w:val="clear" w:color="auto" w:fill="FFFFFF"/>
          <w:lang w:eastAsia="zh-CN" w:bidi="th-TH"/>
        </w:rPr>
        <w:t>William Rubenstein</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Newberg</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on Class Actions</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(online ed, Thomson Reuters) at </w:t>
      </w:r>
      <w:r w:rsidRPr="00421C05">
        <w:rPr>
          <w:rFonts w:ascii="Times New Roman" w:eastAsiaTheme="minorEastAsia" w:hAnsi="Times New Roman"/>
          <w:color w:val="000000"/>
          <w:szCs w:val="15"/>
          <w:shd w:val="clear" w:color="auto" w:fill="FFFFFF"/>
          <w:lang w:eastAsia="zh-CN" w:bidi="th-TH"/>
        </w:rPr>
        <w:t>§</w:t>
      </w:r>
      <w:r w:rsidRPr="00421C05">
        <w:rPr>
          <w:rFonts w:eastAsiaTheme="minorEastAsia" w:cstheme="minorBidi"/>
          <w:color w:val="000000"/>
          <w:szCs w:val="15"/>
          <w:shd w:val="clear" w:color="auto" w:fill="FFFFFF"/>
          <w:lang w:eastAsia="zh-CN" w:bidi="th-TH"/>
        </w:rPr>
        <w:t xml:space="preserve"> 7:29 and </w:t>
      </w:r>
      <w:r w:rsidRPr="00421C05">
        <w:rPr>
          <w:rFonts w:ascii="Times New Roman" w:eastAsiaTheme="minorEastAsia" w:hAnsi="Times New Roman"/>
          <w:color w:val="000000"/>
          <w:szCs w:val="15"/>
          <w:shd w:val="clear" w:color="auto" w:fill="FFFFFF"/>
          <w:lang w:eastAsia="zh-CN" w:bidi="th-TH"/>
        </w:rPr>
        <w:t>§</w:t>
      </w:r>
      <w:r w:rsidRPr="00421C05">
        <w:rPr>
          <w:rFonts w:eastAsiaTheme="minorEastAsia" w:cstheme="minorBidi"/>
          <w:color w:val="000000"/>
          <w:szCs w:val="15"/>
          <w:shd w:val="clear" w:color="auto" w:fill="FFFFFF"/>
          <w:lang w:eastAsia="zh-CN" w:bidi="th-TH"/>
        </w:rPr>
        <w:t xml:space="preserve"> 7:31. </w:t>
      </w:r>
    </w:p>
  </w:footnote>
  <w:footnote w:id="201">
    <w:p w14:paraId="1B44C152" w14:textId="20A08B48"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5(2).</w:t>
      </w:r>
    </w:p>
  </w:footnote>
  <w:footnote w:id="202">
    <w:p w14:paraId="37B9273A" w14:textId="762222CC"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for example Federal Court of Australia Act 1976 (Cth), s 33Q(2).</w:t>
      </w:r>
    </w:p>
  </w:footnote>
  <w:footnote w:id="203">
    <w:p w14:paraId="5522BE00" w14:textId="1ECECBF1"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rFonts w:eastAsiaTheme="minorEastAsia" w:cstheme="minorBidi"/>
          <w:color w:val="000000"/>
          <w:szCs w:val="15"/>
          <w:shd w:val="clear" w:color="auto" w:fill="FFFFFF"/>
          <w:lang w:eastAsia="zh-CN" w:bidi="th-TH"/>
        </w:rPr>
        <w:t>William Rubenstein</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Newberg</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on Class Actions</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(online ed, Thomson Reuters) at </w:t>
      </w:r>
      <w:r w:rsidRPr="00421C05">
        <w:rPr>
          <w:rFonts w:ascii="Times New Roman" w:eastAsiaTheme="minorEastAsia" w:hAnsi="Times New Roman"/>
          <w:color w:val="000000"/>
          <w:szCs w:val="15"/>
          <w:shd w:val="clear" w:color="auto" w:fill="FFFFFF"/>
          <w:lang w:eastAsia="zh-CN" w:bidi="th-TH"/>
        </w:rPr>
        <w:t>§</w:t>
      </w:r>
      <w:r w:rsidRPr="00421C05">
        <w:rPr>
          <w:rFonts w:eastAsiaTheme="minorEastAsia" w:cstheme="minorBidi"/>
          <w:color w:val="000000"/>
          <w:szCs w:val="15"/>
          <w:shd w:val="clear" w:color="auto" w:fill="FFFFFF"/>
          <w:lang w:eastAsia="zh-CN" w:bidi="th-TH"/>
        </w:rPr>
        <w:t xml:space="preserve"> 7:29. </w:t>
      </w:r>
    </w:p>
  </w:footnote>
  <w:footnote w:id="204">
    <w:p w14:paraId="30DFEF5A" w14:textId="46759132"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Scott Dodson “Subclassing” (2006) 27 Cardozo L Rev 2351 at 2362 (discussing the “replacement theory” of sub-classes, where sub-classes are used when the larger class cannot be certified).  </w:t>
      </w:r>
    </w:p>
  </w:footnote>
  <w:footnote w:id="205">
    <w:p w14:paraId="19EE1202"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For simplicity, our draft legislation only refers to classes and not sub-classes.</w:t>
      </w:r>
    </w:p>
  </w:footnote>
  <w:footnote w:id="206">
    <w:p w14:paraId="6B71FB67" w14:textId="3727776F" w:rsidR="00A55F53" w:rsidRPr="00421C05" w:rsidRDefault="00A55F53" w:rsidP="00620420">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Fonts w:eastAsiaTheme="minorEastAsia" w:cstheme="minorBidi"/>
          <w:color w:val="000000"/>
          <w:szCs w:val="15"/>
          <w:shd w:val="clear" w:color="auto" w:fill="FFFFFF"/>
          <w:lang w:val="mi-NZ" w:eastAsia="zh-CN" w:bidi="th-TH"/>
        </w:rPr>
        <w:t>Class Proceedings Act SO 1992 c 6 (Ontario), s 8(1).</w:t>
      </w:r>
    </w:p>
  </w:footnote>
  <w:footnote w:id="207">
    <w:p w14:paraId="7DAB6694" w14:textId="66804761"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Fonts w:eastAsiaTheme="minorEastAsia" w:cstheme="minorBidi"/>
          <w:color w:val="000000"/>
          <w:szCs w:val="15"/>
          <w:shd w:val="clear" w:color="auto" w:fill="FFFFFF"/>
          <w:lang w:val="mi-NZ" w:eastAsia="zh-CN" w:bidi="th-TH"/>
        </w:rPr>
        <w:t>Class Proceedings Act SO 1992 c 6 (Ontario), s 8(1)</w:t>
      </w:r>
      <w:r w:rsidRPr="00421C05">
        <w:rPr>
          <w:szCs w:val="15"/>
        </w:rPr>
        <w:t>.</w:t>
      </w:r>
    </w:p>
  </w:footnote>
  <w:footnote w:id="208">
    <w:p w14:paraId="338B39C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Credit</w:t>
      </w:r>
      <w:r w:rsidRPr="00421C05">
        <w:rPr>
          <w:i/>
          <w:iCs/>
          <w:szCs w:val="15"/>
        </w:rPr>
        <w:t xml:space="preserve"> Suisse Private Equity LLC v Houghton </w:t>
      </w:r>
      <w:r w:rsidRPr="00421C05">
        <w:rPr>
          <w:szCs w:val="15"/>
        </w:rPr>
        <w:t>[2014] NZSC 37, [2014] 1 NZLR 541 at [127].</w:t>
      </w:r>
    </w:p>
  </w:footnote>
  <w:footnote w:id="209">
    <w:p w14:paraId="7F350EAA" w14:textId="77777777" w:rsidR="00A55F53" w:rsidRPr="00421C05" w:rsidRDefault="00A55F53" w:rsidP="00B763FB">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Credit</w:t>
      </w:r>
      <w:r w:rsidRPr="00421C05">
        <w:rPr>
          <w:i/>
          <w:iCs/>
          <w:szCs w:val="15"/>
        </w:rPr>
        <w:t xml:space="preserve"> Suisse Private Equity LLC v Houghton </w:t>
      </w:r>
      <w:r w:rsidRPr="00421C05">
        <w:rPr>
          <w:szCs w:val="15"/>
        </w:rPr>
        <w:t>[2014] NZSC 37, [2014] 1 NZLR 541 at [170].</w:t>
      </w:r>
    </w:p>
  </w:footnote>
  <w:footnote w:id="210">
    <w:p w14:paraId="31807B82"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Credit</w:t>
      </w:r>
      <w:r w:rsidRPr="00421C05">
        <w:rPr>
          <w:i/>
          <w:iCs/>
          <w:szCs w:val="15"/>
        </w:rPr>
        <w:t xml:space="preserve"> Suisse Private Equity LLC v Houghton </w:t>
      </w:r>
      <w:r w:rsidRPr="00421C05">
        <w:rPr>
          <w:szCs w:val="15"/>
        </w:rPr>
        <w:t>[2014] NZSC 37, [2014] 1 NZLR 541 at [128].</w:t>
      </w:r>
    </w:p>
  </w:footnote>
  <w:footnote w:id="211">
    <w:p w14:paraId="290EE57F"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Credit</w:t>
      </w:r>
      <w:r w:rsidRPr="00421C05">
        <w:rPr>
          <w:i/>
          <w:iCs/>
          <w:szCs w:val="15"/>
        </w:rPr>
        <w:t xml:space="preserve"> Suisse Private Equity LLC v Houghton </w:t>
      </w:r>
      <w:r w:rsidRPr="00421C05">
        <w:rPr>
          <w:szCs w:val="15"/>
        </w:rPr>
        <w:t>[2014] NZSC 37, [2014] 1 NZLR 541 at [10] and [68].</w:t>
      </w:r>
    </w:p>
  </w:footnote>
  <w:footnote w:id="212">
    <w:p w14:paraId="3B87069D" w14:textId="25BB3D53"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Cridge</w:t>
      </w:r>
      <w:r w:rsidRPr="00421C05">
        <w:rPr>
          <w:i/>
          <w:iCs/>
          <w:szCs w:val="15"/>
        </w:rPr>
        <w:t xml:space="preserve"> v Studorp </w:t>
      </w:r>
      <w:r w:rsidRPr="00421C05">
        <w:rPr>
          <w:szCs w:val="15"/>
        </w:rPr>
        <w:t>[2017] NZCA 376, (2017) 23 PRNZ 582 at [86]. Note, however, the issue was “academic” as the Court also upheld the representation order (which had been backdated to the date of the statements of claim): see [63].</w:t>
      </w:r>
    </w:p>
  </w:footnote>
  <w:footnote w:id="213">
    <w:p w14:paraId="461587D5"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Cridge</w:t>
      </w:r>
      <w:r w:rsidRPr="00421C05">
        <w:rPr>
          <w:i/>
          <w:iCs/>
          <w:szCs w:val="15"/>
        </w:rPr>
        <w:t xml:space="preserve"> v Studorp </w:t>
      </w:r>
      <w:r w:rsidRPr="00421C05">
        <w:rPr>
          <w:szCs w:val="15"/>
        </w:rPr>
        <w:t>[2017] NZCA 376, (2017) 23 PRNZ 582 at [86].</w:t>
      </w:r>
    </w:p>
  </w:footnote>
  <w:footnote w:id="214">
    <w:p w14:paraId="4308C534" w14:textId="576D2A1A"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Fonts w:eastAsiaTheme="minorEastAsia" w:cstheme="minorBidi"/>
          <w:color w:val="0D0D0D"/>
          <w:szCs w:val="15"/>
          <w:shd w:val="clear" w:color="auto" w:fill="FFFFFF"/>
          <w:lang w:eastAsia="zh-CN" w:bidi="th-TH"/>
        </w:rPr>
        <w:t>Federal Court of Australia Act 1976 (Cth), s 33ZE.</w:t>
      </w:r>
    </w:p>
  </w:footnote>
  <w:footnote w:id="215">
    <w:p w14:paraId="42823907" w14:textId="2AD7CF20"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William Rubenstein</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Newberg</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on Class Actions</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(online ed, Thomson Reuters) at </w:t>
      </w:r>
      <w:r w:rsidRPr="00421C05">
        <w:rPr>
          <w:rFonts w:ascii="Times New Roman" w:eastAsiaTheme="minorEastAsia" w:hAnsi="Times New Roman"/>
          <w:color w:val="000000"/>
          <w:szCs w:val="15"/>
          <w:shd w:val="clear" w:color="auto" w:fill="FFFFFF"/>
          <w:lang w:eastAsia="zh-CN" w:bidi="th-TH"/>
        </w:rPr>
        <w:t xml:space="preserve">§ </w:t>
      </w:r>
      <w:r w:rsidRPr="00421C05">
        <w:rPr>
          <w:rFonts w:eastAsiaTheme="minorEastAsia" w:cstheme="minorBidi"/>
          <w:color w:val="000000"/>
          <w:szCs w:val="15"/>
          <w:shd w:val="clear" w:color="auto" w:fill="FFFFFF"/>
          <w:lang w:eastAsia="zh-CN" w:bidi="th-TH"/>
        </w:rPr>
        <w:t xml:space="preserve">9:53. The doctrine was developed in the Supreme Court’s decisions in </w:t>
      </w:r>
      <w:r w:rsidRPr="00421C05">
        <w:rPr>
          <w:rFonts w:eastAsiaTheme="minorEastAsia" w:cstheme="minorBidi"/>
          <w:i/>
          <w:color w:val="000000"/>
          <w:szCs w:val="15"/>
          <w:shd w:val="clear" w:color="auto" w:fill="FFFFFF"/>
          <w:lang w:eastAsia="zh-CN" w:bidi="th-TH"/>
        </w:rPr>
        <w:t>American</w:t>
      </w:r>
      <w:r w:rsidRPr="00421C05">
        <w:rPr>
          <w:rFonts w:eastAsiaTheme="minorEastAsia" w:cstheme="minorBidi"/>
          <w:i/>
          <w:iCs/>
          <w:color w:val="000000"/>
          <w:szCs w:val="15"/>
          <w:shd w:val="clear" w:color="auto" w:fill="FFFFFF"/>
          <w:lang w:eastAsia="zh-CN" w:bidi="th-TH"/>
        </w:rPr>
        <w:t xml:space="preserve"> Pipe &amp; Const. Co v Utah </w:t>
      </w:r>
      <w:r w:rsidRPr="00421C05">
        <w:rPr>
          <w:rFonts w:eastAsiaTheme="minorEastAsia" w:cstheme="minorBidi"/>
          <w:color w:val="000000"/>
          <w:szCs w:val="15"/>
          <w:shd w:val="clear" w:color="auto" w:fill="FFFFFF"/>
          <w:lang w:eastAsia="zh-CN" w:bidi="th-TH"/>
        </w:rPr>
        <w:t xml:space="preserve">414 US 538 and </w:t>
      </w:r>
      <w:r w:rsidRPr="00421C05">
        <w:rPr>
          <w:rFonts w:eastAsiaTheme="minorEastAsia" w:cstheme="minorBidi"/>
          <w:i/>
          <w:color w:val="000000"/>
          <w:szCs w:val="15"/>
          <w:shd w:val="clear" w:color="auto" w:fill="FFFFFF"/>
          <w:lang w:eastAsia="zh-CN" w:bidi="th-TH"/>
        </w:rPr>
        <w:t>Crown</w:t>
      </w:r>
      <w:r w:rsidRPr="00421C05">
        <w:rPr>
          <w:rFonts w:eastAsiaTheme="minorEastAsia" w:cstheme="minorBidi"/>
          <w:i/>
          <w:iCs/>
          <w:color w:val="000000"/>
          <w:szCs w:val="15"/>
          <w:shd w:val="clear" w:color="auto" w:fill="FFFFFF"/>
          <w:lang w:eastAsia="zh-CN" w:bidi="th-TH"/>
        </w:rPr>
        <w:t xml:space="preserve">, Cork &amp; Seal Co Inc v Parker </w:t>
      </w:r>
      <w:r w:rsidRPr="00421C05">
        <w:rPr>
          <w:rFonts w:eastAsiaTheme="minorEastAsia" w:cstheme="minorBidi"/>
          <w:color w:val="000000"/>
          <w:szCs w:val="15"/>
          <w:shd w:val="clear" w:color="auto" w:fill="FFFFFF"/>
          <w:lang w:eastAsia="zh-CN" w:bidi="th-TH"/>
        </w:rPr>
        <w:t>462 US 345.</w:t>
      </w:r>
    </w:p>
  </w:footnote>
  <w:footnote w:id="216">
    <w:p w14:paraId="18D292EB" w14:textId="3A677691"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William Rubenstein</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Newberg</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on Class Actions</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(online ed, Thomson Reuters) at </w:t>
      </w:r>
      <w:r w:rsidRPr="00421C05">
        <w:rPr>
          <w:rFonts w:ascii="Times New Roman" w:eastAsiaTheme="minorEastAsia" w:hAnsi="Times New Roman"/>
          <w:color w:val="000000"/>
          <w:szCs w:val="15"/>
          <w:shd w:val="clear" w:color="auto" w:fill="FFFFFF"/>
          <w:lang w:eastAsia="zh-CN" w:bidi="th-TH"/>
        </w:rPr>
        <w:t xml:space="preserve">§ </w:t>
      </w:r>
      <w:r w:rsidRPr="00421C05">
        <w:rPr>
          <w:rFonts w:eastAsiaTheme="minorEastAsia" w:cstheme="minorBidi"/>
          <w:color w:val="000000"/>
          <w:szCs w:val="15"/>
          <w:shd w:val="clear" w:color="auto" w:fill="FFFFFF"/>
          <w:lang w:eastAsia="zh-CN" w:bidi="th-TH"/>
        </w:rPr>
        <w:t>9:53.</w:t>
      </w:r>
    </w:p>
  </w:footnote>
  <w:footnote w:id="217">
    <w:p w14:paraId="615AFEE3"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28(1); </w:t>
      </w:r>
      <w:r w:rsidRPr="00421C05">
        <w:rPr>
          <w:rFonts w:eastAsiaTheme="minorEastAsia" w:cstheme="minorBidi"/>
          <w:color w:val="000000"/>
          <w:szCs w:val="15"/>
          <w:shd w:val="clear" w:color="auto" w:fill="FFFFFF"/>
          <w:lang w:eastAsia="zh-CN" w:bidi="th-TH"/>
        </w:rPr>
        <w:t>The Class Proceedings Act SM 2002 c C-130 (Manitoba), s 39(1) and 39(2); Class Proceedings Act SNS 2007 c 28 (Nova Scotia), s 42(1)</w:t>
      </w:r>
      <w:r w:rsidRPr="00421C05">
        <w:rPr>
          <w:szCs w:val="15"/>
        </w:rPr>
        <w:t xml:space="preserve">; and </w:t>
      </w:r>
      <w:r w:rsidRPr="00421C05">
        <w:rPr>
          <w:rFonts w:eastAsiaTheme="minorEastAsia" w:cstheme="minorBidi"/>
          <w:color w:val="000000"/>
          <w:szCs w:val="15"/>
          <w:shd w:val="clear" w:color="auto" w:fill="FFFFFF"/>
          <w:lang w:eastAsia="zh-CN" w:bidi="th-TH"/>
        </w:rPr>
        <w:t>Class Proceedings Act RSNB 2011 c 125 (New Brunswick), s 41(1).</w:t>
      </w:r>
      <w:r w:rsidRPr="00421C05">
        <w:rPr>
          <w:szCs w:val="15"/>
        </w:rPr>
        <w:t xml:space="preserve"> </w:t>
      </w:r>
    </w:p>
  </w:footnote>
  <w:footnote w:id="218">
    <w:p w14:paraId="7AF1292C"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 xml:space="preserve">Class Proceedings Act RSBC 1996 c 50 (British Columbia), s 39(1). </w:t>
      </w:r>
    </w:p>
  </w:footnote>
  <w:footnote w:id="219">
    <w:p w14:paraId="10C56D9B"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Class Proceedings Act RSBC 1996 c 50 (British Columbia), s 38.1. This is because the certification application is dismissed or the court orders that the cause of action must not be asserted or the person is not part of the class.</w:t>
      </w:r>
    </w:p>
  </w:footnote>
  <w:footnote w:id="220">
    <w:p w14:paraId="010A8717"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Class Proceedings Act SA 2003 c C-16.5 (Alberta), s 40; </w:t>
      </w:r>
      <w:r w:rsidRPr="00421C05">
        <w:rPr>
          <w:rFonts w:eastAsiaTheme="minorEastAsia" w:cstheme="minorBidi"/>
          <w:color w:val="000000"/>
          <w:szCs w:val="15"/>
          <w:shd w:val="clear" w:color="auto" w:fill="FFFFFF"/>
          <w:lang w:eastAsia="zh-CN" w:bidi="th-TH"/>
        </w:rPr>
        <w:t>The Class Actions Act SS 2001 c C-12.01 (Saskatchewan), s 43; and Class Actions Act SNL 2001 c C-18.1 (Newfoundland and Labrador), s 39.</w:t>
      </w:r>
    </w:p>
  </w:footnote>
  <w:footnote w:id="221">
    <w:p w14:paraId="0BED1E2D" w14:textId="280741D3" w:rsidR="00A55F53" w:rsidRPr="00421C05" w:rsidRDefault="00A55F53" w:rsidP="00B763FB">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t xml:space="preserve">This happened in </w:t>
      </w:r>
      <w:r w:rsidRPr="00421C05">
        <w:rPr>
          <w:i/>
          <w:iCs/>
          <w:szCs w:val="15"/>
        </w:rPr>
        <w:t xml:space="preserve">Cridge v Studorp, </w:t>
      </w:r>
      <w:r w:rsidRPr="00421C05">
        <w:rPr>
          <w:szCs w:val="15"/>
        </w:rPr>
        <w:t xml:space="preserve">where 55 individual group members filed their own claims because the limitation period was due to expire prior to the application for a representation order being heard: </w:t>
      </w:r>
      <w:r w:rsidRPr="00421C05">
        <w:rPr>
          <w:i/>
          <w:szCs w:val="15"/>
        </w:rPr>
        <w:t>Cridge</w:t>
      </w:r>
      <w:r w:rsidRPr="00421C05">
        <w:rPr>
          <w:i/>
          <w:iCs/>
          <w:szCs w:val="15"/>
        </w:rPr>
        <w:t xml:space="preserve"> v Studorp </w:t>
      </w:r>
      <w:r w:rsidRPr="00421C05">
        <w:rPr>
          <w:szCs w:val="15"/>
        </w:rPr>
        <w:t>[2016] NZHC 2451, (2016) 23 PRNZ 281 at [2].</w:t>
      </w:r>
    </w:p>
  </w:footnote>
  <w:footnote w:id="222">
    <w:p w14:paraId="7DF0DFE1" w14:textId="68623D21"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For example, if an amended statement of claim is filed or the certification order has a broader class definition.  </w:t>
      </w:r>
    </w:p>
  </w:footnote>
  <w:footnote w:id="223">
    <w:p w14:paraId="6F9B0CA9" w14:textId="0307B1DB"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So long as a limitation period applying to a class member has not already expired.</w:t>
      </w:r>
    </w:p>
  </w:footnote>
  <w:footnote w:id="224">
    <w:p w14:paraId="22AB6D42"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Competition Act 1998 (UK), s 47F and sch 8A cl 23(4).</w:t>
      </w:r>
    </w:p>
  </w:footnote>
  <w:footnote w:id="225">
    <w:p w14:paraId="258B31D7" w14:textId="3F01905B"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Limitation Act 2010, s 34(4). </w:t>
      </w:r>
    </w:p>
  </w:footnote>
  <w:footnote w:id="226">
    <w:p w14:paraId="6803D16B" w14:textId="77777777"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Building Act 2004, s 393(2).</w:t>
      </w:r>
    </w:p>
  </w:footnote>
  <w:footnote w:id="227">
    <w:p w14:paraId="7585E2ED" w14:textId="1533FF68" w:rsidR="00A55F53" w:rsidRPr="00421C05" w:rsidRDefault="00A55F53" w:rsidP="00B763FB">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i/>
          <w:szCs w:val="15"/>
        </w:rPr>
        <w:t>BNZ</w:t>
      </w:r>
      <w:r w:rsidRPr="00421C05">
        <w:rPr>
          <w:i/>
          <w:iCs/>
          <w:szCs w:val="15"/>
        </w:rPr>
        <w:t xml:space="preserve"> Branch Properties Ltd v Wellington City Council </w:t>
      </w:r>
      <w:r w:rsidRPr="00421C05">
        <w:rPr>
          <w:szCs w:val="15"/>
        </w:rPr>
        <w:t xml:space="preserve">[2021] NZHC 1058 at [69]; </w:t>
      </w:r>
      <w:r w:rsidRPr="00421C05">
        <w:rPr>
          <w:i/>
          <w:szCs w:val="15"/>
        </w:rPr>
        <w:t>Body</w:t>
      </w:r>
      <w:r w:rsidRPr="00421C05">
        <w:rPr>
          <w:i/>
          <w:iCs/>
          <w:szCs w:val="15"/>
        </w:rPr>
        <w:t xml:space="preserve"> Corporate 88863 v Pimento Holdings Ltd </w:t>
      </w:r>
      <w:r w:rsidRPr="00421C05">
        <w:rPr>
          <w:szCs w:val="15"/>
        </w:rPr>
        <w:t xml:space="preserve">[2012] NZHC 2225 at [19]–[25]; and </w:t>
      </w:r>
      <w:r w:rsidRPr="00421C05">
        <w:rPr>
          <w:i/>
          <w:szCs w:val="15"/>
        </w:rPr>
        <w:t>Body C</w:t>
      </w:r>
      <w:r w:rsidRPr="00421C05">
        <w:rPr>
          <w:i/>
          <w:iCs/>
          <w:szCs w:val="15"/>
        </w:rPr>
        <w:t xml:space="preserve">orporate 169791 v Auckland City Council </w:t>
      </w:r>
      <w:r w:rsidRPr="00421C05">
        <w:rPr>
          <w:szCs w:val="15"/>
        </w:rPr>
        <w:t xml:space="preserve">HC Auckland CIV-2004-404-5225, 17 August 2010 at [41]–[45]. </w:t>
      </w:r>
    </w:p>
  </w:footnote>
  <w:footnote w:id="228">
    <w:p w14:paraId="41C4F337" w14:textId="76F524EC" w:rsidR="00A55F53" w:rsidRPr="00421C05" w:rsidRDefault="00A55F53" w:rsidP="005D69FF">
      <w:pPr>
        <w:pStyle w:val="FootnoteText"/>
        <w:rPr>
          <w:szCs w:val="15"/>
        </w:rPr>
      </w:pPr>
      <w:r w:rsidRPr="00421C05">
        <w:rPr>
          <w:rStyle w:val="FootnoteReference"/>
          <w:sz w:val="15"/>
          <w:szCs w:val="15"/>
        </w:rPr>
        <w:footnoteRef/>
      </w:r>
      <w:r w:rsidRPr="00421C05">
        <w:rPr>
          <w:szCs w:val="15"/>
        </w:rPr>
        <w:t xml:space="preserve"> </w:t>
      </w:r>
      <w:r w:rsidRPr="00421C05">
        <w:rPr>
          <w:szCs w:val="15"/>
        </w:rPr>
        <w:tab/>
        <w:t>For the purposes of this paper, we refer to ‘competing’ class actions, although they are sometimes referred to as overlapping, concurrent or multiple class actions, depending on how they intersect.</w:t>
      </w:r>
    </w:p>
  </w:footnote>
  <w:footnote w:id="229">
    <w:p w14:paraId="3A86EF92" w14:textId="253F7460"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Some guidance on managing competing class actions in the Federal Court is provided in </w:t>
      </w:r>
      <w:r w:rsidRPr="00421C05">
        <w:rPr>
          <w:rFonts w:eastAsiaTheme="minorEastAsia" w:cstheme="minorBidi"/>
          <w:i/>
          <w:color w:val="0D0D0D"/>
          <w:szCs w:val="15"/>
          <w:shd w:val="clear" w:color="auto" w:fill="FFFFFF"/>
          <w:lang w:eastAsia="zh-CN" w:bidi="th-TH"/>
        </w:rPr>
        <w:t>Class Actions</w:t>
      </w:r>
      <w:r w:rsidRPr="00421C05">
        <w:rPr>
          <w:rFonts w:ascii="Calibri" w:eastAsiaTheme="minorEastAsia" w:hAnsi="Calibri" w:cs="Calibri"/>
          <w:i/>
          <w:color w:val="0D0D0D"/>
          <w:szCs w:val="15"/>
          <w:shd w:val="clear" w:color="auto" w:fill="FFFFFF"/>
          <w:lang w:eastAsia="zh-CN" w:bidi="th-TH"/>
        </w:rPr>
        <w:t> </w:t>
      </w:r>
      <w:r w:rsidRPr="00421C05">
        <w:rPr>
          <w:rFonts w:eastAsiaTheme="minorEastAsia" w:cstheme="minorBidi"/>
          <w:i/>
          <w:color w:val="0D0D0D"/>
          <w:szCs w:val="15"/>
          <w:shd w:val="clear" w:color="auto" w:fill="FFFFFF"/>
          <w:lang w:eastAsia="zh-CN" w:bidi="th-TH"/>
        </w:rPr>
        <w:t>Practice Note</w:t>
      </w:r>
      <w:r w:rsidRPr="00421C05">
        <w:rPr>
          <w:rFonts w:ascii="Calibri" w:eastAsiaTheme="minorEastAsia" w:hAnsi="Calibri" w:cs="Calibri"/>
          <w:color w:val="0D0D0D"/>
          <w:szCs w:val="15"/>
          <w:shd w:val="clear" w:color="auto" w:fill="FFFFFF"/>
          <w:lang w:eastAsia="zh-CN" w:bidi="th-TH"/>
        </w:rPr>
        <w:t> </w:t>
      </w:r>
      <w:r w:rsidRPr="00421C05">
        <w:rPr>
          <w:rFonts w:eastAsiaTheme="minorEastAsia" w:cstheme="minorBidi"/>
          <w:color w:val="0D0D0D"/>
          <w:szCs w:val="15"/>
          <w:shd w:val="clear" w:color="auto" w:fill="FFFFFF"/>
          <w:lang w:eastAsia="zh-CN" w:bidi="th-TH"/>
        </w:rPr>
        <w:t>(Federal Court of Australia,</w:t>
      </w:r>
      <w:r w:rsidRPr="00421C05">
        <w:rPr>
          <w:rFonts w:ascii="Calibri" w:eastAsiaTheme="minorEastAsia" w:hAnsi="Calibri" w:cs="Calibri"/>
          <w:color w:val="0D0D0D"/>
          <w:szCs w:val="15"/>
          <w:shd w:val="clear" w:color="auto" w:fill="FFFFFF"/>
          <w:lang w:eastAsia="zh-CN" w:bidi="th-TH"/>
        </w:rPr>
        <w:t> </w:t>
      </w:r>
      <w:r w:rsidRPr="00421C05">
        <w:rPr>
          <w:rFonts w:eastAsiaTheme="minorEastAsia" w:cstheme="minorBidi"/>
          <w:color w:val="0D0D0D"/>
          <w:szCs w:val="15"/>
          <w:shd w:val="clear" w:color="auto" w:fill="FFFFFF"/>
          <w:lang w:eastAsia="zh-CN" w:bidi="th-TH"/>
        </w:rPr>
        <w:t>Practice Note</w:t>
      </w:r>
      <w:r w:rsidRPr="00421C05">
        <w:rPr>
          <w:rFonts w:ascii="Calibri" w:eastAsiaTheme="minorEastAsia" w:hAnsi="Calibri" w:cs="Calibri"/>
          <w:color w:val="0D0D0D"/>
          <w:szCs w:val="15"/>
          <w:shd w:val="clear" w:color="auto" w:fill="FFFFFF"/>
          <w:lang w:eastAsia="zh-CN" w:bidi="th-TH"/>
        </w:rPr>
        <w:t> </w:t>
      </w:r>
      <w:r w:rsidRPr="00421C05">
        <w:rPr>
          <w:rFonts w:eastAsiaTheme="minorEastAsia" w:cstheme="minorBidi"/>
          <w:color w:val="0D0D0D"/>
          <w:szCs w:val="15"/>
          <w:shd w:val="clear" w:color="auto" w:fill="FFFFFF"/>
          <w:lang w:eastAsia="zh-CN" w:bidi="th-TH"/>
        </w:rPr>
        <w:t>GPN-CA, December 2019) at [8.1]–[8.6].</w:t>
      </w:r>
      <w:r w:rsidRPr="00421C05">
        <w:rPr>
          <w:szCs w:val="15"/>
        </w:rPr>
        <w:t xml:space="preserve"> </w:t>
      </w:r>
    </w:p>
  </w:footnote>
  <w:footnote w:id="230">
    <w:p w14:paraId="65A186D5" w14:textId="5BD98CB9"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w:t>
      </w:r>
      <w:r w:rsidRPr="00421C05">
        <w:rPr>
          <w:rFonts w:eastAsiaTheme="minorEastAsia" w:cs="Metropolis Light"/>
          <w:i/>
          <w:color w:val="000000"/>
          <w:szCs w:val="15"/>
          <w:shd w:val="clear" w:color="auto" w:fill="FFFFFF"/>
          <w:lang w:eastAsia="zh-CN" w:bidi="th-TH"/>
        </w:rPr>
        <w:t>—</w:t>
      </w:r>
      <w:r w:rsidRPr="00421C05">
        <w:rPr>
          <w:rFonts w:eastAsiaTheme="minorEastAsia" w:cstheme="minorBidi"/>
          <w:i/>
          <w:color w:val="000000"/>
          <w:szCs w:val="15"/>
          <w:shd w:val="clear" w:color="auto" w:fill="FFFFFF"/>
          <w:lang w:eastAsia="zh-CN" w:bidi="th-TH"/>
        </w:rPr>
        <w:t>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107; and Parliamentary Joint Committee on Corporations and Financial Services </w:t>
      </w:r>
      <w:r w:rsidRPr="00421C05">
        <w:rPr>
          <w:rFonts w:eastAsiaTheme="minorEastAsia" w:cstheme="minorBidi"/>
          <w:i/>
          <w:color w:val="000000"/>
          <w:szCs w:val="15"/>
          <w:shd w:val="clear" w:color="auto" w:fill="FFFFFF"/>
          <w:lang w:eastAsia="zh-CN" w:bidi="th-TH"/>
        </w:rPr>
        <w:t xml:space="preserve">Litigation funding and the regulation of the class action industry </w:t>
      </w:r>
      <w:r w:rsidRPr="00421C05">
        <w:rPr>
          <w:rFonts w:eastAsiaTheme="minorEastAsia" w:cstheme="minorBidi"/>
          <w:color w:val="000000"/>
          <w:szCs w:val="15"/>
          <w:shd w:val="clear" w:color="auto" w:fill="FFFFFF"/>
          <w:lang w:eastAsia="zh-CN" w:bidi="th-TH"/>
        </w:rPr>
        <w:t>(December 2020) at 82.</w:t>
      </w:r>
    </w:p>
  </w:footnote>
  <w:footnote w:id="231">
    <w:p w14:paraId="00BE8E92"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[106] per Gageler, Gordon and Edelman JJ.</w:t>
      </w:r>
    </w:p>
  </w:footnote>
  <w:footnote w:id="232">
    <w:p w14:paraId="29702DD0"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[106] per Gageler, Gordon and Edelman JJ.</w:t>
      </w:r>
    </w:p>
  </w:footnote>
  <w:footnote w:id="233">
    <w:p w14:paraId="4F9A55EF" w14:textId="3ADA3DAA"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i/>
          <w:szCs w:val="15"/>
        </w:rPr>
        <w:t xml:space="preserve">Perera v Getswift Ltd </w:t>
      </w:r>
      <w:r w:rsidRPr="00421C05">
        <w:rPr>
          <w:szCs w:val="15"/>
        </w:rPr>
        <w:t xml:space="preserve">[2018] FCA 732, (2018) 263 FCR 1 at [169]; </w:t>
      </w:r>
      <w:r w:rsidRPr="00421C05">
        <w:rPr>
          <w:i/>
          <w:szCs w:val="15"/>
        </w:rPr>
        <w:t xml:space="preserve">Perera v Getswift Ltd </w:t>
      </w:r>
      <w:r w:rsidRPr="00421C05">
        <w:rPr>
          <w:szCs w:val="15"/>
        </w:rPr>
        <w:t xml:space="preserve">[2018] FCAFC 202, (2018) 263 FCR 92 at [195]; and </w:t>
      </w:r>
      <w:r w:rsidRPr="00421C05">
        <w:rPr>
          <w:rFonts w:cstheme="minorHAnsi"/>
          <w:i/>
          <w:color w:val="373739"/>
          <w:szCs w:val="15"/>
          <w:shd w:val="clear" w:color="auto" w:fill="FFFFFF"/>
        </w:rPr>
        <w:t>McKay Super Solutions Pty Ltd (Trustee) v Bellamy’s Australia Ltd</w:t>
      </w:r>
      <w:r w:rsidRPr="00421C05">
        <w:rPr>
          <w:rFonts w:cstheme="minorHAnsi"/>
          <w:color w:val="373739"/>
          <w:szCs w:val="15"/>
          <w:shd w:val="clear" w:color="auto" w:fill="FFFFFF"/>
        </w:rPr>
        <w:t xml:space="preserve"> [2017] FCA 947 at [71].</w:t>
      </w:r>
    </w:p>
  </w:footnote>
  <w:footnote w:id="234">
    <w:p w14:paraId="6EDFA134"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[52] and [109] per Gageler, Gordon and Edelman JJ.</w:t>
      </w:r>
    </w:p>
  </w:footnote>
  <w:footnote w:id="235">
    <w:p w14:paraId="1438354A" w14:textId="5484EEFD" w:rsidR="00A55F53" w:rsidRPr="00421C05" w:rsidRDefault="00A55F53" w:rsidP="006E03D8">
      <w:pPr>
        <w:pStyle w:val="FootnoteText"/>
        <w:rPr>
          <w:szCs w:val="15"/>
          <w:vertAlign w:val="subscript"/>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[109] per Gageler, Gordon and Edelman JJ. We discuss the factors that Australian courts considered relevant later in this chapter.</w:t>
      </w:r>
    </w:p>
  </w:footnote>
  <w:footnote w:id="236">
    <w:p w14:paraId="038EC12E" w14:textId="4F0F33D5"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Prior to this, Ontario courts relied on the general power to make orders in class actions and the power to stay a related proceeding: </w:t>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Class Actions: Objectives, Experiences and Reforms</w:t>
      </w:r>
      <w:r w:rsidRPr="00421C05">
        <w:rPr>
          <w:rFonts w:ascii="Calibri" w:eastAsiaTheme="minorEastAsia" w:hAnsi="Calibri" w:cs="Calibri"/>
          <w:i/>
          <w:iCs/>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iCs/>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(July 2019) at 23</w:t>
      </w:r>
      <w:r w:rsidRPr="00421C05">
        <w:rPr>
          <w:szCs w:val="15"/>
        </w:rPr>
        <w:t xml:space="preserve">. </w:t>
      </w:r>
    </w:p>
  </w:footnote>
  <w:footnote w:id="237">
    <w:p w14:paraId="1695A8AD" w14:textId="0995B3D4"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(July 2019) at </w:t>
      </w:r>
      <w:r w:rsidRPr="00421C05">
        <w:rPr>
          <w:szCs w:val="15"/>
        </w:rPr>
        <w:t>24–25.</w:t>
      </w:r>
    </w:p>
  </w:footnote>
  <w:footnote w:id="238">
    <w:p w14:paraId="0674B9B6"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13.1(2).</w:t>
      </w:r>
    </w:p>
  </w:footnote>
  <w:footnote w:id="239">
    <w:p w14:paraId="47052BD2"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13.1(3).</w:t>
      </w:r>
    </w:p>
  </w:footnote>
  <w:footnote w:id="240">
    <w:p w14:paraId="2C6EF3AD"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13.1(8).</w:t>
      </w:r>
    </w:p>
  </w:footnote>
  <w:footnote w:id="241">
    <w:p w14:paraId="37870C44" w14:textId="30CF44CE"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 xml:space="preserve">13.1(4). We outline the criteria later in this chapter. </w:t>
      </w:r>
    </w:p>
  </w:footnote>
  <w:footnote w:id="242">
    <w:p w14:paraId="52EE4D11"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13.1(6).</w:t>
      </w:r>
    </w:p>
  </w:footnote>
  <w:footnote w:id="243">
    <w:p w14:paraId="1B0F6024"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(July 2019) at </w:t>
      </w:r>
      <w:r w:rsidRPr="00421C05">
        <w:rPr>
          <w:szCs w:val="15"/>
        </w:rPr>
        <w:t>25.</w:t>
      </w:r>
    </w:p>
  </w:footnote>
  <w:footnote w:id="244">
    <w:p w14:paraId="37E80C30"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bdr w:val="none" w:sz="0" w:space="0" w:color="auto" w:frame="1"/>
          <w:lang w:val="mi-NZ" w:eastAsia="zh-CN" w:bidi="th-TH"/>
        </w:rPr>
        <w:t xml:space="preserve">United States Federal Rules of Civil Procedure, r 23(g). </w:t>
      </w:r>
    </w:p>
  </w:footnote>
  <w:footnote w:id="245">
    <w:p w14:paraId="5C284F5F"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bdr w:val="none" w:sz="0" w:space="0" w:color="auto" w:frame="1"/>
          <w:lang w:val="mi-NZ" w:eastAsia="zh-CN" w:bidi="th-TH"/>
        </w:rPr>
        <w:t>United States Federal Rules of Civil Procedure, r 23(g)(1)(A).</w:t>
      </w:r>
    </w:p>
  </w:footnote>
  <w:footnote w:id="246">
    <w:p w14:paraId="1179E9B9" w14:textId="0A3A8CEE" w:rsidR="00A55F53" w:rsidRPr="00421C05" w:rsidRDefault="00A55F53" w:rsidP="006E03D8">
      <w:pPr>
        <w:pStyle w:val="FootnoteText"/>
        <w:rPr>
          <w:b/>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bdr w:val="none" w:sz="0" w:space="0" w:color="auto" w:frame="1"/>
          <w:lang w:val="mi-NZ" w:eastAsia="zh-CN" w:bidi="th-TH"/>
        </w:rPr>
        <w:t>United States Federal Rules of Civil Procedure, r 23(g)(1)(B) and (C).</w:t>
      </w:r>
    </w:p>
  </w:footnote>
  <w:footnote w:id="247">
    <w:p w14:paraId="0D081B80"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bdr w:val="none" w:sz="0" w:space="0" w:color="auto" w:frame="1"/>
          <w:lang w:val="mi-NZ" w:eastAsia="zh-CN" w:bidi="th-TH"/>
        </w:rPr>
        <w:t>United States Federal Rules of Civil Procedure, r 23(g)(2).</w:t>
      </w:r>
    </w:p>
  </w:footnote>
  <w:footnote w:id="248">
    <w:p w14:paraId="0B13C74F" w14:textId="67872F23"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Private Securities Litigation Reform Act of 1995 Pub L No 104-67, 109 Stat 737 (1995), </w:t>
      </w:r>
      <w:r w:rsidRPr="00421C05">
        <w:rPr>
          <w:rFonts w:ascii="Times New Roman" w:hAnsi="Times New Roman"/>
          <w:szCs w:val="15"/>
        </w:rPr>
        <w:t xml:space="preserve">§ </w:t>
      </w:r>
      <w:r w:rsidRPr="00421C05">
        <w:rPr>
          <w:szCs w:val="15"/>
        </w:rPr>
        <w:t xml:space="preserve">77z-1(a)(3)(B). </w:t>
      </w:r>
    </w:p>
  </w:footnote>
  <w:footnote w:id="249">
    <w:p w14:paraId="10D1D1F5" w14:textId="4577FF63"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Private Securities Litigation Reform Act of 1995 Pub L No 104-67, 109 Stat 737 (1995), </w:t>
      </w:r>
      <w:r w:rsidRPr="00421C05">
        <w:rPr>
          <w:rFonts w:ascii="Times New Roman" w:hAnsi="Times New Roman"/>
          <w:szCs w:val="15"/>
        </w:rPr>
        <w:t xml:space="preserve">§ </w:t>
      </w:r>
      <w:r w:rsidRPr="00421C05">
        <w:rPr>
          <w:szCs w:val="15"/>
        </w:rPr>
        <w:t>77z-1(a)(3)(B)(v).</w:t>
      </w:r>
    </w:p>
  </w:footnote>
  <w:footnote w:id="250">
    <w:p w14:paraId="5C705694"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D0D0D"/>
          <w:szCs w:val="15"/>
          <w:shd w:val="clear" w:color="auto" w:fill="FFFFFF"/>
          <w:lang w:val="mi-NZ" w:eastAsia="zh-CN" w:bidi="th-TH"/>
        </w:rPr>
        <w:t xml:space="preserve">The Competition Appeal Tribunal Rules 2015 (UK), r </w:t>
      </w:r>
      <w:r w:rsidRPr="00421C05">
        <w:rPr>
          <w:szCs w:val="15"/>
        </w:rPr>
        <w:t>78(2)(c).</w:t>
      </w:r>
    </w:p>
  </w:footnote>
  <w:footnote w:id="251">
    <w:p w14:paraId="5CB65CE8"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D0D0D"/>
          <w:szCs w:val="15"/>
          <w:shd w:val="clear" w:color="auto" w:fill="FFFFFF"/>
          <w:lang w:val="mi-NZ" w:eastAsia="zh-CN" w:bidi="th-TH"/>
        </w:rPr>
        <w:t>Competition Appeal Tribunal</w:t>
      </w:r>
      <w:r w:rsidRPr="00421C05">
        <w:rPr>
          <w:rFonts w:ascii="Calibri" w:eastAsiaTheme="minorEastAsia" w:hAnsi="Calibri" w:cs="Calibri"/>
          <w:color w:val="0D0D0D"/>
          <w:szCs w:val="15"/>
          <w:shd w:val="clear" w:color="auto" w:fill="FFFFFF"/>
          <w:lang w:val="mi-NZ" w:eastAsia="zh-CN" w:bidi="th-TH"/>
        </w:rPr>
        <w:t> </w:t>
      </w:r>
      <w:r w:rsidRPr="00421C05">
        <w:rPr>
          <w:rFonts w:eastAsiaTheme="minorEastAsia" w:cstheme="minorBidi"/>
          <w:i/>
          <w:color w:val="0D0D0D"/>
          <w:szCs w:val="15"/>
          <w:shd w:val="clear" w:color="auto" w:fill="FFFFFF"/>
          <w:lang w:val="mi-NZ" w:eastAsia="zh-CN" w:bidi="th-TH"/>
        </w:rPr>
        <w:t>Guide to Proceedings</w:t>
      </w:r>
      <w:r w:rsidRPr="00421C05">
        <w:rPr>
          <w:rFonts w:ascii="Calibri" w:eastAsiaTheme="minorEastAsia" w:hAnsi="Calibri" w:cs="Calibri"/>
          <w:color w:val="0D0D0D"/>
          <w:szCs w:val="15"/>
          <w:shd w:val="clear" w:color="auto" w:fill="FFFFFF"/>
          <w:lang w:val="mi-NZ" w:eastAsia="zh-CN" w:bidi="th-TH"/>
        </w:rPr>
        <w:t> </w:t>
      </w:r>
      <w:r w:rsidRPr="00421C05">
        <w:rPr>
          <w:rFonts w:eastAsiaTheme="minorEastAsia" w:cstheme="minorBidi"/>
          <w:color w:val="0D0D0D"/>
          <w:szCs w:val="15"/>
          <w:shd w:val="clear" w:color="auto" w:fill="FFFFFF"/>
          <w:lang w:val="mi-NZ" w:eastAsia="zh-CN" w:bidi="th-TH"/>
        </w:rPr>
        <w:t>(2015) at [6.32].</w:t>
      </w:r>
    </w:p>
  </w:footnote>
  <w:footnote w:id="252">
    <w:p w14:paraId="5B1714C2"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Michael O’Higgins FX Class Representative Ltd v Barclays Bank PLC </w:t>
      </w:r>
      <w:r w:rsidRPr="00421C05">
        <w:rPr>
          <w:szCs w:val="15"/>
        </w:rPr>
        <w:t xml:space="preserve">[2020] CAT 9 (judgment declining to determine carriage as a preliminary issue). The Tribunal’s website indicates that a combined carriage/certification hearing was held in July 2021 and a decision is pending: </w:t>
      </w:r>
      <w:hyperlink r:id="rId3" w:history="1">
        <w:r w:rsidRPr="00421C05">
          <w:rPr>
            <w:rStyle w:val="Hyperlink"/>
            <w:szCs w:val="15"/>
          </w:rPr>
          <w:t>&lt;www.catribunal.org.uk&gt;</w:t>
        </w:r>
      </w:hyperlink>
      <w:r w:rsidRPr="00421C05">
        <w:rPr>
          <w:szCs w:val="15"/>
        </w:rPr>
        <w:t xml:space="preserve"> </w:t>
      </w:r>
    </w:p>
  </w:footnote>
  <w:footnote w:id="253">
    <w:p w14:paraId="1F844692" w14:textId="14164386"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In Ontario (prior to legislative reform), stakeholders reported that carriage motions could add one year to the length of a class action or longer if it was appealed:  </w:t>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(July 2019) at </w:t>
      </w:r>
      <w:r w:rsidRPr="00421C05">
        <w:rPr>
          <w:szCs w:val="15"/>
        </w:rPr>
        <w:t xml:space="preserve">24. In the Federal Court of Australia, it can take between two and 20 months to resolve competing class action issues: </w:t>
      </w:r>
      <w:r w:rsidRPr="00421C05">
        <w:rPr>
          <w:rFonts w:eastAsiaTheme="minorEastAsia" w:cstheme="minorBidi"/>
          <w:color w:val="000000"/>
          <w:szCs w:val="15"/>
          <w:shd w:val="clear" w:color="auto" w:fill="FFFFFF"/>
          <w:lang w:eastAsia="zh-CN" w:bidi="th-TH"/>
        </w:rPr>
        <w:t xml:space="preserve">Parliamentary Joint Committee on Corporations and Financial Services </w:t>
      </w:r>
      <w:r w:rsidRPr="00421C05">
        <w:rPr>
          <w:rFonts w:eastAsiaTheme="minorEastAsia" w:cstheme="minorBidi"/>
          <w:i/>
          <w:color w:val="000000"/>
          <w:szCs w:val="15"/>
          <w:shd w:val="clear" w:color="auto" w:fill="FFFFFF"/>
          <w:lang w:eastAsia="zh-CN" w:bidi="th-TH"/>
        </w:rPr>
        <w:t xml:space="preserve">Litigation funding and the regulation of the class action industry </w:t>
      </w:r>
      <w:r w:rsidRPr="00421C05">
        <w:rPr>
          <w:rFonts w:eastAsiaTheme="minorEastAsia" w:cstheme="minorBidi"/>
          <w:color w:val="000000"/>
          <w:szCs w:val="15"/>
          <w:shd w:val="clear" w:color="auto" w:fill="FFFFFF"/>
          <w:lang w:eastAsia="zh-CN" w:bidi="th-TH"/>
        </w:rPr>
        <w:t>(December 2020) at [7.14].</w:t>
      </w:r>
      <w:r w:rsidRPr="00421C05">
        <w:rPr>
          <w:szCs w:val="15"/>
        </w:rPr>
        <w:t xml:space="preserve"> </w:t>
      </w:r>
    </w:p>
  </w:footnote>
  <w:footnote w:id="254">
    <w:p w14:paraId="30941EB0"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Class Proceedings Act SO 1992 c 6 (Ontario), s 13.1(2). When determining whether two or more proceedings involve “the same or similar subject matter”, this must include consideration of whether the proceedings involve the same or similar causes of action and the same or affiliated defendants: Class Proceedings Act SO 1992 c 6 (Ontario), s 1.1.</w:t>
      </w:r>
    </w:p>
  </w:footnote>
  <w:footnote w:id="255">
    <w:p w14:paraId="3D6A2300"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Style w:val="normaltextrun"/>
          <w:color w:val="000000"/>
          <w:szCs w:val="15"/>
          <w:shd w:val="clear" w:color="auto" w:fill="FFFFFF"/>
        </w:rPr>
        <w:t>Australian Law Reform Commission</w:t>
      </w:r>
      <w:r w:rsidRPr="00421C05">
        <w:rPr>
          <w:rStyle w:val="normaltextrun"/>
          <w:rFonts w:ascii="Calibri" w:hAnsi="Calibri" w:cs="Calibri"/>
          <w:color w:val="000000"/>
          <w:szCs w:val="15"/>
          <w:shd w:val="clear" w:color="auto" w:fill="FFFFFF"/>
        </w:rPr>
        <w:t> </w:t>
      </w:r>
      <w:r w:rsidRPr="00421C05">
        <w:rPr>
          <w:rStyle w:val="normaltextrun"/>
          <w:i/>
          <w:color w:val="000000"/>
          <w:szCs w:val="15"/>
          <w:shd w:val="clear" w:color="auto" w:fill="FFFFFF"/>
        </w:rPr>
        <w:t>Inquiry into Class Action Proceedings and Third-Party Litigation Funders</w:t>
      </w:r>
      <w:r w:rsidRPr="00421C05">
        <w:rPr>
          <w:rStyle w:val="normaltextrun"/>
          <w:rFonts w:ascii="Calibri" w:hAnsi="Calibri" w:cs="Calibri"/>
          <w:color w:val="000000"/>
          <w:szCs w:val="15"/>
          <w:shd w:val="clear" w:color="auto" w:fill="FFFFFF"/>
        </w:rPr>
        <w:t> </w:t>
      </w:r>
      <w:r w:rsidRPr="00421C05">
        <w:rPr>
          <w:rStyle w:val="normaltextrun"/>
          <w:color w:val="000000"/>
          <w:szCs w:val="15"/>
          <w:shd w:val="clear" w:color="auto" w:fill="FFFFFF"/>
        </w:rPr>
        <w:t>(ALRC DP85, 2018)</w:t>
      </w:r>
      <w:r w:rsidRPr="00421C05">
        <w:rPr>
          <w:rStyle w:val="eop"/>
          <w:rFonts w:ascii="Calibri" w:hAnsi="Calibri" w:cs="Calibri"/>
          <w:color w:val="000000"/>
          <w:szCs w:val="15"/>
          <w:shd w:val="clear" w:color="auto" w:fill="FFFFFF"/>
        </w:rPr>
        <w:t> </w:t>
      </w:r>
      <w:r w:rsidRPr="00421C05">
        <w:rPr>
          <w:szCs w:val="15"/>
        </w:rPr>
        <w:t>at [6.30].</w:t>
      </w:r>
    </w:p>
  </w:footnote>
  <w:footnote w:id="256">
    <w:p w14:paraId="2BCD8168"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These are sometimes categorised as “multiple” rather than competing class actions: see </w:t>
      </w:r>
      <w:r w:rsidRPr="00421C05">
        <w:rPr>
          <w:rFonts w:eastAsiaTheme="minorEastAsia" w:cstheme="minorBidi"/>
          <w:color w:val="000000"/>
          <w:szCs w:val="15"/>
          <w:shd w:val="clear" w:color="auto" w:fill="FFFFFF"/>
          <w:lang w:eastAsia="zh-CN" w:bidi="th-TH"/>
        </w:rPr>
        <w:t xml:space="preserve">Parliamentary Joint Committee on Corporations and Financial Services </w:t>
      </w:r>
      <w:r w:rsidRPr="00421C05">
        <w:rPr>
          <w:rFonts w:eastAsiaTheme="minorEastAsia" w:cstheme="minorBidi"/>
          <w:i/>
          <w:color w:val="000000"/>
          <w:szCs w:val="15"/>
          <w:shd w:val="clear" w:color="auto" w:fill="FFFFFF"/>
          <w:lang w:eastAsia="zh-CN" w:bidi="th-TH"/>
        </w:rPr>
        <w:t xml:space="preserve">Litigation funding and the regulation of the class action industry </w:t>
      </w:r>
      <w:r w:rsidRPr="00421C05">
        <w:rPr>
          <w:rFonts w:eastAsiaTheme="minorEastAsia" w:cstheme="minorBidi"/>
          <w:color w:val="000000"/>
          <w:szCs w:val="15"/>
          <w:shd w:val="clear" w:color="auto" w:fill="FFFFFF"/>
          <w:lang w:eastAsia="zh-CN" w:bidi="th-TH"/>
        </w:rPr>
        <w:t>(December 2020) at 66.</w:t>
      </w:r>
    </w:p>
  </w:footnote>
  <w:footnote w:id="257">
    <w:p w14:paraId="05EA346C"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Vince Morabito </w:t>
      </w:r>
      <w:r w:rsidRPr="00421C05">
        <w:rPr>
          <w:i/>
          <w:szCs w:val="15"/>
        </w:rPr>
        <w:t>An Evidence-Based Approach to Class Action Reform in Australia: Competing Class Actions and Comparative Perspectives on the Volume of Class Action Litigation in Australia</w:t>
      </w:r>
      <w:r w:rsidRPr="00421C05">
        <w:rPr>
          <w:szCs w:val="15"/>
        </w:rPr>
        <w:t xml:space="preserve"> (July 2018) at 12.</w:t>
      </w:r>
    </w:p>
  </w:footnote>
  <w:footnote w:id="258">
    <w:p w14:paraId="04E9CB36"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(ALRC R134, 2018) at [4.79].</w:t>
      </w:r>
    </w:p>
  </w:footnote>
  <w:footnote w:id="259">
    <w:p w14:paraId="18257E08"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(ALRC R134, 2018) at [4.95], [4.97], and [4.101].</w:t>
      </w:r>
    </w:p>
  </w:footnote>
  <w:footnote w:id="260">
    <w:p w14:paraId="7160C136"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[4.101], [4.104]. Note that the ALRC’s proposal endorses the approach suggested in </w:t>
      </w:r>
      <w:r w:rsidRPr="00421C05">
        <w:rPr>
          <w:i/>
          <w:szCs w:val="15"/>
        </w:rPr>
        <w:t xml:space="preserve">Perera v GetSwift Ltd </w:t>
      </w:r>
      <w:r w:rsidRPr="00421C05">
        <w:rPr>
          <w:szCs w:val="15"/>
        </w:rPr>
        <w:t>[2018] FCAFC 202, (2018) 263 FCR 92 at [280].</w:t>
      </w:r>
    </w:p>
  </w:footnote>
  <w:footnote w:id="261">
    <w:p w14:paraId="27E11953"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[4.97]. </w:t>
      </w:r>
    </w:p>
  </w:footnote>
  <w:footnote w:id="262">
    <w:p w14:paraId="01953D6D" w14:textId="6635F3AF"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Vince Morabito </w:t>
      </w:r>
      <w:r w:rsidRPr="00421C05">
        <w:rPr>
          <w:i/>
          <w:szCs w:val="15"/>
        </w:rPr>
        <w:t>An Evidence-Based Approach to Class Action Reform in Australia: Competing Class Actions and Comparative Perspectives on the Volume of Class Action Litigation in Australia</w:t>
      </w:r>
      <w:r w:rsidRPr="00421C05">
        <w:rPr>
          <w:szCs w:val="15"/>
        </w:rPr>
        <w:t xml:space="preserve"> (July 2018) at 20–21. The ALRC considered that if a competing class action had been filed within the 90-day period and stayed and the chosen class action was later discontinued, a representative plaintiff could make an application to the court to lift the stay of the competing class action: </w:t>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[4.97]. </w:t>
      </w:r>
    </w:p>
  </w:footnote>
  <w:footnote w:id="263">
    <w:p w14:paraId="556241E2" w14:textId="7AC841C0"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(July 2019) at </w:t>
      </w:r>
      <w:r w:rsidRPr="00421C05">
        <w:rPr>
          <w:szCs w:val="15"/>
        </w:rPr>
        <w:t>25–26.</w:t>
      </w:r>
    </w:p>
  </w:footnote>
  <w:footnote w:id="264">
    <w:p w14:paraId="3586594A"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[4.97]. The Law Commission of Ontario </w:t>
      </w:r>
      <w:r w:rsidRPr="00421C05">
        <w:rPr>
          <w:szCs w:val="15"/>
        </w:rPr>
        <w:t xml:space="preserve">noted criticism of the proposed requirement to notify competitors of a class action and instead recommended that a party filing a class action must register the action with the Canadian Bar Association Class Action Registry: </w:t>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(July 2019) at </w:t>
      </w:r>
      <w:r w:rsidRPr="00421C05">
        <w:rPr>
          <w:szCs w:val="15"/>
        </w:rPr>
        <w:t>26, 29.</w:t>
      </w:r>
    </w:p>
  </w:footnote>
  <w:footnote w:id="265">
    <w:p w14:paraId="7E1C372F"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i/>
          <w:color w:val="0D0D0D"/>
          <w:szCs w:val="15"/>
          <w:shd w:val="clear" w:color="auto" w:fill="FFFFFF"/>
          <w:lang w:eastAsia="zh-CN" w:bidi="th-TH"/>
        </w:rPr>
        <w:t>Class Actions</w:t>
      </w:r>
      <w:r w:rsidRPr="00421C05">
        <w:rPr>
          <w:rFonts w:ascii="Calibri" w:eastAsiaTheme="minorEastAsia" w:hAnsi="Calibri" w:cs="Calibri"/>
          <w:i/>
          <w:iCs/>
          <w:color w:val="0D0D0D"/>
          <w:szCs w:val="15"/>
          <w:shd w:val="clear" w:color="auto" w:fill="FFFFFF"/>
          <w:lang w:eastAsia="zh-CN" w:bidi="th-TH"/>
        </w:rPr>
        <w:t xml:space="preserve"> </w:t>
      </w:r>
      <w:r w:rsidRPr="00421C05">
        <w:rPr>
          <w:rFonts w:eastAsiaTheme="minorEastAsia" w:cstheme="minorBidi"/>
          <w:i/>
          <w:iCs/>
          <w:color w:val="0D0D0D"/>
          <w:szCs w:val="15"/>
          <w:shd w:val="clear" w:color="auto" w:fill="FFFFFF"/>
          <w:lang w:eastAsia="zh-CN" w:bidi="th-TH"/>
        </w:rPr>
        <w:t>Practice Note</w:t>
      </w:r>
      <w:r w:rsidRPr="00421C05">
        <w:rPr>
          <w:rFonts w:ascii="Calibri" w:eastAsiaTheme="minorEastAsia" w:hAnsi="Calibri" w:cs="Calibri"/>
          <w:color w:val="0D0D0D"/>
          <w:szCs w:val="15"/>
          <w:shd w:val="clear" w:color="auto" w:fill="FFFFFF"/>
          <w:lang w:eastAsia="zh-CN" w:bidi="th-TH"/>
        </w:rPr>
        <w:t xml:space="preserve"> </w:t>
      </w:r>
      <w:r w:rsidRPr="00421C05">
        <w:rPr>
          <w:rFonts w:eastAsiaTheme="minorEastAsia" w:cstheme="minorBidi"/>
          <w:color w:val="0D0D0D"/>
          <w:szCs w:val="15"/>
          <w:shd w:val="clear" w:color="auto" w:fill="FFFFFF"/>
          <w:lang w:eastAsia="zh-CN" w:bidi="th-TH"/>
        </w:rPr>
        <w:t>(Federal Court of Australia,</w:t>
      </w:r>
      <w:r w:rsidRPr="00421C05">
        <w:rPr>
          <w:rFonts w:ascii="Calibri" w:eastAsiaTheme="minorEastAsia" w:hAnsi="Calibri" w:cs="Calibri"/>
          <w:color w:val="0D0D0D"/>
          <w:szCs w:val="15"/>
          <w:shd w:val="clear" w:color="auto" w:fill="FFFFFF"/>
          <w:lang w:eastAsia="zh-CN" w:bidi="th-TH"/>
        </w:rPr>
        <w:t xml:space="preserve"> </w:t>
      </w:r>
      <w:r w:rsidRPr="00421C05">
        <w:rPr>
          <w:rFonts w:eastAsiaTheme="minorEastAsia" w:cstheme="minorBidi"/>
          <w:color w:val="0D0D0D"/>
          <w:szCs w:val="15"/>
          <w:shd w:val="clear" w:color="auto" w:fill="FFFFFF"/>
          <w:lang w:eastAsia="zh-CN" w:bidi="th-TH"/>
        </w:rPr>
        <w:t>Practice Note</w:t>
      </w:r>
      <w:r w:rsidRPr="00421C05">
        <w:rPr>
          <w:rFonts w:ascii="Calibri" w:eastAsiaTheme="minorEastAsia" w:hAnsi="Calibri" w:cs="Calibri"/>
          <w:color w:val="0D0D0D"/>
          <w:szCs w:val="15"/>
          <w:shd w:val="clear" w:color="auto" w:fill="FFFFFF"/>
          <w:lang w:eastAsia="zh-CN" w:bidi="th-TH"/>
        </w:rPr>
        <w:t xml:space="preserve"> </w:t>
      </w:r>
      <w:r w:rsidRPr="00421C05">
        <w:rPr>
          <w:rFonts w:eastAsiaTheme="minorEastAsia" w:cstheme="minorBidi"/>
          <w:color w:val="0D0D0D"/>
          <w:szCs w:val="15"/>
          <w:shd w:val="clear" w:color="auto" w:fill="FFFFFF"/>
          <w:lang w:eastAsia="zh-CN" w:bidi="th-TH"/>
        </w:rPr>
        <w:t xml:space="preserve">GPN-CA, December 2019) at [8.2]. The Practice Note also states that at the first case management conference, the parties should be </w:t>
      </w:r>
      <w:r w:rsidRPr="00421C05">
        <w:rPr>
          <w:szCs w:val="15"/>
        </w:rPr>
        <w:t>in a position to address whether any competing class action has been filed or has been foreshadowed: see</w:t>
      </w:r>
      <w:r w:rsidRPr="00421C05">
        <w:rPr>
          <w:rFonts w:eastAsiaTheme="minorEastAsia" w:cstheme="minorBidi"/>
          <w:color w:val="0D0D0D"/>
          <w:szCs w:val="15"/>
          <w:shd w:val="clear" w:color="auto" w:fill="FFFFFF"/>
          <w:lang w:eastAsia="zh-CN" w:bidi="th-TH"/>
        </w:rPr>
        <w:t xml:space="preserve"> </w:t>
      </w:r>
      <w:r w:rsidRPr="00421C05">
        <w:rPr>
          <w:szCs w:val="15"/>
        </w:rPr>
        <w:t>[7.8(f)].</w:t>
      </w:r>
    </w:p>
  </w:footnote>
  <w:footnote w:id="266">
    <w:p w14:paraId="1B7DF4F8"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This issue does not arise in Australia because of the lack of certification. </w:t>
      </w:r>
    </w:p>
  </w:footnote>
  <w:footnote w:id="267">
    <w:p w14:paraId="4A2BA157"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 xml:space="preserve">13.1(1) and 13.1(4)(b). </w:t>
      </w:r>
    </w:p>
  </w:footnote>
  <w:footnote w:id="268">
    <w:p w14:paraId="06D958E1" w14:textId="68BAF7DB"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Michael O’Higgins FX Class Representative Ltd v Barclays Bank Plc </w:t>
      </w:r>
      <w:r w:rsidRPr="00421C05">
        <w:rPr>
          <w:szCs w:val="15"/>
        </w:rPr>
        <w:t>[2020] CAT 9 at [69]–[73] and [75]–[79]. The Tribunal did not determine the issue of whether the criteria were inter-related or self-standing in this judgment. It declined to hear the carriage dispute as a preliminary issue, saying it could not be said at that point that the carriage dispute was, as a matter of law, a discrete matter being capable of being determined as a preliminary issue. The Tribunal heard the carriage dispute and certification applications in July 2021 and a decision is pending.</w:t>
      </w:r>
    </w:p>
  </w:footnote>
  <w:footnote w:id="269">
    <w:p w14:paraId="5B337425"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Wigmans v AMP Ltd </w:t>
      </w:r>
      <w:r w:rsidRPr="00421C05">
        <w:rPr>
          <w:szCs w:val="15"/>
        </w:rPr>
        <w:t>[2021] HCA 7, (2021) 388 ALR 272 at [106] per Gageler, Gordon and Edelman JJ.</w:t>
      </w:r>
    </w:p>
  </w:footnote>
  <w:footnote w:id="270">
    <w:p w14:paraId="5FFBA96C"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w:t>
      </w:r>
      <w:r w:rsidRPr="00421C05">
        <w:rPr>
          <w:szCs w:val="15"/>
        </w:rPr>
        <w:t>[4.63].</w:t>
      </w:r>
    </w:p>
  </w:footnote>
  <w:footnote w:id="271">
    <w:p w14:paraId="549F8959"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w:t>
      </w:r>
      <w:r w:rsidRPr="00421C05">
        <w:rPr>
          <w:szCs w:val="15"/>
        </w:rPr>
        <w:t>[4.92].</w:t>
      </w:r>
    </w:p>
  </w:footnote>
  <w:footnote w:id="272">
    <w:p w14:paraId="0764F181" w14:textId="3A667EE5"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(July 2019) at 23–24</w:t>
      </w:r>
      <w:r w:rsidRPr="00421C05">
        <w:rPr>
          <w:szCs w:val="15"/>
        </w:rPr>
        <w:t>, 26–27.</w:t>
      </w:r>
    </w:p>
  </w:footnote>
  <w:footnote w:id="273">
    <w:p w14:paraId="469190FE"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(July 2019) at 27.</w:t>
      </w:r>
    </w:p>
  </w:footnote>
  <w:footnote w:id="274">
    <w:p w14:paraId="251631B0" w14:textId="52892136"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13.1(4).</w:t>
      </w:r>
    </w:p>
  </w:footnote>
  <w:footnote w:id="275">
    <w:p w14:paraId="597443C7"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 xml:space="preserve">13.1(4). </w:t>
      </w:r>
    </w:p>
  </w:footnote>
  <w:footnote w:id="276">
    <w:p w14:paraId="5C590B86" w14:textId="438E1B35"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auto"/>
          <w:szCs w:val="15"/>
        </w:rPr>
        <w:t xml:space="preserve">See for example </w:t>
      </w:r>
      <w:r w:rsidRPr="00421C05">
        <w:rPr>
          <w:i/>
          <w:color w:val="auto"/>
          <w:szCs w:val="15"/>
        </w:rPr>
        <w:t xml:space="preserve">Perera v Getswift Ltd </w:t>
      </w:r>
      <w:r w:rsidRPr="00421C05">
        <w:rPr>
          <w:color w:val="auto"/>
          <w:szCs w:val="15"/>
        </w:rPr>
        <w:t xml:space="preserve">[2018] FCA 732, (2018) 263 FCR 1 at [169]; </w:t>
      </w:r>
      <w:r w:rsidRPr="00421C05">
        <w:rPr>
          <w:i/>
          <w:color w:val="auto"/>
          <w:szCs w:val="15"/>
        </w:rPr>
        <w:t xml:space="preserve">Perera v Getswift Ltd </w:t>
      </w:r>
      <w:r w:rsidRPr="00421C05">
        <w:rPr>
          <w:color w:val="auto"/>
          <w:szCs w:val="15"/>
        </w:rPr>
        <w:t xml:space="preserve">[2018] FCAFC 202, (2018) 263 FCR 92 at [195]; </w:t>
      </w:r>
      <w:r w:rsidRPr="00421C05">
        <w:rPr>
          <w:rFonts w:cstheme="minorHAnsi"/>
          <w:i/>
          <w:color w:val="auto"/>
          <w:szCs w:val="15"/>
          <w:shd w:val="clear" w:color="auto" w:fill="FFFFFF"/>
        </w:rPr>
        <w:t>McKay Super Solutions Pty Ltd (Trustee) v Bellamy’s Australia Ltd</w:t>
      </w:r>
      <w:r w:rsidRPr="00421C05">
        <w:rPr>
          <w:rFonts w:cstheme="minorHAnsi"/>
          <w:color w:val="auto"/>
          <w:szCs w:val="15"/>
          <w:shd w:val="clear" w:color="auto" w:fill="FFFFFF"/>
        </w:rPr>
        <w:t xml:space="preserve"> [2017] FCA 947 at [71].</w:t>
      </w:r>
    </w:p>
  </w:footnote>
  <w:footnote w:id="277">
    <w:p w14:paraId="5F1BF28A"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[52] and [109] per Gageler, Gordon and Edelman JJ.</w:t>
      </w:r>
    </w:p>
  </w:footnote>
  <w:footnote w:id="278">
    <w:p w14:paraId="4E347053"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[109] per Gageler, Gordon and Edelman JJ.</w:t>
      </w:r>
    </w:p>
  </w:footnote>
  <w:footnote w:id="279">
    <w:p w14:paraId="4CC5F1F9"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 xml:space="preserve">[2019] NSWSC 603 at [126]. </w:t>
      </w:r>
    </w:p>
  </w:footnote>
  <w:footnote w:id="280">
    <w:p w14:paraId="60E0C4C8"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w:t>
      </w:r>
      <w:r w:rsidRPr="00421C05">
        <w:rPr>
          <w:szCs w:val="15"/>
        </w:rPr>
        <w:t>[4.108].</w:t>
      </w:r>
    </w:p>
  </w:footnote>
  <w:footnote w:id="281">
    <w:p w14:paraId="29EA1901" w14:textId="492C09DA"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High Court Rules 2016, r 1.2 (“The objective of these rules is to secure the just, speedy and inexpensive determination of any proceeding or interlocutory application”).</w:t>
      </w:r>
    </w:p>
  </w:footnote>
  <w:footnote w:id="282">
    <w:p w14:paraId="14CE07DE"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13.1(4)(a).</w:t>
      </w:r>
    </w:p>
  </w:footnote>
  <w:footnote w:id="283">
    <w:p w14:paraId="3F109495" w14:textId="03AB89EA"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 xml:space="preserve">[2021] HCA 7, (2021) 388 ALR 272 at [6] listing the factors identified by the lower court in </w:t>
      </w:r>
      <w:r w:rsidRPr="00421C05">
        <w:rPr>
          <w:i/>
          <w:szCs w:val="15"/>
        </w:rPr>
        <w:t xml:space="preserve">Wigmans v AMP Ltd </w:t>
      </w:r>
      <w:r w:rsidRPr="00421C05">
        <w:rPr>
          <w:szCs w:val="15"/>
        </w:rPr>
        <w:t xml:space="preserve">[2019] NSWSC 603 at [126]; and </w:t>
      </w:r>
      <w:r w:rsidRPr="00421C05">
        <w:rPr>
          <w:i/>
          <w:color w:val="auto"/>
          <w:szCs w:val="15"/>
        </w:rPr>
        <w:t xml:space="preserve">Perera v Getswift Ltd </w:t>
      </w:r>
      <w:r w:rsidRPr="00421C05">
        <w:rPr>
          <w:color w:val="auto"/>
          <w:szCs w:val="15"/>
        </w:rPr>
        <w:t>[2018] FCAFC 202, (2018) 263 FCR 92 at [195].</w:t>
      </w:r>
    </w:p>
  </w:footnote>
  <w:footnote w:id="284">
    <w:p w14:paraId="7A20F629" w14:textId="294F8232"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Perera v GetSwift Ltd </w:t>
      </w:r>
      <w:r w:rsidRPr="00421C05">
        <w:rPr>
          <w:szCs w:val="15"/>
        </w:rPr>
        <w:t xml:space="preserve">[2018] FCAFC 202, (2018) 263 FCR 92 at [178]; and </w:t>
      </w:r>
      <w:r w:rsidRPr="00421C05">
        <w:rPr>
          <w:i/>
          <w:szCs w:val="15"/>
        </w:rPr>
        <w:t xml:space="preserve">Wigmans v AMP Ltd </w:t>
      </w:r>
      <w:r w:rsidRPr="00421C05">
        <w:rPr>
          <w:szCs w:val="15"/>
        </w:rPr>
        <w:t xml:space="preserve">[2021] HCA 7, (2021) 388 ALR 272 at [6] (listing factors identified in </w:t>
      </w:r>
      <w:r w:rsidRPr="00421C05">
        <w:rPr>
          <w:i/>
          <w:szCs w:val="15"/>
        </w:rPr>
        <w:t xml:space="preserve">Wigmans v AMP Ltd </w:t>
      </w:r>
      <w:r w:rsidRPr="00421C05">
        <w:rPr>
          <w:szCs w:val="15"/>
        </w:rPr>
        <w:t>[2019] NSWSC 603 at [126].</w:t>
      </w:r>
    </w:p>
  </w:footnote>
  <w:footnote w:id="285">
    <w:p w14:paraId="5D908186"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Perera v GetSwift Ltd </w:t>
      </w:r>
      <w:r w:rsidRPr="00421C05">
        <w:rPr>
          <w:szCs w:val="15"/>
        </w:rPr>
        <w:t>[2018] FCAFC 202, (2018) 263 FCR 92 at [178].</w:t>
      </w:r>
    </w:p>
  </w:footnote>
  <w:footnote w:id="286">
    <w:p w14:paraId="0BC5CAA0"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13.1(4)(d).</w:t>
      </w:r>
    </w:p>
  </w:footnote>
  <w:footnote w:id="287">
    <w:p w14:paraId="3DFB008A"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[111] per Gageler, Gordon and Edelman JJ.</w:t>
      </w:r>
    </w:p>
  </w:footnote>
  <w:footnote w:id="288">
    <w:p w14:paraId="6150929C"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[111] per Gageler, Gordon and Edelman JJ.</w:t>
      </w:r>
    </w:p>
  </w:footnote>
  <w:footnote w:id="289">
    <w:p w14:paraId="6B155AC3"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[112] per Gageler, Gordon and Edelman JJ.</w:t>
      </w:r>
    </w:p>
  </w:footnote>
  <w:footnote w:id="290">
    <w:p w14:paraId="2D47E0DA" w14:textId="2E317F79"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For example, in </w:t>
      </w:r>
      <w:r w:rsidRPr="00421C05">
        <w:rPr>
          <w:i/>
          <w:szCs w:val="15"/>
        </w:rPr>
        <w:t>Wigmans v AMP</w:t>
      </w:r>
      <w:r w:rsidRPr="00421C05">
        <w:rPr>
          <w:szCs w:val="15"/>
        </w:rPr>
        <w:t>,</w:t>
      </w:r>
      <w:r w:rsidRPr="00421C05">
        <w:rPr>
          <w:i/>
          <w:iCs/>
          <w:szCs w:val="15"/>
        </w:rPr>
        <w:t xml:space="preserve"> </w:t>
      </w:r>
      <w:r w:rsidRPr="00421C05">
        <w:rPr>
          <w:szCs w:val="15"/>
        </w:rPr>
        <w:t xml:space="preserve">a factor in favour of certain class proceedings over the others was that substantial security for costs would be paid into court, while others relied on after the event (ATE) insurance: </w:t>
      </w:r>
      <w:r w:rsidRPr="00421C05">
        <w:rPr>
          <w:i/>
          <w:szCs w:val="15"/>
        </w:rPr>
        <w:t xml:space="preserve">Wigmans v AMP Ltd </w:t>
      </w:r>
      <w:r w:rsidRPr="00421C05">
        <w:rPr>
          <w:szCs w:val="15"/>
        </w:rPr>
        <w:t>[2019] NSWSC 603 at [233].</w:t>
      </w:r>
    </w:p>
  </w:footnote>
  <w:footnote w:id="291">
    <w:p w14:paraId="3989E855"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Perera v GetSwift Ltd</w:t>
      </w:r>
      <w:r w:rsidRPr="00421C05">
        <w:rPr>
          <w:szCs w:val="15"/>
        </w:rPr>
        <w:t xml:space="preserve"> [2018] FCAFC 202, (2018) 263 FCR 92 at [276].</w:t>
      </w:r>
      <w:r w:rsidRPr="00421C05">
        <w:rPr>
          <w:rFonts w:ascii="Calibri" w:hAnsi="Calibri" w:cs="Calibri"/>
          <w:szCs w:val="15"/>
        </w:rPr>
        <w:t> </w:t>
      </w:r>
    </w:p>
  </w:footnote>
  <w:footnote w:id="292">
    <w:p w14:paraId="7AA2D63F"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Wigmans</w:t>
      </w:r>
      <w:r w:rsidRPr="00421C05">
        <w:rPr>
          <w:rFonts w:ascii="Calibri" w:hAnsi="Calibri" w:cs="Calibri"/>
          <w:i/>
          <w:szCs w:val="15"/>
        </w:rPr>
        <w:t> </w:t>
      </w:r>
      <w:r w:rsidRPr="00421C05">
        <w:rPr>
          <w:i/>
          <w:szCs w:val="15"/>
        </w:rPr>
        <w:t>v AMP Ltd</w:t>
      </w:r>
      <w:r w:rsidRPr="00421C05">
        <w:rPr>
          <w:rFonts w:ascii="Calibri" w:hAnsi="Calibri" w:cs="Calibri"/>
          <w:szCs w:val="15"/>
        </w:rPr>
        <w:t> </w:t>
      </w:r>
      <w:r w:rsidRPr="00421C05">
        <w:rPr>
          <w:szCs w:val="15"/>
        </w:rPr>
        <w:t>[2021] HCA 7, (2021) 388 ALR 272 at [119] per Gageler, Gordon and Edelman JJ.</w:t>
      </w:r>
    </w:p>
  </w:footnote>
  <w:footnote w:id="293">
    <w:p w14:paraId="54023921"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Class Proceedings </w:t>
      </w:r>
      <w:r w:rsidRPr="00421C05">
        <w:rPr>
          <w:rFonts w:eastAsiaTheme="minorEastAsia" w:cstheme="minorBidi"/>
          <w:color w:val="000000"/>
          <w:szCs w:val="15"/>
          <w:shd w:val="clear" w:color="auto" w:fill="FFFFFF"/>
          <w:lang w:val="mi-NZ" w:eastAsia="zh-CN" w:bidi="th-TH"/>
        </w:rPr>
        <w:t xml:space="preserve">Act SO 1992 c 6 (Ontario), s </w:t>
      </w:r>
      <w:r w:rsidRPr="00421C05">
        <w:rPr>
          <w:szCs w:val="15"/>
        </w:rPr>
        <w:t>13.1(4)(c).</w:t>
      </w:r>
    </w:p>
  </w:footnote>
  <w:footnote w:id="294">
    <w:p w14:paraId="745685C5"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(July 2019) at 27.</w:t>
      </w:r>
    </w:p>
  </w:footnote>
  <w:footnote w:id="295">
    <w:p w14:paraId="3656CE27" w14:textId="54CB0DF9"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Quenneville v Audi AG </w:t>
      </w:r>
      <w:r w:rsidRPr="00421C05">
        <w:rPr>
          <w:szCs w:val="15"/>
        </w:rPr>
        <w:t xml:space="preserve">2018 ONSC 1530 at [78]–[80]; and </w:t>
      </w:r>
      <w:r w:rsidRPr="00421C05">
        <w:rPr>
          <w:i/>
          <w:szCs w:val="15"/>
        </w:rPr>
        <w:t xml:space="preserve">Sharma v Timminco Ltd </w:t>
      </w:r>
      <w:r w:rsidRPr="00421C05">
        <w:rPr>
          <w:szCs w:val="15"/>
        </w:rPr>
        <w:t>99 OR (3d) 260 at [18].</w:t>
      </w:r>
    </w:p>
  </w:footnote>
  <w:footnote w:id="296">
    <w:p w14:paraId="3B2F841D"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Quenneville v Audi AG </w:t>
      </w:r>
      <w:r w:rsidRPr="00421C05">
        <w:rPr>
          <w:szCs w:val="15"/>
        </w:rPr>
        <w:t>2018 ONSC 1530 at [80].</w:t>
      </w:r>
    </w:p>
  </w:footnote>
  <w:footnote w:id="297">
    <w:p w14:paraId="28EC0D20" w14:textId="3552EA4B"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McKay Super Solutions Pty Ltd (Trustee) v Bellamy’s Australia Ltd</w:t>
      </w:r>
      <w:r w:rsidRPr="00421C05">
        <w:rPr>
          <w:rFonts w:ascii="Calibri" w:hAnsi="Calibri" w:cs="Calibri"/>
          <w:szCs w:val="15"/>
        </w:rPr>
        <w:t> </w:t>
      </w:r>
      <w:r w:rsidRPr="00421C05">
        <w:rPr>
          <w:szCs w:val="15"/>
        </w:rPr>
        <w:t>[2017] FCA 947</w:t>
      </w:r>
      <w:r w:rsidRPr="00421C05">
        <w:rPr>
          <w:rFonts w:ascii="Calibri" w:hAnsi="Calibri" w:cs="Calibri"/>
          <w:szCs w:val="15"/>
        </w:rPr>
        <w:t> </w:t>
      </w:r>
      <w:r w:rsidRPr="00421C05">
        <w:rPr>
          <w:szCs w:val="15"/>
        </w:rPr>
        <w:t xml:space="preserve">at [71]; </w:t>
      </w:r>
      <w:r w:rsidRPr="00421C05">
        <w:rPr>
          <w:i/>
          <w:szCs w:val="15"/>
        </w:rPr>
        <w:t>Wigmans</w:t>
      </w:r>
      <w:r w:rsidRPr="00421C05">
        <w:rPr>
          <w:rFonts w:ascii="Calibri" w:hAnsi="Calibri" w:cs="Calibri"/>
          <w:i/>
          <w:szCs w:val="15"/>
        </w:rPr>
        <w:t> </w:t>
      </w:r>
      <w:r w:rsidRPr="00421C05">
        <w:rPr>
          <w:i/>
          <w:szCs w:val="15"/>
        </w:rPr>
        <w:t>v AMP Ltd</w:t>
      </w:r>
      <w:r w:rsidRPr="00421C05">
        <w:rPr>
          <w:rFonts w:ascii="Calibri" w:hAnsi="Calibri" w:cs="Calibri"/>
          <w:szCs w:val="15"/>
        </w:rPr>
        <w:t> </w:t>
      </w:r>
      <w:r w:rsidRPr="00421C05">
        <w:rPr>
          <w:szCs w:val="15"/>
        </w:rPr>
        <w:t xml:space="preserve">[2021] HCA 7, (2021) 388 ALR 272 at [6] (outlining factors identified by lower court in </w:t>
      </w:r>
      <w:r w:rsidRPr="00421C05">
        <w:rPr>
          <w:i/>
          <w:szCs w:val="15"/>
        </w:rPr>
        <w:t>Wigmans v AMP Ltd</w:t>
      </w:r>
      <w:r w:rsidRPr="00421C05">
        <w:rPr>
          <w:szCs w:val="15"/>
        </w:rPr>
        <w:t xml:space="preserve"> [2019] NSWSC 603 at [126]); </w:t>
      </w:r>
      <w:bookmarkStart w:id="58" w:name="_Hlk82529932"/>
      <w:r w:rsidRPr="00421C05">
        <w:rPr>
          <w:szCs w:val="15"/>
        </w:rPr>
        <w:t xml:space="preserve">and </w:t>
      </w:r>
      <w:r w:rsidRPr="00421C05">
        <w:rPr>
          <w:i/>
          <w:szCs w:val="15"/>
        </w:rPr>
        <w:t xml:space="preserve">Perera v Getswift Ltd </w:t>
      </w:r>
      <w:bookmarkEnd w:id="58"/>
      <w:r w:rsidRPr="00421C05">
        <w:rPr>
          <w:szCs w:val="15"/>
        </w:rPr>
        <w:t>[2018] FCA 732, (2018) 263 FCR 1 at [169].</w:t>
      </w:r>
    </w:p>
  </w:footnote>
  <w:footnote w:id="298">
    <w:p w14:paraId="02C04E22" w14:textId="6C99F872"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Note, however, that in </w:t>
      </w:r>
      <w:r w:rsidRPr="00421C05">
        <w:rPr>
          <w:i/>
          <w:szCs w:val="15"/>
        </w:rPr>
        <w:t>McKay Super Solutions Pty Ltd (Trustee) v Bellamy’s Australia Ltd</w:t>
      </w:r>
      <w:r w:rsidRPr="00421C05">
        <w:rPr>
          <w:rFonts w:ascii="Calibri" w:hAnsi="Calibri" w:cs="Calibri"/>
          <w:szCs w:val="15"/>
        </w:rPr>
        <w:t> </w:t>
      </w:r>
      <w:r w:rsidRPr="00421C05">
        <w:rPr>
          <w:szCs w:val="15"/>
        </w:rPr>
        <w:t>[2017] FCA 947</w:t>
      </w:r>
      <w:r w:rsidRPr="00421C05">
        <w:rPr>
          <w:rFonts w:ascii="Calibri" w:hAnsi="Calibri" w:cs="Calibri"/>
          <w:szCs w:val="15"/>
        </w:rPr>
        <w:t> </w:t>
      </w:r>
      <w:r w:rsidRPr="00421C05">
        <w:rPr>
          <w:szCs w:val="15"/>
        </w:rPr>
        <w:t xml:space="preserve">at [92], the court commented that it was not a “useful discriminant” to compare charge out rates or legal costs budgets for the purpose of selecting the proceeding with the lowest costs estimate, unless there was a “very major discrepancy”. </w:t>
      </w:r>
    </w:p>
  </w:footnote>
  <w:footnote w:id="299">
    <w:p w14:paraId="26822919" w14:textId="4DB39FB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factors are outlined above. Court oversight of legal fees is necessary as lawyers generally act on a contingency basis on class actions in the United States.  </w:t>
      </w:r>
    </w:p>
  </w:footnote>
  <w:footnote w:id="300">
    <w:p w14:paraId="6A6F6725"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(July 2019) at 25.</w:t>
      </w:r>
    </w:p>
  </w:footnote>
  <w:footnote w:id="301">
    <w:p w14:paraId="4ED4D6B9"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 xml:space="preserve">Parliamentary Joint Committee on Corporations and Financial Services </w:t>
      </w:r>
      <w:r w:rsidRPr="00421C05">
        <w:rPr>
          <w:rFonts w:eastAsiaTheme="minorEastAsia" w:cstheme="minorBidi"/>
          <w:i/>
          <w:color w:val="000000"/>
          <w:szCs w:val="15"/>
          <w:shd w:val="clear" w:color="auto" w:fill="FFFFFF"/>
          <w:lang w:eastAsia="zh-CN" w:bidi="th-TH"/>
        </w:rPr>
        <w:t xml:space="preserve">Litigation funding and the regulation of the class action industry </w:t>
      </w:r>
      <w:r w:rsidRPr="00421C05">
        <w:rPr>
          <w:rFonts w:eastAsiaTheme="minorEastAsia" w:cstheme="minorBidi"/>
          <w:color w:val="000000"/>
          <w:szCs w:val="15"/>
          <w:shd w:val="clear" w:color="auto" w:fill="FFFFFF"/>
          <w:lang w:eastAsia="zh-CN" w:bidi="th-TH"/>
        </w:rPr>
        <w:t>(December 2020) at</w:t>
      </w:r>
      <w:r w:rsidRPr="00421C05">
        <w:rPr>
          <w:szCs w:val="15"/>
        </w:rPr>
        <w:t xml:space="preserve"> [7.48].</w:t>
      </w:r>
    </w:p>
  </w:footnote>
  <w:footnote w:id="302">
    <w:p w14:paraId="563E60B4" w14:textId="10EFE3BA"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[4.100]–[4.101] and [4.104]. This approach was also endorsed in Parliamentary Joint Committee on Corporations and Financial Services </w:t>
      </w:r>
      <w:r w:rsidRPr="00421C05">
        <w:rPr>
          <w:rFonts w:eastAsiaTheme="minorEastAsia" w:cstheme="minorBidi"/>
          <w:i/>
          <w:color w:val="000000"/>
          <w:szCs w:val="15"/>
          <w:shd w:val="clear" w:color="auto" w:fill="FFFFFF"/>
          <w:lang w:eastAsia="zh-CN" w:bidi="th-TH"/>
        </w:rPr>
        <w:t xml:space="preserve">Litigation funding and the regulation of the class action industry </w:t>
      </w:r>
      <w:r w:rsidRPr="00421C05">
        <w:rPr>
          <w:rFonts w:eastAsiaTheme="minorEastAsia" w:cstheme="minorBidi"/>
          <w:color w:val="000000"/>
          <w:szCs w:val="15"/>
          <w:shd w:val="clear" w:color="auto" w:fill="FFFFFF"/>
          <w:lang w:eastAsia="zh-CN" w:bidi="th-TH"/>
        </w:rPr>
        <w:t xml:space="preserve">(December 2020) at [7.69]. </w:t>
      </w:r>
    </w:p>
  </w:footnote>
  <w:footnote w:id="303">
    <w:p w14:paraId="3210D001" w14:textId="122743DF"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[52] and [75]–[76] per Gageler, Gordon and Edelman JJ. The Court’s decision related to proceedings commenced under Part 10 of the Civil Procedure Act 2005 (NSW).</w:t>
      </w:r>
    </w:p>
  </w:footnote>
  <w:footnote w:id="304">
    <w:p w14:paraId="4A087E72"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[107] per Gageler, Gordon and Edelman JJ.</w:t>
      </w:r>
    </w:p>
  </w:footnote>
  <w:footnote w:id="305">
    <w:p w14:paraId="42E7AB36"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Wigmans v AMP Ltd </w:t>
      </w:r>
      <w:r w:rsidRPr="00421C05">
        <w:rPr>
          <w:szCs w:val="15"/>
        </w:rPr>
        <w:t>[2021] HCA 7, (2021) 388 ALR 272 at [108] per Gageler, Gordon and Edelman JJ.</w:t>
      </w:r>
    </w:p>
  </w:footnote>
  <w:footnote w:id="306">
    <w:p w14:paraId="4CA0219D"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val="mi-NZ" w:eastAsia="zh-CN" w:bidi="th-TH"/>
        </w:rPr>
        <w:t xml:space="preserve">Class Proceedings Act SO 1992 c 6 (Ontario), s </w:t>
      </w:r>
      <w:r w:rsidRPr="00421C05">
        <w:rPr>
          <w:szCs w:val="15"/>
        </w:rPr>
        <w:t xml:space="preserve">13.1(4)(b). </w:t>
      </w:r>
    </w:p>
  </w:footnote>
  <w:footnote w:id="307">
    <w:p w14:paraId="36366C90"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bookmarkStart w:id="59" w:name="_Hlk82530099"/>
      <w:r w:rsidRPr="00421C05">
        <w:rPr>
          <w:i/>
          <w:szCs w:val="15"/>
        </w:rPr>
        <w:t xml:space="preserve">Perera v Getswift Ltd </w:t>
      </w:r>
      <w:r w:rsidRPr="00421C05">
        <w:rPr>
          <w:szCs w:val="15"/>
        </w:rPr>
        <w:t xml:space="preserve">[2018] FCA 732, (2018) 263 FCR 1 </w:t>
      </w:r>
      <w:bookmarkEnd w:id="59"/>
      <w:r w:rsidRPr="00421C05">
        <w:rPr>
          <w:szCs w:val="15"/>
        </w:rPr>
        <w:t>at [169].</w:t>
      </w:r>
    </w:p>
  </w:footnote>
  <w:footnote w:id="308">
    <w:p w14:paraId="60EF92B3" w14:textId="6B03CA4E"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Australian Law Reform Commission</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Integrity, Fairness and Efficiency—An Inquiry into Class Action Proceedings and Third-Party Litigation Funders</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 xml:space="preserve">(ALRC R134, 2018) at </w:t>
      </w:r>
      <w:r w:rsidRPr="00421C05">
        <w:rPr>
          <w:szCs w:val="15"/>
        </w:rPr>
        <w:t>[4.109]–[4.113].</w:t>
      </w:r>
    </w:p>
  </w:footnote>
  <w:footnote w:id="309">
    <w:p w14:paraId="61DBB451"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Australian Law Reform Commission </w:t>
      </w:r>
      <w:r w:rsidRPr="00421C05">
        <w:rPr>
          <w:i/>
          <w:szCs w:val="15"/>
        </w:rPr>
        <w:t>Inquiry into Class Action Proceedings and Third-Party Litigation Funders</w:t>
      </w:r>
      <w:r w:rsidRPr="00421C05">
        <w:rPr>
          <w:szCs w:val="15"/>
        </w:rPr>
        <w:t xml:space="preserve"> (ALRC </w:t>
      </w:r>
      <w:r w:rsidRPr="00421C05">
        <w:rPr>
          <w:rFonts w:eastAsiaTheme="minorEastAsia" w:cstheme="minorBidi"/>
          <w:color w:val="000000"/>
          <w:szCs w:val="15"/>
          <w:shd w:val="clear" w:color="auto" w:fill="FFFFFF"/>
          <w:lang w:eastAsia="zh-CN" w:bidi="th-TH"/>
        </w:rPr>
        <w:t>DP85</w:t>
      </w:r>
      <w:r w:rsidRPr="00421C05">
        <w:rPr>
          <w:szCs w:val="15"/>
        </w:rPr>
        <w:t>, 2018) at [6.53].</w:t>
      </w:r>
    </w:p>
  </w:footnote>
  <w:footnote w:id="310">
    <w:p w14:paraId="44A178B8" w14:textId="77777777" w:rsidR="00A55F53" w:rsidRPr="00421C05" w:rsidRDefault="00A55F53" w:rsidP="006E03D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Theme="minorEastAsia" w:cstheme="minorBidi"/>
          <w:color w:val="000000"/>
          <w:szCs w:val="15"/>
          <w:shd w:val="clear" w:color="auto" w:fill="FFFFFF"/>
          <w:lang w:eastAsia="zh-CN" w:bidi="th-TH"/>
        </w:rPr>
        <w:t>Law Commission of Ontario</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Class Actions: Objectives, Experiences and Reforms</w:t>
      </w:r>
      <w:r w:rsidRPr="00421C05">
        <w:rPr>
          <w:rFonts w:ascii="Calibri" w:eastAsiaTheme="minorEastAsia" w:hAnsi="Calibri" w:cs="Calibri"/>
          <w: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i/>
          <w:color w:val="000000"/>
          <w:szCs w:val="15"/>
          <w:shd w:val="clear" w:color="auto" w:fill="FFFFFF"/>
          <w:lang w:eastAsia="zh-CN" w:bidi="th-TH"/>
        </w:rPr>
        <w:t>Final Report</w:t>
      </w:r>
      <w:r w:rsidRPr="00421C05">
        <w:rPr>
          <w:rFonts w:ascii="Calibri" w:eastAsiaTheme="minorEastAsia" w:hAnsi="Calibri" w:cs="Calibri"/>
          <w:color w:val="000000"/>
          <w:szCs w:val="15"/>
          <w:shd w:val="clear" w:color="auto" w:fill="FFFFFF"/>
          <w:lang w:eastAsia="zh-CN" w:bidi="th-TH"/>
        </w:rPr>
        <w:t> </w:t>
      </w:r>
      <w:r w:rsidRPr="00421C05">
        <w:rPr>
          <w:rFonts w:eastAsiaTheme="minorEastAsia" w:cstheme="minorBidi"/>
          <w:color w:val="000000"/>
          <w:szCs w:val="15"/>
          <w:shd w:val="clear" w:color="auto" w:fill="FFFFFF"/>
          <w:lang w:eastAsia="zh-CN" w:bidi="th-TH"/>
        </w:rPr>
        <w:t>(July 2019) at 28.</w:t>
      </w:r>
    </w:p>
  </w:footnote>
  <w:footnote w:id="311">
    <w:p w14:paraId="1F9EFDC4"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Issues Paper at [2.12].</w:t>
      </w:r>
    </w:p>
  </w:footnote>
  <w:footnote w:id="312">
    <w:p w14:paraId="317A1A67"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High Court Rules 2016, r 14.2.</w:t>
      </w:r>
    </w:p>
  </w:footnote>
  <w:footnote w:id="313">
    <w:p w14:paraId="5386B70A" w14:textId="43C669F7" w:rsidR="00A55F53" w:rsidRPr="00421C05" w:rsidRDefault="00A55F53" w:rsidP="008A2E53">
      <w:pPr>
        <w:pStyle w:val="FootnoteNumbered"/>
        <w:numPr>
          <w:ilvl w:val="0"/>
          <w:numId w:val="0"/>
        </w:numPr>
        <w:ind w:left="709" w:hanging="454"/>
        <w:rPr>
          <w:szCs w:val="15"/>
        </w:rPr>
      </w:pPr>
      <w:r w:rsidRPr="00421C05">
        <w:rPr>
          <w:rStyle w:val="FootnoteReference"/>
          <w:sz w:val="15"/>
          <w:szCs w:val="15"/>
        </w:rPr>
        <w:footnoteRef/>
      </w:r>
      <w:r w:rsidRPr="00421C05">
        <w:rPr>
          <w:szCs w:val="15"/>
        </w:rPr>
        <w:t xml:space="preserve"> </w:t>
      </w:r>
      <w:r w:rsidRPr="00421C05">
        <w:rPr>
          <w:szCs w:val="15"/>
          <w:lang w:val="mi-NZ"/>
        </w:rPr>
        <w:tab/>
        <w:t xml:space="preserve">Rule 1.3 of the High Court Rules 2016 defines </w:t>
      </w:r>
      <w:r w:rsidRPr="00421C05">
        <w:rPr>
          <w:szCs w:val="15"/>
        </w:rPr>
        <w:t>“party” as “any person who is a plaintiff or a defendant or a person added to a proceeding”. Rule 5.36 provides no solicitor may file a document on behalf of a party unless authorised by or on behalf of the party. See also Lawyers and Conveyancers Act (Lawyers: Conduct and Client Care) Rules 2008, r 13.3.</w:t>
      </w:r>
    </w:p>
  </w:footnote>
  <w:footnote w:id="314">
    <w:p w14:paraId="7228E4CE" w14:textId="50FDB7CD"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lang w:val="mi-NZ"/>
        </w:rPr>
        <w:tab/>
        <w:t xml:space="preserve">In Australia, see </w:t>
      </w:r>
      <w:r w:rsidRPr="00421C05">
        <w:rPr>
          <w:i/>
          <w:szCs w:val="15"/>
          <w:lang w:val="mi-NZ"/>
        </w:rPr>
        <w:t>Wigmans</w:t>
      </w:r>
      <w:r w:rsidRPr="00421C05">
        <w:rPr>
          <w:i/>
          <w:iCs/>
          <w:szCs w:val="15"/>
          <w:lang w:val="mi-NZ"/>
        </w:rPr>
        <w:t xml:space="preserve"> v AMP Ltd</w:t>
      </w:r>
      <w:r w:rsidRPr="00421C05">
        <w:rPr>
          <w:szCs w:val="15"/>
          <w:lang w:val="mi-NZ"/>
        </w:rPr>
        <w:t xml:space="preserve"> [2021] HCA 7, (2021) 388 ALR 272 at [117]; </w:t>
      </w:r>
      <w:r w:rsidRPr="00421C05">
        <w:rPr>
          <w:i/>
          <w:szCs w:val="15"/>
        </w:rPr>
        <w:t>Dy</w:t>
      </w:r>
      <w:r w:rsidRPr="00421C05">
        <w:rPr>
          <w:i/>
          <w:iCs/>
          <w:szCs w:val="15"/>
        </w:rPr>
        <w:t>czynski v Gibson</w:t>
      </w:r>
      <w:r w:rsidRPr="00421C05">
        <w:rPr>
          <w:szCs w:val="15"/>
        </w:rPr>
        <w:t xml:space="preserve"> [2020] FCAFC 120, (2020) 381 ALR 1 at [209] per Murphy and Colvin JJ; and </w:t>
      </w:r>
      <w:r w:rsidRPr="00421C05">
        <w:rPr>
          <w:i/>
          <w:szCs w:val="15"/>
          <w:lang w:val="mi-NZ"/>
        </w:rPr>
        <w:t>To</w:t>
      </w:r>
      <w:r w:rsidRPr="00421C05">
        <w:rPr>
          <w:i/>
          <w:iCs/>
          <w:szCs w:val="15"/>
          <w:lang w:val="mi-NZ"/>
        </w:rPr>
        <w:t xml:space="preserve">mlinson v Ramsey Food Processing Pty Ltd </w:t>
      </w:r>
      <w:r w:rsidRPr="00421C05">
        <w:rPr>
          <w:szCs w:val="15"/>
          <w:lang w:val="mi-NZ"/>
        </w:rPr>
        <w:t xml:space="preserve">[2015] HCA 28, </w:t>
      </w:r>
      <w:r w:rsidRPr="00421C05">
        <w:rPr>
          <w:i/>
          <w:iCs/>
          <w:szCs w:val="15"/>
          <w:lang w:val="mi-NZ"/>
        </w:rPr>
        <w:t>(</w:t>
      </w:r>
      <w:r w:rsidRPr="00421C05">
        <w:rPr>
          <w:szCs w:val="15"/>
          <w:lang w:val="mi-NZ"/>
        </w:rPr>
        <w:t>2015) 256 CLR 507 at</w:t>
      </w:r>
      <w:r w:rsidRPr="00421C05" w:rsidDel="00921012">
        <w:rPr>
          <w:szCs w:val="15"/>
          <w:lang w:val="mi-NZ"/>
        </w:rPr>
        <w:t xml:space="preserve"> </w:t>
      </w:r>
      <w:r w:rsidRPr="00421C05">
        <w:rPr>
          <w:szCs w:val="15"/>
          <w:lang w:val="mi-NZ"/>
        </w:rPr>
        <w:t xml:space="preserve">[40]. Note, however, that </w:t>
      </w:r>
      <w:r w:rsidRPr="00421C05">
        <w:rPr>
          <w:i/>
          <w:iCs/>
          <w:szCs w:val="15"/>
          <w:lang w:val="mi-NZ"/>
        </w:rPr>
        <w:t xml:space="preserve">Wigams </w:t>
      </w:r>
      <w:r w:rsidRPr="00421C05">
        <w:rPr>
          <w:szCs w:val="15"/>
          <w:lang w:val="mi-NZ"/>
        </w:rPr>
        <w:t xml:space="preserve">and </w:t>
      </w:r>
      <w:r w:rsidRPr="00421C05">
        <w:rPr>
          <w:i/>
          <w:iCs/>
          <w:szCs w:val="15"/>
          <w:lang w:val="mi-NZ"/>
        </w:rPr>
        <w:t xml:space="preserve">Dyczyski </w:t>
      </w:r>
      <w:r w:rsidRPr="00421C05">
        <w:rPr>
          <w:szCs w:val="15"/>
          <w:lang w:val="mi-NZ"/>
        </w:rPr>
        <w:t xml:space="preserve">rely on </w:t>
      </w:r>
      <w:r w:rsidRPr="00421C05">
        <w:rPr>
          <w:i/>
          <w:iCs/>
          <w:szCs w:val="15"/>
          <w:lang w:val="mi-NZ"/>
        </w:rPr>
        <w:t xml:space="preserve">Tomlinson </w:t>
      </w:r>
      <w:r w:rsidRPr="00421C05">
        <w:rPr>
          <w:szCs w:val="15"/>
          <w:lang w:val="mi-NZ"/>
        </w:rPr>
        <w:t xml:space="preserve">as authority for the fiduciary nature of the relationship but the analysis in </w:t>
      </w:r>
      <w:r w:rsidRPr="00421C05">
        <w:rPr>
          <w:i/>
          <w:iCs/>
          <w:szCs w:val="15"/>
          <w:lang w:val="mi-NZ"/>
        </w:rPr>
        <w:t xml:space="preserve">Tomlinson </w:t>
      </w:r>
      <w:r w:rsidRPr="00421C05">
        <w:rPr>
          <w:szCs w:val="15"/>
          <w:lang w:val="mi-NZ"/>
        </w:rPr>
        <w:t xml:space="preserve">is obiter and does not definitively say the relationship is fiduciary. See </w:t>
      </w:r>
      <w:r w:rsidRPr="00421C05">
        <w:rPr>
          <w:i/>
          <w:iCs/>
          <w:szCs w:val="15"/>
          <w:lang w:val="mi-NZ"/>
        </w:rPr>
        <w:t>Tomlinson</w:t>
      </w:r>
      <w:r w:rsidRPr="00421C05">
        <w:rPr>
          <w:szCs w:val="15"/>
          <w:lang w:val="mi-NZ"/>
        </w:rPr>
        <w:t xml:space="preserve"> </w:t>
      </w:r>
      <w:r w:rsidRPr="00421C05">
        <w:rPr>
          <w:szCs w:val="15"/>
        </w:rPr>
        <w:t xml:space="preserve">at [40]: </w:t>
      </w:r>
    </w:p>
    <w:p w14:paraId="25DE9B70" w14:textId="77777777" w:rsidR="00A55F53" w:rsidRPr="00421C05" w:rsidRDefault="00A55F53" w:rsidP="00253C06">
      <w:pPr>
        <w:pStyle w:val="FootnoteNumbered"/>
        <w:numPr>
          <w:ilvl w:val="0"/>
          <w:numId w:val="0"/>
        </w:numPr>
        <w:ind w:left="851"/>
        <w:rPr>
          <w:szCs w:val="15"/>
          <w:lang w:val="mi-NZ"/>
        </w:rPr>
      </w:pPr>
      <w:r w:rsidRPr="00421C05">
        <w:rPr>
          <w:szCs w:val="15"/>
        </w:rPr>
        <w:t>To [the] traditional forms of representation can be added representation by a representative party in a modern class action. Each of those forms of representation is typically the subject of fiduciary duties imposed on the representing party or of procedures overseen by the court (of which opt-in or opt-out procedures and approval of settlements in representative or class actions are examples), or of both…</w:t>
      </w:r>
    </w:p>
    <w:p w14:paraId="67FDE10A" w14:textId="7A8834F2" w:rsidR="00A55F53" w:rsidRPr="00421C05" w:rsidRDefault="00A55F53" w:rsidP="00253C06">
      <w:pPr>
        <w:pStyle w:val="FootnoteText"/>
        <w:ind w:firstLine="0"/>
        <w:rPr>
          <w:i/>
          <w:iCs/>
          <w:szCs w:val="15"/>
          <w:lang w:val="mi-NZ"/>
        </w:rPr>
      </w:pPr>
      <w:r w:rsidRPr="00421C05">
        <w:rPr>
          <w:szCs w:val="15"/>
        </w:rPr>
        <w:t xml:space="preserve">The Australian Law Reform Commission has also suggested there is a fiduciary element to the role of the representative plaintiff which requires them to act in the interests of class members: see </w:t>
      </w:r>
      <w:r w:rsidRPr="00421C05">
        <w:rPr>
          <w:szCs w:val="15"/>
          <w:lang w:val="mi-NZ"/>
        </w:rPr>
        <w:t xml:space="preserve">Australian Law Reform Commission </w:t>
      </w:r>
      <w:r w:rsidRPr="00421C05">
        <w:rPr>
          <w:i/>
          <w:szCs w:val="15"/>
          <w:lang w:val="mi-NZ"/>
        </w:rPr>
        <w:t>Grouped Proceedings</w:t>
      </w:r>
      <w:r w:rsidRPr="00421C05">
        <w:rPr>
          <w:i/>
          <w:iCs/>
          <w:szCs w:val="15"/>
          <w:lang w:val="mi-NZ"/>
        </w:rPr>
        <w:t xml:space="preserve"> in the Federal Court</w:t>
      </w:r>
      <w:r w:rsidRPr="00421C05">
        <w:rPr>
          <w:szCs w:val="15"/>
          <w:lang w:val="mi-NZ"/>
        </w:rPr>
        <w:t xml:space="preserve"> (ALRC R46, 1988) at [176]. In the United States, see </w:t>
      </w:r>
      <w:r w:rsidRPr="00421C05">
        <w:rPr>
          <w:szCs w:val="15"/>
        </w:rPr>
        <w:t xml:space="preserve">Joseph M McLaughlin </w:t>
      </w:r>
      <w:r w:rsidRPr="00421C05">
        <w:rPr>
          <w:i/>
          <w:iCs/>
          <w:szCs w:val="15"/>
        </w:rPr>
        <w:t>McLaughlin on Class Actions</w:t>
      </w:r>
      <w:r w:rsidRPr="00421C05">
        <w:rPr>
          <w:szCs w:val="15"/>
        </w:rPr>
        <w:t xml:space="preserve"> (online ed, Thomson Reuters) at </w:t>
      </w:r>
      <w:r w:rsidRPr="00421C05">
        <w:rPr>
          <w:rFonts w:ascii="Calibri" w:hAnsi="Calibri" w:cs="Calibri"/>
          <w:szCs w:val="15"/>
        </w:rPr>
        <w:t xml:space="preserve">§ </w:t>
      </w:r>
      <w:r w:rsidRPr="00421C05">
        <w:rPr>
          <w:szCs w:val="15"/>
        </w:rPr>
        <w:t xml:space="preserve">4:27. In Canada, see </w:t>
      </w:r>
      <w:r w:rsidRPr="00421C05">
        <w:rPr>
          <w:i/>
          <w:szCs w:val="15"/>
        </w:rPr>
        <w:t>Poulin v Ford</w:t>
      </w:r>
      <w:r w:rsidRPr="00421C05">
        <w:rPr>
          <w:i/>
          <w:iCs/>
          <w:szCs w:val="15"/>
        </w:rPr>
        <w:t xml:space="preserve"> Motor Co of Canada Ltd</w:t>
      </w:r>
      <w:r w:rsidRPr="00421C05">
        <w:rPr>
          <w:szCs w:val="15"/>
        </w:rPr>
        <w:t xml:space="preserve"> (2008) 301 DLR (4th) 610 (ONSC) at [62] where the responsibilities of the lead plaintiff to class members were said to be “akin to that of a fiduciary”. </w:t>
      </w:r>
    </w:p>
  </w:footnote>
  <w:footnote w:id="315">
    <w:p w14:paraId="11AF362B"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The traditional categories of fiduciary relationship are not closed: see Andrew S Butler (ed) </w:t>
      </w:r>
      <w:r w:rsidRPr="00421C05">
        <w:rPr>
          <w:i/>
          <w:iCs/>
          <w:szCs w:val="15"/>
        </w:rPr>
        <w:t>Equity and Trusts in New Zealand</w:t>
      </w:r>
      <w:r w:rsidRPr="00421C05">
        <w:rPr>
          <w:szCs w:val="15"/>
        </w:rPr>
        <w:t xml:space="preserve"> (online ed, Thomson Reuters) </w:t>
      </w:r>
      <w:r w:rsidRPr="00421C05">
        <w:rPr>
          <w:szCs w:val="15"/>
          <w:lang w:val="mi-NZ"/>
        </w:rPr>
        <w:t xml:space="preserve">at [26.17.2.7]. </w:t>
      </w:r>
    </w:p>
  </w:footnote>
  <w:footnote w:id="316">
    <w:p w14:paraId="09BDDAED" w14:textId="1B70EA53"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szCs w:val="15"/>
          <w:lang w:val="mi-NZ" w:eastAsia="en-AU"/>
        </w:rPr>
        <w:t>No set criteria or principle has been established. Indeed, the Supreme Court has noted that</w:t>
      </w:r>
      <w:r w:rsidRPr="00421C05">
        <w:rPr>
          <w:i/>
          <w:iCs/>
          <w:szCs w:val="15"/>
          <w:lang w:val="mi-NZ" w:eastAsia="en-AU"/>
        </w:rPr>
        <w:t xml:space="preserve"> </w:t>
      </w:r>
      <w:r w:rsidRPr="00421C05">
        <w:rPr>
          <w:szCs w:val="15"/>
          <w:lang w:val="mi-NZ" w:eastAsia="en-AU"/>
        </w:rPr>
        <w:t xml:space="preserve">“[n]o single formula or test has recieved universal acceptance in deciding whether a relationship outside the recognised categories is such that the parties owe each other obligations of a fiduciary kind”: </w:t>
      </w:r>
      <w:r w:rsidRPr="00421C05">
        <w:rPr>
          <w:i/>
          <w:iCs/>
          <w:szCs w:val="15"/>
          <w:lang w:val="mi-NZ" w:eastAsia="en-AU"/>
        </w:rPr>
        <w:t xml:space="preserve">Chirnside v Fay </w:t>
      </w:r>
      <w:r w:rsidRPr="00421C05">
        <w:rPr>
          <w:szCs w:val="15"/>
          <w:lang w:val="mi-NZ" w:eastAsia="en-AU"/>
        </w:rPr>
        <w:t>[2006] NZSC 68, [2007] 1 NZLR 433 at [75].</w:t>
      </w:r>
    </w:p>
  </w:footnote>
  <w:footnote w:id="317">
    <w:p w14:paraId="59B43391" w14:textId="60BE9AEF" w:rsidR="00A55F53" w:rsidRPr="00421C05" w:rsidRDefault="00A55F53" w:rsidP="0003307B">
      <w:pPr>
        <w:pStyle w:val="FootnoteText"/>
        <w:rPr>
          <w:szCs w:val="15"/>
        </w:rPr>
      </w:pPr>
      <w:r w:rsidRPr="00421C05">
        <w:rPr>
          <w:rStyle w:val="FootnoteReference"/>
          <w:sz w:val="15"/>
          <w:szCs w:val="15"/>
        </w:rPr>
        <w:footnoteRef/>
      </w:r>
      <w:r w:rsidRPr="00421C05">
        <w:rPr>
          <w:szCs w:val="15"/>
        </w:rPr>
        <w:t xml:space="preserve"> </w:t>
      </w:r>
      <w:r w:rsidRPr="00421C05">
        <w:rPr>
          <w:szCs w:val="15"/>
          <w:lang w:val="mi-NZ"/>
        </w:rPr>
        <w:tab/>
        <w:t xml:space="preserve">Although this was an issue raised in the defendant’s submissions in </w:t>
      </w:r>
      <w:r w:rsidRPr="00421C05">
        <w:rPr>
          <w:i/>
          <w:iCs/>
          <w:szCs w:val="15"/>
          <w:lang w:val="mi-NZ"/>
        </w:rPr>
        <w:t xml:space="preserve">Ross v Southern Response Earthquake Services Ltd </w:t>
      </w:r>
      <w:r w:rsidRPr="00421C05">
        <w:rPr>
          <w:szCs w:val="15"/>
          <w:lang w:val="mi-NZ"/>
        </w:rPr>
        <w:t>[2021] NZHC 2451 (reasons judgment) at [56]. The Court did not comment on whether the representative plaintiff owed fiduciary duties to the</w:t>
      </w:r>
      <w:r w:rsidR="00D076FE">
        <w:rPr>
          <w:szCs w:val="15"/>
          <w:lang w:val="mi-NZ"/>
        </w:rPr>
        <w:t xml:space="preserve"> group</w:t>
      </w:r>
      <w:r w:rsidRPr="00421C05">
        <w:rPr>
          <w:szCs w:val="15"/>
          <w:lang w:val="mi-NZ"/>
        </w:rPr>
        <w:t xml:space="preserve">. </w:t>
      </w:r>
    </w:p>
  </w:footnote>
  <w:footnote w:id="318">
    <w:p w14:paraId="712B2C72" w14:textId="77777777" w:rsidR="00A55F53" w:rsidRPr="00421C05" w:rsidRDefault="00A55F53" w:rsidP="00253C06">
      <w:pPr>
        <w:pStyle w:val="FootnoteText"/>
        <w:rPr>
          <w:color w:val="FF0000"/>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lang w:val="mi-NZ"/>
        </w:rPr>
        <w:t>Tomlinson v Ramsey</w:t>
      </w:r>
      <w:r w:rsidRPr="00421C05">
        <w:rPr>
          <w:i/>
          <w:iCs/>
          <w:szCs w:val="15"/>
          <w:lang w:val="mi-NZ"/>
        </w:rPr>
        <w:t xml:space="preserve"> Food Processing Pty Ltd </w:t>
      </w:r>
      <w:r w:rsidRPr="00421C05">
        <w:rPr>
          <w:szCs w:val="15"/>
          <w:lang w:val="mi-NZ"/>
        </w:rPr>
        <w:t xml:space="preserve">[2015] HCA 28, </w:t>
      </w:r>
      <w:r w:rsidRPr="00421C05">
        <w:rPr>
          <w:i/>
          <w:iCs/>
          <w:szCs w:val="15"/>
          <w:lang w:val="mi-NZ"/>
        </w:rPr>
        <w:t>(</w:t>
      </w:r>
      <w:r w:rsidRPr="00421C05">
        <w:rPr>
          <w:szCs w:val="15"/>
          <w:lang w:val="mi-NZ"/>
        </w:rPr>
        <w:t>2015) 256 CLR 507 at</w:t>
      </w:r>
      <w:r w:rsidRPr="00421C05" w:rsidDel="00FD798F">
        <w:rPr>
          <w:szCs w:val="15"/>
          <w:lang w:val="mi-NZ"/>
        </w:rPr>
        <w:t xml:space="preserve"> </w:t>
      </w:r>
      <w:r w:rsidRPr="00421C05">
        <w:rPr>
          <w:szCs w:val="15"/>
          <w:lang w:val="mi-NZ"/>
        </w:rPr>
        <w:t xml:space="preserve">[40]. </w:t>
      </w:r>
    </w:p>
  </w:footnote>
  <w:footnote w:id="319">
    <w:p w14:paraId="20550B66" w14:textId="64FF78AF"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Andrew S Butler (ed) </w:t>
      </w:r>
      <w:r w:rsidRPr="00421C05">
        <w:rPr>
          <w:i/>
          <w:iCs/>
          <w:szCs w:val="15"/>
          <w:lang w:val="mi-NZ"/>
        </w:rPr>
        <w:t>Equity and Trusts in New Zealand</w:t>
      </w:r>
      <w:r w:rsidRPr="00421C05">
        <w:rPr>
          <w:szCs w:val="15"/>
          <w:lang w:val="mi-NZ"/>
        </w:rPr>
        <w:t xml:space="preserve"> (online ed, Thomson Reuters) at [26.17.3]. In Aotearoa New Zealand, there are indications that fiduciary duties will be found in respect of the care of children (between guardian and child) but the scope of those duties is uncertain: see Andrew S Butler (ed) </w:t>
      </w:r>
      <w:r w:rsidRPr="00421C05">
        <w:rPr>
          <w:i/>
          <w:iCs/>
          <w:szCs w:val="15"/>
          <w:lang w:val="mi-NZ"/>
        </w:rPr>
        <w:t>Equity and Trusts in New Zealand</w:t>
      </w:r>
      <w:r w:rsidRPr="00421C05">
        <w:rPr>
          <w:szCs w:val="15"/>
          <w:lang w:val="mi-NZ"/>
        </w:rPr>
        <w:t xml:space="preserve"> (online ed, Thomson Reuters) at [26.17.3.13]. A litigation guardian “attracts a duty to act in the litigant’s best interests, and independently. These duties are fiduciary, or analogous to fiduciary ones”: </w:t>
      </w:r>
      <w:r w:rsidRPr="00421C05">
        <w:rPr>
          <w:i/>
          <w:szCs w:val="15"/>
          <w:lang w:val="mi-NZ"/>
        </w:rPr>
        <w:t>Erwo</w:t>
      </w:r>
      <w:r w:rsidRPr="00421C05">
        <w:rPr>
          <w:i/>
          <w:iCs/>
          <w:szCs w:val="15"/>
          <w:lang w:val="mi-NZ"/>
        </w:rPr>
        <w:t>od v Holmes</w:t>
      </w:r>
      <w:r w:rsidRPr="00421C05">
        <w:rPr>
          <w:szCs w:val="15"/>
          <w:lang w:val="mi-NZ"/>
        </w:rPr>
        <w:t xml:space="preserve"> [2019] NZHC 2049 at [56].</w:t>
      </w:r>
    </w:p>
  </w:footnote>
  <w:footnote w:id="320">
    <w:p w14:paraId="79A316CD" w14:textId="231E3938"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The Court of Appeal has said, “[i]t is not enough to say that parties are in a relationship which gives rise to fiduciary obligations; it is necessary to identify those obligations”: </w:t>
      </w:r>
      <w:r w:rsidRPr="00421C05">
        <w:rPr>
          <w:i/>
          <w:szCs w:val="15"/>
          <w:lang w:val="mi-NZ"/>
        </w:rPr>
        <w:t>McLa</w:t>
      </w:r>
      <w:r w:rsidRPr="00421C05">
        <w:rPr>
          <w:i/>
          <w:iCs/>
          <w:szCs w:val="15"/>
          <w:lang w:val="mi-NZ"/>
        </w:rPr>
        <w:t>chlan v Mercury Geotherm Ltd (in receivership)</w:t>
      </w:r>
      <w:r w:rsidRPr="00421C05">
        <w:rPr>
          <w:szCs w:val="15"/>
          <w:lang w:val="mi-NZ"/>
        </w:rPr>
        <w:t xml:space="preserve"> CA142/02, 28 August 2003 at [49] approved in </w:t>
      </w:r>
      <w:r w:rsidRPr="00421C05">
        <w:rPr>
          <w:i/>
          <w:szCs w:val="15"/>
          <w:lang w:val="mi-NZ"/>
        </w:rPr>
        <w:t>McLachlan</w:t>
      </w:r>
      <w:r w:rsidRPr="00421C05">
        <w:rPr>
          <w:i/>
          <w:iCs/>
          <w:szCs w:val="15"/>
          <w:lang w:val="mi-NZ"/>
        </w:rPr>
        <w:t xml:space="preserve"> v Mercury Geotherm Ltd (in receivership</w:t>
      </w:r>
      <w:r w:rsidRPr="00421C05">
        <w:rPr>
          <w:szCs w:val="15"/>
          <w:lang w:val="mi-NZ"/>
        </w:rPr>
        <w:t>) [2006] UKPC 27 at [25]–[26].</w:t>
      </w:r>
    </w:p>
  </w:footnote>
  <w:footnote w:id="321">
    <w:p w14:paraId="00AEB302"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Andrew S Butler (ed) </w:t>
      </w:r>
      <w:r w:rsidRPr="00421C05">
        <w:rPr>
          <w:i/>
          <w:iCs/>
          <w:szCs w:val="15"/>
          <w:lang w:val="mi-NZ"/>
        </w:rPr>
        <w:t>Equity and Trusts in New Zealand</w:t>
      </w:r>
      <w:r w:rsidRPr="00421C05">
        <w:rPr>
          <w:szCs w:val="15"/>
          <w:lang w:val="mi-NZ"/>
        </w:rPr>
        <w:t xml:space="preserve"> (online ed, Thompson Reuters) at [26.17.2.2(1)].</w:t>
      </w:r>
    </w:p>
  </w:footnote>
  <w:footnote w:id="322">
    <w:p w14:paraId="49160302"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discuss this in more detail in Chapter 1.</w:t>
      </w:r>
    </w:p>
  </w:footnote>
  <w:footnote w:id="323">
    <w:p w14:paraId="3EA099F8" w14:textId="2A413F8F"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Issues Paper at [11.4]–[11.12].</w:t>
      </w:r>
    </w:p>
  </w:footnote>
  <w:footnote w:id="324">
    <w:p w14:paraId="3FD67A4A" w14:textId="5CB4E8C2"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lang w:val="mi-NZ"/>
        </w:rPr>
        <w:t xml:space="preserve"> </w:t>
      </w:r>
      <w:r w:rsidRPr="00421C05">
        <w:rPr>
          <w:szCs w:val="15"/>
          <w:lang w:val="mi-NZ"/>
        </w:rPr>
        <w:tab/>
      </w:r>
      <w:r w:rsidRPr="00421C05">
        <w:rPr>
          <w:i/>
          <w:color w:val="auto"/>
          <w:szCs w:val="15"/>
          <w:lang w:val="mi-NZ"/>
        </w:rPr>
        <w:t>Singh</w:t>
      </w:r>
      <w:r w:rsidRPr="00421C05">
        <w:rPr>
          <w:i/>
          <w:iCs/>
          <w:color w:val="auto"/>
          <w:szCs w:val="15"/>
          <w:lang w:val="mi-NZ"/>
        </w:rPr>
        <w:t xml:space="preserve"> v Glaxosmithkline Inc </w:t>
      </w:r>
      <w:r w:rsidRPr="00421C05">
        <w:rPr>
          <w:color w:val="auto"/>
          <w:szCs w:val="15"/>
          <w:lang w:val="mi-NZ"/>
        </w:rPr>
        <w:t xml:space="preserve">[2021] ABQC 316 at [7]. See also </w:t>
      </w:r>
      <w:r w:rsidRPr="00421C05">
        <w:rPr>
          <w:i/>
          <w:color w:val="auto"/>
          <w:szCs w:val="15"/>
          <w:lang w:val="mi-NZ"/>
        </w:rPr>
        <w:t>Fantl</w:t>
      </w:r>
      <w:r w:rsidRPr="00421C05">
        <w:rPr>
          <w:i/>
          <w:iCs/>
          <w:color w:val="auto"/>
          <w:szCs w:val="15"/>
          <w:lang w:val="mi-NZ"/>
        </w:rPr>
        <w:t xml:space="preserve"> v Transamerica Life Canada </w:t>
      </w:r>
      <w:r w:rsidRPr="00421C05">
        <w:rPr>
          <w:color w:val="auto"/>
          <w:szCs w:val="15"/>
          <w:lang w:val="mi-NZ"/>
        </w:rPr>
        <w:t xml:space="preserve">2009 ONCA 377 at [47]. The Court will consider whether the plaintiff has chosen competent counsel, whether any improper considerations underlined the plaintiff’s choice and whether there was any prejudice to the class as a result: </w:t>
      </w:r>
      <w:r w:rsidRPr="00421C05">
        <w:rPr>
          <w:szCs w:val="15"/>
          <w:lang w:val="mi-NZ"/>
        </w:rPr>
        <w:t xml:space="preserve">see </w:t>
      </w:r>
      <w:r w:rsidRPr="00421C05">
        <w:rPr>
          <w:i/>
          <w:iCs/>
          <w:szCs w:val="15"/>
          <w:lang w:val="mi-NZ"/>
        </w:rPr>
        <w:t xml:space="preserve">Singh </w:t>
      </w:r>
      <w:r w:rsidRPr="00421C05">
        <w:rPr>
          <w:szCs w:val="15"/>
          <w:lang w:val="mi-NZ"/>
        </w:rPr>
        <w:t>at [26].</w:t>
      </w:r>
    </w:p>
  </w:footnote>
  <w:footnote w:id="325">
    <w:p w14:paraId="7DA2087F" w14:textId="7C618D57" w:rsidR="00A55F53" w:rsidRPr="00421C05" w:rsidRDefault="00A55F53" w:rsidP="008D03A3">
      <w:pPr>
        <w:pStyle w:val="FootnoteText"/>
        <w:rPr>
          <w:szCs w:val="15"/>
        </w:rPr>
      </w:pPr>
      <w:r w:rsidRPr="00421C05">
        <w:rPr>
          <w:rStyle w:val="FootnoteReference"/>
          <w:sz w:val="15"/>
          <w:szCs w:val="15"/>
        </w:rPr>
        <w:footnoteRef/>
      </w:r>
      <w:r w:rsidRPr="00421C05">
        <w:rPr>
          <w:szCs w:val="15"/>
        </w:rPr>
        <w:t xml:space="preserve"> </w:t>
      </w:r>
      <w:r w:rsidRPr="00421C05">
        <w:rPr>
          <w:szCs w:val="15"/>
        </w:rPr>
        <w:tab/>
        <w:t>Vince Morabito has suggested that adequate representation by a representative plaintiff includes instructing a lawyer: Vince Morabito “Replacing Inadequate Class Representatives in Federal Class Actions” (2015) 38 UNSWLJ 146 at 165</w:t>
      </w:r>
      <w:r w:rsidRPr="00421C05" w:rsidDel="00D66822">
        <w:rPr>
          <w:szCs w:val="15"/>
        </w:rPr>
        <w:t>.</w:t>
      </w:r>
    </w:p>
  </w:footnote>
  <w:footnote w:id="326">
    <w:p w14:paraId="0A52211B" w14:textId="77777777" w:rsidR="00A55F53" w:rsidRPr="00421C05" w:rsidRDefault="00A55F53" w:rsidP="00540C21">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Andrew Beck and others </w:t>
      </w:r>
      <w:r w:rsidRPr="00421C05">
        <w:rPr>
          <w:i/>
          <w:iCs/>
          <w:szCs w:val="15"/>
        </w:rPr>
        <w:t>McGechan on Procedure</w:t>
      </w:r>
      <w:r w:rsidRPr="00421C05">
        <w:rPr>
          <w:szCs w:val="15"/>
        </w:rPr>
        <w:t xml:space="preserve"> (online ed, Thomson Reuters) at 14.09. A costs order against a non-party will only be made in exceptional circumstances.</w:t>
      </w:r>
    </w:p>
  </w:footnote>
  <w:footnote w:id="327">
    <w:p w14:paraId="45148874" w14:textId="15E7D364" w:rsidR="00A55F53" w:rsidRPr="00421C05" w:rsidRDefault="00A55F53" w:rsidP="00540C21">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Supreme Court in </w:t>
      </w:r>
      <w:r w:rsidRPr="00421C05">
        <w:rPr>
          <w:i/>
          <w:szCs w:val="15"/>
        </w:rPr>
        <w:t>Southern</w:t>
      </w:r>
      <w:r w:rsidRPr="00421C05">
        <w:rPr>
          <w:i/>
          <w:iCs/>
          <w:szCs w:val="15"/>
        </w:rPr>
        <w:t xml:space="preserve"> Response Earthquake Services Ltd v Ross</w:t>
      </w:r>
      <w:r w:rsidRPr="00421C05">
        <w:rPr>
          <w:szCs w:val="15"/>
        </w:rPr>
        <w:t xml:space="preserve"> [2020] NZSC 126 said “[i]t is also clear that the representative plaintiff can settle on behalf of the class”: at [82]. We discuss court approval of a class action settlement further in Chapter 6. </w:t>
      </w:r>
    </w:p>
  </w:footnote>
  <w:footnote w:id="328">
    <w:p w14:paraId="4C2CF030" w14:textId="09CFCABD"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for example</w:t>
      </w:r>
      <w:bookmarkStart w:id="64" w:name="_Hlk80784201"/>
      <w:r w:rsidRPr="00421C05">
        <w:rPr>
          <w:szCs w:val="15"/>
        </w:rPr>
        <w:t xml:space="preserve"> </w:t>
      </w:r>
      <w:r w:rsidRPr="00421C05">
        <w:rPr>
          <w:i/>
          <w:szCs w:val="15"/>
        </w:rPr>
        <w:t>Strathboss Kiwifruit v Attorney</w:t>
      </w:r>
      <w:r w:rsidRPr="00421C05">
        <w:rPr>
          <w:i/>
          <w:iCs/>
          <w:szCs w:val="15"/>
        </w:rPr>
        <w:t xml:space="preserve">-General </w:t>
      </w:r>
      <w:r w:rsidRPr="00421C05">
        <w:rPr>
          <w:szCs w:val="15"/>
        </w:rPr>
        <w:t xml:space="preserve">[2019] NZHC 62 </w:t>
      </w:r>
      <w:bookmarkEnd w:id="64"/>
      <w:r w:rsidRPr="00421C05">
        <w:rPr>
          <w:szCs w:val="15"/>
        </w:rPr>
        <w:t xml:space="preserve">at [55]–[57]; </w:t>
      </w:r>
      <w:r w:rsidRPr="00421C05">
        <w:rPr>
          <w:i/>
          <w:szCs w:val="15"/>
        </w:rPr>
        <w:t>Houghton v Saunders</w:t>
      </w:r>
      <w:r w:rsidRPr="00421C05">
        <w:rPr>
          <w:i/>
          <w:iCs/>
          <w:szCs w:val="15"/>
        </w:rPr>
        <w:t xml:space="preserve"> </w:t>
      </w:r>
      <w:r w:rsidRPr="00421C05">
        <w:rPr>
          <w:szCs w:val="15"/>
        </w:rPr>
        <w:t xml:space="preserve">[2015] NZCA 141 at [21]; and </w:t>
      </w:r>
      <w:r w:rsidRPr="00421C05">
        <w:rPr>
          <w:i/>
          <w:szCs w:val="15"/>
        </w:rPr>
        <w:t>Scott v ANZ</w:t>
      </w:r>
      <w:r w:rsidRPr="00421C05">
        <w:rPr>
          <w:i/>
          <w:iCs/>
          <w:szCs w:val="15"/>
        </w:rPr>
        <w:t xml:space="preserve"> Bank New Zealand Ltd</w:t>
      </w:r>
      <w:r w:rsidRPr="00421C05">
        <w:rPr>
          <w:szCs w:val="15"/>
        </w:rPr>
        <w:t xml:space="preserve"> [2020] NZHC 906, [2020] 3 NZLR 145 at [32].</w:t>
      </w:r>
    </w:p>
  </w:footnote>
  <w:footnote w:id="329">
    <w:p w14:paraId="73074B9C" w14:textId="71907B2D"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for example </w:t>
      </w:r>
      <w:r w:rsidRPr="00421C05">
        <w:rPr>
          <w:i/>
          <w:szCs w:val="15"/>
        </w:rPr>
        <w:t>Strathboss</w:t>
      </w:r>
      <w:r w:rsidRPr="00421C05">
        <w:rPr>
          <w:i/>
          <w:iCs/>
          <w:szCs w:val="15"/>
        </w:rPr>
        <w:t xml:space="preserve"> Kiwifruit v Attorney-General </w:t>
      </w:r>
      <w:r w:rsidRPr="00421C05">
        <w:rPr>
          <w:szCs w:val="15"/>
        </w:rPr>
        <w:t xml:space="preserve">[2019] NZHC 62 </w:t>
      </w:r>
      <w:r w:rsidRPr="00421C05">
        <w:rPr>
          <w:szCs w:val="15"/>
          <w:lang w:val="mi-NZ"/>
        </w:rPr>
        <w:t>at [56] where a</w:t>
      </w:r>
      <w:r w:rsidRPr="00421C05">
        <w:rPr>
          <w:i/>
          <w:iCs/>
          <w:szCs w:val="15"/>
        </w:rPr>
        <w:t xml:space="preserve"> </w:t>
      </w:r>
      <w:r w:rsidRPr="00421C05">
        <w:rPr>
          <w:szCs w:val="15"/>
        </w:rPr>
        <w:t xml:space="preserve">litigation committee represented Strathboss, Seeka and over 200 represented claimants, and the committee attended the hearing to monitor the evidence and to contribute to the instructions to counsel. </w:t>
      </w:r>
    </w:p>
  </w:footnote>
  <w:footnote w:id="330">
    <w:p w14:paraId="486DD211" w14:textId="1D86D810" w:rsidR="00A55F53" w:rsidRPr="00421C05" w:rsidRDefault="00A55F53">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for example the Law Council of Australia and Federal Court of Australia </w:t>
      </w:r>
      <w:r w:rsidRPr="00421C05">
        <w:rPr>
          <w:i/>
          <w:iCs/>
          <w:szCs w:val="15"/>
          <w:lang w:val="mi-NZ"/>
        </w:rPr>
        <w:t>Case Management Handbook</w:t>
      </w:r>
      <w:r w:rsidRPr="00421C05">
        <w:rPr>
          <w:szCs w:val="15"/>
          <w:lang w:val="mi-NZ"/>
        </w:rPr>
        <w:t xml:space="preserve"> (2014) at [13.22] which provides guidance for practitioners when advising a person on whether to be a representative plaintiff.</w:t>
      </w:r>
    </w:p>
  </w:footnote>
  <w:footnote w:id="331">
    <w:p w14:paraId="79EC8845" w14:textId="5572D1DE"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note the High Court has said the relationship between unrepresented group members and the representative plaintiff’s lawyer in a representative action is not a solicitor-client relationship: </w:t>
      </w:r>
      <w:r w:rsidRPr="00421C05">
        <w:rPr>
          <w:i/>
          <w:szCs w:val="15"/>
        </w:rPr>
        <w:t>Ross v Southern</w:t>
      </w:r>
      <w:r w:rsidRPr="00421C05">
        <w:rPr>
          <w:i/>
          <w:iCs/>
          <w:szCs w:val="15"/>
        </w:rPr>
        <w:t xml:space="preserve"> Response Ltd </w:t>
      </w:r>
      <w:r w:rsidRPr="00421C05">
        <w:rPr>
          <w:szCs w:val="15"/>
        </w:rPr>
        <w:t>[2021] NZHC 2451 (reasons judgment) at [159].</w:t>
      </w:r>
    </w:p>
  </w:footnote>
  <w:footnote w:id="332">
    <w:p w14:paraId="4B6F8AFA" w14:textId="0345A320" w:rsidR="00A55F53" w:rsidRPr="00421C05" w:rsidRDefault="00A55F53" w:rsidP="003360B5">
      <w:pPr>
        <w:pStyle w:val="FootnoteText"/>
        <w:rPr>
          <w:color w:val="FF0000"/>
          <w:szCs w:val="15"/>
        </w:rPr>
      </w:pPr>
      <w:r w:rsidRPr="00421C05">
        <w:rPr>
          <w:rStyle w:val="FootnoteReference"/>
          <w:sz w:val="15"/>
          <w:szCs w:val="15"/>
        </w:rPr>
        <w:footnoteRef/>
      </w:r>
      <w:r w:rsidRPr="00421C05">
        <w:rPr>
          <w:szCs w:val="15"/>
        </w:rPr>
        <w:t xml:space="preserve"> </w:t>
      </w:r>
      <w:r w:rsidRPr="00421C05">
        <w:rPr>
          <w:szCs w:val="15"/>
        </w:rPr>
        <w:tab/>
        <w:t xml:space="preserve">It may also be possible to have an implied retainer with class members as a retainer can be express or implied and does not have to be in writing: see Lawyers and Conveyancers Act (Lawyers: Conduct and Client Care) Rules 2008, r 1.2. However, a retainer is not easily implied: see </w:t>
      </w:r>
      <w:r w:rsidRPr="00421C05">
        <w:rPr>
          <w:i/>
          <w:iCs/>
          <w:szCs w:val="15"/>
        </w:rPr>
        <w:t xml:space="preserve">Lam v Mo </w:t>
      </w:r>
      <w:r w:rsidRPr="00421C05">
        <w:rPr>
          <w:szCs w:val="15"/>
        </w:rPr>
        <w:t>[2017] NZHC 997 at [195].</w:t>
      </w:r>
    </w:p>
  </w:footnote>
  <w:footnote w:id="333">
    <w:p w14:paraId="1133743C" w14:textId="56B747E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w:t>
      </w:r>
      <w:r w:rsidRPr="00421C05">
        <w:rPr>
          <w:i/>
          <w:iCs/>
          <w:szCs w:val="15"/>
        </w:rPr>
        <w:t xml:space="preserve"> Response Earthquake Services Ltd </w:t>
      </w:r>
      <w:r w:rsidRPr="00421C05">
        <w:rPr>
          <w:szCs w:val="15"/>
        </w:rPr>
        <w:t>[2021] NZHC 2451 (reasons judgment) at [159].</w:t>
      </w:r>
    </w:p>
  </w:footnote>
  <w:footnote w:id="334">
    <w:p w14:paraId="7DFEEC59" w14:textId="19CEF423"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w:t>
      </w:r>
      <w:r w:rsidRPr="00421C05">
        <w:rPr>
          <w:i/>
          <w:iCs/>
          <w:szCs w:val="15"/>
        </w:rPr>
        <w:t xml:space="preserve"> Response Earthquake Services Ltd </w:t>
      </w:r>
      <w:r w:rsidRPr="00421C05">
        <w:rPr>
          <w:szCs w:val="15"/>
        </w:rPr>
        <w:t>[2021] NZHC 2451 (reasons judgment) at [153].</w:t>
      </w:r>
    </w:p>
  </w:footnote>
  <w:footnote w:id="335">
    <w:p w14:paraId="37BE0845" w14:textId="087F9006"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w:t>
      </w:r>
      <w:r w:rsidRPr="00421C05">
        <w:rPr>
          <w:i/>
          <w:iCs/>
          <w:szCs w:val="15"/>
        </w:rPr>
        <w:t xml:space="preserve"> Response Earthquake Services Ltd </w:t>
      </w:r>
      <w:r w:rsidRPr="00421C05">
        <w:rPr>
          <w:szCs w:val="15"/>
        </w:rPr>
        <w:t>[2021] NZHC 2451 (reasons judgment) at [159].</w:t>
      </w:r>
    </w:p>
  </w:footnote>
  <w:footnote w:id="336">
    <w:p w14:paraId="10501550"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Kelly v Willmott Forests Ltd</w:t>
      </w:r>
      <w:r w:rsidRPr="00421C05">
        <w:rPr>
          <w:i/>
          <w:iCs/>
          <w:szCs w:val="15"/>
        </w:rPr>
        <w:t xml:space="preserve"> (in liq) (No 4</w:t>
      </w:r>
      <w:r w:rsidRPr="00421C05">
        <w:rPr>
          <w:szCs w:val="15"/>
        </w:rPr>
        <w:t>) [2016] FCA 323, (2016) 335 ALR 439 at [220].</w:t>
      </w:r>
    </w:p>
  </w:footnote>
  <w:footnote w:id="337">
    <w:p w14:paraId="6B4E5429"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lang w:val="mi-NZ"/>
        </w:rPr>
        <w:t xml:space="preserve"> </w:t>
      </w:r>
      <w:r w:rsidRPr="00421C05">
        <w:rPr>
          <w:szCs w:val="15"/>
          <w:lang w:val="mi-NZ"/>
        </w:rPr>
        <w:tab/>
      </w:r>
      <w:r w:rsidRPr="00421C05">
        <w:rPr>
          <w:i/>
          <w:szCs w:val="15"/>
          <w:lang w:val="mi-NZ"/>
        </w:rPr>
        <w:t>Dyczynski v Gibson</w:t>
      </w:r>
      <w:r w:rsidRPr="00421C05">
        <w:rPr>
          <w:szCs w:val="15"/>
          <w:lang w:val="mi-NZ"/>
        </w:rPr>
        <w:t xml:space="preserve"> [2020] FCAFC 120, (2020) 381 ALR 1 at [210].</w:t>
      </w:r>
    </w:p>
  </w:footnote>
  <w:footnote w:id="338">
    <w:p w14:paraId="36FF8847"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lang w:val="mi-NZ"/>
        </w:rPr>
        <w:t xml:space="preserve"> </w:t>
      </w:r>
      <w:r w:rsidRPr="00421C05">
        <w:rPr>
          <w:szCs w:val="15"/>
          <w:lang w:val="mi-NZ"/>
        </w:rPr>
        <w:tab/>
      </w:r>
      <w:r w:rsidRPr="00421C05">
        <w:rPr>
          <w:i/>
          <w:szCs w:val="15"/>
          <w:lang w:val="mi-NZ"/>
        </w:rPr>
        <w:t>Dyczynski v Gibson</w:t>
      </w:r>
      <w:r w:rsidRPr="00421C05">
        <w:rPr>
          <w:szCs w:val="15"/>
          <w:lang w:val="mi-NZ"/>
        </w:rPr>
        <w:t xml:space="preserve"> [2020] FCAFC 120, (2020) 381 ALR 1 at [209].</w:t>
      </w:r>
    </w:p>
  </w:footnote>
  <w:footnote w:id="339">
    <w:p w14:paraId="041BEE7A"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Simone Degeling and Michael Legg “Fiduciary Obligations of Lawyers in Australian Class Actions: Conflicts between Duties” (2014) 37 UNSWLJ 914 at 923 and 926–928.</w:t>
      </w:r>
    </w:p>
  </w:footnote>
  <w:footnote w:id="340">
    <w:p w14:paraId="3E987A43" w14:textId="492298D5"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For example pre-trial procedure, discovery, drafting an application and statement of claim, deciding on trial strategy, examining and cross-examining witnesses: see </w:t>
      </w:r>
      <w:r w:rsidRPr="00421C05">
        <w:rPr>
          <w:szCs w:val="15"/>
        </w:rPr>
        <w:t>Simone Degeling and Michael Legg “Fiduciary Obligations of Lawyers in Australian Class Actions: Conflicts between Duties” (2014) 37 UNSWLJ 914 at 924.</w:t>
      </w:r>
    </w:p>
  </w:footnote>
  <w:footnote w:id="341">
    <w:p w14:paraId="7A97422A"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Simone Degeling and Michael Legg “Fiduciary Obligations of Lawyers in Australian Class Actions: Conflicts between Duties” (2014) 37 UNSWLJ 914 at 924-925.</w:t>
      </w:r>
    </w:p>
  </w:footnote>
  <w:footnote w:id="342">
    <w:p w14:paraId="17D23FB2" w14:textId="4699ED29"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Phil Finney McDonald Submission (Submission 15) to the Victorian Law Reform Commission, as cited in </w:t>
      </w:r>
      <w:bookmarkStart w:id="66" w:name="_Hlk82684139"/>
      <w:r w:rsidRPr="00421C05">
        <w:rPr>
          <w:szCs w:val="15"/>
        </w:rPr>
        <w:t xml:space="preserve">Victorian Law Reform Commission </w:t>
      </w:r>
      <w:r w:rsidRPr="00421C05">
        <w:rPr>
          <w:i/>
          <w:iCs/>
          <w:szCs w:val="15"/>
        </w:rPr>
        <w:t>Access to Justice—Litigation Funding and Group Proceedings: Report</w:t>
      </w:r>
      <w:r w:rsidRPr="00421C05">
        <w:rPr>
          <w:szCs w:val="15"/>
        </w:rPr>
        <w:t xml:space="preserve"> (March 2018) at</w:t>
      </w:r>
      <w:bookmarkEnd w:id="66"/>
      <w:r w:rsidRPr="00421C05">
        <w:rPr>
          <w:szCs w:val="15"/>
        </w:rPr>
        <w:t xml:space="preserve"> [4.127]. Contrast Simone Degeling and Michael Legg “Fiduciary Obligations of Lawyers in Australian Class Actions: Conflicts between Duties” (2014) 37 UNSWLJ 914 at 923 and 926–928.</w:t>
      </w:r>
    </w:p>
  </w:footnote>
  <w:footnote w:id="343">
    <w:p w14:paraId="77E23BA5" w14:textId="61951B08" w:rsidR="00A55F53" w:rsidRPr="00421C05" w:rsidRDefault="00A55F53" w:rsidP="00253C06">
      <w:pPr>
        <w:pStyle w:val="FootnoteText"/>
        <w:rPr>
          <w:color w:val="FF0000"/>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Victorian Law Reform Commission </w:t>
      </w:r>
      <w:r w:rsidRPr="00421C05">
        <w:rPr>
          <w:i/>
          <w:iCs/>
          <w:szCs w:val="15"/>
        </w:rPr>
        <w:t>Access to Justice—Litigation Funding and Group Proceedings: Report</w:t>
      </w:r>
      <w:r w:rsidRPr="00421C05">
        <w:rPr>
          <w:szCs w:val="15"/>
        </w:rPr>
        <w:t xml:space="preserve"> (March 2018) at</w:t>
      </w:r>
      <w:r w:rsidRPr="00421C05">
        <w:rPr>
          <w:szCs w:val="15"/>
          <w:lang w:val="mi-NZ"/>
        </w:rPr>
        <w:t xml:space="preserve"> </w:t>
      </w:r>
      <w:r w:rsidRPr="00421C05">
        <w:rPr>
          <w:szCs w:val="15"/>
        </w:rPr>
        <w:t xml:space="preserve">Recommendation 13. </w:t>
      </w:r>
    </w:p>
  </w:footnote>
  <w:footnote w:id="344">
    <w:p w14:paraId="3D171AAF"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Jasminka Kalajdzic “Self-Interest, Public Interest, and the Interests of the Absent Client: Legal Ethics and Class Action Praxis” (2011) 49 Osgoode Hall LJ 1 at </w:t>
      </w:r>
      <w:r w:rsidRPr="00421C05">
        <w:rPr>
          <w:szCs w:val="15"/>
          <w:lang w:val="mi-NZ"/>
        </w:rPr>
        <w:t xml:space="preserve">23 and </w:t>
      </w:r>
      <w:r w:rsidRPr="00421C05">
        <w:rPr>
          <w:i/>
          <w:color w:val="auto"/>
          <w:szCs w:val="15"/>
          <w:lang w:val="mi-NZ"/>
        </w:rPr>
        <w:t>Fantl</w:t>
      </w:r>
      <w:r w:rsidRPr="00421C05">
        <w:rPr>
          <w:i/>
          <w:iCs/>
          <w:color w:val="auto"/>
          <w:szCs w:val="15"/>
          <w:lang w:val="mi-NZ"/>
        </w:rPr>
        <w:t xml:space="preserve"> v Transamerica Life Canada </w:t>
      </w:r>
      <w:r w:rsidRPr="00421C05">
        <w:rPr>
          <w:color w:val="auto"/>
          <w:szCs w:val="15"/>
          <w:lang w:val="mi-NZ"/>
        </w:rPr>
        <w:t xml:space="preserve">2008 ONSC 377 </w:t>
      </w:r>
      <w:r w:rsidRPr="00421C05">
        <w:rPr>
          <w:szCs w:val="15"/>
          <w:lang w:val="mi-NZ"/>
        </w:rPr>
        <w:t xml:space="preserve">at [78]. See also discussion in </w:t>
      </w:r>
      <w:r w:rsidRPr="00421C05">
        <w:rPr>
          <w:szCs w:val="15"/>
        </w:rPr>
        <w:t>Paul Perell “Class Proceedings and Lawyers’ Conflicts of Interest” (2009) 35 Advoc Q 202 at 212.</w:t>
      </w:r>
    </w:p>
  </w:footnote>
  <w:footnote w:id="345">
    <w:p w14:paraId="2EEF16C5" w14:textId="32721E77" w:rsidR="00A55F53" w:rsidRPr="00421C05" w:rsidRDefault="00A55F53" w:rsidP="005418CF">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i/>
          <w:szCs w:val="15"/>
          <w:lang w:val="mi-NZ"/>
        </w:rPr>
        <w:t>Ward-Price v Mariners Haven Inc</w:t>
      </w:r>
      <w:r w:rsidRPr="00421C05">
        <w:rPr>
          <w:szCs w:val="15"/>
        </w:rPr>
        <w:t xml:space="preserve"> (2004) 71 OR (3d) 664 (ONSC) at [7]; </w:t>
      </w:r>
      <w:r w:rsidRPr="00421C05">
        <w:rPr>
          <w:i/>
          <w:szCs w:val="15"/>
        </w:rPr>
        <w:t>Glover v Toronto</w:t>
      </w:r>
      <w:r w:rsidRPr="00421C05">
        <w:rPr>
          <w:i/>
          <w:iCs/>
          <w:szCs w:val="15"/>
        </w:rPr>
        <w:t xml:space="preserve"> (City) </w:t>
      </w:r>
      <w:r w:rsidRPr="00421C05">
        <w:rPr>
          <w:szCs w:val="15"/>
        </w:rPr>
        <w:t>[2009] 70 CPC (6</w:t>
      </w:r>
      <w:r w:rsidRPr="00421C05">
        <w:rPr>
          <w:szCs w:val="15"/>
          <w:vertAlign w:val="superscript"/>
        </w:rPr>
        <w:t>th</w:t>
      </w:r>
      <w:r w:rsidRPr="00421C05">
        <w:rPr>
          <w:szCs w:val="15"/>
        </w:rPr>
        <w:t xml:space="preserve">) 303 (ONSC) at [92]; and </w:t>
      </w:r>
      <w:r w:rsidRPr="00421C05">
        <w:rPr>
          <w:i/>
          <w:szCs w:val="15"/>
        </w:rPr>
        <w:t xml:space="preserve">Lundy v. VIA Rail Canada Inc </w:t>
      </w:r>
      <w:r w:rsidRPr="00421C05">
        <w:rPr>
          <w:szCs w:val="15"/>
        </w:rPr>
        <w:t>(2012)</w:t>
      </w:r>
      <w:r w:rsidRPr="00421C05">
        <w:rPr>
          <w:i/>
          <w:szCs w:val="15"/>
        </w:rPr>
        <w:t xml:space="preserve"> </w:t>
      </w:r>
      <w:r w:rsidRPr="00421C05">
        <w:rPr>
          <w:szCs w:val="15"/>
        </w:rPr>
        <w:t xml:space="preserve">111 OR (3d) 628 (ONSC) at [28]. See also </w:t>
      </w:r>
      <w:r w:rsidRPr="00421C05">
        <w:rPr>
          <w:i/>
          <w:szCs w:val="15"/>
          <w:lang w:val="mi-NZ"/>
        </w:rPr>
        <w:t>Ward-Price v Mariners Haven Inc</w:t>
      </w:r>
      <w:r w:rsidRPr="00421C05">
        <w:rPr>
          <w:szCs w:val="15"/>
        </w:rPr>
        <w:t xml:space="preserve"> (2004) 71 OR (3d) 664 (ONSC) at [15].</w:t>
      </w:r>
    </w:p>
  </w:footnote>
  <w:footnote w:id="346">
    <w:p w14:paraId="25494DF9" w14:textId="0C7AAF98" w:rsidR="00A55F53" w:rsidRPr="00421C05" w:rsidRDefault="00A55F53" w:rsidP="00253C06">
      <w:pPr>
        <w:pStyle w:val="FootnoteText"/>
        <w:rPr>
          <w:color w:val="FF0000"/>
          <w:szCs w:val="15"/>
          <w:lang w:val="mi-NZ"/>
        </w:rPr>
      </w:pPr>
      <w:r w:rsidRPr="00421C05">
        <w:rPr>
          <w:rStyle w:val="FootnoteReference"/>
          <w:sz w:val="15"/>
          <w:szCs w:val="15"/>
        </w:rPr>
        <w:footnoteRef/>
      </w:r>
      <w:r w:rsidRPr="00421C05">
        <w:rPr>
          <w:szCs w:val="15"/>
        </w:rPr>
        <w:t xml:space="preserve"> </w:t>
      </w:r>
      <w:r w:rsidRPr="00421C05">
        <w:rPr>
          <w:szCs w:val="15"/>
        </w:rPr>
        <w:tab/>
        <w:t xml:space="preserve">See Jasminka Kalajdzic “Self-Interest, Public Interest, and the Interests of the Absent Client: Legal Ethics and Class Action Praxis” (2011) 49 Osgoode Hall LJ 1 at 24; and Paul Perell “Class Proceedings and Lawyers” Conflicts of Interest” (2009) 35 Advoc Q 202 at 213. </w:t>
      </w:r>
    </w:p>
  </w:footnote>
  <w:footnote w:id="347">
    <w:p w14:paraId="4253760E" w14:textId="4FD129CA"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w:t>
      </w:r>
      <w:r w:rsidRPr="00421C05">
        <w:rPr>
          <w:i/>
          <w:szCs w:val="15"/>
        </w:rPr>
        <w:t>Richard v British Columbia</w:t>
      </w:r>
      <w:r w:rsidRPr="00421C05">
        <w:rPr>
          <w:szCs w:val="15"/>
        </w:rPr>
        <w:t xml:space="preserve"> 2007 BCSC 1107, (2007) 284 DLR (4d) 481 at [42]; and </w:t>
      </w:r>
      <w:r w:rsidRPr="00421C05">
        <w:rPr>
          <w:i/>
          <w:szCs w:val="15"/>
        </w:rPr>
        <w:t>Durling v Sunrise Propane Energy Group Inc</w:t>
      </w:r>
      <w:r w:rsidRPr="00421C05">
        <w:rPr>
          <w:szCs w:val="15"/>
        </w:rPr>
        <w:t xml:space="preserve"> 2012 ONSC 6328 at [57].</w:t>
      </w:r>
    </w:p>
  </w:footnote>
  <w:footnote w:id="348">
    <w:p w14:paraId="16E4C4DD" w14:textId="05C238F6"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Berry v Pulley</w:t>
      </w:r>
      <w:r w:rsidRPr="00421C05">
        <w:rPr>
          <w:szCs w:val="15"/>
        </w:rPr>
        <w:t xml:space="preserve"> 2011 ONSC 1378, (2011) 106 OR (3d) 123 at [83]; and </w:t>
      </w:r>
      <w:r w:rsidRPr="00421C05">
        <w:rPr>
          <w:i/>
          <w:szCs w:val="15"/>
        </w:rPr>
        <w:t>Richard v British Columbia</w:t>
      </w:r>
      <w:r w:rsidRPr="00421C05">
        <w:rPr>
          <w:szCs w:val="15"/>
        </w:rPr>
        <w:t xml:space="preserve"> 2007 BCSC 1107, (2007) 284 DLR (4d) 481 at [41].</w:t>
      </w:r>
    </w:p>
  </w:footnote>
  <w:footnote w:id="349">
    <w:p w14:paraId="61611A97" w14:textId="4CD56737" w:rsidR="00A55F53" w:rsidRPr="00421C05" w:rsidRDefault="00A55F53" w:rsidP="00253C06">
      <w:pPr>
        <w:pStyle w:val="FootnoteText"/>
        <w:rPr>
          <w:color w:val="FF0000"/>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See </w:t>
      </w:r>
      <w:r w:rsidRPr="00421C05">
        <w:rPr>
          <w:i/>
          <w:szCs w:val="15"/>
        </w:rPr>
        <w:t>Richard v British Columbia</w:t>
      </w:r>
      <w:r w:rsidRPr="00421C05">
        <w:rPr>
          <w:szCs w:val="15"/>
        </w:rPr>
        <w:t xml:space="preserve"> 2007 BCSC 1107, (2007) 284 DLR (4d) 481 at [42]; and </w:t>
      </w:r>
      <w:bookmarkStart w:id="67" w:name="_Hlk83112816"/>
      <w:r w:rsidRPr="00421C05">
        <w:rPr>
          <w:szCs w:val="15"/>
        </w:rPr>
        <w:t>Paul Perell "Class Proceedings and Lawyers' Conflicts of Interest" (2009) 35 Advoc Q 202</w:t>
      </w:r>
      <w:bookmarkEnd w:id="67"/>
      <w:r w:rsidRPr="00421C05">
        <w:rPr>
          <w:szCs w:val="15"/>
        </w:rPr>
        <w:t xml:space="preserve"> at 214. </w:t>
      </w:r>
    </w:p>
  </w:footnote>
  <w:footnote w:id="350">
    <w:p w14:paraId="6545F78F" w14:textId="2DD774E5"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bookmarkStart w:id="68" w:name="_Hlk83113591"/>
      <w:r w:rsidRPr="00421C05">
        <w:rPr>
          <w:szCs w:val="15"/>
          <w:lang w:val="mi-NZ"/>
        </w:rPr>
        <w:t>O</w:t>
      </w:r>
      <w:r w:rsidRPr="00421C05">
        <w:rPr>
          <w:szCs w:val="15"/>
        </w:rPr>
        <w:t xml:space="preserve">ntario Law Reform Commission </w:t>
      </w:r>
      <w:r w:rsidRPr="00421C05">
        <w:rPr>
          <w:i/>
          <w:iCs/>
          <w:szCs w:val="15"/>
        </w:rPr>
        <w:t>Report on Class Actions</w:t>
      </w:r>
      <w:r w:rsidRPr="00421C05">
        <w:rPr>
          <w:szCs w:val="15"/>
        </w:rPr>
        <w:t xml:space="preserve"> (1982) vol I at </w:t>
      </w:r>
      <w:r w:rsidRPr="00421C05">
        <w:rPr>
          <w:szCs w:val="15"/>
          <w:lang w:val="mi-NZ"/>
        </w:rPr>
        <w:t xml:space="preserve">201. </w:t>
      </w:r>
      <w:r w:rsidRPr="00421C05">
        <w:rPr>
          <w:szCs w:val="15"/>
        </w:rPr>
        <w:t xml:space="preserve">However, little more was said on the issue, as the Ontario Law Reform Commission considered reform was better dealt with by the Law Society: </w:t>
      </w:r>
      <w:r w:rsidRPr="00421C05">
        <w:rPr>
          <w:szCs w:val="15"/>
          <w:lang w:val="mi-NZ"/>
        </w:rPr>
        <w:t>at 202</w:t>
      </w:r>
      <w:r w:rsidRPr="00421C05">
        <w:rPr>
          <w:szCs w:val="15"/>
        </w:rPr>
        <w:t>. No reform occurred: see Jasminka Kalajdzic “Self-Interest, Public Interest, and the Interests of the Absent Client: Legal Ethics and Class Action Praxis” (2011) 49 Osgoode Hall LJ 1 at 3.</w:t>
      </w:r>
      <w:bookmarkEnd w:id="68"/>
    </w:p>
  </w:footnote>
  <w:footnote w:id="351">
    <w:p w14:paraId="48370795" w14:textId="21955ACE"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discussion in Paul Perell "Class Proceedings and Lawyers' Conflicts of Interest" (2009) 35 Advoc Q 202 at 223. In addition, counsel is required to ensure the representative plaintiff is properly advised about their duty to the class and the fact the prosecution of the class action must be carried out in a way that advances the interests of the class: see </w:t>
      </w:r>
      <w:r w:rsidRPr="00421C05">
        <w:rPr>
          <w:i/>
          <w:szCs w:val="15"/>
        </w:rPr>
        <w:t>Caputo v Imperial Tobacco</w:t>
      </w:r>
      <w:r w:rsidRPr="00421C05">
        <w:rPr>
          <w:szCs w:val="15"/>
        </w:rPr>
        <w:t xml:space="preserve"> (2005) 74 OR (3d) 728 (ONSC) at [41]. </w:t>
      </w:r>
    </w:p>
  </w:footnote>
  <w:footnote w:id="352">
    <w:p w14:paraId="022AC8C8" w14:textId="30F11873"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For example, by creating subclasses and allowing for decertification: see Paul Perell "Class Proceedings and Lawyers' Conflicts of Interest" (2009) 35 Advoc Q 202 at 223. It has also been suggested where conflicts cannot be resolved, an application for directions should be made to the court: see </w:t>
      </w:r>
      <w:r w:rsidRPr="00421C05">
        <w:rPr>
          <w:i/>
          <w:szCs w:val="15"/>
        </w:rPr>
        <w:t>Richard v British Columbia</w:t>
      </w:r>
      <w:r w:rsidRPr="00421C05">
        <w:rPr>
          <w:szCs w:val="15"/>
        </w:rPr>
        <w:t xml:space="preserve"> 2007 BCSC 1107, (2007) 284 DLR (4d) 481 at [42]</w:t>
      </w:r>
      <w:r w:rsidRPr="00421C05">
        <w:rPr>
          <w:color w:val="FF0000"/>
          <w:szCs w:val="15"/>
        </w:rPr>
        <w:t xml:space="preserve">. </w:t>
      </w:r>
    </w:p>
  </w:footnote>
  <w:footnote w:id="353">
    <w:p w14:paraId="3E65587A" w14:textId="598F8C26"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rFonts w:eastAsia="Metropolis Light" w:cs="Metropolis Light"/>
          <w:color w:val="000000" w:themeColor="text1"/>
          <w:szCs w:val="15"/>
          <w:lang w:val="mi-NZ"/>
        </w:rPr>
        <w:t xml:space="preserve">United States Federal Rules of Civil Procedure, r 23(g). </w:t>
      </w:r>
    </w:p>
  </w:footnote>
  <w:footnote w:id="354">
    <w:p w14:paraId="51002686"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rFonts w:eastAsia="Metropolis Light" w:cs="Metropolis Light"/>
          <w:color w:val="000000" w:themeColor="text1"/>
          <w:szCs w:val="15"/>
          <w:lang w:val="mi-NZ"/>
        </w:rPr>
        <w:t>United States Federal Rules of Civil Procedure, r 23(g)(4).</w:t>
      </w:r>
    </w:p>
  </w:footnote>
  <w:footnote w:id="355">
    <w:p w14:paraId="0DD2CA3C" w14:textId="541DB95D"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William Rubenstein </w:t>
      </w:r>
      <w:r w:rsidRPr="00421C05">
        <w:rPr>
          <w:i/>
          <w:szCs w:val="15"/>
        </w:rPr>
        <w:t>Newberg on Cl</w:t>
      </w:r>
      <w:r w:rsidRPr="00421C05">
        <w:rPr>
          <w:i/>
          <w:iCs/>
          <w:szCs w:val="15"/>
        </w:rPr>
        <w:t>ass Actions</w:t>
      </w:r>
      <w:r w:rsidRPr="00421C05">
        <w:rPr>
          <w:szCs w:val="15"/>
        </w:rPr>
        <w:t xml:space="preserve"> (online ed, Thomson Reuters) at </w:t>
      </w:r>
      <w:r w:rsidRPr="00421C05">
        <w:rPr>
          <w:rFonts w:ascii="Calibri" w:hAnsi="Calibri" w:cs="Calibri"/>
          <w:szCs w:val="15"/>
        </w:rPr>
        <w:t xml:space="preserve">§ </w:t>
      </w:r>
      <w:r w:rsidRPr="00421C05">
        <w:rPr>
          <w:szCs w:val="15"/>
        </w:rPr>
        <w:t xml:space="preserve">19:21. However, ethical rules vary from state to state: see 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w:t>
      </w:r>
      <w:r w:rsidRPr="00421C05">
        <w:rPr>
          <w:szCs w:val="15"/>
        </w:rPr>
        <w:t xml:space="preserve"> 19:1.</w:t>
      </w:r>
    </w:p>
  </w:footnote>
  <w:footnote w:id="356">
    <w:p w14:paraId="6AA51452"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David F Herr Annotated </w:t>
      </w:r>
      <w:r w:rsidRPr="00421C05">
        <w:rPr>
          <w:i/>
          <w:szCs w:val="15"/>
          <w:lang w:val="mi-NZ"/>
        </w:rPr>
        <w:t>Manual</w:t>
      </w:r>
      <w:r w:rsidRPr="00421C05">
        <w:rPr>
          <w:i/>
          <w:iCs/>
          <w:szCs w:val="15"/>
          <w:lang w:val="mi-NZ"/>
        </w:rPr>
        <w:t xml:space="preserve"> for Complex Litigation</w:t>
      </w:r>
      <w:r w:rsidRPr="00421C05">
        <w:rPr>
          <w:szCs w:val="15"/>
          <w:lang w:val="mi-NZ"/>
        </w:rPr>
        <w:t xml:space="preserve"> (online ed, Thomson Reuters) at </w:t>
      </w:r>
      <w:r w:rsidRPr="00421C05">
        <w:rPr>
          <w:rFonts w:ascii="Calibri" w:hAnsi="Calibri" w:cs="Calibri"/>
          <w:szCs w:val="15"/>
        </w:rPr>
        <w:t>§</w:t>
      </w:r>
      <w:r w:rsidRPr="00421C05">
        <w:rPr>
          <w:szCs w:val="15"/>
        </w:rPr>
        <w:t xml:space="preserve"> 21.12.</w:t>
      </w:r>
    </w:p>
  </w:footnote>
  <w:footnote w:id="357">
    <w:p w14:paraId="3C419C09" w14:textId="77777777" w:rsidR="00A55F53" w:rsidRPr="00421C05" w:rsidRDefault="00A55F53" w:rsidP="0046168F">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Jasminka Kalajdzic “Self-Interest, Public Interest, and the Interests of the Absent Client: Legal Ethics and Class Action Praxis” (2011) 49 Osgoode Hall LJ 1 a</w:t>
      </w:r>
      <w:r w:rsidRPr="00421C05">
        <w:rPr>
          <w:szCs w:val="15"/>
          <w:lang w:val="mi-NZ"/>
        </w:rPr>
        <w:t>t 14.</w:t>
      </w:r>
    </w:p>
  </w:footnote>
  <w:footnote w:id="358">
    <w:p w14:paraId="3C0BDA2A" w14:textId="77777777" w:rsidR="00A55F53" w:rsidRPr="00421C05" w:rsidRDefault="00A55F53" w:rsidP="0046168F">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Jasminka Kalajdzic “Self-Interest, Public Interest, and the Interests of the Absent Client: Legal Ethics and Class Action Praxis” (2011) 49 Osgoode Hall LJ 1 at </w:t>
      </w:r>
      <w:r w:rsidRPr="00421C05">
        <w:rPr>
          <w:szCs w:val="15"/>
          <w:lang w:val="mi-NZ"/>
        </w:rPr>
        <w:t xml:space="preserve">34. </w:t>
      </w:r>
    </w:p>
  </w:footnote>
  <w:footnote w:id="359">
    <w:p w14:paraId="2DBD4F61" w14:textId="77777777" w:rsidR="00A55F53" w:rsidRPr="00421C05" w:rsidRDefault="00A55F53" w:rsidP="0046168F">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szCs w:val="15"/>
          <w:lang w:val="mi-NZ"/>
        </w:rPr>
        <w:t>O</w:t>
      </w:r>
      <w:r w:rsidRPr="00421C05">
        <w:rPr>
          <w:szCs w:val="15"/>
        </w:rPr>
        <w:t xml:space="preserve">ntario Law Reform Commission </w:t>
      </w:r>
      <w:r w:rsidRPr="00421C05">
        <w:rPr>
          <w:i/>
          <w:iCs/>
          <w:szCs w:val="15"/>
        </w:rPr>
        <w:t>Report on Class Actions</w:t>
      </w:r>
      <w:r w:rsidRPr="00421C05">
        <w:rPr>
          <w:szCs w:val="15"/>
        </w:rPr>
        <w:t xml:space="preserve"> (1982) vol I at 201.</w:t>
      </w:r>
    </w:p>
  </w:footnote>
  <w:footnote w:id="360">
    <w:p w14:paraId="5A09744A"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Kelly v Willmott Forests Ltd</w:t>
      </w:r>
      <w:r w:rsidRPr="00421C05">
        <w:rPr>
          <w:i/>
          <w:iCs/>
          <w:szCs w:val="15"/>
        </w:rPr>
        <w:t xml:space="preserve"> (in liq) (No 4</w:t>
      </w:r>
      <w:r w:rsidRPr="00421C05">
        <w:rPr>
          <w:szCs w:val="15"/>
        </w:rPr>
        <w:t>) [2016] FCA 323, (2016) 335 ALR 439 at [220].</w:t>
      </w:r>
    </w:p>
  </w:footnote>
  <w:footnote w:id="361">
    <w:p w14:paraId="37BF274E"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Dyczynski v Gibson</w:t>
      </w:r>
      <w:r w:rsidRPr="00421C05">
        <w:rPr>
          <w:szCs w:val="15"/>
        </w:rPr>
        <w:t xml:space="preserve"> [2020] FCAFC 120, (2020) 381 ALR 1 a</w:t>
      </w:r>
      <w:r w:rsidRPr="00421C05">
        <w:rPr>
          <w:szCs w:val="15"/>
          <w:lang w:val="mi-NZ"/>
        </w:rPr>
        <w:t>t [210].</w:t>
      </w:r>
    </w:p>
  </w:footnote>
  <w:footnote w:id="362">
    <w:p w14:paraId="1465FC04" w14:textId="2956A1B3" w:rsidR="00A55F53" w:rsidRPr="00421C05" w:rsidRDefault="00A55F53" w:rsidP="00BC6280">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The overriding duty of a lawyer is as an officer of the court: </w:t>
      </w:r>
      <w:r w:rsidRPr="00421C05">
        <w:rPr>
          <w:szCs w:val="15"/>
        </w:rPr>
        <w:t xml:space="preserve">Lawyers and Conveyancers Act (Lawyers: Conduct and Client Care) Rules 2008, r 2.1. See also </w:t>
      </w:r>
      <w:r w:rsidRPr="00421C05">
        <w:rPr>
          <w:i/>
          <w:szCs w:val="15"/>
        </w:rPr>
        <w:t>Houghton v Saunders</w:t>
      </w:r>
      <w:r w:rsidRPr="00421C05">
        <w:rPr>
          <w:szCs w:val="15"/>
        </w:rPr>
        <w:t xml:space="preserve"> [2020] NZCA 638 at [26].</w:t>
      </w:r>
    </w:p>
  </w:footnote>
  <w:footnote w:id="363">
    <w:p w14:paraId="2781DD80" w14:textId="7D7FF2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Lawyers and Conveyancers Act (Lawyers: Conduct and Client Care) Rules 2008.</w:t>
      </w:r>
    </w:p>
  </w:footnote>
  <w:footnote w:id="364">
    <w:p w14:paraId="18B17C97" w14:textId="5DD1FD35" w:rsidR="00A55F53" w:rsidRPr="00421C05" w:rsidRDefault="00A55F53" w:rsidP="00BC6280">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color w:val="auto"/>
          <w:szCs w:val="15"/>
        </w:rPr>
        <w:t xml:space="preserve">Lawyers and Conveyancers </w:t>
      </w:r>
      <w:r w:rsidRPr="00421C05">
        <w:rPr>
          <w:szCs w:val="15"/>
        </w:rPr>
        <w:t>Act (Lawyers: Conduct and Client Care) Rules 2008, rr 5 and 5.4.</w:t>
      </w:r>
    </w:p>
  </w:footnote>
  <w:footnote w:id="365">
    <w:p w14:paraId="6C056280"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Note that where there is a conflict, “a lawyer may act for more than 1 party in respect of the same transaction or matter where the prior informed consent of all parties concerned is obtained”: </w:t>
      </w:r>
      <w:r w:rsidRPr="00421C05">
        <w:rPr>
          <w:szCs w:val="15"/>
        </w:rPr>
        <w:t>Lawyers and Conveyancers Act (Lawyers: Conduct and Client Care) Rules 2008, r 6.11.</w:t>
      </w:r>
    </w:p>
  </w:footnote>
  <w:footnote w:id="366">
    <w:p w14:paraId="5618F6AF" w14:textId="052F58D0" w:rsidR="00A55F53" w:rsidRPr="00421C05" w:rsidRDefault="00A55F53" w:rsidP="004545D5">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Lawyers and Conveyancers Act </w:t>
      </w:r>
      <w:r w:rsidRPr="00421C05">
        <w:rPr>
          <w:szCs w:val="15"/>
        </w:rPr>
        <w:t>(Lawyers: Conduct and Client Care) Rules 2008, r 7.</w:t>
      </w:r>
    </w:p>
  </w:footnote>
  <w:footnote w:id="367">
    <w:p w14:paraId="6CDBDA2C"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Subject to their overriding duty as an officer to the court, the lawyer has a duty to act in the best interests of his or her client without regard for the personal interests of the lawyer: Lawyers and Conveyancers Act (Lawyers: Conduct and Client Care) Rules 2008, r 13.</w:t>
      </w:r>
    </w:p>
  </w:footnote>
  <w:footnote w:id="368">
    <w:p w14:paraId="494DACF7" w14:textId="682F2465" w:rsidR="00A55F53" w:rsidRPr="00421C05" w:rsidRDefault="00A55F53" w:rsidP="00253C06">
      <w:pPr>
        <w:pStyle w:val="FootnoteText"/>
        <w:rPr>
          <w:color w:val="FF0000"/>
          <w:szCs w:val="15"/>
        </w:rPr>
      </w:pPr>
      <w:r w:rsidRPr="00421C05">
        <w:rPr>
          <w:rStyle w:val="FootnoteReference"/>
          <w:sz w:val="15"/>
          <w:szCs w:val="15"/>
        </w:rPr>
        <w:footnoteRef/>
      </w:r>
      <w:r w:rsidRPr="00421C05">
        <w:rPr>
          <w:szCs w:val="15"/>
        </w:rPr>
        <w:t xml:space="preserve"> </w:t>
      </w:r>
      <w:r w:rsidRPr="00421C05">
        <w:rPr>
          <w:szCs w:val="15"/>
        </w:rPr>
        <w:tab/>
        <w:t>The rules deal with conflicts in multiple places. A conflict rule specific to this situation would need to be developed.</w:t>
      </w:r>
    </w:p>
  </w:footnote>
  <w:footnote w:id="369">
    <w:p w14:paraId="43F1579F"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szCs w:val="15"/>
          <w:lang w:val="mi-NZ"/>
        </w:rPr>
        <w:t xml:space="preserve">Except as authorised by </w:t>
      </w:r>
      <w:r w:rsidRPr="00421C05">
        <w:rPr>
          <w:szCs w:val="15"/>
        </w:rPr>
        <w:t>Lawyers and Conveyancers Act (Lawyers: Conduct and Client Care) Rules 2008, r 10. We discuss this issue in more detail later in this chapter.</w:t>
      </w:r>
    </w:p>
  </w:footnote>
  <w:footnote w:id="370">
    <w:p w14:paraId="1CBB4B13"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lang w:val="mi-NZ"/>
        </w:rPr>
        <w:tab/>
        <w:t xml:space="preserve">See </w:t>
      </w:r>
      <w:r w:rsidRPr="00421C05">
        <w:rPr>
          <w:szCs w:val="15"/>
        </w:rPr>
        <w:t>Lawyers and Conveyancers Act (Lawyers: Conduct and Client Care) Rules 2008. Rule 7 provides that:</w:t>
      </w:r>
    </w:p>
    <w:p w14:paraId="583BE959" w14:textId="2DDFA75F" w:rsidR="00A55F53" w:rsidRPr="00421C05" w:rsidRDefault="00A55F53" w:rsidP="00253C06">
      <w:pPr>
        <w:pStyle w:val="FootnoteNumbered2"/>
        <w:ind w:left="851" w:firstLine="0"/>
        <w:rPr>
          <w:szCs w:val="15"/>
        </w:rPr>
      </w:pPr>
      <w:r w:rsidRPr="00421C05">
        <w:rPr>
          <w:szCs w:val="15"/>
        </w:rPr>
        <w:t>A lawyer must promptly disclose to a client all information that the lawyer has or acquires that is relevant to the matter in respect of which the lawyer is engaged by the client.</w:t>
      </w:r>
    </w:p>
    <w:p w14:paraId="0D73E62F" w14:textId="77777777" w:rsidR="00A55F53" w:rsidRPr="00421C05" w:rsidRDefault="00A55F53" w:rsidP="00253C06">
      <w:pPr>
        <w:pStyle w:val="FootnoteText"/>
        <w:ind w:firstLine="0"/>
        <w:rPr>
          <w:szCs w:val="15"/>
        </w:rPr>
      </w:pPr>
      <w:r w:rsidRPr="00421C05">
        <w:rPr>
          <w:szCs w:val="15"/>
        </w:rPr>
        <w:t>Rule 7.1 provides that:</w:t>
      </w:r>
    </w:p>
    <w:p w14:paraId="32524D4D" w14:textId="13601066" w:rsidR="00A55F53" w:rsidRPr="00421C05" w:rsidRDefault="00A55F53" w:rsidP="00253C06">
      <w:pPr>
        <w:pStyle w:val="FootnoteNumbered2"/>
        <w:ind w:left="851" w:firstLine="0"/>
        <w:rPr>
          <w:szCs w:val="15"/>
          <w:lang w:val="mi-NZ"/>
        </w:rPr>
      </w:pPr>
      <w:r w:rsidRPr="00421C05">
        <w:rPr>
          <w:szCs w:val="15"/>
        </w:rPr>
        <w:t>A lawyer must take reasonable steps to ensure that a client understands the nature of the retainer and must keep the client informed about progress on the retainer.</w:t>
      </w:r>
    </w:p>
  </w:footnote>
  <w:footnote w:id="371">
    <w:p w14:paraId="1A6C4D9B" w14:textId="48D72D4B"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color w:val="auto"/>
          <w:szCs w:val="15"/>
          <w:lang w:val="mi-NZ"/>
        </w:rPr>
        <w:t>Fantl</w:t>
      </w:r>
      <w:r w:rsidRPr="00421C05">
        <w:rPr>
          <w:i/>
          <w:iCs/>
          <w:color w:val="auto"/>
          <w:szCs w:val="15"/>
          <w:lang w:val="mi-NZ"/>
        </w:rPr>
        <w:t xml:space="preserve"> v Transamerica Life Canada </w:t>
      </w:r>
      <w:r w:rsidRPr="00421C05">
        <w:rPr>
          <w:color w:val="auto"/>
          <w:szCs w:val="15"/>
          <w:lang w:val="mi-NZ"/>
        </w:rPr>
        <w:t>2008 ONSC 377 at [23]. There the retainer specified that the representative plaintiff was obliged to act in the best interests of the class and that their lawyer was not required to follow instructions which were not in the best interests of the class</w:t>
      </w:r>
      <w:r w:rsidRPr="00421C05">
        <w:rPr>
          <w:szCs w:val="15"/>
        </w:rPr>
        <w:t>. If the lawyer believed the representative plaintiff was not acting in the best interests of the class, the representative plaintiff authorised their lawyer to seek directions from the court.</w:t>
      </w:r>
    </w:p>
  </w:footnote>
  <w:footnote w:id="372">
    <w:p w14:paraId="47E9E37D" w14:textId="7D01959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Especially as the High Court has declined to impose a solicitor-client relationship between the unrepresented group and representative plaintiff’s lawyer in a representative action:</w:t>
      </w:r>
      <w:r w:rsidRPr="00421C05">
        <w:rPr>
          <w:i/>
          <w:iCs/>
          <w:szCs w:val="15"/>
          <w:lang w:val="mi-NZ"/>
        </w:rPr>
        <w:t xml:space="preserve"> Ross v Southern Response Earthquake Services Ltd </w:t>
      </w:r>
      <w:r w:rsidRPr="00421C05">
        <w:rPr>
          <w:szCs w:val="15"/>
          <w:lang w:val="mi-NZ"/>
        </w:rPr>
        <w:t>[2021] NZHC 2451 (reasons judgment) at [159].</w:t>
      </w:r>
    </w:p>
  </w:footnote>
  <w:footnote w:id="373">
    <w:p w14:paraId="72C90461"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Lawyers and Conveyancers Act (Lawyers: Conduct and Client Care) Rules 2008.</w:t>
      </w:r>
    </w:p>
  </w:footnote>
  <w:footnote w:id="374">
    <w:p w14:paraId="24B9F281"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Except as authorised by </w:t>
      </w:r>
      <w:r w:rsidRPr="00421C05">
        <w:rPr>
          <w:szCs w:val="15"/>
        </w:rPr>
        <w:t>Lawyers and Conveyancers Act (Lawyers: Conduct and Client Care) Rules 2008, r 10.</w:t>
      </w:r>
    </w:p>
  </w:footnote>
  <w:footnote w:id="375">
    <w:p w14:paraId="0C98FCAF" w14:textId="50E51ACE" w:rsidR="00A55F53" w:rsidRPr="00421C05" w:rsidRDefault="00A55F53" w:rsidP="00253C06">
      <w:pPr>
        <w:pStyle w:val="FootnoteText"/>
        <w:tabs>
          <w:tab w:val="left" w:pos="5812"/>
        </w:tabs>
        <w:rPr>
          <w:color w:val="FF0000"/>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A lawyer may not generally communicate directly with another lawyer’s client: </w:t>
      </w:r>
      <w:r w:rsidRPr="00421C05">
        <w:rPr>
          <w:szCs w:val="15"/>
        </w:rPr>
        <w:t xml:space="preserve">Lawyers and Conveyancers Act (Lawyers: Conduct and Client Care) Rules 2008, r 10.4. </w:t>
      </w:r>
    </w:p>
  </w:footnote>
  <w:footnote w:id="376">
    <w:p w14:paraId="6422736E" w14:textId="7323379B" w:rsidR="00A55F53" w:rsidRPr="00421C05" w:rsidRDefault="00A55F53" w:rsidP="00253C06">
      <w:pPr>
        <w:pStyle w:val="FootnoteText"/>
        <w:rPr>
          <w:color w:val="FF0000"/>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w:t>
      </w:r>
      <w:r w:rsidRPr="00421C05">
        <w:rPr>
          <w:i/>
          <w:iCs/>
          <w:szCs w:val="15"/>
        </w:rPr>
        <w:t xml:space="preserve"> Response Earthquake Services Ltd </w:t>
      </w:r>
      <w:r w:rsidRPr="00421C05">
        <w:rPr>
          <w:szCs w:val="15"/>
        </w:rPr>
        <w:t>[2021] NZHC 253 (results judgment); and</w:t>
      </w:r>
      <w:r w:rsidRPr="00421C05">
        <w:rPr>
          <w:i/>
          <w:szCs w:val="15"/>
        </w:rPr>
        <w:t xml:space="preserve"> Ross v Southern</w:t>
      </w:r>
      <w:r w:rsidRPr="00421C05">
        <w:rPr>
          <w:i/>
          <w:iCs/>
          <w:szCs w:val="15"/>
        </w:rPr>
        <w:t xml:space="preserve"> Response Earthquake Services Ltd </w:t>
      </w:r>
      <w:r w:rsidRPr="00421C05">
        <w:rPr>
          <w:szCs w:val="15"/>
        </w:rPr>
        <w:t xml:space="preserve">[2021] NZHC 2451 (reasons judgment). See also </w:t>
      </w:r>
      <w:r w:rsidRPr="00421C05">
        <w:rPr>
          <w:i/>
          <w:szCs w:val="15"/>
        </w:rPr>
        <w:t>Ross v Southern</w:t>
      </w:r>
      <w:r w:rsidRPr="00421C05">
        <w:rPr>
          <w:i/>
          <w:iCs/>
          <w:szCs w:val="15"/>
        </w:rPr>
        <w:t xml:space="preserve"> Response Earthquake Services Ltd </w:t>
      </w:r>
      <w:r w:rsidRPr="00421C05">
        <w:rPr>
          <w:szCs w:val="15"/>
        </w:rPr>
        <w:t xml:space="preserve">[2021] NZHC 2453, where the court reviewed the settlement communications. </w:t>
      </w:r>
    </w:p>
  </w:footnote>
  <w:footnote w:id="377">
    <w:p w14:paraId="18B32319"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w:t>
      </w:r>
      <w:r w:rsidRPr="00421C05">
        <w:rPr>
          <w:i/>
          <w:iCs/>
          <w:szCs w:val="15"/>
        </w:rPr>
        <w:t xml:space="preserve"> v Southern Response Earthquake Services Ltd </w:t>
      </w:r>
      <w:r w:rsidRPr="00421C05">
        <w:rPr>
          <w:szCs w:val="15"/>
        </w:rPr>
        <w:t>[2021] NZHC 253 (results judgment) and</w:t>
      </w:r>
      <w:r w:rsidRPr="00421C05">
        <w:rPr>
          <w:i/>
          <w:iCs/>
          <w:szCs w:val="15"/>
        </w:rPr>
        <w:t xml:space="preserve"> Ross v Southern Response Earthquake Services Ltd </w:t>
      </w:r>
      <w:r w:rsidRPr="00421C05">
        <w:rPr>
          <w:szCs w:val="15"/>
        </w:rPr>
        <w:t xml:space="preserve">[2021] NZHC 2451 (reasons judgment) at [16]. See also </w:t>
      </w:r>
      <w:r w:rsidRPr="00421C05">
        <w:rPr>
          <w:i/>
          <w:iCs/>
          <w:szCs w:val="15"/>
        </w:rPr>
        <w:t xml:space="preserve">Ross v Southern Response Earthquake Services Ltd </w:t>
      </w:r>
      <w:r w:rsidRPr="00421C05">
        <w:rPr>
          <w:szCs w:val="15"/>
        </w:rPr>
        <w:t xml:space="preserve">[2021] NZHC 2453 where the court reviewed the defendant’s settlement communications. </w:t>
      </w:r>
    </w:p>
  </w:footnote>
  <w:footnote w:id="378">
    <w:p w14:paraId="2B562B48" w14:textId="6F59068B"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Ross</w:t>
      </w:r>
      <w:r w:rsidRPr="00421C05">
        <w:rPr>
          <w:i/>
          <w:iCs/>
          <w:szCs w:val="15"/>
        </w:rPr>
        <w:t xml:space="preserve"> v Southern Response Earthquake Services Ltd </w:t>
      </w:r>
      <w:r w:rsidRPr="00421C05">
        <w:rPr>
          <w:szCs w:val="15"/>
        </w:rPr>
        <w:t>[2021] NZHC 2451 (reasons judgment) at [19(d)–(e)].</w:t>
      </w:r>
    </w:p>
  </w:footnote>
  <w:footnote w:id="379">
    <w:p w14:paraId="23C741A6" w14:textId="431C5226"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w:t>
      </w:r>
      <w:r w:rsidRPr="00421C05">
        <w:rPr>
          <w:i/>
          <w:iCs/>
          <w:szCs w:val="15"/>
        </w:rPr>
        <w:t xml:space="preserve"> v Southern Response Earthquake Services Ltd </w:t>
      </w:r>
      <w:r w:rsidRPr="00421C05">
        <w:rPr>
          <w:szCs w:val="15"/>
        </w:rPr>
        <w:t xml:space="preserve">[2021] NZHC 2451 (reasons judgment) at [19(f)–(k)]. </w:t>
      </w:r>
    </w:p>
  </w:footnote>
  <w:footnote w:id="380">
    <w:p w14:paraId="2E2E44A3" w14:textId="4D113BB5" w:rsidR="00A55F53" w:rsidRPr="00421C05" w:rsidRDefault="00A55F53" w:rsidP="00253C06">
      <w:pPr>
        <w:pStyle w:val="FootnoteText"/>
        <w:rPr>
          <w:color w:val="FF0000"/>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Ross v Southern Response</w:t>
      </w:r>
      <w:r w:rsidRPr="00421C05">
        <w:rPr>
          <w:i/>
          <w:iCs/>
          <w:szCs w:val="15"/>
        </w:rPr>
        <w:t xml:space="preserve"> Earthquake Services Ltd </w:t>
      </w:r>
      <w:r w:rsidRPr="00421C05">
        <w:rPr>
          <w:szCs w:val="15"/>
        </w:rPr>
        <w:t xml:space="preserve">[2021] NZHC 2451 (reasons judgment) at [159] Note the court said it </w:t>
      </w:r>
      <w:r w:rsidR="00170ACD">
        <w:rPr>
          <w:szCs w:val="15"/>
        </w:rPr>
        <w:t>was</w:t>
      </w:r>
      <w:r w:rsidRPr="00421C05">
        <w:rPr>
          <w:szCs w:val="15"/>
        </w:rPr>
        <w:t xml:space="preserve"> unnecessary </w:t>
      </w:r>
      <w:r w:rsidR="00170ACD">
        <w:rPr>
          <w:szCs w:val="15"/>
        </w:rPr>
        <w:t>to</w:t>
      </w:r>
      <w:r w:rsidRPr="00421C05">
        <w:rPr>
          <w:szCs w:val="15"/>
        </w:rPr>
        <w:t xml:space="preserve"> determine whether r 10.4 of the Conduct and Client Care Rules applie</w:t>
      </w:r>
      <w:r w:rsidR="00FB2EB9">
        <w:rPr>
          <w:szCs w:val="15"/>
        </w:rPr>
        <w:t>d</w:t>
      </w:r>
      <w:r w:rsidRPr="00421C05">
        <w:rPr>
          <w:szCs w:val="15"/>
        </w:rPr>
        <w:t xml:space="preserve"> to</w:t>
      </w:r>
      <w:r w:rsidR="00FB2EB9">
        <w:rPr>
          <w:szCs w:val="15"/>
        </w:rPr>
        <w:t xml:space="preserve"> the defendant’s</w:t>
      </w:r>
      <w:r w:rsidRPr="00421C05">
        <w:rPr>
          <w:szCs w:val="15"/>
        </w:rPr>
        <w:t xml:space="preserve"> intended communications as it found the communication was reviewable under its inherent jurisdiction: at [150]. </w:t>
      </w:r>
    </w:p>
  </w:footnote>
  <w:footnote w:id="381">
    <w:p w14:paraId="400BF80F"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 Re</w:t>
      </w:r>
      <w:r w:rsidRPr="00421C05">
        <w:rPr>
          <w:i/>
          <w:iCs/>
          <w:szCs w:val="15"/>
        </w:rPr>
        <w:t xml:space="preserve">sponse Earthquake Services Ltd </w:t>
      </w:r>
      <w:r w:rsidRPr="00421C05">
        <w:rPr>
          <w:szCs w:val="15"/>
        </w:rPr>
        <w:t xml:space="preserve">[2021] NZHC 253 (results judgment) at [15(a)]; and </w:t>
      </w:r>
      <w:r w:rsidRPr="00421C05">
        <w:rPr>
          <w:i/>
          <w:szCs w:val="15"/>
        </w:rPr>
        <w:t>Ross v Southern</w:t>
      </w:r>
      <w:r w:rsidRPr="00421C05">
        <w:rPr>
          <w:i/>
          <w:iCs/>
          <w:szCs w:val="15"/>
        </w:rPr>
        <w:t xml:space="preserve"> Response Earthquake Services Ltd </w:t>
      </w:r>
      <w:r w:rsidRPr="00421C05">
        <w:rPr>
          <w:szCs w:val="15"/>
        </w:rPr>
        <w:t xml:space="preserve">[2021] NZHC 2451 (reasons judgment) at [172]. </w:t>
      </w:r>
    </w:p>
  </w:footnote>
  <w:footnote w:id="382">
    <w:p w14:paraId="26381EEF" w14:textId="63F2816E" w:rsidR="00A55F53" w:rsidRPr="00421C05" w:rsidRDefault="00A55F53" w:rsidP="00253C06">
      <w:pPr>
        <w:pStyle w:val="FootnoteText"/>
        <w:rPr>
          <w:i/>
          <w:iCs/>
          <w:color w:val="FF0000"/>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 Response</w:t>
      </w:r>
      <w:r w:rsidRPr="00421C05">
        <w:rPr>
          <w:i/>
          <w:iCs/>
          <w:szCs w:val="15"/>
        </w:rPr>
        <w:t xml:space="preserve"> Earthquake Services Ltd </w:t>
      </w:r>
      <w:r w:rsidRPr="00421C05">
        <w:rPr>
          <w:szCs w:val="15"/>
        </w:rPr>
        <w:t xml:space="preserve">[2021] NZHC 2451 (reasons judgment) at [173]–[175]. </w:t>
      </w:r>
    </w:p>
  </w:footnote>
  <w:footnote w:id="383">
    <w:p w14:paraId="5207753D" w14:textId="77777777" w:rsidR="00A55F53" w:rsidRPr="00421C05" w:rsidRDefault="00A55F53" w:rsidP="00253C06">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w:t>
      </w:r>
      <w:r w:rsidRPr="00421C05">
        <w:rPr>
          <w:i/>
          <w:iCs/>
          <w:szCs w:val="15"/>
        </w:rPr>
        <w:t xml:space="preserve"> Response Earthquake Services Ltd </w:t>
      </w:r>
      <w:r w:rsidRPr="00421C05">
        <w:rPr>
          <w:szCs w:val="15"/>
        </w:rPr>
        <w:t>[2021] NZHC 2451 (reasons judgment) at [175].</w:t>
      </w:r>
    </w:p>
  </w:footnote>
  <w:footnote w:id="384">
    <w:p w14:paraId="03298AC4"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Ross v Southern Response</w:t>
      </w:r>
      <w:r w:rsidRPr="00421C05">
        <w:rPr>
          <w:i/>
          <w:iCs/>
          <w:szCs w:val="15"/>
        </w:rPr>
        <w:t xml:space="preserve"> Earthquake Services Ltd </w:t>
      </w:r>
      <w:r w:rsidRPr="00421C05">
        <w:rPr>
          <w:szCs w:val="15"/>
        </w:rPr>
        <w:t>[2021] NZHC 2451 (reasons judgment) at [175].</w:t>
      </w:r>
    </w:p>
  </w:footnote>
  <w:footnote w:id="385">
    <w:p w14:paraId="6BBD405E"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bookmarkStart w:id="70" w:name="_Hlk83122745"/>
      <w:r w:rsidRPr="00421C05">
        <w:rPr>
          <w:i/>
          <w:szCs w:val="15"/>
        </w:rPr>
        <w:t>Ross v Southern Response</w:t>
      </w:r>
      <w:r w:rsidRPr="00421C05">
        <w:rPr>
          <w:i/>
          <w:iCs/>
          <w:szCs w:val="15"/>
        </w:rPr>
        <w:t xml:space="preserve"> Earthquake Services Ltd </w:t>
      </w:r>
      <w:r w:rsidRPr="00421C05">
        <w:rPr>
          <w:szCs w:val="15"/>
        </w:rPr>
        <w:t xml:space="preserve">[2021] NZHC 2453 (review of defendant’s communication) at [25]. </w:t>
      </w:r>
      <w:bookmarkEnd w:id="70"/>
    </w:p>
  </w:footnote>
  <w:footnote w:id="386">
    <w:p w14:paraId="565B34B6" w14:textId="7F119C0F"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 Response</w:t>
      </w:r>
      <w:r w:rsidRPr="00421C05">
        <w:rPr>
          <w:i/>
          <w:iCs/>
          <w:szCs w:val="15"/>
        </w:rPr>
        <w:t xml:space="preserve"> Earthquake Services Ltd </w:t>
      </w:r>
      <w:r w:rsidRPr="00421C05">
        <w:rPr>
          <w:szCs w:val="15"/>
        </w:rPr>
        <w:t xml:space="preserve">[2021] NZHC 2453 (review of defendant’s communication) at [26] adopting the considerations set out in </w:t>
      </w:r>
      <w:r w:rsidRPr="00421C05">
        <w:rPr>
          <w:i/>
          <w:szCs w:val="15"/>
        </w:rPr>
        <w:t>Courtney v Medtel Pty Ltd</w:t>
      </w:r>
      <w:r w:rsidRPr="00421C05">
        <w:rPr>
          <w:i/>
          <w:iCs/>
          <w:szCs w:val="15"/>
        </w:rPr>
        <w:t xml:space="preserve"> </w:t>
      </w:r>
      <w:r w:rsidRPr="00421C05">
        <w:rPr>
          <w:szCs w:val="15"/>
        </w:rPr>
        <w:t>[2002] FCA 957, (2002) 122 FCR 168 at [64].</w:t>
      </w:r>
    </w:p>
  </w:footnote>
  <w:footnote w:id="387">
    <w:p w14:paraId="0401FD84" w14:textId="60CDE48A"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 Response</w:t>
      </w:r>
      <w:r w:rsidRPr="00421C05">
        <w:rPr>
          <w:i/>
          <w:iCs/>
          <w:szCs w:val="15"/>
        </w:rPr>
        <w:t xml:space="preserve"> Earthquake Services Ltd </w:t>
      </w:r>
      <w:r w:rsidRPr="00421C05">
        <w:rPr>
          <w:szCs w:val="15"/>
        </w:rPr>
        <w:t xml:space="preserve">[2021] NZHC 2453 (review of defendant’s communication) at [28], noting that the purpose of an opt-out notice is to enable members of the class to make an informed decision as to opting out of the class action and that the purpose of the opt-out notice is “to inform, not to recruit”: at [27]. </w:t>
      </w:r>
    </w:p>
  </w:footnote>
  <w:footnote w:id="388">
    <w:p w14:paraId="5B676ACC"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Class Actions Practice</w:t>
      </w:r>
      <w:r w:rsidRPr="00421C05">
        <w:rPr>
          <w:i/>
          <w:iCs/>
          <w:szCs w:val="15"/>
        </w:rPr>
        <w:t xml:space="preserve"> Note</w:t>
      </w:r>
      <w:r w:rsidRPr="00421C05">
        <w:rPr>
          <w:szCs w:val="15"/>
        </w:rPr>
        <w:t xml:space="preserve"> (Federal Court of Australia, Practice Note GPN-CA, December 2019) at [11.1].</w:t>
      </w:r>
    </w:p>
  </w:footnote>
  <w:footnote w:id="389">
    <w:p w14:paraId="2978F6A4"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Class Actions Practice</w:t>
      </w:r>
      <w:r w:rsidRPr="00421C05">
        <w:rPr>
          <w:i/>
          <w:iCs/>
          <w:szCs w:val="15"/>
        </w:rPr>
        <w:t xml:space="preserve"> Note</w:t>
      </w:r>
      <w:r w:rsidRPr="00421C05">
        <w:rPr>
          <w:szCs w:val="15"/>
        </w:rPr>
        <w:t xml:space="preserve"> (Federal Court of Australia, Practice Note GPN-CA, December 2019)</w:t>
      </w:r>
      <w:r w:rsidRPr="00421C05">
        <w:rPr>
          <w:szCs w:val="15"/>
          <w:lang w:val="mi-NZ"/>
        </w:rPr>
        <w:t xml:space="preserve"> at [11.2].</w:t>
      </w:r>
    </w:p>
  </w:footnote>
  <w:footnote w:id="390">
    <w:p w14:paraId="209AC5F3" w14:textId="77777777"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Class Actions Practice</w:t>
      </w:r>
      <w:r w:rsidRPr="00421C05">
        <w:rPr>
          <w:i/>
          <w:iCs/>
          <w:szCs w:val="15"/>
        </w:rPr>
        <w:t xml:space="preserve"> Note</w:t>
      </w:r>
      <w:r w:rsidRPr="00421C05">
        <w:rPr>
          <w:szCs w:val="15"/>
        </w:rPr>
        <w:t xml:space="preserve"> (Federal Court of Australia, Practice Note GPN-CA, December 2019) </w:t>
      </w:r>
      <w:r w:rsidRPr="00421C05">
        <w:rPr>
          <w:szCs w:val="15"/>
          <w:lang w:val="mi-NZ"/>
        </w:rPr>
        <w:t>at [11.3].</w:t>
      </w:r>
    </w:p>
  </w:footnote>
  <w:footnote w:id="391">
    <w:p w14:paraId="6CA8C2FB" w14:textId="419253F9"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Federal Court of Australia Act 1976 (Cth), s 33ZF; </w:t>
      </w:r>
      <w:r w:rsidRPr="00421C05">
        <w:rPr>
          <w:szCs w:val="15"/>
        </w:rPr>
        <w:t xml:space="preserve">and </w:t>
      </w:r>
      <w:r w:rsidRPr="00421C05">
        <w:rPr>
          <w:i/>
          <w:szCs w:val="15"/>
        </w:rPr>
        <w:t>Courtney v Medtel</w:t>
      </w:r>
      <w:r w:rsidRPr="00421C05">
        <w:rPr>
          <w:i/>
          <w:iCs/>
          <w:szCs w:val="15"/>
        </w:rPr>
        <w:t xml:space="preserve"> Pty Ltd </w:t>
      </w:r>
      <w:r w:rsidRPr="00421C05">
        <w:rPr>
          <w:szCs w:val="15"/>
        </w:rPr>
        <w:t>[2002] FCA 957, (2002) 122 FCR 168, at [52].</w:t>
      </w:r>
    </w:p>
  </w:footnote>
  <w:footnote w:id="392">
    <w:p w14:paraId="214D10DF"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lang w:val="mi-NZ"/>
        </w:rPr>
        <w:t xml:space="preserve"> </w:t>
      </w:r>
      <w:r w:rsidRPr="00421C05">
        <w:rPr>
          <w:szCs w:val="15"/>
          <w:lang w:val="mi-NZ"/>
        </w:rPr>
        <w:tab/>
      </w:r>
      <w:r w:rsidRPr="00421C05">
        <w:rPr>
          <w:i/>
          <w:szCs w:val="15"/>
          <w:lang w:val="mi-NZ"/>
        </w:rPr>
        <w:t xml:space="preserve">Courtney v Medtel Pty Ltd </w:t>
      </w:r>
      <w:r w:rsidRPr="00421C05">
        <w:rPr>
          <w:szCs w:val="15"/>
        </w:rPr>
        <w:t xml:space="preserve">[2002] FCA 957, 122 FCR 168 </w:t>
      </w:r>
      <w:r w:rsidRPr="00421C05">
        <w:rPr>
          <w:szCs w:val="15"/>
          <w:lang w:val="mi-NZ"/>
        </w:rPr>
        <w:t xml:space="preserve">at [52], as quoted in </w:t>
      </w:r>
      <w:r w:rsidRPr="00421C05">
        <w:rPr>
          <w:i/>
          <w:szCs w:val="15"/>
          <w:lang w:val="mi-NZ"/>
        </w:rPr>
        <w:t>Davaria Pty Ltd v 7-Eleven</w:t>
      </w:r>
      <w:r w:rsidRPr="00421C05">
        <w:rPr>
          <w:i/>
          <w:iCs/>
          <w:szCs w:val="15"/>
          <w:lang w:val="mi-NZ"/>
        </w:rPr>
        <w:t xml:space="preserve"> Stores Pty Ltd </w:t>
      </w:r>
      <w:r w:rsidRPr="00421C05">
        <w:rPr>
          <w:szCs w:val="15"/>
          <w:lang w:val="mi-NZ"/>
        </w:rPr>
        <w:t>[2018] FCA 984 at [11].</w:t>
      </w:r>
    </w:p>
  </w:footnote>
  <w:footnote w:id="393">
    <w:p w14:paraId="248CEDE4" w14:textId="244F6724"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Courtney v Medtel P</w:t>
      </w:r>
      <w:r w:rsidRPr="00421C05">
        <w:rPr>
          <w:i/>
          <w:iCs/>
          <w:szCs w:val="15"/>
        </w:rPr>
        <w:t xml:space="preserve">ty Ltd </w:t>
      </w:r>
      <w:r w:rsidRPr="00421C05">
        <w:rPr>
          <w:szCs w:val="15"/>
        </w:rPr>
        <w:t xml:space="preserve">[2002] FCA 957, 122 FCR 168 at [45]. Compare </w:t>
      </w:r>
      <w:r w:rsidRPr="00421C05">
        <w:rPr>
          <w:i/>
          <w:szCs w:val="15"/>
          <w:lang w:val="mi-NZ"/>
        </w:rPr>
        <w:t>King v AG Australia</w:t>
      </w:r>
      <w:r w:rsidRPr="00421C05">
        <w:rPr>
          <w:i/>
          <w:iCs/>
          <w:szCs w:val="15"/>
          <w:lang w:val="mi-NZ"/>
        </w:rPr>
        <w:t xml:space="preserve"> Holdings </w:t>
      </w:r>
      <w:r w:rsidRPr="00421C05">
        <w:rPr>
          <w:szCs w:val="15"/>
          <w:lang w:val="mi-NZ"/>
        </w:rPr>
        <w:t>[2002] FCA 872, (2002) 191 ALR 697 at [42]</w:t>
      </w:r>
      <w:r w:rsidRPr="00421C05">
        <w:rPr>
          <w:szCs w:val="15"/>
        </w:rPr>
        <w:t xml:space="preserve"> where the Federal Court considered individual settlement offers could breach s 33V(1) if they were made to, and accepted by, all class members. This could effectively settle the representative proceeding without court involvement.</w:t>
      </w:r>
    </w:p>
  </w:footnote>
  <w:footnote w:id="394">
    <w:p w14:paraId="029DC6E6" w14:textId="5D00B0DA"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w:t>
      </w:r>
      <w:r w:rsidRPr="00421C05">
        <w:rPr>
          <w:i/>
          <w:szCs w:val="15"/>
        </w:rPr>
        <w:t>Durling</w:t>
      </w:r>
      <w:r w:rsidRPr="00421C05">
        <w:rPr>
          <w:i/>
          <w:iCs/>
          <w:szCs w:val="15"/>
        </w:rPr>
        <w:t xml:space="preserve"> v Sunrise Propane Energy Group Inc</w:t>
      </w:r>
      <w:r w:rsidRPr="00421C05">
        <w:rPr>
          <w:szCs w:val="15"/>
        </w:rPr>
        <w:t xml:space="preserve"> [2012] ONSC 6328 at [54] and [57]; and </w:t>
      </w:r>
      <w:r w:rsidRPr="00421C05">
        <w:rPr>
          <w:szCs w:val="15"/>
          <w:lang w:val="mi-NZ"/>
        </w:rPr>
        <w:t xml:space="preserve">Law Society of Ontario </w:t>
      </w:r>
      <w:r w:rsidRPr="00421C05">
        <w:rPr>
          <w:i/>
          <w:iCs/>
          <w:szCs w:val="15"/>
          <w:lang w:val="mi-NZ"/>
        </w:rPr>
        <w:t xml:space="preserve">Rules of Professional Conduct, </w:t>
      </w:r>
      <w:r w:rsidRPr="00421C05">
        <w:rPr>
          <w:szCs w:val="15"/>
        </w:rPr>
        <w:t>rr 7.2-6, 7.2-6A and 7.2-7.</w:t>
      </w:r>
    </w:p>
  </w:footnote>
  <w:footnote w:id="395">
    <w:p w14:paraId="45BC8A7B" w14:textId="1BC0F5D6"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1176560 Ontario</w:t>
      </w:r>
      <w:r w:rsidRPr="00421C05">
        <w:rPr>
          <w:i/>
          <w:iCs/>
          <w:szCs w:val="15"/>
        </w:rPr>
        <w:t xml:space="preserve"> Ltd. V. Great Atlantic &amp; Pacific Co. of Canada Ltd </w:t>
      </w:r>
      <w:r w:rsidRPr="00421C05">
        <w:rPr>
          <w:szCs w:val="15"/>
        </w:rPr>
        <w:t>(2002)</w:t>
      </w:r>
      <w:r w:rsidRPr="00421C05">
        <w:rPr>
          <w:i/>
          <w:iCs/>
          <w:szCs w:val="15"/>
        </w:rPr>
        <w:t xml:space="preserve"> </w:t>
      </w:r>
      <w:r w:rsidRPr="00421C05">
        <w:rPr>
          <w:szCs w:val="15"/>
        </w:rPr>
        <w:t xml:space="preserve">62 OR (3d) 535 at [77]. The power to intervene comes from Class Proceedings Act 1992, s 12. See also </w:t>
      </w:r>
      <w:r w:rsidRPr="00421C05">
        <w:rPr>
          <w:i/>
          <w:color w:val="auto"/>
          <w:szCs w:val="15"/>
        </w:rPr>
        <w:t>Del Giudice</w:t>
      </w:r>
      <w:r w:rsidRPr="00421C05">
        <w:rPr>
          <w:i/>
          <w:iCs/>
          <w:color w:val="auto"/>
          <w:szCs w:val="15"/>
        </w:rPr>
        <w:t xml:space="preserve"> v. Thompson </w:t>
      </w:r>
      <w:r w:rsidRPr="00421C05">
        <w:rPr>
          <w:color w:val="auto"/>
          <w:szCs w:val="15"/>
        </w:rPr>
        <w:t>2021 ONSC 2206</w:t>
      </w:r>
      <w:r w:rsidRPr="00421C05">
        <w:rPr>
          <w:szCs w:val="15"/>
        </w:rPr>
        <w:t xml:space="preserve"> at [37]: a defendant is entitled to “communicate with putative class members as if they were non-parties” provided that this communication does not undermine the proceedings or have the potential to cause injustice.</w:t>
      </w:r>
    </w:p>
  </w:footnote>
  <w:footnote w:id="396">
    <w:p w14:paraId="6D195983" w14:textId="39BF105E"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David F Herr </w:t>
      </w:r>
      <w:r w:rsidRPr="00421C05">
        <w:rPr>
          <w:i/>
          <w:iCs/>
          <w:szCs w:val="15"/>
          <w:lang w:val="mi-NZ"/>
        </w:rPr>
        <w:t>Annotated</w:t>
      </w:r>
      <w:r w:rsidRPr="00421C05">
        <w:rPr>
          <w:szCs w:val="15"/>
          <w:lang w:val="mi-NZ"/>
        </w:rPr>
        <w:t xml:space="preserve"> </w:t>
      </w:r>
      <w:r w:rsidRPr="00421C05">
        <w:rPr>
          <w:i/>
          <w:iCs/>
          <w:szCs w:val="15"/>
          <w:lang w:val="mi-NZ"/>
        </w:rPr>
        <w:t>Manual for Complex Litigation</w:t>
      </w:r>
      <w:r w:rsidRPr="00421C05">
        <w:rPr>
          <w:szCs w:val="15"/>
          <w:lang w:val="mi-NZ"/>
        </w:rPr>
        <w:t xml:space="preserve"> (online ed, Thomson Reuters) at 247 citing </w:t>
      </w:r>
      <w:r w:rsidRPr="00421C05">
        <w:rPr>
          <w:i/>
          <w:iCs/>
          <w:szCs w:val="15"/>
          <w:lang w:val="mi-NZ"/>
        </w:rPr>
        <w:t xml:space="preserve">In re </w:t>
      </w:r>
      <w:r w:rsidRPr="00421C05">
        <w:rPr>
          <w:i/>
          <w:szCs w:val="15"/>
          <w:lang w:val="mi-NZ"/>
        </w:rPr>
        <w:t>Sch. Asbestos Litigation</w:t>
      </w:r>
      <w:r w:rsidRPr="00421C05">
        <w:rPr>
          <w:szCs w:val="15"/>
          <w:lang w:val="mi-NZ"/>
        </w:rPr>
        <w:t xml:space="preserve"> 842 F 2d 671, 680 (3d Cir 1998) (“Rule 23 specifically empowers district courts to issue orders to prevent abuse of the class action process”). </w:t>
      </w:r>
    </w:p>
  </w:footnote>
  <w:footnote w:id="397">
    <w:p w14:paraId="008BE5B6"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David F Herr </w:t>
      </w:r>
      <w:r w:rsidRPr="00421C05">
        <w:rPr>
          <w:i/>
          <w:iCs/>
          <w:szCs w:val="15"/>
          <w:lang w:val="mi-NZ"/>
        </w:rPr>
        <w:t xml:space="preserve">Annotated Mannual for Complex Litigation </w:t>
      </w:r>
      <w:r w:rsidRPr="00421C05">
        <w:rPr>
          <w:szCs w:val="15"/>
          <w:lang w:val="mi-NZ"/>
        </w:rPr>
        <w:t xml:space="preserve">(online ed, Thomson Reuters) at 249 citing </w:t>
      </w:r>
      <w:r w:rsidRPr="00421C05">
        <w:rPr>
          <w:i/>
          <w:szCs w:val="15"/>
          <w:lang w:val="mi-NZ"/>
        </w:rPr>
        <w:t>Gulf</w:t>
      </w:r>
      <w:r w:rsidRPr="00421C05">
        <w:rPr>
          <w:i/>
          <w:iCs/>
          <w:szCs w:val="15"/>
          <w:lang w:val="mi-NZ"/>
        </w:rPr>
        <w:t xml:space="preserve"> Oil Co v Bernard</w:t>
      </w:r>
      <w:r w:rsidRPr="00421C05">
        <w:rPr>
          <w:szCs w:val="15"/>
          <w:lang w:val="mi-NZ"/>
        </w:rPr>
        <w:t xml:space="preserve"> 452 US 89 (1981) (after a class action had been commenced but before certification, the defendant continued to deal directly with potential class members concerning an offer of settlement that had been earlier negotiated with the Equal Employment Opportunity Commission (EEOC)). </w:t>
      </w:r>
    </w:p>
  </w:footnote>
  <w:footnote w:id="398">
    <w:p w14:paraId="11F838FB" w14:textId="35AFFFB1"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szCs w:val="15"/>
          <w:lang w:val="mi-NZ"/>
        </w:rPr>
        <w:t xml:space="preserve">David F Herr </w:t>
      </w:r>
      <w:r w:rsidRPr="00421C05">
        <w:rPr>
          <w:i/>
          <w:iCs/>
          <w:szCs w:val="15"/>
          <w:lang w:val="mi-NZ"/>
        </w:rPr>
        <w:t>Annotated</w:t>
      </w:r>
      <w:r w:rsidRPr="00421C05">
        <w:rPr>
          <w:szCs w:val="15"/>
          <w:lang w:val="mi-NZ"/>
        </w:rPr>
        <w:t xml:space="preserve"> </w:t>
      </w:r>
      <w:r w:rsidRPr="00421C05">
        <w:rPr>
          <w:i/>
          <w:iCs/>
          <w:szCs w:val="15"/>
          <w:lang w:val="mi-NZ"/>
        </w:rPr>
        <w:t>Manual for Complex Litigation</w:t>
      </w:r>
      <w:r w:rsidRPr="00421C05">
        <w:rPr>
          <w:szCs w:val="15"/>
          <w:lang w:val="mi-NZ"/>
        </w:rPr>
        <w:t xml:space="preserve"> (online ed, Thomson Reuters) at 249.</w:t>
      </w:r>
    </w:p>
  </w:footnote>
  <w:footnote w:id="399">
    <w:p w14:paraId="7AAEC20F" w14:textId="7777777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David F Herr </w:t>
      </w:r>
      <w:r w:rsidRPr="00421C05">
        <w:rPr>
          <w:i/>
          <w:iCs/>
          <w:szCs w:val="15"/>
          <w:lang w:val="mi-NZ"/>
        </w:rPr>
        <w:t>Annotated</w:t>
      </w:r>
      <w:r w:rsidRPr="00421C05">
        <w:rPr>
          <w:szCs w:val="15"/>
          <w:lang w:val="mi-NZ"/>
        </w:rPr>
        <w:t xml:space="preserve"> </w:t>
      </w:r>
      <w:r w:rsidRPr="00421C05">
        <w:rPr>
          <w:i/>
          <w:iCs/>
          <w:szCs w:val="15"/>
          <w:lang w:val="mi-NZ"/>
        </w:rPr>
        <w:t>Manual for Complex Litigation</w:t>
      </w:r>
      <w:r w:rsidRPr="00421C05">
        <w:rPr>
          <w:szCs w:val="15"/>
          <w:lang w:val="mi-NZ"/>
        </w:rPr>
        <w:t xml:space="preserve"> (online ed, Thomson Reuters) </w:t>
      </w:r>
      <w:r w:rsidRPr="00421C05">
        <w:rPr>
          <w:szCs w:val="15"/>
        </w:rPr>
        <w:t>at 300.</w:t>
      </w:r>
    </w:p>
  </w:footnote>
  <w:footnote w:id="400">
    <w:p w14:paraId="1D57ACBB" w14:textId="5614DE38"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Except as authorised by </w:t>
      </w:r>
      <w:r w:rsidRPr="00421C05">
        <w:rPr>
          <w:szCs w:val="15"/>
        </w:rPr>
        <w:t>Lawyers and Conveyancers Act (Lawyers: Conduct and Client Care) Rules 2008, r 10.4.</w:t>
      </w:r>
      <w:r w:rsidRPr="00421C05">
        <w:rPr>
          <w:szCs w:val="15"/>
          <w:lang w:val="mi-NZ"/>
        </w:rPr>
        <w:t xml:space="preserve"> </w:t>
      </w:r>
    </w:p>
  </w:footnote>
  <w:footnote w:id="401">
    <w:p w14:paraId="478A33C3" w14:textId="5D695755"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For example </w:t>
      </w:r>
      <w:r w:rsidRPr="00421C05">
        <w:rPr>
          <w:i/>
          <w:iCs/>
          <w:szCs w:val="15"/>
          <w:lang w:val="mi-NZ"/>
        </w:rPr>
        <w:t xml:space="preserve">Class Actions Practice Note </w:t>
      </w:r>
      <w:r w:rsidRPr="00421C05">
        <w:rPr>
          <w:szCs w:val="15"/>
          <w:lang w:val="mi-NZ"/>
        </w:rPr>
        <w:t>(Federal Court of Australia, Practice Note GPN-CA, December 2019) at [11.2].</w:t>
      </w:r>
    </w:p>
  </w:footnote>
  <w:footnote w:id="402">
    <w:p w14:paraId="7710E7B8" w14:textId="77777777" w:rsidR="00A55F53" w:rsidRPr="00421C05" w:rsidRDefault="00A55F53" w:rsidP="00253C06">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Courtney</w:t>
      </w:r>
      <w:r w:rsidRPr="00421C05">
        <w:rPr>
          <w:i/>
          <w:iCs/>
          <w:szCs w:val="15"/>
        </w:rPr>
        <w:t xml:space="preserve"> v Medtel Pty Ltd </w:t>
      </w:r>
      <w:r w:rsidRPr="00421C05">
        <w:rPr>
          <w:szCs w:val="15"/>
        </w:rPr>
        <w:t xml:space="preserve">[2002] FCA 957, 122 FCR 168 at [52]. See also </w:t>
      </w:r>
      <w:r w:rsidRPr="00421C05">
        <w:rPr>
          <w:i/>
          <w:szCs w:val="15"/>
        </w:rPr>
        <w:t>Ross</w:t>
      </w:r>
      <w:r w:rsidRPr="00421C05">
        <w:rPr>
          <w:i/>
          <w:iCs/>
          <w:szCs w:val="15"/>
        </w:rPr>
        <w:t xml:space="preserve"> v Southern Response Earthquake Services Ltd </w:t>
      </w:r>
      <w:r w:rsidRPr="00421C05">
        <w:rPr>
          <w:szCs w:val="15"/>
        </w:rPr>
        <w:t>[2021] NZHC 2451 (reasons judgment) at [170].</w:t>
      </w:r>
    </w:p>
  </w:footnote>
  <w:footnote w:id="403">
    <w:p w14:paraId="5E966A30" w14:textId="3A7FB0AB"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For example if a further opt-out period is provided at settlement, as discussed in Chapter 6.</w:t>
      </w:r>
    </w:p>
  </w:footnote>
  <w:footnote w:id="404">
    <w:p w14:paraId="4B74A674" w14:textId="071FFFE0"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In </w:t>
      </w:r>
      <w:r w:rsidRPr="00421C05">
        <w:rPr>
          <w:i/>
          <w:szCs w:val="15"/>
        </w:rPr>
        <w:t xml:space="preserve">Ross, </w:t>
      </w:r>
      <w:r w:rsidRPr="00421C05">
        <w:rPr>
          <w:szCs w:val="15"/>
        </w:rPr>
        <w:t xml:space="preserve">a condition of the individual settlement was that policy holders opt-out of the representative action: </w:t>
      </w:r>
      <w:r w:rsidRPr="00421C05">
        <w:rPr>
          <w:i/>
          <w:iCs/>
          <w:szCs w:val="15"/>
        </w:rPr>
        <w:t xml:space="preserve">Ross v Southern Response Earthquake Services Ltd </w:t>
      </w:r>
      <w:r w:rsidRPr="00421C05">
        <w:rPr>
          <w:szCs w:val="15"/>
        </w:rPr>
        <w:t>[2021] NZHC 2451 (reasons judgment) at [28].</w:t>
      </w:r>
    </w:p>
  </w:footnote>
  <w:footnote w:id="405">
    <w:p w14:paraId="55228303" w14:textId="1FDFE108"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 xml:space="preserve">§ </w:t>
      </w:r>
      <w:r w:rsidRPr="00421C05">
        <w:rPr>
          <w:szCs w:val="15"/>
        </w:rPr>
        <w:t xml:space="preserve">9.2. See also </w:t>
      </w:r>
      <w:r w:rsidRPr="00421C05">
        <w:rPr>
          <w:i/>
          <w:szCs w:val="15"/>
        </w:rPr>
        <w:t>Capic</w:t>
      </w:r>
      <w:r w:rsidRPr="00421C05">
        <w:rPr>
          <w:i/>
          <w:iCs/>
          <w:szCs w:val="15"/>
        </w:rPr>
        <w:t xml:space="preserve"> v Ford Motor Company of Australia Ltd</w:t>
      </w:r>
      <w:r w:rsidRPr="00421C05">
        <w:rPr>
          <w:szCs w:val="15"/>
        </w:rPr>
        <w:t xml:space="preserve"> [2016] FCA 1020 at [20] where the Court noted that allowing defendants to settle directly with individual class members may result in a claim being compromised. In Ontario, the Superior Court of Justice has recognised communications could</w:t>
      </w:r>
      <w:r w:rsidRPr="00421C05">
        <w:rPr>
          <w:szCs w:val="15"/>
          <w:lang w:eastAsia="en-AU"/>
        </w:rPr>
        <w:t xml:space="preserve"> be used as a “tactic to thwart the class action”: </w:t>
      </w:r>
      <w:r w:rsidRPr="00421C05">
        <w:rPr>
          <w:i/>
          <w:szCs w:val="15"/>
        </w:rPr>
        <w:t>Lundy</w:t>
      </w:r>
      <w:r w:rsidRPr="00421C05">
        <w:rPr>
          <w:i/>
          <w:iCs/>
          <w:szCs w:val="15"/>
        </w:rPr>
        <w:t xml:space="preserve"> v Via Rail Canada Inc </w:t>
      </w:r>
      <w:r w:rsidRPr="00421C05">
        <w:rPr>
          <w:szCs w:val="15"/>
        </w:rPr>
        <w:t>(2012) 111 OR (3d) 628 (ONSC) at [8].</w:t>
      </w:r>
    </w:p>
  </w:footnote>
  <w:footnote w:id="406">
    <w:p w14:paraId="2808DFE2" w14:textId="5AF51E53"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w:t>
      </w:r>
      <w:r w:rsidRPr="00421C05">
        <w:rPr>
          <w:i/>
          <w:szCs w:val="15"/>
          <w:lang w:val="mi-NZ"/>
        </w:rPr>
        <w:t>King</w:t>
      </w:r>
      <w:r w:rsidRPr="00421C05">
        <w:rPr>
          <w:i/>
          <w:iCs/>
          <w:szCs w:val="15"/>
          <w:lang w:val="mi-NZ"/>
        </w:rPr>
        <w:t xml:space="preserve"> v AG Australia Holdings Ltd</w:t>
      </w:r>
      <w:r w:rsidRPr="00421C05">
        <w:rPr>
          <w:szCs w:val="15"/>
          <w:lang w:val="mi-NZ"/>
        </w:rPr>
        <w:t xml:space="preserve">, where the Court noted that individual offers of settlement could breach s 33V (the settlement provision in the Federal Court of Australia Act 1976 (Cth)) if they were made out to, and accepted by, all class members: </w:t>
      </w:r>
      <w:r w:rsidRPr="00421C05">
        <w:rPr>
          <w:i/>
          <w:iCs/>
          <w:szCs w:val="15"/>
          <w:lang w:val="mi-NZ"/>
        </w:rPr>
        <w:t xml:space="preserve">King v AG Australia Holdings Ltd </w:t>
      </w:r>
      <w:r w:rsidRPr="00421C05">
        <w:rPr>
          <w:szCs w:val="15"/>
          <w:lang w:val="mi-NZ"/>
        </w:rPr>
        <w:t xml:space="preserve">[2002] FCA 872 at </w:t>
      </w:r>
      <w:r w:rsidRPr="00421C05">
        <w:rPr>
          <w:szCs w:val="15"/>
        </w:rPr>
        <w:t>[42].</w:t>
      </w:r>
    </w:p>
  </w:footnote>
  <w:footnote w:id="407">
    <w:p w14:paraId="7781BA1D" w14:textId="6E7B5AC7"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Ross</w:t>
      </w:r>
      <w:r w:rsidRPr="00421C05">
        <w:rPr>
          <w:i/>
          <w:iCs/>
          <w:szCs w:val="15"/>
        </w:rPr>
        <w:t xml:space="preserve"> v Southern Response Earthquake Services Ltd </w:t>
      </w:r>
      <w:r w:rsidRPr="00421C05">
        <w:rPr>
          <w:szCs w:val="15"/>
        </w:rPr>
        <w:t>[2021] NZHC 2451 (reasons judgment) at [175].</w:t>
      </w:r>
    </w:p>
  </w:footnote>
  <w:footnote w:id="408">
    <w:p w14:paraId="637CB45F" w14:textId="19DD6EF5" w:rsidR="00A55F53" w:rsidRPr="00421C05" w:rsidRDefault="00A55F53" w:rsidP="00BD3A3C">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lang w:val="mi-NZ"/>
        </w:rPr>
        <w:t>Ross</w:t>
      </w:r>
      <w:r w:rsidRPr="00421C05">
        <w:rPr>
          <w:i/>
          <w:iCs/>
          <w:szCs w:val="15"/>
          <w:lang w:val="mi-NZ"/>
        </w:rPr>
        <w:t xml:space="preserve"> v Southern Response Earthquake Services Ltd </w:t>
      </w:r>
      <w:r w:rsidRPr="00421C05">
        <w:rPr>
          <w:szCs w:val="15"/>
          <w:lang w:val="mi-NZ"/>
        </w:rPr>
        <w:t>[2021] NZHC 2453 (review of defendant’s communication) at [87].</w:t>
      </w:r>
    </w:p>
  </w:footnote>
  <w:footnote w:id="409">
    <w:p w14:paraId="422097F3" w14:textId="4258405E" w:rsidR="00A55F53" w:rsidRPr="00421C05" w:rsidRDefault="00A55F53" w:rsidP="00253C06">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w:t>
      </w:r>
      <w:r w:rsidRPr="00421C05">
        <w:rPr>
          <w:i/>
          <w:iCs/>
          <w:szCs w:val="15"/>
        </w:rPr>
        <w:t xml:space="preserve"> v Southern Response Earthquake Services Ltd </w:t>
      </w:r>
      <w:r w:rsidRPr="00421C05">
        <w:rPr>
          <w:szCs w:val="15"/>
        </w:rPr>
        <w:t xml:space="preserve">[2021] NZHC 253 (results judgment); and </w:t>
      </w:r>
      <w:r w:rsidRPr="00421C05">
        <w:rPr>
          <w:i/>
          <w:szCs w:val="15"/>
        </w:rPr>
        <w:t>Ross</w:t>
      </w:r>
      <w:r w:rsidRPr="00421C05">
        <w:rPr>
          <w:i/>
          <w:iCs/>
          <w:szCs w:val="15"/>
        </w:rPr>
        <w:t xml:space="preserve"> v Southern Response Earthquake Services Ltd </w:t>
      </w:r>
      <w:r w:rsidRPr="00421C05">
        <w:rPr>
          <w:szCs w:val="15"/>
        </w:rPr>
        <w:t xml:space="preserve">[2021] NZHC 2451 (reasons judgment). </w:t>
      </w:r>
    </w:p>
  </w:footnote>
  <w:footnote w:id="410">
    <w:p w14:paraId="77720D48" w14:textId="759AAB36" w:rsidR="00A55F53" w:rsidRPr="00421C05" w:rsidRDefault="00A55F53" w:rsidP="00253C06">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w:t>
      </w:r>
      <w:r w:rsidRPr="00421C05">
        <w:rPr>
          <w:i/>
          <w:szCs w:val="15"/>
          <w:lang w:val="mi-NZ"/>
        </w:rPr>
        <w:t>Ross</w:t>
      </w:r>
      <w:r w:rsidRPr="00421C05">
        <w:rPr>
          <w:i/>
          <w:iCs/>
          <w:szCs w:val="15"/>
          <w:lang w:val="mi-NZ"/>
        </w:rPr>
        <w:t xml:space="preserve"> v Southern Response Earthquake Services Ltd </w:t>
      </w:r>
      <w:r w:rsidRPr="00421C05">
        <w:rPr>
          <w:szCs w:val="15"/>
          <w:lang w:val="mi-NZ"/>
        </w:rPr>
        <w:t>[2021] NZHC 2453 (review of defendant’s communication) at [25]–[28].</w:t>
      </w:r>
    </w:p>
  </w:footnote>
  <w:footnote w:id="411">
    <w:p w14:paraId="3C0A08D2" w14:textId="63698A42" w:rsidR="00A55F53" w:rsidRPr="00421C05" w:rsidRDefault="00A55F53" w:rsidP="00D36A28">
      <w:pPr>
        <w:pStyle w:val="FootnoteText"/>
        <w:rPr>
          <w:szCs w:val="15"/>
          <w:lang w:val="mi-NZ"/>
        </w:rPr>
      </w:pPr>
      <w:r w:rsidRPr="00421C05">
        <w:rPr>
          <w:rStyle w:val="FootnoteReference"/>
          <w:sz w:val="15"/>
          <w:szCs w:val="15"/>
        </w:rPr>
        <w:footnoteRef/>
      </w:r>
      <w:r w:rsidRPr="00421C05">
        <w:rPr>
          <w:rStyle w:val="FootnoteReference"/>
          <w:sz w:val="15"/>
        </w:rPr>
        <w:t xml:space="preserve"> </w:t>
      </w:r>
      <w:r w:rsidRPr="00421C05">
        <w:rPr>
          <w:szCs w:val="15"/>
          <w:lang w:val="mi-NZ"/>
        </w:rPr>
        <w:tab/>
        <w:t xml:space="preserve">Ontario </w:t>
      </w:r>
      <w:r w:rsidRPr="00421C05">
        <w:rPr>
          <w:szCs w:val="15"/>
        </w:rPr>
        <w:t xml:space="preserve">Law Reform Commission </w:t>
      </w:r>
      <w:r w:rsidRPr="00421C05">
        <w:rPr>
          <w:i/>
          <w:szCs w:val="15"/>
        </w:rPr>
        <w:t>Report on Class Actions</w:t>
      </w:r>
      <w:r w:rsidRPr="00421C05">
        <w:rPr>
          <w:szCs w:val="15"/>
        </w:rPr>
        <w:t xml:space="preserve"> (1982</w:t>
      </w:r>
      <w:r w:rsidRPr="00421C05">
        <w:rPr>
          <w:szCs w:val="15"/>
          <w:lang w:val="mi-NZ"/>
        </w:rPr>
        <w:t>) vol II at 493.</w:t>
      </w:r>
    </w:p>
  </w:footnote>
  <w:footnote w:id="412">
    <w:p w14:paraId="68013A93" w14:textId="1F5D4291" w:rsidR="00A55F53" w:rsidRPr="00421C05" w:rsidRDefault="00A55F53" w:rsidP="00D36A28">
      <w:pPr>
        <w:pStyle w:val="FootnoteText"/>
        <w:rPr>
          <w:szCs w:val="15"/>
          <w:lang w:val="mi-NZ"/>
        </w:rPr>
      </w:pPr>
      <w:r w:rsidRPr="00421C05">
        <w:rPr>
          <w:rStyle w:val="FootnoteReference"/>
          <w:sz w:val="15"/>
          <w:szCs w:val="15"/>
        </w:rPr>
        <w:footnoteRef/>
      </w:r>
      <w:r w:rsidRPr="00421C05">
        <w:rPr>
          <w:rStyle w:val="FootnoteReference"/>
          <w:sz w:val="15"/>
        </w:rPr>
        <w:t xml:space="preserve"> </w:t>
      </w:r>
      <w:r w:rsidRPr="00421C05">
        <w:rPr>
          <w:szCs w:val="15"/>
          <w:lang w:val="mi-NZ"/>
        </w:rPr>
        <w:tab/>
        <w:t xml:space="preserve">The content of a notice of proposed or approved settlement is discussed in Chapter 6. </w:t>
      </w:r>
    </w:p>
  </w:footnote>
  <w:footnote w:id="413">
    <w:p w14:paraId="123114E3" w14:textId="60043189"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s</w:t>
      </w:r>
      <w:r w:rsidRPr="00421C05">
        <w:rPr>
          <w:rFonts w:cstheme="minorHAnsi"/>
          <w:color w:val="000000"/>
          <w:szCs w:val="15"/>
          <w:shd w:val="clear" w:color="auto" w:fill="FFFFFF"/>
        </w:rPr>
        <w:t xml:space="preserve"> 33X(1)(a); </w:t>
      </w:r>
      <w:r w:rsidRPr="00421C05">
        <w:rPr>
          <w:rFonts w:eastAsia="Metropolis Light" w:cs="Metropolis Light"/>
          <w:color w:val="000000" w:themeColor="text1"/>
          <w:szCs w:val="15"/>
          <w:lang w:val="mi-NZ"/>
        </w:rPr>
        <w:t xml:space="preserve">Class Proceedings Act SO 1992 c 6 </w:t>
      </w:r>
      <w:r w:rsidRPr="00421C05">
        <w:rPr>
          <w:szCs w:val="15"/>
        </w:rPr>
        <w:t xml:space="preserve">(Ontario), s 17(2)–(3); </w:t>
      </w:r>
      <w:r w:rsidRPr="00421C05">
        <w:rPr>
          <w:rFonts w:eastAsia="Metropolis Light" w:cs="Metropolis Light"/>
          <w:color w:val="000000" w:themeColor="text1"/>
          <w:szCs w:val="15"/>
          <w:lang w:val="mi-NZ"/>
        </w:rPr>
        <w:t>United States Federal Rules of Civil Procedure</w:t>
      </w:r>
      <w:r w:rsidRPr="00421C05">
        <w:rPr>
          <w:rFonts w:cstheme="minorHAnsi"/>
          <w:color w:val="000000"/>
          <w:szCs w:val="15"/>
          <w:shd w:val="clear" w:color="auto" w:fill="FFFFFF"/>
        </w:rPr>
        <w:t xml:space="preserve">, r 23(c)(2)(B); and The Competition Appeal Tribunal Rules 2015 </w:t>
      </w:r>
      <w:r w:rsidRPr="00421C05">
        <w:rPr>
          <w:szCs w:val="15"/>
        </w:rPr>
        <w:t>(UK), r 81. Note Canada also requires notice of a certification application to be given to a representative plaintiff of any class proceeding or proposed class proceeding commenced in another provincial jurisdiction when it involves both the same or similar subject matter and contains some or all of the same class members: see for example Class Proceedings Act SO 1992 c 6 (Ontario), s 2(4).</w:t>
      </w:r>
    </w:p>
  </w:footnote>
  <w:footnote w:id="414">
    <w:p w14:paraId="7FFB0920" w14:textId="7BAFD3C8"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In Australia and the United States, notice is mandatory for damages class actions but there is discretion to excuse notice when damages are not sought: see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s</w:t>
      </w:r>
      <w:r w:rsidRPr="00421C05">
        <w:rPr>
          <w:rFonts w:cstheme="minorHAnsi"/>
          <w:color w:val="000000"/>
          <w:szCs w:val="15"/>
          <w:shd w:val="clear" w:color="auto" w:fill="FFFFFF"/>
        </w:rPr>
        <w:t xml:space="preserve"> 33X(2); and </w:t>
      </w:r>
      <w:r w:rsidRPr="00421C05">
        <w:rPr>
          <w:rFonts w:eastAsia="Metropolis Light" w:cs="Metropolis Light"/>
          <w:color w:val="000000" w:themeColor="text1"/>
          <w:szCs w:val="15"/>
          <w:lang w:val="mi-NZ"/>
        </w:rPr>
        <w:t xml:space="preserve">United States Federal Rules of Civil Procedure, r </w:t>
      </w:r>
      <w:r w:rsidRPr="00421C05">
        <w:rPr>
          <w:rFonts w:cstheme="minorHAnsi"/>
          <w:color w:val="000000"/>
          <w:szCs w:val="15"/>
          <w:shd w:val="clear" w:color="auto" w:fill="FFFFFF"/>
        </w:rPr>
        <w:t xml:space="preserve">23(c)(2)(B). </w:t>
      </w:r>
      <w:r w:rsidRPr="00421C05">
        <w:rPr>
          <w:szCs w:val="15"/>
        </w:rPr>
        <w:t xml:space="preserve">In Canada, courts have a discretion to dispense with notice for any class action proceeding, </w:t>
      </w:r>
      <w:r w:rsidRPr="00421C05">
        <w:rPr>
          <w:szCs w:val="15"/>
          <w:lang w:val="mi-NZ"/>
        </w:rPr>
        <w:t>having regard to certain factors. See</w:t>
      </w:r>
      <w:r w:rsidRPr="00421C05">
        <w:rPr>
          <w:szCs w:val="15"/>
        </w:rPr>
        <w:t xml:space="preserve"> for example</w:t>
      </w:r>
      <w:r w:rsidRPr="00421C05">
        <w:rPr>
          <w:rFonts w:eastAsia="Metropolis Light" w:cs="Metropolis Light"/>
          <w:color w:val="000000" w:themeColor="text1"/>
          <w:szCs w:val="15"/>
          <w:lang w:val="mi-NZ"/>
        </w:rPr>
        <w:t xml:space="preserve"> Class Proceedings Act SO 1992 c 6 </w:t>
      </w:r>
      <w:r w:rsidRPr="00421C05">
        <w:rPr>
          <w:szCs w:val="15"/>
        </w:rPr>
        <w:t xml:space="preserve">(Ontario), s 17(2)–(3). </w:t>
      </w:r>
    </w:p>
  </w:footnote>
  <w:footnote w:id="415">
    <w:p w14:paraId="5C9A0776" w14:textId="5FAFD9B8"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Style w:val="normaltextrun"/>
          <w:rFonts w:cstheme="minorHAnsi"/>
          <w:color w:val="000000"/>
          <w:szCs w:val="15"/>
        </w:rPr>
        <w:t xml:space="preserve">Federal Court of Australia Act 1976 (Cth), s </w:t>
      </w:r>
      <w:r w:rsidRPr="00421C05">
        <w:rPr>
          <w:rFonts w:cstheme="minorHAnsi"/>
          <w:szCs w:val="15"/>
        </w:rPr>
        <w:t>33K(5).</w:t>
      </w:r>
    </w:p>
  </w:footnote>
  <w:footnote w:id="416">
    <w:p w14:paraId="1C1D1701" w14:textId="152B2BEF"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See for example Class Proceedings Act SO 1992 c 6 (Ontario), s 18; and The Competition Appeal Tribunal Rules 2015 (UK), r 88(3). </w:t>
      </w:r>
    </w:p>
  </w:footnote>
  <w:footnote w:id="417">
    <w:p w14:paraId="230852BD" w14:textId="5D6DD8E1"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color w:val="000000"/>
          <w:szCs w:val="15"/>
          <w:shd w:val="clear" w:color="auto" w:fill="FFFFFF"/>
        </w:rPr>
        <w:t xml:space="preserve">33X(1)(c); and The </w:t>
      </w:r>
      <w:r w:rsidRPr="00421C05">
        <w:rPr>
          <w:szCs w:val="15"/>
        </w:rPr>
        <w:t xml:space="preserve">Competition Appeal Tribunal Rules 2015 (UK), r 87(1)–(2). </w:t>
      </w:r>
    </w:p>
  </w:footnote>
  <w:footnote w:id="418">
    <w:p w14:paraId="115ADA2E" w14:textId="77EAB5DC"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color w:val="000000"/>
          <w:szCs w:val="15"/>
          <w:shd w:val="clear" w:color="auto" w:fill="FFFFFF"/>
        </w:rPr>
        <w:t>33W(4)(a).</w:t>
      </w:r>
    </w:p>
  </w:footnote>
  <w:footnote w:id="419">
    <w:p w14:paraId="6570CF0E" w14:textId="6C693AAB"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color w:val="000000"/>
          <w:szCs w:val="15"/>
          <w:shd w:val="clear" w:color="auto" w:fill="FFFFFF"/>
        </w:rPr>
        <w:t>33X(1)(b).</w:t>
      </w:r>
    </w:p>
  </w:footnote>
  <w:footnote w:id="420">
    <w:p w14:paraId="33C43CB4" w14:textId="7D3558C4"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for example </w:t>
      </w:r>
      <w:r w:rsidRPr="00421C05">
        <w:rPr>
          <w:rFonts w:cstheme="minorHAnsi"/>
          <w:color w:val="000000"/>
          <w:szCs w:val="15"/>
          <w:shd w:val="clear" w:color="auto" w:fill="FFFFFF"/>
        </w:rPr>
        <w:t xml:space="preserve">United States Federal Rules of Civil Procedure, r </w:t>
      </w:r>
      <w:r w:rsidRPr="00421C05">
        <w:rPr>
          <w:szCs w:val="15"/>
        </w:rPr>
        <w:t>23(e)(1)(B); and T</w:t>
      </w:r>
      <w:r w:rsidRPr="00421C05">
        <w:rPr>
          <w:color w:val="0D0D0D"/>
          <w:szCs w:val="15"/>
          <w:shd w:val="clear" w:color="auto" w:fill="FFFFFF"/>
          <w:lang w:val="mi-NZ" w:eastAsia="en-AU"/>
        </w:rPr>
        <w:t>he</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Competition</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 xml:space="preserve">Appeal Tribunal Rules 2015 (UK), r 94(6)(b). </w:t>
      </w:r>
    </w:p>
  </w:footnote>
  <w:footnote w:id="421">
    <w:p w14:paraId="0A599F75" w14:textId="4E39C48E"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for example </w:t>
      </w:r>
      <w:r w:rsidRPr="00421C05">
        <w:rPr>
          <w:rStyle w:val="normaltextrun"/>
          <w:rFonts w:cstheme="minorHAnsi"/>
          <w:color w:val="000000"/>
          <w:szCs w:val="15"/>
        </w:rPr>
        <w:t xml:space="preserve">Class Proceedings Act SO 1992 c 6 (Ontario), </w:t>
      </w:r>
      <w:r w:rsidRPr="00421C05">
        <w:rPr>
          <w:rFonts w:cstheme="minorHAnsi"/>
          <w:szCs w:val="15"/>
        </w:rPr>
        <w:t>s 27.1(12).</w:t>
      </w:r>
    </w:p>
  </w:footnote>
  <w:footnote w:id="422">
    <w:p w14:paraId="2B470BB8" w14:textId="0322706D"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See for example The Competition Appeal Tribunal Rules 2015 (UK), r 91(2).</w:t>
      </w:r>
    </w:p>
  </w:footnote>
  <w:footnote w:id="423">
    <w:p w14:paraId="5F995EDE" w14:textId="5C19D441"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szCs w:val="15"/>
        </w:rPr>
        <w:t>33ZA(3); and T</w:t>
      </w:r>
      <w:r w:rsidRPr="00421C05">
        <w:rPr>
          <w:szCs w:val="15"/>
        </w:rPr>
        <w:t>he Competition Appeal Tribunal Rules 2015 (UK), r 92(1),(3).</w:t>
      </w:r>
    </w:p>
  </w:footnote>
  <w:footnote w:id="424">
    <w:p w14:paraId="19D9605D" w14:textId="77777777" w:rsidR="00A55F53" w:rsidRPr="00421C05" w:rsidRDefault="00A55F53" w:rsidP="00D36A28">
      <w:pPr>
        <w:pStyle w:val="FootnoteText"/>
        <w:spacing w:after="0"/>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szCs w:val="15"/>
        </w:rPr>
        <w:t>33ZC(7).</w:t>
      </w:r>
    </w:p>
  </w:footnote>
  <w:footnote w:id="425">
    <w:p w14:paraId="435290F9" w14:textId="672483E1" w:rsidR="00A55F53" w:rsidRPr="00421C05" w:rsidRDefault="00A55F53" w:rsidP="00D36A28">
      <w:pPr>
        <w:pStyle w:val="FootnoteText"/>
        <w:spacing w:before="0"/>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color w:val="000000"/>
          <w:szCs w:val="15"/>
          <w:shd w:val="clear" w:color="auto" w:fill="FFFFFF"/>
        </w:rPr>
        <w:t>33X(5); Class Proceedings Act SO 1992 c 6 (Ontario), s 19(1); United States Federal Rules of Civil Procedure, r 23(d)(1)(B)(i); and T</w:t>
      </w:r>
      <w:r w:rsidRPr="00421C05">
        <w:rPr>
          <w:szCs w:val="15"/>
        </w:rPr>
        <w:t>he Competition Appeal Tribunal Rules 2015 (UK), r 88(2)(d).</w:t>
      </w:r>
    </w:p>
  </w:footnote>
  <w:footnote w:id="426">
    <w:p w14:paraId="51907B58" w14:textId="7D7E31A9"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The Ontario Law Reform Commission thought the functions of notice were: to ensure class members are adequately represented, to enable them to opt out of the proceeding, and to inform class members what steps they will have to take following the judgment on the common issues: Ontario </w:t>
      </w:r>
      <w:r w:rsidRPr="00421C05">
        <w:rPr>
          <w:szCs w:val="15"/>
        </w:rPr>
        <w:t xml:space="preserve">Law Reform Commission </w:t>
      </w:r>
      <w:r w:rsidRPr="00421C05">
        <w:rPr>
          <w:i/>
          <w:szCs w:val="15"/>
        </w:rPr>
        <w:t>Report on Class Actions</w:t>
      </w:r>
      <w:r w:rsidRPr="00421C05">
        <w:rPr>
          <w:szCs w:val="15"/>
        </w:rPr>
        <w:t xml:space="preserve"> (1982</w:t>
      </w:r>
      <w:r w:rsidRPr="00421C05">
        <w:rPr>
          <w:szCs w:val="15"/>
          <w:lang w:val="mi-NZ"/>
        </w:rPr>
        <w:t xml:space="preserve">) vol II at 493. </w:t>
      </w:r>
    </w:p>
  </w:footnote>
  <w:footnote w:id="427">
    <w:p w14:paraId="2ED8C579" w14:textId="49B92670"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Ross v Southern Response Earthquake Services Ltd </w:t>
      </w:r>
      <w:r w:rsidRPr="00421C05">
        <w:rPr>
          <w:szCs w:val="15"/>
        </w:rPr>
        <w:t xml:space="preserve">[2021] NZHC 2452 (opt-out notice requirements) at [30] quoting </w:t>
      </w:r>
      <w:r w:rsidRPr="00421C05">
        <w:rPr>
          <w:i/>
          <w:szCs w:val="15"/>
        </w:rPr>
        <w:t xml:space="preserve">Femcare Ltd v Bright </w:t>
      </w:r>
      <w:r w:rsidRPr="00421C05">
        <w:rPr>
          <w:szCs w:val="15"/>
        </w:rPr>
        <w:t>[2000] FCA 512, (2000) 100 FCR 331 at [74] (“… to find the most economical means of ensuring that the group members are informed of the proceeding and their rights”).</w:t>
      </w:r>
    </w:p>
  </w:footnote>
  <w:footnote w:id="428">
    <w:p w14:paraId="4D1C7904" w14:textId="29FE5342"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Ross v Southern Response Earthquake Services Ltd </w:t>
      </w:r>
      <w:r w:rsidRPr="00421C05">
        <w:rPr>
          <w:szCs w:val="15"/>
        </w:rPr>
        <w:t>[2021] NZHC 2452 (opt-out notice requirements) at [196(f)–(h)].</w:t>
      </w:r>
    </w:p>
  </w:footnote>
  <w:footnote w:id="429">
    <w:p w14:paraId="585B61EC" w14:textId="18B13620"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szCs w:val="15"/>
        </w:rPr>
        <w:t xml:space="preserve">33Y(3)(b); </w:t>
      </w:r>
      <w:r w:rsidRPr="00421C05">
        <w:rPr>
          <w:szCs w:val="15"/>
        </w:rPr>
        <w:t xml:space="preserve">Class Proceedings Act SO 1992 c 6 (Ontario), ss 17(3), 18(2), 19(2); The Competition Appeal Tribunal Rules 2015 </w:t>
      </w:r>
      <w:r w:rsidRPr="00421C05">
        <w:rPr>
          <w:color w:val="0D0D0D"/>
          <w:szCs w:val="15"/>
          <w:shd w:val="clear" w:color="auto" w:fill="FFFFFF"/>
          <w:lang w:val="mi-NZ" w:eastAsia="en-AU"/>
        </w:rPr>
        <w:t xml:space="preserve">(UK), r </w:t>
      </w:r>
      <w:r w:rsidRPr="00421C05">
        <w:rPr>
          <w:szCs w:val="15"/>
        </w:rPr>
        <w:t>81; and United States Federal Rules of Civil Procedure, r</w:t>
      </w:r>
      <w:r w:rsidRPr="00421C05">
        <w:rPr>
          <w:color w:val="0D0D0D"/>
          <w:szCs w:val="15"/>
          <w:shd w:val="clear" w:color="auto" w:fill="FFFFFF"/>
          <w:lang w:val="mi-NZ" w:eastAsia="en-AU"/>
        </w:rPr>
        <w:t xml:space="preserve"> </w:t>
      </w:r>
      <w:r w:rsidRPr="00421C05">
        <w:rPr>
          <w:szCs w:val="15"/>
        </w:rPr>
        <w:t xml:space="preserve">23(c)(2)(B), </w:t>
      </w:r>
      <w:r w:rsidRPr="00421C05">
        <w:rPr>
          <w:szCs w:val="15"/>
          <w:lang w:val="mi-NZ"/>
        </w:rPr>
        <w:t>23(e)(1)(B), 23(d)(1)(B).</w:t>
      </w:r>
    </w:p>
  </w:footnote>
  <w:footnote w:id="430">
    <w:p w14:paraId="44C881E9" w14:textId="77777777" w:rsidR="00A55F53" w:rsidRPr="00421C05" w:rsidRDefault="00A55F53" w:rsidP="00D36A28">
      <w:pPr>
        <w:pStyle w:val="FootnoteText"/>
        <w:rPr>
          <w:rFonts w:cstheme="minorHAnsi"/>
          <w:szCs w:val="15"/>
        </w:rPr>
      </w:pPr>
      <w:r w:rsidRPr="00421C05">
        <w:rPr>
          <w:rStyle w:val="FootnoteReference"/>
          <w:rFonts w:cstheme="minorHAnsi"/>
          <w:sz w:val="15"/>
          <w:szCs w:val="15"/>
        </w:rPr>
        <w:footnoteRef/>
      </w:r>
      <w:r w:rsidRPr="00421C05">
        <w:rPr>
          <w:rFonts w:cstheme="minorHAnsi"/>
          <w:szCs w:val="15"/>
        </w:rPr>
        <w:t xml:space="preserve"> </w:t>
      </w:r>
      <w:r w:rsidRPr="00421C05">
        <w:rPr>
          <w:rFonts w:cstheme="minorHAnsi"/>
          <w:szCs w:val="15"/>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szCs w:val="15"/>
        </w:rPr>
        <w:t xml:space="preserve">33Y(5). </w:t>
      </w:r>
    </w:p>
  </w:footnote>
  <w:footnote w:id="431">
    <w:p w14:paraId="5B2CA60E"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Metropolis Light" w:cs="Metropolis Light"/>
          <w:color w:val="000000" w:themeColor="text1"/>
          <w:szCs w:val="15"/>
          <w:lang w:val="mi-NZ"/>
        </w:rPr>
        <w:t xml:space="preserve">United States Federal Rules of Civil Procedure, r </w:t>
      </w:r>
      <w:r w:rsidRPr="00421C05">
        <w:rPr>
          <w:szCs w:val="15"/>
        </w:rPr>
        <w:t>23(c)(2)(B).</w:t>
      </w:r>
    </w:p>
  </w:footnote>
  <w:footnote w:id="432">
    <w:p w14:paraId="5AEB3BD4" w14:textId="4F26901C"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Class Proceedings Act SO 1992 c 6 (Ontario), ss 17(3), 18(2) and 19(2).</w:t>
      </w:r>
    </w:p>
  </w:footnote>
  <w:footnote w:id="433">
    <w:p w14:paraId="0D631E91" w14:textId="466BFF6C" w:rsidR="00A55F53" w:rsidRPr="00421C05" w:rsidRDefault="00A55F53" w:rsidP="00D36A28">
      <w:pPr>
        <w:pStyle w:val="FootnoteText"/>
        <w:rPr>
          <w:rFonts w:cstheme="minorHAnsi"/>
          <w:szCs w:val="15"/>
        </w:rPr>
      </w:pPr>
      <w:r w:rsidRPr="00421C05">
        <w:rPr>
          <w:rStyle w:val="FootnoteReference"/>
          <w:rFonts w:cstheme="minorHAnsi"/>
          <w:sz w:val="15"/>
          <w:szCs w:val="15"/>
        </w:rPr>
        <w:footnoteRef/>
      </w:r>
      <w:r w:rsidRPr="00421C05">
        <w:rPr>
          <w:rFonts w:cstheme="minorHAnsi"/>
          <w:szCs w:val="15"/>
        </w:rPr>
        <w:t xml:space="preserve"> </w:t>
      </w:r>
      <w:r w:rsidRPr="00421C05">
        <w:rPr>
          <w:rFonts w:cstheme="minorHAnsi"/>
          <w:szCs w:val="15"/>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szCs w:val="15"/>
        </w:rPr>
        <w:t xml:space="preserve">33Y(4); and </w:t>
      </w:r>
      <w:r w:rsidRPr="00421C05">
        <w:rPr>
          <w:szCs w:val="15"/>
        </w:rPr>
        <w:t xml:space="preserve">Class Proceedings Act SO 1992 c 6 (Ontario), ss </w:t>
      </w:r>
      <w:r w:rsidRPr="00421C05">
        <w:rPr>
          <w:szCs w:val="15"/>
          <w:lang w:val="mi-NZ"/>
        </w:rPr>
        <w:t>17(4), 18(3) and 19(3).</w:t>
      </w:r>
    </w:p>
  </w:footnote>
  <w:footnote w:id="434">
    <w:p w14:paraId="2E985F64" w14:textId="65657DA4"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i/>
          <w:szCs w:val="15"/>
        </w:rPr>
        <w:t xml:space="preserve">Claims Resolution Service Ltd v Smith </w:t>
      </w:r>
      <w:r w:rsidRPr="00421C05">
        <w:rPr>
          <w:szCs w:val="15"/>
        </w:rPr>
        <w:t xml:space="preserve">[2020] NZCA 664 at [45] where the Court of Appeal accepted it was appropriate to use the defendant’s Facebook page to publish the Court approved opt-in notice. Facebook was also used as a means of communication in </w:t>
      </w:r>
      <w:r w:rsidRPr="00421C05">
        <w:rPr>
          <w:i/>
          <w:szCs w:val="15"/>
          <w:lang w:val="mi-NZ"/>
        </w:rPr>
        <w:t xml:space="preserve">Ross v Southern Response Earthquake Services Ltd </w:t>
      </w:r>
      <w:r w:rsidRPr="00421C05">
        <w:rPr>
          <w:szCs w:val="15"/>
          <w:lang w:val="mi-NZ"/>
        </w:rPr>
        <w:t xml:space="preserve">[2021] NZHC 2452 </w:t>
      </w:r>
      <w:r w:rsidRPr="00421C05">
        <w:rPr>
          <w:szCs w:val="15"/>
        </w:rPr>
        <w:t xml:space="preserve">(opt-out notice requirements) </w:t>
      </w:r>
      <w:r w:rsidRPr="00421C05">
        <w:rPr>
          <w:szCs w:val="15"/>
          <w:lang w:val="mi-NZ"/>
        </w:rPr>
        <w:t>at [169]–[171] and [196(g)].</w:t>
      </w:r>
    </w:p>
  </w:footnote>
  <w:footnote w:id="435">
    <w:p w14:paraId="26905A71" w14:textId="63B0382C" w:rsidR="00A55F53" w:rsidRPr="00421C05" w:rsidRDefault="00A55F53" w:rsidP="00D36A28">
      <w:pPr>
        <w:pStyle w:val="FootnoteText"/>
        <w:rPr>
          <w:rFonts w:cstheme="minorHAnsi"/>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rFonts w:cstheme="minorHAnsi"/>
          <w:i/>
          <w:szCs w:val="15"/>
        </w:rPr>
        <w:t xml:space="preserve">Houghton v Saunders </w:t>
      </w:r>
      <w:r w:rsidRPr="00421C05">
        <w:rPr>
          <w:rFonts w:cstheme="minorHAnsi"/>
          <w:szCs w:val="15"/>
        </w:rPr>
        <w:t>HC Christchurch CRI-2008-409-000348, 19 May 2010 at [70]</w:t>
      </w:r>
      <w:r w:rsidRPr="00421C05">
        <w:rPr>
          <w:szCs w:val="15"/>
        </w:rPr>
        <w:t>: “</w:t>
      </w:r>
      <w:r w:rsidRPr="00421C05">
        <w:rPr>
          <w:rFonts w:cstheme="minorHAnsi"/>
          <w:szCs w:val="15"/>
        </w:rPr>
        <w:t>I decided it would not be appropriate for me to issue an order, but indicated the Court expected the fourth and fifth defendants would use all reasonable endeavours to notify the shareholders in question”.</w:t>
      </w:r>
    </w:p>
  </w:footnote>
  <w:footnote w:id="436">
    <w:p w14:paraId="0AEA7619" w14:textId="77777777" w:rsidR="00A55F53" w:rsidRPr="00421C05" w:rsidRDefault="00A55F53" w:rsidP="00D36A28">
      <w:pPr>
        <w:pStyle w:val="FootnoteText"/>
        <w:rPr>
          <w:rFonts w:cstheme="minorHAnsi"/>
          <w:szCs w:val="15"/>
        </w:rPr>
      </w:pPr>
      <w:r w:rsidRPr="00421C05">
        <w:rPr>
          <w:rStyle w:val="FootnoteReference"/>
          <w:rFonts w:cstheme="minorHAnsi"/>
          <w:sz w:val="15"/>
          <w:szCs w:val="15"/>
        </w:rPr>
        <w:footnoteRef/>
      </w:r>
      <w:r w:rsidRPr="00421C05">
        <w:rPr>
          <w:rFonts w:cstheme="minorHAnsi"/>
          <w:szCs w:val="15"/>
        </w:rPr>
        <w:t xml:space="preserve"> </w:t>
      </w:r>
      <w:r w:rsidRPr="00421C05">
        <w:rPr>
          <w:rFonts w:cstheme="minorHAnsi"/>
          <w:szCs w:val="15"/>
        </w:rPr>
        <w:tab/>
      </w:r>
      <w:r w:rsidRPr="00421C05">
        <w:rPr>
          <w:rFonts w:cstheme="minorHAnsi"/>
          <w:i/>
          <w:szCs w:val="15"/>
        </w:rPr>
        <w:t>Smith v Claims Resolution Service Ltd</w:t>
      </w:r>
      <w:r w:rsidRPr="00421C05">
        <w:rPr>
          <w:rFonts w:cstheme="minorHAnsi"/>
          <w:szCs w:val="15"/>
        </w:rPr>
        <w:t xml:space="preserve"> [2019] NZHC 1013 at [19].</w:t>
      </w:r>
    </w:p>
  </w:footnote>
  <w:footnote w:id="437">
    <w:p w14:paraId="5FC156C6" w14:textId="2B81C757"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lang w:val="mi-NZ"/>
        </w:rPr>
        <w:t xml:space="preserve">Ross v Southern Response Earthquake Services Ltd </w:t>
      </w:r>
      <w:r w:rsidRPr="00421C05">
        <w:rPr>
          <w:szCs w:val="15"/>
          <w:lang w:val="mi-NZ"/>
        </w:rPr>
        <w:t xml:space="preserve">[2021] NZHC 2452 </w:t>
      </w:r>
      <w:r w:rsidRPr="00421C05">
        <w:rPr>
          <w:szCs w:val="15"/>
        </w:rPr>
        <w:t xml:space="preserve">(opt-out notice requirements) </w:t>
      </w:r>
      <w:r w:rsidRPr="00421C05">
        <w:rPr>
          <w:szCs w:val="15"/>
          <w:lang w:val="mi-NZ"/>
        </w:rPr>
        <w:t xml:space="preserve">at [174]. The High Court ordered the defendant to send notice to group members by post and email, and file and serve an affidavit setting out the delivery status of items, including identified names, but not other private details of policyholders: at [177] and [196(h)–(i)]. </w:t>
      </w:r>
    </w:p>
  </w:footnote>
  <w:footnote w:id="438">
    <w:p w14:paraId="172AE4E4" w14:textId="2F7FA4F9"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Southern Response Unresolved Claims Group v Southern Response Earthquake Services Ltd </w:t>
      </w:r>
      <w:r w:rsidRPr="00421C05">
        <w:rPr>
          <w:szCs w:val="15"/>
        </w:rPr>
        <w:t>[2016] NZHC 3105 at [96]–[100].</w:t>
      </w:r>
    </w:p>
  </w:footnote>
  <w:footnote w:id="439">
    <w:p w14:paraId="639BB513"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Southern Response Earthquake Services Ltd </w:t>
      </w:r>
      <w:r w:rsidRPr="00421C05">
        <w:rPr>
          <w:szCs w:val="15"/>
        </w:rPr>
        <w:t xml:space="preserve">v </w:t>
      </w:r>
      <w:r w:rsidRPr="00421C05">
        <w:rPr>
          <w:i/>
          <w:szCs w:val="15"/>
        </w:rPr>
        <w:t xml:space="preserve">Southern Response Unresolved Claims Group </w:t>
      </w:r>
      <w:r w:rsidRPr="00421C05">
        <w:rPr>
          <w:szCs w:val="15"/>
        </w:rPr>
        <w:t>[2017] NZCA 489, [2018] 2 NZLR 312 at [131].</w:t>
      </w:r>
    </w:p>
  </w:footnote>
  <w:footnote w:id="440">
    <w:p w14:paraId="677E8738"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Southern Response Earthquake Services Ltd </w:t>
      </w:r>
      <w:r w:rsidRPr="00421C05">
        <w:rPr>
          <w:szCs w:val="15"/>
        </w:rPr>
        <w:t xml:space="preserve">v </w:t>
      </w:r>
      <w:r w:rsidRPr="00421C05">
        <w:rPr>
          <w:i/>
          <w:szCs w:val="15"/>
        </w:rPr>
        <w:t xml:space="preserve">Southern Response Unresolved Claims Group </w:t>
      </w:r>
      <w:r w:rsidRPr="00421C05">
        <w:rPr>
          <w:szCs w:val="15"/>
        </w:rPr>
        <w:t>[2017] NZCA 489, [2018] 2 NZLR 312 at [132].</w:t>
      </w:r>
    </w:p>
  </w:footnote>
  <w:footnote w:id="441">
    <w:p w14:paraId="7C167011" w14:textId="5BAAB05E" w:rsidR="00A55F53" w:rsidRPr="00421C05" w:rsidRDefault="00A55F53" w:rsidP="00D36A28">
      <w:pPr>
        <w:pStyle w:val="FootnoteText"/>
        <w:rPr>
          <w:rFonts w:cstheme="minorHAnsi"/>
          <w:szCs w:val="15"/>
        </w:rPr>
      </w:pPr>
      <w:r w:rsidRPr="00421C05">
        <w:rPr>
          <w:rStyle w:val="FootnoteReference"/>
          <w:rFonts w:cstheme="minorHAnsi"/>
          <w:sz w:val="15"/>
          <w:szCs w:val="15"/>
        </w:rPr>
        <w:footnoteRef/>
      </w:r>
      <w:r w:rsidRPr="00421C05">
        <w:rPr>
          <w:rFonts w:cstheme="minorHAnsi"/>
          <w:szCs w:val="15"/>
        </w:rPr>
        <w:t xml:space="preserve"> </w:t>
      </w:r>
      <w:r w:rsidRPr="00421C05">
        <w:rPr>
          <w:rFonts w:cstheme="minorHAnsi"/>
          <w:szCs w:val="15"/>
        </w:rPr>
        <w:tab/>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xml:space="preserve">), s </w:t>
      </w:r>
      <w:r w:rsidRPr="00421C05">
        <w:rPr>
          <w:rFonts w:cstheme="minorHAnsi"/>
          <w:szCs w:val="15"/>
        </w:rPr>
        <w:t xml:space="preserve">33Y(3)(c). </w:t>
      </w:r>
      <w:r w:rsidRPr="00421C05">
        <w:rPr>
          <w:color w:val="000000"/>
          <w:szCs w:val="15"/>
          <w:lang w:val="en-AU"/>
        </w:rPr>
        <w:t xml:space="preserve">The Practice Note of the Federal Court states that the defendant should cooperate and allow access to their records in order to facilitate direct notice, and that any dispute over giving access to lists should be raised early and ideally resolved outside of court: </w:t>
      </w:r>
      <w:r w:rsidRPr="00421C05">
        <w:rPr>
          <w:i/>
          <w:color w:val="000000"/>
          <w:szCs w:val="15"/>
          <w:lang w:val="en-AU"/>
        </w:rPr>
        <w:t>Class Actions Practice Note</w:t>
      </w:r>
      <w:r w:rsidRPr="00421C05">
        <w:rPr>
          <w:color w:val="000000"/>
          <w:szCs w:val="15"/>
          <w:lang w:val="en-AU"/>
        </w:rPr>
        <w:t xml:space="preserve"> (Federal Court of Australia, Practice Note GPN-CA, December 2019) </w:t>
      </w:r>
      <w:r w:rsidRPr="00421C05">
        <w:rPr>
          <w:szCs w:val="15"/>
        </w:rPr>
        <w:t>at [</w:t>
      </w:r>
      <w:r w:rsidRPr="00421C05">
        <w:rPr>
          <w:rFonts w:cstheme="minorHAnsi"/>
          <w:szCs w:val="15"/>
        </w:rPr>
        <w:t>12.3]–[12.4].</w:t>
      </w:r>
    </w:p>
  </w:footnote>
  <w:footnote w:id="442">
    <w:p w14:paraId="03D63EA1" w14:textId="2BA124C1"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Class Proceedings Act SO 1992 c 6 (Ontario), s 21: “the court may order a party to deliver, by whatever means are available to the party, the notice required to be given by another party”. </w:t>
      </w:r>
    </w:p>
  </w:footnote>
  <w:footnote w:id="443">
    <w:p w14:paraId="4D2D631B" w14:textId="4F616D75"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See</w:t>
      </w:r>
      <w:r w:rsidRPr="00421C05">
        <w:rPr>
          <w:color w:val="000000"/>
          <w:szCs w:val="15"/>
          <w:shd w:val="clear" w:color="auto" w:fill="FFFFFF"/>
          <w:lang w:eastAsia="en-AU"/>
        </w:rPr>
        <w:t xml:space="preserve"> </w:t>
      </w:r>
      <w:r w:rsidRPr="00421C05">
        <w:rPr>
          <w:color w:val="0D0D0D"/>
          <w:szCs w:val="15"/>
          <w:shd w:val="clear" w:color="auto" w:fill="FFFFFF"/>
          <w:lang w:eastAsia="en-AU"/>
        </w:rPr>
        <w:t>David F Herr</w:t>
      </w:r>
      <w:r w:rsidRPr="00421C05">
        <w:rPr>
          <w:rFonts w:ascii="Calibri" w:hAnsi="Calibri" w:cs="Calibri"/>
          <w:color w:val="0D0D0D"/>
          <w:szCs w:val="15"/>
          <w:shd w:val="clear" w:color="auto" w:fill="FFFFFF"/>
          <w:lang w:eastAsia="en-AU"/>
        </w:rPr>
        <w:t> </w:t>
      </w:r>
      <w:r w:rsidRPr="00421C05">
        <w:rPr>
          <w:i/>
          <w:color w:val="0D0D0D"/>
          <w:szCs w:val="15"/>
          <w:shd w:val="clear" w:color="auto" w:fill="FFFFFF"/>
          <w:lang w:eastAsia="en-AU"/>
        </w:rPr>
        <w:t>Annotated Manual for Complex Litigation</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(online ed, Thompson Reuters)</w:t>
      </w:r>
      <w:r w:rsidRPr="00421C05">
        <w:rPr>
          <w:szCs w:val="15"/>
          <w:lang w:val="mi-NZ"/>
        </w:rPr>
        <w:t xml:space="preserve"> at </w:t>
      </w:r>
      <w:r w:rsidRPr="00421C05">
        <w:rPr>
          <w:rFonts w:ascii="Calibri" w:hAnsi="Calibri" w:cs="Calibri"/>
          <w:szCs w:val="15"/>
        </w:rPr>
        <w:t>§</w:t>
      </w:r>
      <w:r w:rsidRPr="00421C05">
        <w:rPr>
          <w:szCs w:val="15"/>
        </w:rPr>
        <w:t xml:space="preserve"> 21.311 citing, for example, </w:t>
      </w:r>
      <w:r w:rsidRPr="00421C05">
        <w:rPr>
          <w:i/>
          <w:szCs w:val="15"/>
          <w:lang w:val="mi-NZ"/>
        </w:rPr>
        <w:t>Oppenheimer Fund Inc v Sanders</w:t>
      </w:r>
      <w:r w:rsidRPr="00421C05">
        <w:rPr>
          <w:szCs w:val="15"/>
          <w:lang w:val="mi-NZ"/>
        </w:rPr>
        <w:t xml:space="preserve"> 437 US 340 (1978) at 355 where the Supreme Court noted at that “a number of courts have required defendants in Rule 23(b)(3) class actions to enclose class notices in their own periodic mailings to class members in order to reduce the expense of sending the notice”.</w:t>
      </w:r>
    </w:p>
  </w:footnote>
  <w:footnote w:id="444">
    <w:p w14:paraId="04D80282" w14:textId="68CD485E" w:rsidR="00A55F53" w:rsidRPr="00421C05" w:rsidRDefault="00A55F53">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For example, in </w:t>
      </w:r>
      <w:r w:rsidRPr="00421C05">
        <w:rPr>
          <w:i/>
          <w:szCs w:val="15"/>
        </w:rPr>
        <w:t xml:space="preserve">Claims Resolution Service Ltd v Smith </w:t>
      </w:r>
      <w:r w:rsidRPr="00421C05">
        <w:rPr>
          <w:szCs w:val="15"/>
        </w:rPr>
        <w:t xml:space="preserve">the Court of Appeal ordered that the opt-in notice be published on the defendant’s Facebook page: </w:t>
      </w:r>
      <w:r w:rsidRPr="00421C05">
        <w:rPr>
          <w:i/>
          <w:szCs w:val="15"/>
        </w:rPr>
        <w:t xml:space="preserve">Claims Resolution Service Ltd v Smith </w:t>
      </w:r>
      <w:r w:rsidRPr="00421C05">
        <w:rPr>
          <w:szCs w:val="15"/>
        </w:rPr>
        <w:t xml:space="preserve">[2020] NZCA 664 at [45]. See also </w:t>
      </w:r>
      <w:r w:rsidRPr="00421C05">
        <w:rPr>
          <w:i/>
          <w:szCs w:val="15"/>
          <w:lang w:val="mi-NZ"/>
        </w:rPr>
        <w:t xml:space="preserve">Ross v Southern Response Earthquake Services Ltd </w:t>
      </w:r>
      <w:r w:rsidRPr="00421C05">
        <w:rPr>
          <w:szCs w:val="15"/>
          <w:lang w:val="mi-NZ"/>
        </w:rPr>
        <w:t xml:space="preserve">[2021] NZHC 2452 </w:t>
      </w:r>
      <w:r w:rsidRPr="00421C05">
        <w:rPr>
          <w:szCs w:val="15"/>
        </w:rPr>
        <w:t>(opt-out notice requirements)</w:t>
      </w:r>
      <w:r w:rsidRPr="00421C05">
        <w:rPr>
          <w:szCs w:val="15"/>
          <w:lang w:val="mi-NZ"/>
        </w:rPr>
        <w:t xml:space="preserve"> at [169]–[171] and [196(g)].</w:t>
      </w:r>
    </w:p>
  </w:footnote>
  <w:footnote w:id="445">
    <w:p w14:paraId="69B30177" w14:textId="20E768DA"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Court of Appeal has noted that a process where the defendant provides information about the proceedings to group members could deal with privacy concerns, and that other jurisdictions envisage processes such as this: </w:t>
      </w:r>
      <w:r w:rsidRPr="00421C05">
        <w:rPr>
          <w:i/>
          <w:szCs w:val="15"/>
        </w:rPr>
        <w:t>Southern Response Earthquake Services Ltd v Southern Response Unresolved Claims Group</w:t>
      </w:r>
      <w:r w:rsidRPr="00421C05">
        <w:rPr>
          <w:szCs w:val="15"/>
        </w:rPr>
        <w:t xml:space="preserve"> [2017] NZCA 489, [2018] 2 NZLR 312 at [132].</w:t>
      </w:r>
    </w:p>
  </w:footnote>
  <w:footnote w:id="446">
    <w:p w14:paraId="134C2E2A" w14:textId="36D0654C"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As explained by the </w:t>
      </w:r>
      <w:r w:rsidRPr="00421C05">
        <w:rPr>
          <w:szCs w:val="15"/>
          <w:lang w:val="mi-NZ"/>
        </w:rPr>
        <w:t xml:space="preserve">Ontario </w:t>
      </w:r>
      <w:r w:rsidRPr="00421C05">
        <w:rPr>
          <w:szCs w:val="15"/>
        </w:rPr>
        <w:t xml:space="preserve">Law Reform Commission </w:t>
      </w:r>
      <w:r w:rsidRPr="00421C05">
        <w:rPr>
          <w:i/>
          <w:szCs w:val="15"/>
        </w:rPr>
        <w:t>Report on Class Actions</w:t>
      </w:r>
      <w:r w:rsidRPr="00421C05">
        <w:rPr>
          <w:szCs w:val="15"/>
        </w:rPr>
        <w:t xml:space="preserve"> (1982</w:t>
      </w:r>
      <w:r w:rsidRPr="00421C05">
        <w:rPr>
          <w:szCs w:val="15"/>
          <w:lang w:val="mi-NZ"/>
        </w:rPr>
        <w:t>) vol II</w:t>
      </w:r>
      <w:r w:rsidRPr="00421C05">
        <w:rPr>
          <w:szCs w:val="15"/>
        </w:rPr>
        <w:t xml:space="preserve"> at 510: “After a class action is certified, it will either proceed to judgment or be settled with the approval of the court. In both cases, the absent class members will be bound by the result” (footnotes omitted). See Chapter 5 for a discussion on the binding nature of judgments and Chapter 6 for further discussion of settlement.</w:t>
      </w:r>
    </w:p>
  </w:footnote>
  <w:footnote w:id="447">
    <w:p w14:paraId="6C93C55E" w14:textId="53DD8A06"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w:t>
      </w:r>
      <w:r w:rsidRPr="00421C05">
        <w:rPr>
          <w:i/>
          <w:szCs w:val="15"/>
          <w:lang w:val="mi-NZ"/>
        </w:rPr>
        <w:t xml:space="preserve">Ross v Southern Response Earthquake Services Ltd </w:t>
      </w:r>
      <w:r w:rsidRPr="00421C05">
        <w:rPr>
          <w:szCs w:val="15"/>
          <w:lang w:val="mi-NZ"/>
        </w:rPr>
        <w:t xml:space="preserve">[2021] NZHC 2452 </w:t>
      </w:r>
      <w:r w:rsidRPr="00421C05">
        <w:rPr>
          <w:szCs w:val="15"/>
        </w:rPr>
        <w:t xml:space="preserve">(opt-out notice requirements) </w:t>
      </w:r>
      <w:r w:rsidRPr="00421C05">
        <w:rPr>
          <w:szCs w:val="15"/>
          <w:lang w:val="mi-NZ"/>
        </w:rPr>
        <w:t xml:space="preserve">at [22] citing </w:t>
      </w:r>
      <w:r w:rsidRPr="00421C05">
        <w:rPr>
          <w:i/>
          <w:szCs w:val="15"/>
          <w:lang w:val="mi-NZ"/>
        </w:rPr>
        <w:t xml:space="preserve">King v GIO Australia Holdings Ltd </w:t>
      </w:r>
      <w:r w:rsidRPr="00421C05">
        <w:rPr>
          <w:szCs w:val="15"/>
          <w:lang w:val="mi-NZ"/>
        </w:rPr>
        <w:t>[2001] FCA 270 at [15] (“The principal purpose ... is to ensure that group members can make an informed decision concerning their rights”).</w:t>
      </w:r>
    </w:p>
  </w:footnote>
  <w:footnote w:id="448">
    <w:p w14:paraId="7C078541" w14:textId="209EC5A4"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lang w:val="mi-NZ"/>
        </w:rPr>
        <w:t>Houghton v Saunders</w:t>
      </w:r>
      <w:r w:rsidRPr="00421C05">
        <w:rPr>
          <w:szCs w:val="15"/>
          <w:lang w:val="mi-NZ"/>
        </w:rPr>
        <w:t xml:space="preserve"> HC Christchurch CRI-2008-409-000348, 19 May 2010 at [27]. See also </w:t>
      </w:r>
      <w:r w:rsidRPr="00421C05">
        <w:rPr>
          <w:i/>
          <w:szCs w:val="15"/>
          <w:lang w:val="mi-NZ"/>
        </w:rPr>
        <w:t xml:space="preserve">Ross v Southern Response Earthquake Services Ltd </w:t>
      </w:r>
      <w:r w:rsidRPr="00421C05">
        <w:rPr>
          <w:szCs w:val="15"/>
          <w:lang w:val="mi-NZ"/>
        </w:rPr>
        <w:t xml:space="preserve">[2021] NZHC 2452 </w:t>
      </w:r>
      <w:r w:rsidRPr="00421C05">
        <w:rPr>
          <w:szCs w:val="15"/>
        </w:rPr>
        <w:t>(opt-out notice requirements)</w:t>
      </w:r>
      <w:r w:rsidRPr="00421C05">
        <w:rPr>
          <w:szCs w:val="15"/>
          <w:lang w:val="mi-NZ"/>
        </w:rPr>
        <w:t xml:space="preserve"> at [26].</w:t>
      </w:r>
    </w:p>
  </w:footnote>
  <w:footnote w:id="449">
    <w:p w14:paraId="47901436" w14:textId="5FACCDAF"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for example </w:t>
      </w:r>
      <w:r w:rsidRPr="00421C05">
        <w:rPr>
          <w:rStyle w:val="normaltextrun"/>
          <w:rFonts w:cstheme="minorHAnsi"/>
          <w:color w:val="000000"/>
          <w:szCs w:val="15"/>
        </w:rPr>
        <w:t>Federal Court of Australia Act 1976 (</w:t>
      </w:r>
      <w:r w:rsidRPr="00421C05">
        <w:rPr>
          <w:rStyle w:val="spellingerror"/>
          <w:rFonts w:eastAsia="SimSun" w:cstheme="minorHAnsi"/>
          <w:color w:val="000000"/>
          <w:szCs w:val="15"/>
        </w:rPr>
        <w:t>Cth</w:t>
      </w:r>
      <w:r w:rsidRPr="00421C05">
        <w:rPr>
          <w:rStyle w:val="normaltextrun"/>
          <w:rFonts w:cstheme="minorHAnsi"/>
          <w:color w:val="000000"/>
          <w:szCs w:val="15"/>
        </w:rPr>
        <w:t>), s</w:t>
      </w:r>
      <w:r w:rsidRPr="00421C05">
        <w:rPr>
          <w:rFonts w:cstheme="minorHAnsi"/>
          <w:color w:val="000000"/>
          <w:szCs w:val="15"/>
          <w:shd w:val="clear" w:color="auto" w:fill="FFFFFF"/>
        </w:rPr>
        <w:t xml:space="preserve"> 33X(1)(a); Class Proceedings Act SO 1992 c6 (Ontario) s 17(5)(b);</w:t>
      </w:r>
      <w:r w:rsidRPr="00421C05">
        <w:rPr>
          <w:rFonts w:cstheme="minorHAnsi"/>
          <w:szCs w:val="15"/>
        </w:rPr>
        <w:t xml:space="preserve"> United States Federal Rules of Civil Procedure, r 23(c)(2)(B)(v)–(vi); The Competition Appeal Tribunal Rules 2015 </w:t>
      </w:r>
      <w:r w:rsidRPr="00421C05">
        <w:rPr>
          <w:szCs w:val="15"/>
        </w:rPr>
        <w:t>(UK), r 81(2)(e).</w:t>
      </w:r>
    </w:p>
  </w:footnote>
  <w:footnote w:id="450">
    <w:p w14:paraId="7D64305C" w14:textId="7E20E17A"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for example</w:t>
      </w:r>
      <w:r w:rsidRPr="00421C05">
        <w:rPr>
          <w:szCs w:val="15"/>
          <w:lang w:val="mi-NZ"/>
        </w:rPr>
        <w:t xml:space="preserve"> </w:t>
      </w:r>
      <w:r w:rsidRPr="00421C05">
        <w:rPr>
          <w:i/>
          <w:color w:val="0D0D0D"/>
          <w:szCs w:val="15"/>
          <w:shd w:val="clear" w:color="auto" w:fill="FFFFFF"/>
          <w:lang w:eastAsia="en-AU"/>
        </w:rPr>
        <w:t>Class Actions</w:t>
      </w:r>
      <w:r w:rsidRPr="00421C05">
        <w:rPr>
          <w:rFonts w:ascii="Calibri" w:hAnsi="Calibri" w:cs="Calibri"/>
          <w:i/>
          <w:color w:val="0D0D0D"/>
          <w:szCs w:val="15"/>
          <w:shd w:val="clear" w:color="auto" w:fill="FFFFFF"/>
          <w:lang w:eastAsia="en-AU"/>
        </w:rPr>
        <w:t> </w:t>
      </w:r>
      <w:r w:rsidRPr="00421C05">
        <w:rPr>
          <w:i/>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GPN-CA, December 2019) </w:t>
      </w:r>
      <w:r w:rsidRPr="00421C05">
        <w:rPr>
          <w:szCs w:val="15"/>
          <w:lang w:val="mi-NZ"/>
        </w:rPr>
        <w:t>at [12.2(b)];</w:t>
      </w:r>
      <w:r w:rsidRPr="00421C05">
        <w:rPr>
          <w:rFonts w:cstheme="minorHAnsi"/>
          <w:color w:val="000000"/>
          <w:szCs w:val="15"/>
          <w:shd w:val="clear" w:color="auto" w:fill="FFFFFF"/>
        </w:rPr>
        <w:t xml:space="preserve"> Class Proceedings Act SO 1992 c6 (Ontario), s 17(5)(g);</w:t>
      </w:r>
      <w:r w:rsidRPr="00421C05">
        <w:rPr>
          <w:rFonts w:cstheme="minorHAnsi"/>
          <w:szCs w:val="15"/>
        </w:rPr>
        <w:t xml:space="preserve"> United States Federal Rules of Civil Procedure, r 23(c)(2)(B)(vii); and The Competition Appeal Tribunal Rules 2015 </w:t>
      </w:r>
      <w:r w:rsidRPr="00421C05">
        <w:rPr>
          <w:szCs w:val="15"/>
        </w:rPr>
        <w:t>(UK), r 81(2)(d).</w:t>
      </w:r>
      <w:r w:rsidRPr="00421C05">
        <w:rPr>
          <w:rFonts w:cstheme="minorHAnsi"/>
          <w:color w:val="000000"/>
          <w:szCs w:val="15"/>
          <w:shd w:val="clear" w:color="auto" w:fill="FFFFFF"/>
        </w:rPr>
        <w:t xml:space="preserve"> </w:t>
      </w:r>
    </w:p>
  </w:footnote>
  <w:footnote w:id="451">
    <w:p w14:paraId="07A023F9" w14:textId="7A802FB0"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at </w:t>
      </w:r>
      <w:r w:rsidRPr="00421C05">
        <w:rPr>
          <w:i/>
          <w:color w:val="0D0D0D"/>
          <w:szCs w:val="15"/>
          <w:shd w:val="clear" w:color="auto" w:fill="FFFFFF"/>
          <w:lang w:eastAsia="en-AU"/>
        </w:rPr>
        <w:t>Class Actions</w:t>
      </w:r>
      <w:r w:rsidRPr="00421C05">
        <w:rPr>
          <w:rFonts w:ascii="Calibri" w:hAnsi="Calibri" w:cs="Calibri"/>
          <w:i/>
          <w:color w:val="0D0D0D"/>
          <w:szCs w:val="15"/>
          <w:shd w:val="clear" w:color="auto" w:fill="FFFFFF"/>
          <w:lang w:eastAsia="en-AU"/>
        </w:rPr>
        <w:t> </w:t>
      </w:r>
      <w:r w:rsidRPr="00421C05">
        <w:rPr>
          <w:i/>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GPN-CA, December 2019) at </w:t>
      </w:r>
      <w:r w:rsidRPr="00421C05">
        <w:rPr>
          <w:szCs w:val="15"/>
        </w:rPr>
        <w:t xml:space="preserve">[12.2(a)]; </w:t>
      </w:r>
      <w:r w:rsidRPr="00421C05">
        <w:rPr>
          <w:rFonts w:cstheme="minorHAnsi"/>
          <w:color w:val="000000"/>
          <w:szCs w:val="15"/>
          <w:shd w:val="clear" w:color="auto" w:fill="FFFFFF"/>
        </w:rPr>
        <w:t>Class Proceedings Act SO 1992 c6 (Ontario), s 17(5)(a);</w:t>
      </w:r>
      <w:r w:rsidRPr="00421C05">
        <w:rPr>
          <w:szCs w:val="15"/>
        </w:rPr>
        <w:t xml:space="preserve"> </w:t>
      </w:r>
      <w:r w:rsidRPr="00421C05">
        <w:rPr>
          <w:rFonts w:eastAsia="Metropolis Light" w:cs="Metropolis Light"/>
          <w:color w:val="000000" w:themeColor="text1"/>
          <w:szCs w:val="15"/>
          <w:lang w:val="mi-NZ"/>
        </w:rPr>
        <w:t xml:space="preserve">United States Federal Rules of Civil Procedure, </w:t>
      </w:r>
      <w:r w:rsidRPr="00421C05">
        <w:rPr>
          <w:rFonts w:cstheme="minorHAnsi"/>
          <w:szCs w:val="15"/>
        </w:rPr>
        <w:t xml:space="preserve">r 23(c)(2)(B)(i) and (iii); and The Competition Appeal Tribunal Rules 2015 </w:t>
      </w:r>
      <w:r w:rsidRPr="00421C05">
        <w:rPr>
          <w:szCs w:val="15"/>
        </w:rPr>
        <w:t>(UK), r 81(2)(c).</w:t>
      </w:r>
    </w:p>
  </w:footnote>
  <w:footnote w:id="452">
    <w:p w14:paraId="3E1520D7" w14:textId="69FCC42D"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Note that the </w:t>
      </w:r>
      <w:r w:rsidRPr="00421C05">
        <w:rPr>
          <w:i/>
          <w:szCs w:val="15"/>
        </w:rPr>
        <w:t>Class Actions Practice Note</w:t>
      </w:r>
      <w:r w:rsidRPr="00421C05">
        <w:rPr>
          <w:szCs w:val="15"/>
        </w:rPr>
        <w:t xml:space="preserve"> (Federal Court of Australia, Practice Note GPN-CA, December 2019) provides that the notice must use plain language: </w:t>
      </w:r>
      <w:r w:rsidRPr="00421C05">
        <w:rPr>
          <w:color w:val="0D0D0D"/>
          <w:szCs w:val="15"/>
          <w:shd w:val="clear" w:color="auto" w:fill="FFFFFF"/>
          <w:lang w:eastAsia="en-AU"/>
        </w:rPr>
        <w:t>at [12.2].</w:t>
      </w:r>
    </w:p>
  </w:footnote>
  <w:footnote w:id="453">
    <w:p w14:paraId="4B99A4E8"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Federal Court of Australia Act 1976 (Cth), s 33ZF(1). </w:t>
      </w:r>
    </w:p>
  </w:footnote>
  <w:footnote w:id="454">
    <w:p w14:paraId="60583916" w14:textId="77777777" w:rsidR="00A55F53" w:rsidRPr="00421C05" w:rsidRDefault="00A55F53" w:rsidP="00D36A28">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t>See Michael Legg and Ross McInnes</w:t>
      </w:r>
      <w:r w:rsidRPr="00421C05">
        <w:rPr>
          <w:rFonts w:ascii="Calibri" w:hAnsi="Calibri" w:cs="Calibri"/>
          <w:szCs w:val="15"/>
        </w:rPr>
        <w:t> </w:t>
      </w:r>
      <w:r w:rsidRPr="00421C05">
        <w:rPr>
          <w:i/>
          <w:szCs w:val="15"/>
        </w:rPr>
        <w:t>Australian Annotated Class Actions Legislation</w:t>
      </w:r>
      <w:r w:rsidRPr="00421C05">
        <w:rPr>
          <w:rFonts w:ascii="Calibri" w:hAnsi="Calibri" w:cs="Calibri"/>
          <w:i/>
          <w:szCs w:val="15"/>
        </w:rPr>
        <w:t> </w:t>
      </w:r>
      <w:r w:rsidRPr="00421C05">
        <w:rPr>
          <w:szCs w:val="15"/>
        </w:rPr>
        <w:t xml:space="preserve">(2nd ed, LexisNexis Butterworths, Chatswood, 2018) at [32.10]. </w:t>
      </w:r>
    </w:p>
  </w:footnote>
  <w:footnote w:id="455">
    <w:p w14:paraId="3392F4E8" w14:textId="47AF5CA9"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[2019] HCA 45, (2019) 374 ALR 627 at [46] per Kiefel CJ, Bell and Keane JJ and [123]–[125] per Nettle J.</w:t>
      </w:r>
    </w:p>
  </w:footnote>
  <w:footnote w:id="456">
    <w:p w14:paraId="27CA420C" w14:textId="77777777"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r>
      <w:r w:rsidRPr="00421C05">
        <w:rPr>
          <w:rFonts w:eastAsia="Metropolis Light" w:cs="Metropolis Light"/>
          <w:color w:val="000000" w:themeColor="text1"/>
          <w:szCs w:val="15"/>
          <w:lang w:val="mi-NZ"/>
        </w:rPr>
        <w:t xml:space="preserve">Class Proceedings Act SO 1992 c 6 (Ontario), s 12. The other common law provinces in Canada have very similar provisions. </w:t>
      </w:r>
    </w:p>
  </w:footnote>
  <w:footnote w:id="457">
    <w:p w14:paraId="15549111"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Law Commission of Ontario </w:t>
      </w:r>
      <w:r w:rsidRPr="00421C05">
        <w:rPr>
          <w:i/>
          <w:szCs w:val="15"/>
        </w:rPr>
        <w:t xml:space="preserve">Class Actions: Objectives, Experiences and Reforms </w:t>
      </w:r>
      <w:r w:rsidRPr="00421C05">
        <w:rPr>
          <w:szCs w:val="15"/>
        </w:rPr>
        <w:t xml:space="preserve">– </w:t>
      </w:r>
      <w:r w:rsidRPr="00421C05">
        <w:rPr>
          <w:i/>
          <w:szCs w:val="15"/>
        </w:rPr>
        <w:t>Final Report</w:t>
      </w:r>
      <w:r w:rsidRPr="00421C05">
        <w:rPr>
          <w:szCs w:val="15"/>
        </w:rPr>
        <w:t xml:space="preserve"> (July 2019) at 22.</w:t>
      </w:r>
    </w:p>
  </w:footnote>
  <w:footnote w:id="458">
    <w:p w14:paraId="684DF052"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discuss common fund orders later in this chapter and discuss class closure orders in Chapter 6.</w:t>
      </w:r>
    </w:p>
  </w:footnote>
  <w:footnote w:id="459">
    <w:p w14:paraId="11096E02"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also note that the High Court Rules includes a power to dispose of a case in a situation where no procedure has been prescribed: High Court Rules 2016, r 1.6.</w:t>
      </w:r>
    </w:p>
  </w:footnote>
  <w:footnote w:id="460">
    <w:p w14:paraId="31CDEBA3"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High Court Rules 2016, Part 7, Subpart 1.</w:t>
      </w:r>
    </w:p>
  </w:footnote>
  <w:footnote w:id="461">
    <w:p w14:paraId="43D5ACCC"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This could be in addition to, or instead of, the matters in Schedule 5 of the High Court Rules.</w:t>
      </w:r>
    </w:p>
  </w:footnote>
  <w:footnote w:id="462">
    <w:p w14:paraId="7752ED1E" w14:textId="15872EE5"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Class Actions Practice Note</w:t>
      </w:r>
      <w:r w:rsidRPr="00421C05">
        <w:rPr>
          <w:szCs w:val="15"/>
        </w:rPr>
        <w:t xml:space="preserve"> (Federal Court of Australia, Practice Note GPN-CA, December 2019) at [7.1]–[7.8] and [9.1]–[9.2]; </w:t>
      </w:r>
      <w:r w:rsidRPr="00421C05">
        <w:rPr>
          <w:i/>
          <w:szCs w:val="15"/>
        </w:rPr>
        <w:t>Conduct of Group Proceedings (Class Actions)</w:t>
      </w:r>
      <w:r w:rsidRPr="00421C05">
        <w:rPr>
          <w:szCs w:val="15"/>
        </w:rPr>
        <w:t xml:space="preserve"> (Supreme Court of Victoria, Practice Note SC Gen 10, October 2020) at [7.2]–[7.6</w:t>
      </w:r>
      <w:r w:rsidRPr="00421C05" w:rsidDel="00A46B20">
        <w:rPr>
          <w:szCs w:val="15"/>
        </w:rPr>
        <w:t>]</w:t>
      </w:r>
      <w:r w:rsidRPr="00421C05">
        <w:rPr>
          <w:szCs w:val="15"/>
        </w:rPr>
        <w:t xml:space="preserve">; </w:t>
      </w:r>
      <w:r w:rsidRPr="00421C05">
        <w:rPr>
          <w:i/>
          <w:szCs w:val="15"/>
        </w:rPr>
        <w:t xml:space="preserve">Supreme Court Representative Proceedings </w:t>
      </w:r>
      <w:r w:rsidRPr="00421C05">
        <w:rPr>
          <w:szCs w:val="15"/>
        </w:rPr>
        <w:t xml:space="preserve">(Supreme Court of New South Wales, Practice Note SC GEN-17, July 2017) at [5.2], [6.2], [7.1]–[7.2], and [8.1]–[8.2]; and </w:t>
      </w:r>
      <w:r w:rsidRPr="00421C05">
        <w:rPr>
          <w:i/>
          <w:szCs w:val="15"/>
        </w:rPr>
        <w:t xml:space="preserve">Representative Proceedings </w:t>
      </w:r>
      <w:r w:rsidRPr="00421C05">
        <w:rPr>
          <w:szCs w:val="15"/>
        </w:rPr>
        <w:t xml:space="preserve">(Supreme Court of Queensland, Practice Direction 2/2017, February 2017) at [8.1]–[8.2], [9.1]–[9.2]. Less prescriptive requirements are contained in </w:t>
      </w:r>
      <w:r w:rsidRPr="00421C05">
        <w:rPr>
          <w:i/>
          <w:szCs w:val="15"/>
        </w:rPr>
        <w:t xml:space="preserve">Representative Proceedings </w:t>
      </w:r>
      <w:r w:rsidRPr="00421C05">
        <w:rPr>
          <w:szCs w:val="15"/>
        </w:rPr>
        <w:t>(Supreme Court of Tasmania Practice Direction 2/2019, September 2019).</w:t>
      </w:r>
    </w:p>
  </w:footnote>
  <w:footnote w:id="463">
    <w:p w14:paraId="435F7E07" w14:textId="417F667B"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In Saskatchewan, the general rules relating to pre-trial conferences do not apply to class actions, unless the judge orders otherwise: Queen’s Bench Rules 2013 (Saskatchewan), r 3-91. See also </w:t>
      </w:r>
      <w:r w:rsidRPr="00421C05">
        <w:rPr>
          <w:szCs w:val="15"/>
          <w:lang w:val="en-GB"/>
        </w:rPr>
        <w:t>Rules of the Supreme Court 1986 (Newfoundland and Labrador), r 7A.03(5), which sets out matters to be considered at a class actions case management meeting.</w:t>
      </w:r>
    </w:p>
  </w:footnote>
  <w:footnote w:id="464">
    <w:p w14:paraId="41729C33"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Law Commission of Ontario </w:t>
      </w:r>
      <w:r w:rsidRPr="00421C05">
        <w:rPr>
          <w:i/>
          <w:szCs w:val="15"/>
        </w:rPr>
        <w:t xml:space="preserve">Class Actions: Objectives, Experiences and Reforms </w:t>
      </w:r>
      <w:r w:rsidRPr="00421C05">
        <w:rPr>
          <w:szCs w:val="15"/>
        </w:rPr>
        <w:t xml:space="preserve">– </w:t>
      </w:r>
      <w:r w:rsidRPr="00421C05">
        <w:rPr>
          <w:i/>
          <w:szCs w:val="15"/>
        </w:rPr>
        <w:t>Final Report</w:t>
      </w:r>
      <w:r w:rsidRPr="00421C05">
        <w:rPr>
          <w:szCs w:val="15"/>
        </w:rPr>
        <w:t xml:space="preserve"> (July 2019) at 22.</w:t>
      </w:r>
    </w:p>
  </w:footnote>
  <w:footnote w:id="465">
    <w:p w14:paraId="64DF1935"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Class Actions Practice Note</w:t>
      </w:r>
      <w:r w:rsidRPr="00421C05">
        <w:rPr>
          <w:szCs w:val="15"/>
        </w:rPr>
        <w:t xml:space="preserve"> (Federal Court of Australia, Practice Note GPN-CA, December 2019) at [7.9]. It states that ordinarily, the court will not give reasons for determining matters of practice and procedure. However, where a party seeks reasons, the court will endeavour to give judgment and reasons within six weeks of a contested interlocutory hearing.</w:t>
      </w:r>
    </w:p>
  </w:footnote>
  <w:footnote w:id="466">
    <w:p w14:paraId="5DD6E76F"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Conduct of Group Proceedings (Class Actions)</w:t>
      </w:r>
      <w:r w:rsidRPr="00421C05">
        <w:rPr>
          <w:szCs w:val="15"/>
        </w:rPr>
        <w:t xml:space="preserve"> (Supreme Court of Victoria, Practice Note SC Gen 10, October 2020) at [9.1].</w:t>
      </w:r>
    </w:p>
  </w:footnote>
  <w:footnote w:id="467">
    <w:p w14:paraId="18797DB8"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Class Actions Bill (Parliamentary Counsel Office, PCO 8247/2.14, 2008), cl 15(2).</w:t>
      </w:r>
    </w:p>
  </w:footnote>
  <w:footnote w:id="468">
    <w:p w14:paraId="07D8C102"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Te Komiti mō ngā Tikanga Kooti | The Rules Committee </w:t>
      </w:r>
      <w:r w:rsidRPr="00421C05">
        <w:rPr>
          <w:i/>
          <w:szCs w:val="15"/>
        </w:rPr>
        <w:t>Improving Access to Civil Justice: Further Consultation with the Legal Profession and Wider Community</w:t>
      </w:r>
      <w:r w:rsidRPr="00421C05">
        <w:rPr>
          <w:szCs w:val="15"/>
        </w:rPr>
        <w:t xml:space="preserve"> (14 May 2021) at [74].</w:t>
      </w:r>
    </w:p>
  </w:footnote>
  <w:footnote w:id="469">
    <w:p w14:paraId="21710FF1"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Law Commission of Ontario </w:t>
      </w:r>
      <w:r w:rsidRPr="00421C05">
        <w:rPr>
          <w:i/>
          <w:szCs w:val="15"/>
        </w:rPr>
        <w:t xml:space="preserve">Class Actions: Objectives, Experiences and Reforms </w:t>
      </w:r>
      <w:r w:rsidRPr="00421C05">
        <w:rPr>
          <w:szCs w:val="15"/>
        </w:rPr>
        <w:t xml:space="preserve">– </w:t>
      </w:r>
      <w:r w:rsidRPr="00421C05">
        <w:rPr>
          <w:i/>
          <w:szCs w:val="15"/>
        </w:rPr>
        <w:t xml:space="preserve">Final Report </w:t>
      </w:r>
      <w:r w:rsidRPr="00421C05">
        <w:rPr>
          <w:szCs w:val="15"/>
        </w:rPr>
        <w:t>(July 2019) at 18.</w:t>
      </w:r>
    </w:p>
  </w:footnote>
  <w:footnote w:id="470">
    <w:p w14:paraId="097D5C75"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Law Commission of Ontario </w:t>
      </w:r>
      <w:r w:rsidRPr="00421C05">
        <w:rPr>
          <w:i/>
          <w:szCs w:val="15"/>
        </w:rPr>
        <w:t xml:space="preserve">Class Actions: Objectives, Experiences and Reforms </w:t>
      </w:r>
      <w:r w:rsidRPr="00421C05">
        <w:rPr>
          <w:szCs w:val="15"/>
        </w:rPr>
        <w:t xml:space="preserve">– </w:t>
      </w:r>
      <w:r w:rsidRPr="00421C05">
        <w:rPr>
          <w:i/>
          <w:szCs w:val="15"/>
        </w:rPr>
        <w:t>Final Report</w:t>
      </w:r>
      <w:r w:rsidRPr="00421C05">
        <w:rPr>
          <w:szCs w:val="15"/>
        </w:rPr>
        <w:t xml:space="preserve"> (July 2019) at 22. </w:t>
      </w:r>
    </w:p>
  </w:footnote>
  <w:footnote w:id="471">
    <w:p w14:paraId="2950A80E" w14:textId="77777777"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r>
      <w:r w:rsidRPr="00421C05">
        <w:rPr>
          <w:szCs w:val="15"/>
          <w:lang w:val="mi-NZ"/>
        </w:rPr>
        <w:t>Class Proceedings Act SO 1992 c 6 (Ontario), s 29.1.</w:t>
      </w:r>
    </w:p>
  </w:footnote>
  <w:footnote w:id="472">
    <w:p w14:paraId="164BF9BB" w14:textId="77777777"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lang w:val="mi-NZ"/>
        </w:rPr>
        <w:t xml:space="preserve"> </w:t>
      </w:r>
      <w:r w:rsidRPr="00421C05">
        <w:rPr>
          <w:szCs w:val="15"/>
          <w:lang w:val="mi-NZ"/>
        </w:rPr>
        <w:tab/>
        <w:t>High Court Rules 2016, r 15.2.</w:t>
      </w:r>
    </w:p>
  </w:footnote>
  <w:footnote w:id="473">
    <w:p w14:paraId="7BB829D6" w14:textId="06B9C818"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lang w:val="mi-NZ"/>
        </w:rPr>
        <w:t xml:space="preserve"> </w:t>
      </w:r>
      <w:r w:rsidRPr="00421C05">
        <w:rPr>
          <w:szCs w:val="15"/>
          <w:lang w:val="mi-NZ"/>
        </w:rPr>
        <w:tab/>
        <w:t xml:space="preserve">Cases where there has been a stage one hearing include </w:t>
      </w:r>
      <w:r w:rsidRPr="00421C05">
        <w:rPr>
          <w:i/>
          <w:szCs w:val="15"/>
          <w:lang w:val="mi-NZ"/>
        </w:rPr>
        <w:t xml:space="preserve">Strathboss Kiwifruit Ltd v Attorney-General </w:t>
      </w:r>
      <w:r w:rsidRPr="00421C05">
        <w:rPr>
          <w:szCs w:val="15"/>
          <w:lang w:val="mi-NZ"/>
        </w:rPr>
        <w:t xml:space="preserve">[2018] NZHC 1559; and </w:t>
      </w:r>
      <w:r w:rsidRPr="00421C05">
        <w:rPr>
          <w:i/>
          <w:szCs w:val="15"/>
          <w:lang w:val="mi-NZ"/>
        </w:rPr>
        <w:t xml:space="preserve">Houghton v Saunders </w:t>
      </w:r>
      <w:r w:rsidRPr="00421C05">
        <w:rPr>
          <w:szCs w:val="15"/>
          <w:lang w:val="mi-NZ"/>
        </w:rPr>
        <w:t xml:space="preserve">[2014] NZHC 2229, [2015] 2 NZLR 74. No case has yet proceeded to a stage two hearing. </w:t>
      </w:r>
    </w:p>
  </w:footnote>
  <w:footnote w:id="474">
    <w:p w14:paraId="6329EBB4"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LDC Finance Ltd v Miller </w:t>
      </w:r>
      <w:r w:rsidRPr="00421C05">
        <w:rPr>
          <w:szCs w:val="15"/>
        </w:rPr>
        <w:t xml:space="preserve">[2016] NZHC 567 at [30]. </w:t>
      </w:r>
    </w:p>
  </w:footnote>
  <w:footnote w:id="475">
    <w:p w14:paraId="5A44470F" w14:textId="33B490E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w:t>
      </w:r>
      <w:r w:rsidRPr="00421C05">
        <w:rPr>
          <w:i/>
          <w:iCs/>
          <w:szCs w:val="15"/>
        </w:rPr>
        <w:t xml:space="preserve"> </w:t>
      </w:r>
      <w:r w:rsidRPr="00421C05">
        <w:rPr>
          <w:i/>
          <w:szCs w:val="15"/>
        </w:rPr>
        <w:t xml:space="preserve">Houghton v Saunders </w:t>
      </w:r>
      <w:r w:rsidRPr="00421C05">
        <w:rPr>
          <w:szCs w:val="15"/>
        </w:rPr>
        <w:t>[2012] NZHC 1828, [2012] NZCCLR 31 at [4], [10]–[11].</w:t>
      </w:r>
    </w:p>
  </w:footnote>
  <w:footnote w:id="476">
    <w:p w14:paraId="0866EF28" w14:textId="4123E5D1"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Strathboss Kiwifruit v Attorney-General </w:t>
      </w:r>
      <w:r w:rsidRPr="00421C05">
        <w:rPr>
          <w:szCs w:val="15"/>
        </w:rPr>
        <w:t xml:space="preserve">[2016] NZHC 206 at [12]–[13]; and </w:t>
      </w:r>
      <w:r w:rsidRPr="00421C05">
        <w:rPr>
          <w:i/>
          <w:szCs w:val="15"/>
        </w:rPr>
        <w:t xml:space="preserve">Ministry of Education v James Hardie </w:t>
      </w:r>
      <w:r w:rsidRPr="00421C05">
        <w:rPr>
          <w:szCs w:val="15"/>
        </w:rPr>
        <w:t>[2018] NZHC 1481 at [5]–[8].</w:t>
      </w:r>
    </w:p>
  </w:footnote>
  <w:footnote w:id="477">
    <w:p w14:paraId="6FF189CD"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High Court Rules 2016, r 10.15. There is also a power to order separate trials of causes of actions in r 10.4, but we are unaware of this provision being relied upon in representative proceedings. </w:t>
      </w:r>
    </w:p>
  </w:footnote>
  <w:footnote w:id="478">
    <w:p w14:paraId="20406720"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Turners &amp; Growers Ltd v Zespri Group Ltd </w:t>
      </w:r>
      <w:r w:rsidRPr="00421C05">
        <w:rPr>
          <w:szCs w:val="15"/>
        </w:rPr>
        <w:t>HC Auckland CIV-2009-404-4392, 5 May 2010</w:t>
      </w:r>
      <w:r w:rsidRPr="00421C05">
        <w:rPr>
          <w:i/>
          <w:szCs w:val="15"/>
        </w:rPr>
        <w:t xml:space="preserve"> </w:t>
      </w:r>
      <w:r w:rsidRPr="00421C05">
        <w:rPr>
          <w:szCs w:val="15"/>
        </w:rPr>
        <w:t>at [11].</w:t>
      </w:r>
    </w:p>
  </w:footnote>
  <w:footnote w:id="479">
    <w:p w14:paraId="61C0EE98" w14:textId="47B7BBD8"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Andrew Beck and others </w:t>
      </w:r>
      <w:r w:rsidRPr="00421C05">
        <w:rPr>
          <w:i/>
          <w:szCs w:val="15"/>
        </w:rPr>
        <w:t>McGechan on Procedure</w:t>
      </w:r>
      <w:r w:rsidRPr="00421C05">
        <w:rPr>
          <w:szCs w:val="15"/>
        </w:rPr>
        <w:t xml:space="preserve"> (online ed, Thomson Reuters) at 10.15.05. The commentary notes that the burden of displacing this presumption has been variously described as “not insignificant”, “moderate” and “heavy”. </w:t>
      </w:r>
    </w:p>
  </w:footnote>
  <w:footnote w:id="480">
    <w:p w14:paraId="418E315C" w14:textId="39E2F864"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Fonts w:eastAsia="Metropolis Light" w:cs="Metropolis Light"/>
          <w:color w:val="000000" w:themeColor="text1"/>
          <w:szCs w:val="15"/>
          <w:lang w:val="mi-NZ"/>
        </w:rPr>
        <w:t>Class Proceedings Act SO 1992 c 6 (Ontario), s 11. There are similar provisions in the class actions legislation of the other Canadian common law provinces.</w:t>
      </w:r>
    </w:p>
  </w:footnote>
  <w:footnote w:id="481">
    <w:p w14:paraId="07085EBB" w14:textId="77777777"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r>
      <w:r w:rsidRPr="00421C05">
        <w:rPr>
          <w:szCs w:val="15"/>
          <w:lang w:val="mi-NZ"/>
        </w:rPr>
        <w:t>The Competition Appeal Tribunal Rules 2015 (UK), r 88(2).</w:t>
      </w:r>
    </w:p>
  </w:footnote>
  <w:footnote w:id="482">
    <w:p w14:paraId="6726EA46" w14:textId="746F1A1A"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Class Actions Practice Note</w:t>
      </w:r>
      <w:r w:rsidRPr="00421C05">
        <w:rPr>
          <w:szCs w:val="15"/>
        </w:rPr>
        <w:t xml:space="preserve"> (Federal Court of Australia, Practice Note GPN-CA, December 2019) at [9.2(l)]; and </w:t>
      </w:r>
      <w:r w:rsidRPr="00421C05">
        <w:rPr>
          <w:i/>
          <w:szCs w:val="15"/>
        </w:rPr>
        <w:t>Conduct of Group Proceedings (Class Actions)</w:t>
      </w:r>
      <w:r w:rsidRPr="00421C05">
        <w:rPr>
          <w:szCs w:val="15"/>
        </w:rPr>
        <w:t xml:space="preserve"> (Supreme Court of Victoria, Practice Note SC Gen 10, October 2020) at [11.1].</w:t>
      </w:r>
    </w:p>
  </w:footnote>
  <w:footnote w:id="483">
    <w:p w14:paraId="5AF65E10"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Class Actions Practice Note</w:t>
      </w:r>
      <w:r w:rsidRPr="00421C05">
        <w:rPr>
          <w:szCs w:val="15"/>
        </w:rPr>
        <w:t xml:space="preserve"> (Federal Court of Australia, Practice Note GPN-CA, December 2019) at [13.1]. See also </w:t>
      </w:r>
      <w:r w:rsidRPr="00421C05" w:rsidDel="00542137">
        <w:rPr>
          <w:szCs w:val="15"/>
        </w:rPr>
        <w:t>[3.</w:t>
      </w:r>
      <w:r w:rsidRPr="00421C05">
        <w:rPr>
          <w:szCs w:val="15"/>
        </w:rPr>
        <w:t>2</w:t>
      </w:r>
      <w:r w:rsidRPr="00421C05" w:rsidDel="00542137">
        <w:rPr>
          <w:szCs w:val="15"/>
        </w:rPr>
        <w:t xml:space="preserve">] and </w:t>
      </w:r>
      <w:r w:rsidRPr="00421C05">
        <w:rPr>
          <w:szCs w:val="15"/>
        </w:rPr>
        <w:t>[9.2(l)].</w:t>
      </w:r>
    </w:p>
  </w:footnote>
  <w:footnote w:id="484">
    <w:p w14:paraId="38837576"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Rachael Mulheron </w:t>
      </w:r>
      <w:bookmarkStart w:id="76" w:name="_Hlk56089716"/>
      <w:r w:rsidRPr="00421C05">
        <w:rPr>
          <w:i/>
          <w:szCs w:val="15"/>
        </w:rPr>
        <w:t xml:space="preserve">The Class Action in Common Law Legal Systems: A Comparative Perspective </w:t>
      </w:r>
      <w:bookmarkEnd w:id="76"/>
      <w:r w:rsidRPr="00421C05">
        <w:rPr>
          <w:szCs w:val="15"/>
        </w:rPr>
        <w:t>(Hart Publishing, Oxford, 2004) at 260.</w:t>
      </w:r>
    </w:p>
  </w:footnote>
  <w:footnote w:id="485">
    <w:p w14:paraId="263E0E0E" w14:textId="2D0F4E6F"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In </w:t>
      </w:r>
      <w:r w:rsidRPr="00421C05">
        <w:rPr>
          <w:i/>
          <w:iCs/>
          <w:szCs w:val="15"/>
        </w:rPr>
        <w:t xml:space="preserve">Houghton v Saunders, </w:t>
      </w:r>
      <w:r w:rsidRPr="00421C05">
        <w:rPr>
          <w:szCs w:val="15"/>
        </w:rPr>
        <w:t xml:space="preserve">the Court gave some initial directions as to how the stage two hearing should proceed: </w:t>
      </w:r>
      <w:r w:rsidRPr="00421C05">
        <w:rPr>
          <w:i/>
          <w:szCs w:val="15"/>
        </w:rPr>
        <w:t xml:space="preserve">Houghton v Saunders </w:t>
      </w:r>
      <w:r w:rsidRPr="00421C05">
        <w:rPr>
          <w:szCs w:val="15"/>
        </w:rPr>
        <w:t>[2019] NZHC 142</w:t>
      </w:r>
      <w:r w:rsidRPr="00421C05">
        <w:rPr>
          <w:i/>
          <w:iCs/>
          <w:szCs w:val="15"/>
        </w:rPr>
        <w:t xml:space="preserve"> </w:t>
      </w:r>
      <w:r w:rsidRPr="00421C05">
        <w:rPr>
          <w:szCs w:val="15"/>
        </w:rPr>
        <w:t xml:space="preserve">at [20]–[22] and [25]. However, the case was struck out prior to the stage two hearing due to a failure to pay security for costs. </w:t>
      </w:r>
    </w:p>
  </w:footnote>
  <w:footnote w:id="486">
    <w:p w14:paraId="35ADEEED" w14:textId="07609330"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Federal Court of Australia Act 1976 (Cth), ss 33Q and 33R; and </w:t>
      </w:r>
      <w:r w:rsidRPr="00421C05">
        <w:rPr>
          <w:rFonts w:eastAsia="Metropolis Light" w:cs="Metropolis Light"/>
          <w:color w:val="000000" w:themeColor="text1"/>
          <w:szCs w:val="15"/>
          <w:lang w:val="mi-NZ"/>
        </w:rPr>
        <w:t>Class Proceedings Act SO 1992 c 6 (Ontario), s 25</w:t>
      </w:r>
      <w:r w:rsidRPr="00421C05">
        <w:rPr>
          <w:szCs w:val="15"/>
        </w:rPr>
        <w:t>.</w:t>
      </w:r>
    </w:p>
  </w:footnote>
  <w:footnote w:id="487">
    <w:p w14:paraId="6CB3CAA5" w14:textId="39E0967F"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Fonts w:eastAsia="Metropolis Light" w:cs="Metropolis Light"/>
          <w:color w:val="000000" w:themeColor="text1"/>
          <w:szCs w:val="15"/>
          <w:lang w:val="mi-NZ"/>
        </w:rPr>
        <w:t>Class Proceedings Act SO 1992 c 6 (Ontario), s 25(a) (the court may determine indivdual issues in further hearings presided over by the judge who determined the common issues or another judge)</w:t>
      </w:r>
      <w:r w:rsidRPr="00421C05">
        <w:rPr>
          <w:szCs w:val="15"/>
        </w:rPr>
        <w:t>.</w:t>
      </w:r>
    </w:p>
  </w:footnote>
  <w:footnote w:id="488">
    <w:p w14:paraId="4871FFE5" w14:textId="4CF5DCC4"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for example Federal Court of Australia Act 1976 (Cth), s 33Q(2).</w:t>
      </w:r>
    </w:p>
  </w:footnote>
  <w:footnote w:id="489">
    <w:p w14:paraId="5872DA05" w14:textId="0084DCF6"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for example Federal Court of Australia Act 1976 (Cth), s 33R.</w:t>
      </w:r>
    </w:p>
  </w:footnote>
  <w:footnote w:id="490">
    <w:p w14:paraId="4922C5E3" w14:textId="298744AF"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This approach has sometimes been taken in Australia: see Michael Legg and Ross McInnes</w:t>
      </w:r>
      <w:r w:rsidRPr="00421C05">
        <w:rPr>
          <w:rFonts w:ascii="Calibri" w:hAnsi="Calibri" w:cs="Calibri"/>
          <w:szCs w:val="15"/>
        </w:rPr>
        <w:t> </w:t>
      </w:r>
      <w:r w:rsidRPr="00421C05">
        <w:rPr>
          <w:i/>
          <w:szCs w:val="15"/>
        </w:rPr>
        <w:t>Australian Annotated Class Actions Legislation</w:t>
      </w:r>
      <w:r w:rsidRPr="00421C05">
        <w:rPr>
          <w:rFonts w:ascii="Calibri" w:hAnsi="Calibri" w:cs="Calibri"/>
          <w:i/>
          <w:szCs w:val="15"/>
        </w:rPr>
        <w:t> </w:t>
      </w:r>
      <w:r w:rsidRPr="00421C05">
        <w:rPr>
          <w:szCs w:val="15"/>
        </w:rPr>
        <w:t xml:space="preserve">(2nd ed, LexisNexis Butterworths, Chatswood, 2018) at [17.3]. For an example, see </w:t>
      </w:r>
      <w:r w:rsidRPr="00421C05">
        <w:rPr>
          <w:i/>
          <w:szCs w:val="15"/>
        </w:rPr>
        <w:t xml:space="preserve">Pampered Paws Connection Pty Ltd v Pets Paradise Franchising (Qld) Pty Ltd (No 11) </w:t>
      </w:r>
      <w:r w:rsidRPr="00421C05">
        <w:rPr>
          <w:szCs w:val="15"/>
        </w:rPr>
        <w:t xml:space="preserve">[2013] FCA 241 at [66]–[67]. See also </w:t>
      </w:r>
      <w:r w:rsidRPr="00421C05">
        <w:rPr>
          <w:i/>
          <w:szCs w:val="15"/>
        </w:rPr>
        <w:t>Class Actions Practice Note</w:t>
      </w:r>
      <w:r w:rsidRPr="00421C05">
        <w:rPr>
          <w:szCs w:val="15"/>
        </w:rPr>
        <w:t xml:space="preserve"> (Federal Court of Australia, Practice Note GPN-CA, December 2019) at [13.3], noting that following an initial trial it will be necessary to decide whether individual class member claims will be determined within the existing proceeding or in separate proceedings.</w:t>
      </w:r>
    </w:p>
  </w:footnote>
  <w:footnote w:id="491">
    <w:p w14:paraId="560E67A9" w14:textId="19375E32"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Fonts w:eastAsia="Metropolis Light" w:cs="Metropolis Light"/>
          <w:color w:val="000000" w:themeColor="text1"/>
          <w:szCs w:val="15"/>
          <w:lang w:val="mi-NZ"/>
        </w:rPr>
        <w:t xml:space="preserve">Class Proceedings Act SO 1992 c 6 (Ontario), s 25(3)(b). </w:t>
      </w:r>
    </w:p>
  </w:footnote>
  <w:footnote w:id="492">
    <w:p w14:paraId="01ABA234"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Metropolis Light" w:cs="Metropolis Light"/>
          <w:color w:val="000000" w:themeColor="text1"/>
          <w:szCs w:val="15"/>
          <w:lang w:val="mi-NZ"/>
        </w:rPr>
        <w:t>William</w:t>
      </w:r>
      <w:r w:rsidRPr="00421C05">
        <w:rPr>
          <w:szCs w:val="15"/>
        </w:rPr>
        <w:t xml:space="preserve"> Rubenstein </w:t>
      </w:r>
      <w:r w:rsidRPr="00421C05">
        <w:rPr>
          <w:i/>
          <w:szCs w:val="15"/>
        </w:rPr>
        <w:t xml:space="preserve">Newberg on Class Actions </w:t>
      </w:r>
      <w:r w:rsidRPr="00421C05">
        <w:rPr>
          <w:szCs w:val="15"/>
        </w:rPr>
        <w:t xml:space="preserve">(online ed, Thomson Reuters) at </w:t>
      </w:r>
      <w:r w:rsidRPr="00421C05">
        <w:rPr>
          <w:rFonts w:ascii="Times New Roman" w:hAnsi="Times New Roman"/>
          <w:szCs w:val="15"/>
        </w:rPr>
        <w:t>§</w:t>
      </w:r>
      <w:r w:rsidRPr="00421C05">
        <w:rPr>
          <w:szCs w:val="15"/>
        </w:rPr>
        <w:t xml:space="preserve"> 12:5. In </w:t>
      </w:r>
      <w:r w:rsidRPr="00421C05">
        <w:rPr>
          <w:i/>
          <w:szCs w:val="15"/>
        </w:rPr>
        <w:t xml:space="preserve">Tyson Foods, Inc v Bouaphakeo </w:t>
      </w:r>
      <w:r w:rsidRPr="00421C05">
        <w:rPr>
          <w:szCs w:val="15"/>
        </w:rPr>
        <w:t xml:space="preserve">577 US 442 (2016) the defendant employer had failed to keep records of time employees spent “donning and doffing” protective gear used in a pork processing plant and so the plaintiff relied primarily on a study by an industrial relations expert. The Supreme Court refused the defendant’s request to create a broad rule against the use of representative evidence in class actions. </w:t>
      </w:r>
    </w:p>
  </w:footnote>
  <w:footnote w:id="493">
    <w:p w14:paraId="307A5645"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Metropolis Light" w:cs="Metropolis Light"/>
          <w:color w:val="000000" w:themeColor="text1"/>
          <w:szCs w:val="15"/>
          <w:lang w:val="mi-NZ"/>
        </w:rPr>
        <w:t>William</w:t>
      </w:r>
      <w:r w:rsidRPr="00421C05">
        <w:rPr>
          <w:szCs w:val="15"/>
        </w:rPr>
        <w:t xml:space="preserve"> Rubenstein </w:t>
      </w:r>
      <w:r w:rsidRPr="00421C05">
        <w:rPr>
          <w:i/>
          <w:szCs w:val="15"/>
        </w:rPr>
        <w:t xml:space="preserve">Newberg on Class Actions </w:t>
      </w:r>
      <w:r w:rsidRPr="00421C05">
        <w:rPr>
          <w:szCs w:val="15"/>
        </w:rPr>
        <w:t xml:space="preserve">(online ed, Thomson Reuters) at </w:t>
      </w:r>
      <w:r w:rsidRPr="00421C05">
        <w:rPr>
          <w:rFonts w:ascii="Times New Roman" w:hAnsi="Times New Roman"/>
          <w:szCs w:val="15"/>
        </w:rPr>
        <w:t>§</w:t>
      </w:r>
      <w:r w:rsidRPr="00421C05">
        <w:rPr>
          <w:szCs w:val="15"/>
        </w:rPr>
        <w:t xml:space="preserve"> 12:5.</w:t>
      </w:r>
    </w:p>
  </w:footnote>
  <w:footnote w:id="494">
    <w:p w14:paraId="604C6371"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Metropolis Light" w:cs="Metropolis Light"/>
          <w:color w:val="000000" w:themeColor="text1"/>
          <w:szCs w:val="15"/>
          <w:lang w:val="mi-NZ"/>
        </w:rPr>
        <w:t>William</w:t>
      </w:r>
      <w:r w:rsidRPr="00421C05">
        <w:rPr>
          <w:szCs w:val="15"/>
        </w:rPr>
        <w:t xml:space="preserve"> Rubenstein </w:t>
      </w:r>
      <w:r w:rsidRPr="00421C05">
        <w:rPr>
          <w:i/>
          <w:szCs w:val="15"/>
        </w:rPr>
        <w:t xml:space="preserve">Newberg on Class Actions </w:t>
      </w:r>
      <w:r w:rsidRPr="00421C05">
        <w:rPr>
          <w:szCs w:val="15"/>
        </w:rPr>
        <w:t xml:space="preserve">(online ed, Thomson Reuters) at </w:t>
      </w:r>
      <w:r w:rsidRPr="00421C05">
        <w:rPr>
          <w:rFonts w:ascii="Times New Roman" w:hAnsi="Times New Roman"/>
          <w:szCs w:val="15"/>
        </w:rPr>
        <w:t>§</w:t>
      </w:r>
      <w:r w:rsidRPr="00421C05">
        <w:rPr>
          <w:szCs w:val="15"/>
        </w:rPr>
        <w:t xml:space="preserve"> 12:5. See also at </w:t>
      </w:r>
      <w:r w:rsidRPr="00421C05">
        <w:rPr>
          <w:rFonts w:ascii="Times New Roman" w:hAnsi="Times New Roman"/>
          <w:szCs w:val="15"/>
        </w:rPr>
        <w:t>§</w:t>
      </w:r>
      <w:r w:rsidRPr="00421C05">
        <w:rPr>
          <w:szCs w:val="15"/>
        </w:rPr>
        <w:t xml:space="preserve"> 11:21, noting that few courts continue to embrace the “trial by extrapolation” approach.</w:t>
      </w:r>
    </w:p>
  </w:footnote>
  <w:footnote w:id="495">
    <w:p w14:paraId="6D8FD6BE" w14:textId="77777777" w:rsidR="00A55F53" w:rsidRPr="00421C05" w:rsidRDefault="00A55F53" w:rsidP="00D36A28">
      <w:pPr>
        <w:pStyle w:val="FootnoteText"/>
        <w:rPr>
          <w:szCs w:val="15"/>
        </w:rPr>
      </w:pPr>
      <w:r w:rsidRPr="00421C05">
        <w:rPr>
          <w:rStyle w:val="FootnoteReference"/>
          <w:rFonts w:cstheme="minorHAnsi"/>
          <w:sz w:val="15"/>
          <w:szCs w:val="15"/>
        </w:rPr>
        <w:footnoteRef/>
      </w:r>
      <w:r w:rsidRPr="00421C05">
        <w:rPr>
          <w:szCs w:val="15"/>
        </w:rPr>
        <w:t xml:space="preserve"> </w:t>
      </w:r>
      <w:r w:rsidRPr="00421C05">
        <w:rPr>
          <w:szCs w:val="15"/>
        </w:rPr>
        <w:tab/>
      </w:r>
      <w:r w:rsidRPr="00421C05">
        <w:rPr>
          <w:i/>
          <w:szCs w:val="15"/>
        </w:rPr>
        <w:t>Houghton</w:t>
      </w:r>
      <w:r w:rsidRPr="00421C05">
        <w:rPr>
          <w:rFonts w:cstheme="minorHAnsi"/>
          <w:i/>
          <w:szCs w:val="15"/>
        </w:rPr>
        <w:t xml:space="preserve"> v Saunders </w:t>
      </w:r>
      <w:r w:rsidRPr="00421C05">
        <w:rPr>
          <w:rFonts w:cstheme="minorHAnsi"/>
          <w:szCs w:val="15"/>
        </w:rPr>
        <w:t>[2019] NZHC 142 at [14].</w:t>
      </w:r>
    </w:p>
  </w:footnote>
  <w:footnote w:id="496">
    <w:p w14:paraId="422E180E"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Houghton</w:t>
      </w:r>
      <w:r w:rsidRPr="00421C05">
        <w:rPr>
          <w:rFonts w:cstheme="minorHAnsi"/>
          <w:i/>
          <w:szCs w:val="15"/>
        </w:rPr>
        <w:t xml:space="preserve"> v Saunders </w:t>
      </w:r>
      <w:r w:rsidRPr="00421C05">
        <w:rPr>
          <w:rFonts w:cstheme="minorHAnsi"/>
          <w:szCs w:val="15"/>
        </w:rPr>
        <w:t>[2019] NZHC 142 at [22].</w:t>
      </w:r>
    </w:p>
  </w:footnote>
  <w:footnote w:id="497">
    <w:p w14:paraId="7D5DB39D"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Houghton</w:t>
      </w:r>
      <w:r w:rsidRPr="00421C05">
        <w:rPr>
          <w:rFonts w:cstheme="minorHAnsi"/>
          <w:i/>
          <w:szCs w:val="15"/>
        </w:rPr>
        <w:t xml:space="preserve"> v Saunders </w:t>
      </w:r>
      <w:r w:rsidRPr="00421C05">
        <w:rPr>
          <w:rFonts w:cstheme="minorHAnsi"/>
          <w:szCs w:val="15"/>
        </w:rPr>
        <w:t>[2019] NZHC 142 at [22].</w:t>
      </w:r>
    </w:p>
  </w:footnote>
  <w:footnote w:id="498">
    <w:p w14:paraId="0EC088C5" w14:textId="307F4A75"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Fonts w:eastAsia="Metropolis Light" w:cs="Metropolis Light"/>
          <w:color w:val="000000" w:themeColor="text1"/>
          <w:szCs w:val="15"/>
          <w:lang w:val="mi-NZ"/>
        </w:rPr>
        <w:t>Class Proceedings Act SO 1992 c 6 (Ontario), s 25(1)(b) and (c).</w:t>
      </w:r>
    </w:p>
  </w:footnote>
  <w:footnote w:id="499">
    <w:p w14:paraId="0B4BB56D"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Rachael Mulheron </w:t>
      </w:r>
      <w:r w:rsidRPr="00421C05">
        <w:rPr>
          <w:i/>
          <w:szCs w:val="15"/>
        </w:rPr>
        <w:t xml:space="preserve">The Class Action in Common Law Legal Systems: A Comparative Perspective </w:t>
      </w:r>
      <w:r w:rsidRPr="00421C05">
        <w:rPr>
          <w:szCs w:val="15"/>
        </w:rPr>
        <w:t>(Hart Publishing, Oxford, 2004) at 267-268.</w:t>
      </w:r>
    </w:p>
  </w:footnote>
  <w:footnote w:id="500">
    <w:p w14:paraId="727BD17D"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Arbitrators and mediators have different duties, which can be difficult to reconcile in a combined arbitration-mediation procedure. See David Williams and Amokura Kawharu </w:t>
      </w:r>
      <w:r w:rsidRPr="00421C05">
        <w:rPr>
          <w:i/>
          <w:iCs/>
          <w:szCs w:val="15"/>
        </w:rPr>
        <w:t xml:space="preserve">Williams &amp; Kawharu on Arbitration </w:t>
      </w:r>
      <w:r w:rsidRPr="00421C05">
        <w:rPr>
          <w:szCs w:val="15"/>
        </w:rPr>
        <w:t xml:space="preserve">(2nd ed, LexisNexis, Wellington, 2017) at 17-20. </w:t>
      </w:r>
    </w:p>
  </w:footnote>
  <w:footnote w:id="501">
    <w:p w14:paraId="13209FC6"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This invites a question as to who would appoint and pay the panel. </w:t>
      </w:r>
    </w:p>
  </w:footnote>
  <w:footnote w:id="502">
    <w:p w14:paraId="659E300A"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Again, this raises the issue of who would appoint and pay the referee. </w:t>
      </w:r>
    </w:p>
  </w:footnote>
  <w:footnote w:id="503">
    <w:p w14:paraId="00A5E9EC"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Evidence Act 2006, s 9(1)(b) provides that in any proceeding, the judge may admit evidence offered in any form or way agreed by all parties.</w:t>
      </w:r>
    </w:p>
  </w:footnote>
  <w:footnote w:id="504">
    <w:p w14:paraId="780BA0A1"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High Court Rules 2016, Part 8. We note that the Rules Committee has proposed replacing the rules of discovery with disclosure rules: Te Komiti mō ngā Tikanga Kooti | The Rules Committee </w:t>
      </w:r>
      <w:r w:rsidRPr="00421C05">
        <w:rPr>
          <w:i/>
          <w:szCs w:val="15"/>
        </w:rPr>
        <w:t>Improving Access to Civil Justice: Further Consultation with the Legal Profession and Wider Community</w:t>
      </w:r>
      <w:r w:rsidRPr="00421C05">
        <w:rPr>
          <w:szCs w:val="15"/>
        </w:rPr>
        <w:t xml:space="preserve"> (14 May 2021) at [69].</w:t>
      </w:r>
    </w:p>
  </w:footnote>
  <w:footnote w:id="505">
    <w:p w14:paraId="4C4A8F54" w14:textId="501BE338"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High Court Rules 2016, r 8.21.</w:t>
      </w:r>
    </w:p>
  </w:footnote>
  <w:footnote w:id="506">
    <w:p w14:paraId="711E2C89" w14:textId="1403AACD"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For example in </w:t>
      </w:r>
      <w:r w:rsidRPr="00421C05">
        <w:rPr>
          <w:i/>
          <w:iCs/>
          <w:szCs w:val="15"/>
        </w:rPr>
        <w:t xml:space="preserve">Houghton v Saunders </w:t>
      </w:r>
      <w:r w:rsidRPr="00421C05">
        <w:rPr>
          <w:szCs w:val="15"/>
        </w:rPr>
        <w:t xml:space="preserve">it appears that only the sub-set of group members who were to give evidence at stage two were to provide discovery prior to the stage two hearing: see </w:t>
      </w:r>
      <w:r w:rsidRPr="00421C05">
        <w:rPr>
          <w:i/>
          <w:szCs w:val="15"/>
        </w:rPr>
        <w:t xml:space="preserve">Houghton v Saunders </w:t>
      </w:r>
      <w:r w:rsidRPr="00421C05">
        <w:rPr>
          <w:szCs w:val="15"/>
        </w:rPr>
        <w:t>[2019] NZHC 1061</w:t>
      </w:r>
      <w:r w:rsidRPr="00421C05">
        <w:rPr>
          <w:i/>
          <w:iCs/>
          <w:szCs w:val="15"/>
        </w:rPr>
        <w:t xml:space="preserve"> </w:t>
      </w:r>
      <w:r w:rsidRPr="00421C05">
        <w:rPr>
          <w:szCs w:val="15"/>
        </w:rPr>
        <w:t>at [56], [59].</w:t>
      </w:r>
    </w:p>
  </w:footnote>
  <w:footnote w:id="507">
    <w:p w14:paraId="2D9F664D" w14:textId="2CDEDCFA"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eastAsia="Metropolis Light" w:cs="Metropolis Light"/>
          <w:color w:val="000000" w:themeColor="text1"/>
          <w:szCs w:val="15"/>
          <w:lang w:val="mi-NZ"/>
        </w:rPr>
        <w:t xml:space="preserve">Class Proceedings Act SO 1992 c 6 (Ontario), s </w:t>
      </w:r>
      <w:r w:rsidRPr="00421C05">
        <w:rPr>
          <w:szCs w:val="15"/>
        </w:rPr>
        <w:t>15(3). There are similar provisions in most other Canadian class actions regimes.</w:t>
      </w:r>
    </w:p>
  </w:footnote>
  <w:footnote w:id="508">
    <w:p w14:paraId="57246C6A" w14:textId="71C1793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Competition Appeal Tribunal Guide to Proceedings (2015) at [5.86]. An exception is that a party may request disclosure of any document referred to in the pleadings or in witness statements, affidavits or an expert report. We understand disclosure is the equivalent of discovery. </w:t>
      </w:r>
    </w:p>
  </w:footnote>
  <w:footnote w:id="509">
    <w:p w14:paraId="2B60138C" w14:textId="268C8D5C"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D0D0D"/>
          <w:szCs w:val="15"/>
          <w:shd w:val="clear" w:color="auto" w:fill="FFFFFF"/>
          <w:lang w:val="mi-NZ" w:eastAsia="en-AU"/>
        </w:rPr>
        <w:t>The</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Competition</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 xml:space="preserve">Appeal Tribunal Rules 2015 (UK), r </w:t>
      </w:r>
      <w:r w:rsidRPr="00421C05">
        <w:rPr>
          <w:szCs w:val="15"/>
        </w:rPr>
        <w:t>89(1). The Tribunal may also order disclosure to be given by any party to the class action to another party or by the representative plaintiff to any or all represented persons.</w:t>
      </w:r>
    </w:p>
  </w:footnote>
  <w:footnote w:id="510">
    <w:p w14:paraId="1FDAB110" w14:textId="0070966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Discovery of opt-in forms was ordered in </w:t>
      </w:r>
      <w:r w:rsidRPr="00421C05">
        <w:rPr>
          <w:i/>
          <w:szCs w:val="15"/>
        </w:rPr>
        <w:t xml:space="preserve">Houghton v Saunders </w:t>
      </w:r>
      <w:r w:rsidRPr="00421C05">
        <w:rPr>
          <w:szCs w:val="15"/>
        </w:rPr>
        <w:t xml:space="preserve">[2013] NZHC 1824 at [11] and </w:t>
      </w:r>
      <w:r w:rsidRPr="00421C05">
        <w:rPr>
          <w:i/>
          <w:iCs/>
          <w:szCs w:val="15"/>
        </w:rPr>
        <w:t>St</w:t>
      </w:r>
      <w:r w:rsidRPr="00421C05">
        <w:rPr>
          <w:i/>
          <w:szCs w:val="15"/>
        </w:rPr>
        <w:t xml:space="preserve">rathboss v Attorney-General </w:t>
      </w:r>
      <w:r w:rsidRPr="00421C05">
        <w:rPr>
          <w:szCs w:val="15"/>
        </w:rPr>
        <w:t>[2016] NZHC 206</w:t>
      </w:r>
      <w:r w:rsidRPr="00421C05">
        <w:rPr>
          <w:i/>
          <w:szCs w:val="15"/>
        </w:rPr>
        <w:t xml:space="preserve"> </w:t>
      </w:r>
      <w:r w:rsidRPr="00421C05">
        <w:rPr>
          <w:szCs w:val="15"/>
        </w:rPr>
        <w:t>at [45].</w:t>
      </w:r>
    </w:p>
  </w:footnote>
  <w:footnote w:id="511">
    <w:p w14:paraId="23C76611" w14:textId="79422B0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High Court Rules 2016, rr 5.21, 8.34-8.35 and 8.47.</w:t>
      </w:r>
    </w:p>
  </w:footnote>
  <w:footnote w:id="512">
    <w:p w14:paraId="33A356F2" w14:textId="0AFB4394"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i/>
          <w:szCs w:val="15"/>
        </w:rPr>
        <w:t xml:space="preserve">Paine v Carter Holt Harvey </w:t>
      </w:r>
      <w:r w:rsidRPr="00421C05">
        <w:rPr>
          <w:szCs w:val="15"/>
        </w:rPr>
        <w:t xml:space="preserve">[2019] NZHC 478 at [5]–[69]; </w:t>
      </w:r>
      <w:r w:rsidRPr="00421C05">
        <w:rPr>
          <w:i/>
          <w:szCs w:val="15"/>
        </w:rPr>
        <w:t xml:space="preserve">Minister of Education v James Hardie </w:t>
      </w:r>
      <w:r w:rsidRPr="00421C05">
        <w:rPr>
          <w:szCs w:val="15"/>
        </w:rPr>
        <w:t xml:space="preserve">[2014] NZHC 2432; </w:t>
      </w:r>
      <w:r w:rsidRPr="00421C05">
        <w:rPr>
          <w:i/>
          <w:szCs w:val="15"/>
        </w:rPr>
        <w:t xml:space="preserve">Strathboss Kiwifruit Ltd v Attorney-General </w:t>
      </w:r>
      <w:r w:rsidRPr="00421C05">
        <w:rPr>
          <w:szCs w:val="15"/>
        </w:rPr>
        <w:t xml:space="preserve">[2015] NZHC 1596, (2015) 23 PRNZ 69 at [92]; and </w:t>
      </w:r>
      <w:r w:rsidRPr="00421C05">
        <w:rPr>
          <w:i/>
          <w:szCs w:val="15"/>
        </w:rPr>
        <w:t>Houghton v</w:t>
      </w:r>
      <w:r w:rsidRPr="00421C05">
        <w:rPr>
          <w:i/>
          <w:iCs/>
          <w:szCs w:val="15"/>
        </w:rPr>
        <w:t xml:space="preserve"> </w:t>
      </w:r>
      <w:r w:rsidRPr="00421C05">
        <w:rPr>
          <w:i/>
          <w:szCs w:val="15"/>
        </w:rPr>
        <w:t xml:space="preserve">Saunders </w:t>
      </w:r>
      <w:r w:rsidRPr="00421C05">
        <w:rPr>
          <w:szCs w:val="15"/>
        </w:rPr>
        <w:t>[2013] NZHC 1824 at [52]–[88].</w:t>
      </w:r>
    </w:p>
  </w:footnote>
  <w:footnote w:id="513">
    <w:p w14:paraId="1C4B414E" w14:textId="37A4DD8B"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color w:val="0D0D0D"/>
          <w:szCs w:val="15"/>
          <w:shd w:val="clear" w:color="auto" w:fill="FFFFFF"/>
          <w:lang w:val="mi-NZ" w:eastAsia="en-AU"/>
        </w:rPr>
        <w:t>The</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Competition</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Appeal Tribunal Rules 2015 (UK), r 83.</w:t>
      </w:r>
      <w:r w:rsidRPr="00421C05">
        <w:rPr>
          <w:szCs w:val="15"/>
        </w:rPr>
        <w:t xml:space="preserve"> </w:t>
      </w:r>
    </w:p>
  </w:footnote>
  <w:footnote w:id="514">
    <w:p w14:paraId="0E151A71" w14:textId="77777777" w:rsidR="00A55F53" w:rsidRPr="00421C05" w:rsidRDefault="00A55F53" w:rsidP="00D36A2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In Ontario, each party to an application for certification must provide affidavit evidence of their best information on the number of class members: </w:t>
      </w:r>
      <w:r w:rsidRPr="00421C05">
        <w:rPr>
          <w:color w:val="000000"/>
          <w:szCs w:val="15"/>
          <w:shd w:val="clear" w:color="auto" w:fill="FFFFFF"/>
          <w:lang w:val="mi-NZ" w:eastAsia="en-AU"/>
        </w:rPr>
        <w:t xml:space="preserve">Class Proceedings Act SO 1992 c 6 (Ontario), s 5(3). In the United Kingdom Competition Appeal Tribunal, a class action claim form must include an estimate of the number of class members and sub-class members and the basis for that estimate: </w:t>
      </w:r>
      <w:r w:rsidRPr="00421C05">
        <w:rPr>
          <w:color w:val="0D0D0D"/>
          <w:szCs w:val="15"/>
          <w:shd w:val="clear" w:color="auto" w:fill="FFFFFF"/>
          <w:lang w:val="mi-NZ" w:eastAsia="en-AU"/>
        </w:rPr>
        <w:t>The</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Competition</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Appeal Tribunal Rules 2015 (UK), r 75(3)(c).</w:t>
      </w:r>
    </w:p>
  </w:footnote>
  <w:footnote w:id="515">
    <w:p w14:paraId="779CBEAC" w14:textId="0F8204D7"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think privacy concerns would make it less appropriate for the representative plaintiff to disclose the identities of those who have opted out. </w:t>
      </w:r>
    </w:p>
  </w:footnote>
  <w:footnote w:id="516">
    <w:p w14:paraId="5AA41101" w14:textId="1FE0DB45"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4(3)(a).</w:t>
      </w:r>
    </w:p>
  </w:footnote>
  <w:footnote w:id="517">
    <w:p w14:paraId="632D36CB" w14:textId="1146D1E9"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briefly discuss this issue in our Issues Paper at [12.49]–[12.51].</w:t>
      </w:r>
    </w:p>
  </w:footnote>
  <w:footnote w:id="518">
    <w:p w14:paraId="589BE502"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Full Federal Court first allowed a closed opt-out class action in </w:t>
      </w:r>
      <w:r w:rsidRPr="00421C05">
        <w:rPr>
          <w:i/>
          <w:szCs w:val="15"/>
        </w:rPr>
        <w:t>Multiplex Funds Management Ltd v P Dawson Nominees Pty Ltd</w:t>
      </w:r>
      <w:r w:rsidRPr="00421C05">
        <w:rPr>
          <w:szCs w:val="15"/>
        </w:rPr>
        <w:t xml:space="preserve"> [2007] FCAFC 200, (2007) 164 FCR 275. See Parliamentary Joint Committee on Corporations and Financial Services </w:t>
      </w:r>
      <w:r w:rsidRPr="00421C05">
        <w:rPr>
          <w:i/>
          <w:szCs w:val="15"/>
        </w:rPr>
        <w:t xml:space="preserve">Litigation funding and the regulation of the class action industry </w:t>
      </w:r>
      <w:r w:rsidRPr="00421C05">
        <w:rPr>
          <w:szCs w:val="15"/>
        </w:rPr>
        <w:t>(December 2020) at [9.35].</w:t>
      </w:r>
    </w:p>
  </w:footnote>
  <w:footnote w:id="519">
    <w:p w14:paraId="6FAD60B4"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Money Max Int Pty Ltd v QBE Insurance Group Ltd</w:t>
      </w:r>
      <w:r w:rsidRPr="00421C05">
        <w:rPr>
          <w:rFonts w:ascii="Calibri" w:hAnsi="Calibri" w:cs="Calibri"/>
          <w:i/>
          <w:szCs w:val="15"/>
        </w:rPr>
        <w:t> </w:t>
      </w:r>
      <w:r w:rsidRPr="00421C05">
        <w:rPr>
          <w:szCs w:val="15"/>
        </w:rPr>
        <w:t>[2016] FCAFC 148, (2016) 245 FCR 191 at [5].</w:t>
      </w:r>
    </w:p>
  </w:footnote>
  <w:footnote w:id="520">
    <w:p w14:paraId="6963D791"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Dorajay Pty Ltd v Aristocrat Leisure Ltd </w:t>
      </w:r>
      <w:r w:rsidRPr="00421C05">
        <w:rPr>
          <w:szCs w:val="15"/>
        </w:rPr>
        <w:t>[2009] FCA 19.</w:t>
      </w:r>
    </w:p>
  </w:footnote>
  <w:footnote w:id="521">
    <w:p w14:paraId="3651D162" w14:textId="40943A92"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However, there have been some instances of a funder obtaining a percentage of the amount added back to the recoveries of funded group members: see Vince Morabito and Michael Duffy </w:t>
      </w:r>
      <w:r w:rsidRPr="00421C05">
        <w:rPr>
          <w:i/>
          <w:szCs w:val="15"/>
        </w:rPr>
        <w:t xml:space="preserve">An Australian Perspective on the Involvement of Commercial Litigation Funders in Class Actions </w:t>
      </w:r>
      <w:r w:rsidRPr="00421C05">
        <w:rPr>
          <w:szCs w:val="15"/>
        </w:rPr>
        <w:t>[2020] NZ Law Rev 377 at fn 103.</w:t>
      </w:r>
    </w:p>
  </w:footnote>
  <w:footnote w:id="522">
    <w:p w14:paraId="7BDA722B"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 xml:space="preserve">Litigation funding and the regulation of the class action industry </w:t>
      </w:r>
      <w:r w:rsidRPr="00421C05">
        <w:rPr>
          <w:szCs w:val="15"/>
        </w:rPr>
        <w:t xml:space="preserve">(December 2020) at [9.35]. See also </w:t>
      </w:r>
      <w:r w:rsidRPr="00421C05">
        <w:rPr>
          <w:i/>
          <w:szCs w:val="15"/>
        </w:rPr>
        <w:t xml:space="preserve">BMW Australia Ltd v Brewster </w:t>
      </w:r>
      <w:r w:rsidRPr="00421C05">
        <w:rPr>
          <w:szCs w:val="15"/>
        </w:rPr>
        <w:t>[2019] HCA 45, (2019)</w:t>
      </w:r>
      <w:r w:rsidRPr="00421C05">
        <w:rPr>
          <w:i/>
          <w:szCs w:val="15"/>
        </w:rPr>
        <w:t xml:space="preserve"> </w:t>
      </w:r>
      <w:r w:rsidRPr="00421C05">
        <w:rPr>
          <w:szCs w:val="15"/>
        </w:rPr>
        <w:t>374 ALR 627 at [133] per Gordon J.</w:t>
      </w:r>
    </w:p>
  </w:footnote>
  <w:footnote w:id="523">
    <w:p w14:paraId="065AC619"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 xml:space="preserve">[2019] HCA 45, (2019) 374 ALR 627 at [185] per Edelman J. See also </w:t>
      </w:r>
      <w:r w:rsidRPr="00421C05">
        <w:rPr>
          <w:i/>
          <w:szCs w:val="15"/>
        </w:rPr>
        <w:t>McKay Super Solutions Pty Ltd (Trustee) v Bellamy’s Australia (No 3)</w:t>
      </w:r>
      <w:r w:rsidRPr="00421C05">
        <w:rPr>
          <w:szCs w:val="15"/>
        </w:rPr>
        <w:t xml:space="preserve"> [2020] FCA 461 at [20] (commenting that judges who have applied funding equalisation mechanisms “appear to have assumed they lack the power to modify” the litigation funding commission or its payment as part of approving the settlement).</w:t>
      </w:r>
    </w:p>
  </w:footnote>
  <w:footnote w:id="524">
    <w:p w14:paraId="636E64E7"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[2019] HCA 45, (2019) 374 ALR 627 at [185] per Edelman J.</w:t>
      </w:r>
    </w:p>
  </w:footnote>
  <w:footnote w:id="525">
    <w:p w14:paraId="1D21D81F"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 xml:space="preserve">Litigation funding and the regulation of the class action industry </w:t>
      </w:r>
      <w:r w:rsidRPr="00421C05">
        <w:rPr>
          <w:szCs w:val="15"/>
        </w:rPr>
        <w:t xml:space="preserve">(December 2020) at [9.6]. See also </w:t>
      </w:r>
      <w:r w:rsidRPr="00421C05">
        <w:rPr>
          <w:i/>
          <w:szCs w:val="15"/>
        </w:rPr>
        <w:t xml:space="preserve">BMW Australia Ltd v Brewster </w:t>
      </w:r>
      <w:r w:rsidRPr="00421C05">
        <w:rPr>
          <w:szCs w:val="15"/>
        </w:rPr>
        <w:t>[2019] HCA 45, (2019) 374 ALR 627 at [1], [135] and [178].</w:t>
      </w:r>
      <w:r w:rsidRPr="00421C05">
        <w:rPr>
          <w:szCs w:val="15"/>
        </w:rPr>
        <w:tab/>
      </w:r>
    </w:p>
  </w:footnote>
  <w:footnote w:id="526">
    <w:p w14:paraId="366CEDCF" w14:textId="203C07F1" w:rsidR="00A55F53" w:rsidRPr="00421C05" w:rsidRDefault="00A55F53" w:rsidP="00D36A28">
      <w:pPr>
        <w:pStyle w:val="FootnoteText"/>
        <w:rPr>
          <w:i/>
          <w:iCs/>
          <w:szCs w:val="15"/>
        </w:rPr>
      </w:pPr>
      <w:r w:rsidRPr="00421C05">
        <w:rPr>
          <w:rStyle w:val="FootnoteReference"/>
          <w:sz w:val="15"/>
          <w:szCs w:val="15"/>
        </w:rPr>
        <w:footnoteRef/>
      </w:r>
      <w:r w:rsidRPr="00421C05">
        <w:rPr>
          <w:i/>
          <w:iCs/>
          <w:szCs w:val="15"/>
        </w:rPr>
        <w:t xml:space="preserve"> </w:t>
      </w:r>
      <w:r w:rsidRPr="00421C05">
        <w:rPr>
          <w:i/>
          <w:iCs/>
          <w:szCs w:val="15"/>
        </w:rPr>
        <w:tab/>
      </w:r>
      <w:r w:rsidRPr="00421C05">
        <w:rPr>
          <w:szCs w:val="15"/>
        </w:rPr>
        <w:t xml:space="preserve">For instance at settlement or at the point of distribution of damages: see </w:t>
      </w:r>
      <w:r w:rsidRPr="00421C05">
        <w:rPr>
          <w:i/>
          <w:szCs w:val="15"/>
        </w:rPr>
        <w:t>Money Max Int Pty Ltd v QBE Insurance Group Ltd</w:t>
      </w:r>
      <w:r w:rsidRPr="00421C05">
        <w:rPr>
          <w:rFonts w:ascii="Calibri" w:hAnsi="Calibri" w:cs="Calibri"/>
          <w:i/>
          <w:szCs w:val="15"/>
        </w:rPr>
        <w:t> </w:t>
      </w:r>
      <w:r w:rsidRPr="00421C05">
        <w:rPr>
          <w:szCs w:val="15"/>
        </w:rPr>
        <w:t>[2016] FCAFC 148, (2016) 245 FCR 191</w:t>
      </w:r>
      <w:r w:rsidRPr="00421C05">
        <w:rPr>
          <w:rFonts w:ascii="Calibri" w:hAnsi="Calibri" w:cs="Calibri"/>
          <w:szCs w:val="15"/>
        </w:rPr>
        <w:t> </w:t>
      </w:r>
      <w:r w:rsidRPr="00421C05">
        <w:rPr>
          <w:szCs w:val="15"/>
        </w:rPr>
        <w:t xml:space="preserve">at [79]. </w:t>
      </w:r>
      <w:r w:rsidRPr="00421C05">
        <w:rPr>
          <w:rFonts w:cs="Calibri"/>
          <w:color w:val="000000"/>
          <w:szCs w:val="15"/>
          <w:shd w:val="clear" w:color="auto" w:fill="FFFFFF"/>
        </w:rPr>
        <w:t xml:space="preserve">An early-stage common fund order has been described as a “slight misnomer”, because the court gives an indication that it will make a common fund order with a particular funding commission at the conclusion of proceedings, but reserves the right to amend that rate: </w:t>
      </w:r>
      <w:r w:rsidRPr="00421C05">
        <w:rPr>
          <w:szCs w:val="15"/>
        </w:rPr>
        <w:t xml:space="preserve">Parliamentary Joint Committee on Corporations and Financial Services </w:t>
      </w:r>
      <w:r w:rsidRPr="00421C05">
        <w:rPr>
          <w:i/>
          <w:szCs w:val="15"/>
        </w:rPr>
        <w:t xml:space="preserve">Litigation funding and the regulation of the class action industry </w:t>
      </w:r>
      <w:r w:rsidRPr="00421C05">
        <w:rPr>
          <w:szCs w:val="15"/>
        </w:rPr>
        <w:t xml:space="preserve">(December 2020) at [9.8], quoting the submission from Clayton Utz (Clayton Utz </w:t>
      </w:r>
      <w:r w:rsidRPr="00421C05">
        <w:rPr>
          <w:i/>
          <w:szCs w:val="15"/>
        </w:rPr>
        <w:t xml:space="preserve">Submission to the Parliamentary Joint Committee on Corporations and Financial Services on Litigation Funding and Regulation of the Class Action Industry </w:t>
      </w:r>
      <w:r w:rsidRPr="00421C05">
        <w:rPr>
          <w:szCs w:val="15"/>
        </w:rPr>
        <w:t xml:space="preserve">(11 June 2020) at [41]). See also Parliamentary Joint Committee on Corporations and Financial Services </w:t>
      </w:r>
      <w:r w:rsidRPr="00421C05">
        <w:rPr>
          <w:i/>
          <w:iCs/>
          <w:szCs w:val="15"/>
        </w:rPr>
        <w:t xml:space="preserve">Litigation funding and the regulation of the class action industry </w:t>
      </w:r>
      <w:r w:rsidRPr="00421C05">
        <w:rPr>
          <w:szCs w:val="15"/>
        </w:rPr>
        <w:t>(December 2020) at [9.7].</w:t>
      </w:r>
    </w:p>
  </w:footnote>
  <w:footnote w:id="527">
    <w:p w14:paraId="0BEC0228" w14:textId="50793BDC"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This example is taken from the common fund order made in </w:t>
      </w:r>
      <w:r w:rsidRPr="00421C05">
        <w:rPr>
          <w:i/>
          <w:iCs/>
          <w:szCs w:val="15"/>
        </w:rPr>
        <w:t>McKay Super Solutions Pty Ltd v Bellamy’s Australia Ltd</w:t>
      </w:r>
      <w:r w:rsidRPr="00421C05">
        <w:rPr>
          <w:szCs w:val="15"/>
        </w:rPr>
        <w:t xml:space="preserve">: see Vince Morabito </w:t>
      </w:r>
      <w:r w:rsidRPr="00421C05">
        <w:rPr>
          <w:i/>
          <w:szCs w:val="15"/>
        </w:rPr>
        <w:t xml:space="preserve">An Evidence-Based Approach to Class Action Reform in Australia: Common Fund Orders, Funding Fees and Reimbursement Payments </w:t>
      </w:r>
      <w:r w:rsidRPr="00421C05">
        <w:rPr>
          <w:szCs w:val="15"/>
        </w:rPr>
        <w:t>(January 2019) at 17-18.</w:t>
      </w:r>
    </w:p>
  </w:footnote>
  <w:footnote w:id="528">
    <w:p w14:paraId="781B77D8" w14:textId="41FA1383"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This example is taken from the common fund order made in </w:t>
      </w:r>
      <w:r w:rsidRPr="00421C05">
        <w:rPr>
          <w:i/>
          <w:iCs/>
          <w:szCs w:val="15"/>
        </w:rPr>
        <w:t>Kuterba v Sirtex Medical Ltd</w:t>
      </w:r>
      <w:r w:rsidRPr="00421C05">
        <w:rPr>
          <w:szCs w:val="15"/>
        </w:rPr>
        <w:t>:</w:t>
      </w:r>
      <w:r w:rsidRPr="00421C05">
        <w:rPr>
          <w:i/>
          <w:iCs/>
          <w:szCs w:val="15"/>
        </w:rPr>
        <w:t xml:space="preserve"> </w:t>
      </w:r>
      <w:r w:rsidRPr="00421C05">
        <w:rPr>
          <w:szCs w:val="15"/>
        </w:rPr>
        <w:t xml:space="preserve">See Vince Morabito </w:t>
      </w:r>
      <w:r w:rsidRPr="00421C05">
        <w:rPr>
          <w:i/>
          <w:szCs w:val="15"/>
        </w:rPr>
        <w:t xml:space="preserve">An Evidence-Based Approach to Class Action Reform in Australia: Common Fund Orders, Funding Fees and Reimbursement Payments </w:t>
      </w:r>
      <w:r w:rsidRPr="00421C05">
        <w:rPr>
          <w:szCs w:val="15"/>
        </w:rPr>
        <w:t>(January 2019) at 18.</w:t>
      </w:r>
    </w:p>
  </w:footnote>
  <w:footnote w:id="529">
    <w:p w14:paraId="50D185F7"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Litigation funding and the regulation of the class action industry</w:t>
      </w:r>
      <w:r w:rsidRPr="00421C05">
        <w:rPr>
          <w:szCs w:val="15"/>
        </w:rPr>
        <w:t xml:space="preserve"> (December 2020) at [9.13]. See </w:t>
      </w:r>
      <w:r w:rsidRPr="00421C05">
        <w:rPr>
          <w:i/>
          <w:szCs w:val="15"/>
        </w:rPr>
        <w:t>Money Max Int Pty Ltd v QBE Insurance Group Ltd</w:t>
      </w:r>
      <w:r w:rsidRPr="00421C05">
        <w:rPr>
          <w:rFonts w:ascii="Calibri" w:hAnsi="Calibri" w:cs="Calibri"/>
          <w:i/>
          <w:iCs/>
          <w:szCs w:val="15"/>
        </w:rPr>
        <w:t> </w:t>
      </w:r>
      <w:r w:rsidRPr="00421C05">
        <w:rPr>
          <w:szCs w:val="15"/>
        </w:rPr>
        <w:t>[2016] FCAFC 148, (2016) 245 FCR 191</w:t>
      </w:r>
      <w:r w:rsidRPr="00421C05">
        <w:rPr>
          <w:rFonts w:ascii="Calibri" w:hAnsi="Calibri" w:cs="Calibri"/>
          <w:szCs w:val="15"/>
        </w:rPr>
        <w:t>.</w:t>
      </w:r>
    </w:p>
  </w:footnote>
  <w:footnote w:id="530">
    <w:p w14:paraId="110D2F2C"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Vince Morabito </w:t>
      </w:r>
      <w:r w:rsidRPr="00421C05">
        <w:rPr>
          <w:i/>
          <w:szCs w:val="15"/>
        </w:rPr>
        <w:t xml:space="preserve">An Evidence-Based Approach to Class Action Reform in Australia: Common Fund Orders, Funding Fees and Reimbursement Payments </w:t>
      </w:r>
      <w:r w:rsidRPr="00421C05">
        <w:rPr>
          <w:szCs w:val="15"/>
        </w:rPr>
        <w:t>(January 2019) at 15-20 (detailing 17 cases where the Federal Court made a common fund order between November 2016 and December 2018).</w:t>
      </w:r>
    </w:p>
  </w:footnote>
  <w:footnote w:id="531">
    <w:p w14:paraId="41D767AD" w14:textId="0C7F1CAD" w:rsidR="00A55F53" w:rsidRPr="00421C05" w:rsidRDefault="00A55F53" w:rsidP="00D36A28">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t xml:space="preserve">Nor does the Supreme Court of New South Wales have jurisdiction under s 183 of the Civil Procedure Act 2005 (NSW). See </w:t>
      </w:r>
      <w:r w:rsidRPr="00421C05">
        <w:rPr>
          <w:i/>
          <w:szCs w:val="15"/>
        </w:rPr>
        <w:t xml:space="preserve">BMW Australia Ltd v Brewster </w:t>
      </w:r>
      <w:r w:rsidRPr="00421C05">
        <w:rPr>
          <w:szCs w:val="15"/>
        </w:rPr>
        <w:t>[2019] HCA 45, (2019) 374 ALR 627 at [3] per Kiefel CJ, Bell and Keane JJ. See also [125]–[128] per Nettle J and [135] and [146] per Gordon J.</w:t>
      </w:r>
    </w:p>
  </w:footnote>
  <w:footnote w:id="532">
    <w:p w14:paraId="7FB136A1" w14:textId="0FC68109"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Federal Court of Australia Act 1976 (Cth), s 33V(2). See for example </w:t>
      </w:r>
      <w:r w:rsidRPr="00421C05">
        <w:rPr>
          <w:i/>
          <w:szCs w:val="15"/>
        </w:rPr>
        <w:t xml:space="preserve">Evans v Davantage Group Pty Ltd (No 3) </w:t>
      </w:r>
      <w:r w:rsidRPr="00421C05">
        <w:rPr>
          <w:szCs w:val="15"/>
        </w:rPr>
        <w:t xml:space="preserve">[2021] FCA 70 at [49], </w:t>
      </w:r>
      <w:r w:rsidRPr="00421C05">
        <w:rPr>
          <w:i/>
          <w:szCs w:val="15"/>
        </w:rPr>
        <w:t>Uren v RMBL Investments Ltd (No 2)</w:t>
      </w:r>
      <w:r w:rsidRPr="00421C05">
        <w:rPr>
          <w:szCs w:val="15"/>
        </w:rPr>
        <w:t xml:space="preserve"> [2020] FCA 647 at [50]–[53], </w:t>
      </w:r>
      <w:r w:rsidRPr="00421C05">
        <w:rPr>
          <w:i/>
          <w:szCs w:val="15"/>
        </w:rPr>
        <w:t xml:space="preserve">McKay Super Solutions Pty Ltd v Bellamy’s Australia Ltd </w:t>
      </w:r>
      <w:r w:rsidRPr="00421C05">
        <w:rPr>
          <w:szCs w:val="15"/>
        </w:rPr>
        <w:t xml:space="preserve">[2020] FCA 461 at [31]. There have been some divergent decisions on this point: see </w:t>
      </w:r>
      <w:r w:rsidRPr="00421C05">
        <w:rPr>
          <w:i/>
          <w:szCs w:val="15"/>
        </w:rPr>
        <w:t xml:space="preserve">Cantor v Audi Australia Pty Ltd (No 5) </w:t>
      </w:r>
      <w:r w:rsidRPr="00421C05">
        <w:rPr>
          <w:szCs w:val="15"/>
        </w:rPr>
        <w:t xml:space="preserve">[2020] FCA 637 at [418]–[421]. </w:t>
      </w:r>
    </w:p>
  </w:footnote>
  <w:footnote w:id="533">
    <w:p w14:paraId="4C89B613" w14:textId="5BB349F6"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Ross v Southern Response Earthquake Services Ltd </w:t>
      </w:r>
      <w:r w:rsidRPr="00421C05">
        <w:rPr>
          <w:szCs w:val="15"/>
        </w:rPr>
        <w:t xml:space="preserve">[2021] NZHC 2454 (set-aside application) at [3], [10] and[23]–[24]. It appears the representative plaintiffs may now intend to seek a common fund order at the end of the proceeding and may also seek a funding equalisation order in the alternative: </w:t>
      </w:r>
      <w:r w:rsidRPr="00421C05">
        <w:rPr>
          <w:i/>
          <w:szCs w:val="15"/>
        </w:rPr>
        <w:t xml:space="preserve">Ross v Southern Response Earthquake Services Ltd </w:t>
      </w:r>
      <w:r w:rsidRPr="00421C05">
        <w:rPr>
          <w:szCs w:val="15"/>
        </w:rPr>
        <w:t>at [2021] NZHC 2454 (set-aside application) at [27]–[29].</w:t>
      </w:r>
    </w:p>
  </w:footnote>
  <w:footnote w:id="534">
    <w:p w14:paraId="5A1ACCD8"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Ross v Southern Response Earthquake Services Ltd </w:t>
      </w:r>
      <w:r w:rsidRPr="00421C05">
        <w:rPr>
          <w:szCs w:val="15"/>
        </w:rPr>
        <w:t>[2019] NZCA 431 at [110].</w:t>
      </w:r>
    </w:p>
  </w:footnote>
  <w:footnote w:id="535">
    <w:p w14:paraId="5131616B" w14:textId="5A4E55F9"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Ross v Southern Response Earthquake Services Ltd </w:t>
      </w:r>
      <w:r w:rsidRPr="00421C05">
        <w:rPr>
          <w:szCs w:val="15"/>
        </w:rPr>
        <w:t>at [2021] NZHC 2454 (set-aside application) at [4], [63] and [92]. The representative plaintiffs proposed that the funds set aside would be put into an interest-bearing escrow account, with no payment being made from the account unless and until approved by the Court following determination of the plaintiffs’ common fund application.</w:t>
      </w:r>
    </w:p>
  </w:footnote>
  <w:footnote w:id="536">
    <w:p w14:paraId="6E7335BD"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 xml:space="preserve">Litigation funding and the regulation of the class action industry </w:t>
      </w:r>
      <w:r w:rsidRPr="00421C05">
        <w:rPr>
          <w:szCs w:val="15"/>
        </w:rPr>
        <w:t xml:space="preserve">(December 2020) at [9.39]. </w:t>
      </w:r>
    </w:p>
  </w:footnote>
  <w:footnote w:id="537">
    <w:p w14:paraId="54E174C4" w14:textId="26715ED3"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BMW Australia Ltd v Brewster </w:t>
      </w:r>
      <w:r w:rsidRPr="00421C05">
        <w:rPr>
          <w:szCs w:val="15"/>
        </w:rPr>
        <w:t>[2019] HCA 45, (2019) 374 ALR 627 at [160]–[164] per Gordon J.</w:t>
      </w:r>
    </w:p>
  </w:footnote>
  <w:footnote w:id="538">
    <w:p w14:paraId="68496CA0"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 xml:space="preserve">Litigation funding and the regulation of the class action industry </w:t>
      </w:r>
      <w:r w:rsidRPr="00421C05">
        <w:rPr>
          <w:szCs w:val="15"/>
        </w:rPr>
        <w:t>(December 2020) at [9.40].</w:t>
      </w:r>
    </w:p>
  </w:footnote>
  <w:footnote w:id="539">
    <w:p w14:paraId="63D925C4"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Parliamentary Joint Committee on Corporations and Financial Services </w:t>
      </w:r>
      <w:r w:rsidRPr="00421C05">
        <w:rPr>
          <w:i/>
          <w:szCs w:val="15"/>
        </w:rPr>
        <w:t xml:space="preserve">Litigation funding and the regulation of the class action industry </w:t>
      </w:r>
      <w:r w:rsidRPr="00421C05">
        <w:rPr>
          <w:szCs w:val="15"/>
        </w:rPr>
        <w:t>(December 2020) at [9.40] and [9.54].</w:t>
      </w:r>
    </w:p>
  </w:footnote>
  <w:footnote w:id="540">
    <w:p w14:paraId="1C8AC2C5" w14:textId="1E8CF9DF"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Perera v GetSwift Ltd </w:t>
      </w:r>
      <w:r w:rsidRPr="00421C05">
        <w:rPr>
          <w:szCs w:val="15"/>
        </w:rPr>
        <w:t>[2018] FCA 732,</w:t>
      </w:r>
      <w:r w:rsidRPr="00421C05">
        <w:rPr>
          <w:i/>
          <w:szCs w:val="15"/>
        </w:rPr>
        <w:t xml:space="preserve"> </w:t>
      </w:r>
      <w:r w:rsidRPr="00421C05">
        <w:rPr>
          <w:szCs w:val="15"/>
        </w:rPr>
        <w:t xml:space="preserve">(2018) 263 FCR 1 at [25] (“Rather than the economics of a class action being dictated by the size of sign-up, a common fund order allows an open class representative proceeding to be commenced without the necessity to build a book of group members who have bargained away part of the proceeds of their claim”). </w:t>
      </w:r>
    </w:p>
  </w:footnote>
  <w:footnote w:id="541">
    <w:p w14:paraId="125ECEFE" w14:textId="00F1EAE9"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[2019] HCA 45, (2019) 374 ALR 627 at [94] per Kiefel CJ, Bell and Keane JJ. See also at [126] per Nettle J and at [153]–[154] and [164] per Gordon J.</w:t>
      </w:r>
    </w:p>
  </w:footnote>
  <w:footnote w:id="542">
    <w:p w14:paraId="5A37AE6E"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[2019] HCA 45, (2019) 374 ALR 627 at [94] per Kiefel CJ, Bell and Keane JJ.</w:t>
      </w:r>
    </w:p>
  </w:footnote>
  <w:footnote w:id="543">
    <w:p w14:paraId="252B88BB"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On this point, see the Issues Paper at [12.29].</w:t>
      </w:r>
    </w:p>
  </w:footnote>
  <w:footnote w:id="544">
    <w:p w14:paraId="12292E73" w14:textId="27882C71"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An example might be a case with relatively small number of high value claims, where the identities of class members are readily known (for example, through a register of shareholders) and a high proportion of class members can be readily signed up. Bringing an opt-in proceeding would allow the time, expense and uncertainty of a common fund order to be avoided. </w:t>
      </w:r>
    </w:p>
  </w:footnote>
  <w:footnote w:id="545">
    <w:p w14:paraId="50E7B450"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Parliamentary Joint Committee on Corporations and Financial Services </w:t>
      </w:r>
      <w:r w:rsidRPr="00421C05">
        <w:rPr>
          <w:i/>
          <w:szCs w:val="15"/>
        </w:rPr>
        <w:t xml:space="preserve">Litigation funding and the regulation of the class action industry </w:t>
      </w:r>
      <w:r w:rsidRPr="00421C05">
        <w:rPr>
          <w:szCs w:val="15"/>
        </w:rPr>
        <w:t>(December 2020) at [9.38] and [9.111].</w:t>
      </w:r>
    </w:p>
  </w:footnote>
  <w:footnote w:id="546">
    <w:p w14:paraId="63FD464A" w14:textId="47E1D48E"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Issues Paper at [12.30]–[12.32].</w:t>
      </w:r>
    </w:p>
  </w:footnote>
  <w:footnote w:id="547">
    <w:p w14:paraId="067E6DF0" w14:textId="0E586E50"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Parliamentary Joint Committee on Corporations and Financial Services </w:t>
      </w:r>
      <w:r w:rsidRPr="00421C05">
        <w:rPr>
          <w:i/>
          <w:szCs w:val="15"/>
        </w:rPr>
        <w:t xml:space="preserve">Litigation funding and the regulation of the class action industry </w:t>
      </w:r>
      <w:r w:rsidRPr="00421C05">
        <w:rPr>
          <w:szCs w:val="15"/>
        </w:rPr>
        <w:t>(December 2020) at [9.47]–[9.48].</w:t>
      </w:r>
    </w:p>
  </w:footnote>
  <w:footnote w:id="548">
    <w:p w14:paraId="3B4C36A0"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 xml:space="preserve">Litigation funding and the regulation of the class action industry </w:t>
      </w:r>
      <w:r w:rsidRPr="00421C05">
        <w:rPr>
          <w:szCs w:val="15"/>
        </w:rPr>
        <w:t xml:space="preserve">(December 2020) at [9.112]. </w:t>
      </w:r>
    </w:p>
  </w:footnote>
  <w:footnote w:id="549">
    <w:p w14:paraId="75D878EE" w14:textId="599B06C8"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 xml:space="preserve">Litigation funding and the regulation of the class action industry </w:t>
      </w:r>
      <w:r w:rsidRPr="00421C05">
        <w:rPr>
          <w:szCs w:val="15"/>
        </w:rPr>
        <w:t>(December 2020) at [9.82]–[9.86].</w:t>
      </w:r>
    </w:p>
  </w:footnote>
  <w:footnote w:id="550">
    <w:p w14:paraId="0CA43661" w14:textId="3A144805"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Parliamentary Joint Committee on Corporations and Financial Services </w:t>
      </w:r>
      <w:r w:rsidRPr="00421C05">
        <w:rPr>
          <w:i/>
          <w:szCs w:val="15"/>
        </w:rPr>
        <w:t xml:space="preserve">Litigation funding and the regulation of the class action industry </w:t>
      </w:r>
      <w:r w:rsidRPr="00421C05">
        <w:rPr>
          <w:szCs w:val="15"/>
        </w:rPr>
        <w:t>(December 2020) at [9.93]–[9.95] and [9.113].</w:t>
      </w:r>
    </w:p>
  </w:footnote>
  <w:footnote w:id="551">
    <w:p w14:paraId="12C6DAB8"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Money Max Int Pty Ltd v QBE Insurance Group Ltd</w:t>
      </w:r>
      <w:r w:rsidRPr="00421C05">
        <w:rPr>
          <w:rFonts w:ascii="Calibri" w:hAnsi="Calibri" w:cs="Calibri"/>
          <w:i/>
          <w:szCs w:val="15"/>
        </w:rPr>
        <w:t> </w:t>
      </w:r>
      <w:r w:rsidRPr="00421C05">
        <w:rPr>
          <w:szCs w:val="15"/>
        </w:rPr>
        <w:t>[2016] FCAFC 148, (2016) 245 FCR 191 at [11], [79], [167].</w:t>
      </w:r>
    </w:p>
  </w:footnote>
  <w:footnote w:id="552">
    <w:p w14:paraId="71C17026"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Money Max Int Pty Ltd v QBE Insurance Group Ltd</w:t>
      </w:r>
      <w:r w:rsidRPr="00421C05">
        <w:rPr>
          <w:rFonts w:ascii="Calibri" w:hAnsi="Calibri" w:cs="Calibri"/>
          <w:i/>
          <w:szCs w:val="15"/>
        </w:rPr>
        <w:t> </w:t>
      </w:r>
      <w:r w:rsidRPr="00421C05">
        <w:rPr>
          <w:szCs w:val="15"/>
        </w:rPr>
        <w:t>[2016] FCAFC 148, (2016) 245 FCR 191 at [80].</w:t>
      </w:r>
    </w:p>
  </w:footnote>
  <w:footnote w:id="553">
    <w:p w14:paraId="24F8618F" w14:textId="37049F89"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In </w:t>
      </w:r>
      <w:r w:rsidRPr="00421C05">
        <w:rPr>
          <w:i/>
          <w:iCs/>
          <w:szCs w:val="15"/>
        </w:rPr>
        <w:t xml:space="preserve">BMW Australia Ltd v Brewster, </w:t>
      </w:r>
      <w:r w:rsidRPr="00421C05">
        <w:rPr>
          <w:szCs w:val="15"/>
        </w:rPr>
        <w:t xml:space="preserve">one of the dissenting judges specifically rejected the argument that making a common fund order required the Court to embark on an enquiry which was beyond its institutional competence: </w:t>
      </w:r>
      <w:r w:rsidRPr="00421C05">
        <w:rPr>
          <w:i/>
          <w:szCs w:val="15"/>
        </w:rPr>
        <w:t xml:space="preserve">BMW Australia Ltd v Brewster </w:t>
      </w:r>
      <w:r w:rsidRPr="00421C05">
        <w:rPr>
          <w:szCs w:val="15"/>
        </w:rPr>
        <w:t>[2019] HCA 45, (2019) 374 ALR 627 at [115] per Gageler J.</w:t>
      </w:r>
    </w:p>
  </w:footnote>
  <w:footnote w:id="554">
    <w:p w14:paraId="67C3793F" w14:textId="0B18E2F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Issues Paper, Chapter 23. </w:t>
      </w:r>
    </w:p>
  </w:footnote>
  <w:footnote w:id="555">
    <w:p w14:paraId="510F5EF8"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Vince Morabito </w:t>
      </w:r>
      <w:r w:rsidRPr="00421C05">
        <w:rPr>
          <w:i/>
          <w:szCs w:val="15"/>
        </w:rPr>
        <w:t xml:space="preserve">Submission to the Parliamentary Joint Committee on Corporations and Financial Services on Litigation Funding and Regulation of the Class Action Industry </w:t>
      </w:r>
      <w:r w:rsidRPr="00421C05">
        <w:rPr>
          <w:szCs w:val="15"/>
        </w:rPr>
        <w:t xml:space="preserve">(10 June 2020) at 2. This data is based on all of the common fund orders made in federal class actions at the settlement stage from 27 October 2016 (the day after the </w:t>
      </w:r>
      <w:r w:rsidRPr="00421C05">
        <w:rPr>
          <w:i/>
          <w:iCs/>
          <w:szCs w:val="15"/>
        </w:rPr>
        <w:t xml:space="preserve">Money Max </w:t>
      </w:r>
      <w:r w:rsidRPr="00421C05">
        <w:rPr>
          <w:szCs w:val="15"/>
        </w:rPr>
        <w:t xml:space="preserve">decision) to 3 December 2019 (the day before the </w:t>
      </w:r>
      <w:r w:rsidRPr="00421C05">
        <w:rPr>
          <w:i/>
          <w:iCs/>
          <w:szCs w:val="15"/>
        </w:rPr>
        <w:t xml:space="preserve">BMW v Brewster </w:t>
      </w:r>
      <w:r w:rsidRPr="00421C05">
        <w:rPr>
          <w:szCs w:val="15"/>
        </w:rPr>
        <w:t>decision).</w:t>
      </w:r>
    </w:p>
  </w:footnote>
  <w:footnote w:id="556">
    <w:p w14:paraId="55BB3E50"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Australian Law Reform Commission</w:t>
      </w:r>
      <w:r w:rsidRPr="00421C05">
        <w:rPr>
          <w:i/>
          <w:szCs w:val="15"/>
        </w:rPr>
        <w:t xml:space="preserve"> Integrity, Fairness and Efficiency—An Inquiry into Class Action Proceedings and Third-Party Litigation Funders</w:t>
      </w:r>
      <w:r w:rsidRPr="00421C05">
        <w:rPr>
          <w:szCs w:val="15"/>
        </w:rPr>
        <w:t xml:space="preserve"> (ALRC R134, 2018) at 3.49 (table 3.7).</w:t>
      </w:r>
    </w:p>
  </w:footnote>
  <w:footnote w:id="557">
    <w:p w14:paraId="0B526453" w14:textId="347BD2FF"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 xml:space="preserve">Litigation funding and the regulation of the class action industry </w:t>
      </w:r>
      <w:r w:rsidRPr="00421C05">
        <w:rPr>
          <w:szCs w:val="15"/>
        </w:rPr>
        <w:t>(December 2020) at [9.114]. It said this heightened transparency illustrated that “their returns are often unreasonable compared to the costs incurred or risks assumed”.</w:t>
      </w:r>
    </w:p>
  </w:footnote>
  <w:footnote w:id="558">
    <w:p w14:paraId="72DF6EC9" w14:textId="5246097A"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 xml:space="preserve">Litigation funding and the regulation of the class action industry </w:t>
      </w:r>
      <w:r w:rsidRPr="00421C05">
        <w:rPr>
          <w:szCs w:val="15"/>
        </w:rPr>
        <w:t>(December 2020) at [9.61]–[9.64].</w:t>
      </w:r>
    </w:p>
  </w:footnote>
  <w:footnote w:id="559">
    <w:p w14:paraId="00A9FC6D"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 xml:space="preserve">[2019] HCA 45, (2019) 374 ALR 627 at [88] per Kiefel CJ, Bell and Keane JJ. </w:t>
      </w:r>
    </w:p>
  </w:footnote>
  <w:footnote w:id="560">
    <w:p w14:paraId="14458830" w14:textId="2681046A"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[2019] HCA 45, (2019) 374 ALR 627 at [66] per Kiefel CJ, Bell and Keane JJ. See also [166] per Gordon J.</w:t>
      </w:r>
    </w:p>
  </w:footnote>
  <w:footnote w:id="561">
    <w:p w14:paraId="4A8661D2" w14:textId="679AB62E"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Court envisaged that funding equalisation orders would be available as well as common fund orders in </w:t>
      </w:r>
      <w:r w:rsidRPr="00421C05">
        <w:rPr>
          <w:i/>
          <w:szCs w:val="15"/>
        </w:rPr>
        <w:t>Money Max Int Pty Ltd v QBE Insurance Group Ltd</w:t>
      </w:r>
      <w:r w:rsidRPr="00421C05">
        <w:rPr>
          <w:rFonts w:ascii="Calibri" w:hAnsi="Calibri" w:cs="Calibri"/>
          <w:i/>
          <w:szCs w:val="15"/>
        </w:rPr>
        <w:t> </w:t>
      </w:r>
      <w:r w:rsidRPr="00421C05">
        <w:rPr>
          <w:szCs w:val="15"/>
        </w:rPr>
        <w:t>[2016] FCAFC 148, (2016) 245 FCR 191 at [128]–[129].</w:t>
      </w:r>
    </w:p>
  </w:footnote>
  <w:footnote w:id="562">
    <w:p w14:paraId="2063861A" w14:textId="57B80651"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Parliamentary Joint Committee on Corporations and Financial Services </w:t>
      </w:r>
      <w:r w:rsidRPr="00421C05">
        <w:rPr>
          <w:i/>
          <w:szCs w:val="15"/>
        </w:rPr>
        <w:t xml:space="preserve">Litigation funding and the regulation of the class action industry </w:t>
      </w:r>
      <w:r w:rsidRPr="00421C05">
        <w:rPr>
          <w:szCs w:val="15"/>
        </w:rPr>
        <w:t>(December 2020) at [9.119]–[9.123] (Recommendation 7); and Australian Law Reform Commission</w:t>
      </w:r>
      <w:r w:rsidRPr="00421C05">
        <w:rPr>
          <w:i/>
          <w:szCs w:val="15"/>
        </w:rPr>
        <w:t xml:space="preserve"> Integrity, Fairness and Efficiency—An Inquiry into Class Action Proceedings and Third-Party Litigation Funders</w:t>
      </w:r>
      <w:r w:rsidRPr="00421C05">
        <w:rPr>
          <w:szCs w:val="15"/>
        </w:rPr>
        <w:t xml:space="preserve"> (ALRC R134, 2018) at [4.35].</w:t>
      </w:r>
    </w:p>
  </w:footnote>
  <w:footnote w:id="563">
    <w:p w14:paraId="251C5649"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Money Max Int Pty Ltd v QBE Insurance Group Ltd</w:t>
      </w:r>
      <w:r w:rsidRPr="00421C05">
        <w:rPr>
          <w:rFonts w:ascii="Calibri" w:hAnsi="Calibri" w:cs="Calibri"/>
          <w:i/>
          <w:szCs w:val="15"/>
        </w:rPr>
        <w:t> </w:t>
      </w:r>
      <w:r w:rsidRPr="00421C05">
        <w:rPr>
          <w:szCs w:val="15"/>
        </w:rPr>
        <w:t>[2016] FCAFC 148, (2016) 245 FCR 191 at [13].</w:t>
      </w:r>
    </w:p>
  </w:footnote>
  <w:footnote w:id="564">
    <w:p w14:paraId="4B26E2E5" w14:textId="4E2E2145"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[2019] HCA 45, (2019) 374 ALR 627 at [115] per Gageler J and [221]–[222] per Edelman J.</w:t>
      </w:r>
    </w:p>
  </w:footnote>
  <w:footnote w:id="565">
    <w:p w14:paraId="2DDB43C2"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[2019] HCA 45, (2019) 374 ALR 627 at [67].</w:t>
      </w:r>
    </w:p>
  </w:footnote>
  <w:footnote w:id="566">
    <w:p w14:paraId="4FC337C7" w14:textId="3029336E"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 xml:space="preserve">[2019] HCA 45, (2019) 374 ALR 627 at [67] citing </w:t>
      </w:r>
      <w:r w:rsidRPr="00421C05">
        <w:rPr>
          <w:i/>
          <w:szCs w:val="15"/>
        </w:rPr>
        <w:t xml:space="preserve">Campbells Cash and Carry Pty v Fostif Pty Ltd </w:t>
      </w:r>
      <w:r w:rsidRPr="00421C05">
        <w:rPr>
          <w:szCs w:val="15"/>
        </w:rPr>
        <w:t>[2006] HCA 41,</w:t>
      </w:r>
      <w:r w:rsidRPr="00421C05">
        <w:rPr>
          <w:i/>
          <w:szCs w:val="15"/>
        </w:rPr>
        <w:t xml:space="preserve"> </w:t>
      </w:r>
      <w:r w:rsidRPr="00421C05">
        <w:rPr>
          <w:szCs w:val="15"/>
        </w:rPr>
        <w:t>(2006) 229 CLR 386 at [92].</w:t>
      </w:r>
    </w:p>
  </w:footnote>
  <w:footnote w:id="567">
    <w:p w14:paraId="0F3FA004" w14:textId="0D4B0313"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BMW Australia Ltd v Brewster </w:t>
      </w:r>
      <w:r w:rsidRPr="00421C05">
        <w:rPr>
          <w:szCs w:val="15"/>
        </w:rPr>
        <w:t>[2019] HCA 45, (2019) 374 ALR 627 at [67]–[68] per Kiefel CJ, Bell and Keane JJ.</w:t>
      </w:r>
    </w:p>
  </w:footnote>
  <w:footnote w:id="568">
    <w:p w14:paraId="16EA8150" w14:textId="0108D91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Money Max Int Pty Ltd v QBE Insurance Group Ltd</w:t>
      </w:r>
      <w:r w:rsidRPr="00421C05">
        <w:rPr>
          <w:rFonts w:ascii="Calibri" w:hAnsi="Calibri" w:cs="Calibri"/>
          <w:i/>
          <w:szCs w:val="15"/>
        </w:rPr>
        <w:t> </w:t>
      </w:r>
      <w:r w:rsidRPr="00421C05">
        <w:rPr>
          <w:szCs w:val="15"/>
        </w:rPr>
        <w:t>[2016] FCAFC 148, (2016) 245 FCR 191 at [146]–[147].</w:t>
      </w:r>
    </w:p>
  </w:footnote>
  <w:footnote w:id="569">
    <w:p w14:paraId="3D6F94F5" w14:textId="77777777" w:rsidR="00A55F53" w:rsidRPr="00421C05" w:rsidRDefault="00A55F53" w:rsidP="00D36A28">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Ross v Southern Response</w:t>
      </w:r>
      <w:r w:rsidRPr="00421C05">
        <w:rPr>
          <w:szCs w:val="15"/>
        </w:rPr>
        <w:t xml:space="preserve"> [2019] NZCA 431, (2019) 25 PRNZ 33 at [118].</w:t>
      </w:r>
    </w:p>
  </w:footnote>
  <w:footnote w:id="570">
    <w:p w14:paraId="7CB24BFF" w14:textId="77777777" w:rsidR="00A55F53" w:rsidRPr="00421C05" w:rsidRDefault="00A55F53" w:rsidP="00D36A2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BMW Australia Ltd v Brewster </w:t>
      </w:r>
      <w:r w:rsidRPr="00421C05">
        <w:rPr>
          <w:szCs w:val="15"/>
        </w:rPr>
        <w:t>[2019] HCA 45, (2019) 374 ALR 627 at [68] per Kiefel CJ, Bell and Keane JJ.</w:t>
      </w:r>
    </w:p>
  </w:footnote>
  <w:footnote w:id="571">
    <w:p w14:paraId="6E080F76"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lang w:val="mi-NZ"/>
        </w:rPr>
        <w:t>Cridge</w:t>
      </w:r>
      <w:r w:rsidRPr="00421C05">
        <w:rPr>
          <w:i/>
          <w:iCs/>
          <w:szCs w:val="15"/>
          <w:lang w:val="mi-NZ"/>
        </w:rPr>
        <w:t xml:space="preserve"> v Studorp Ltd</w:t>
      </w:r>
      <w:r w:rsidRPr="00421C05">
        <w:rPr>
          <w:szCs w:val="15"/>
          <w:lang w:val="mi-NZ"/>
        </w:rPr>
        <w:t xml:space="preserve"> [2016] NZHC 2451 at [32]. </w:t>
      </w:r>
    </w:p>
  </w:footnote>
  <w:footnote w:id="572">
    <w:p w14:paraId="464613E8" w14:textId="1F1732C4"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Rachael Mulheron </w:t>
      </w:r>
      <w:r w:rsidRPr="00421C05">
        <w:rPr>
          <w:i/>
          <w:iCs/>
          <w:szCs w:val="15"/>
        </w:rPr>
        <w:t>The Class Action in Common Law Legal Systems: A Comparative Perspective</w:t>
      </w:r>
      <w:r w:rsidRPr="00421C05">
        <w:rPr>
          <w:szCs w:val="15"/>
        </w:rPr>
        <w:t xml:space="preserve"> (Hart Publishing, Oxford, 2004) at 3 drawing on reports by the Australian Law Reform Commission, the South African Law Reform Commission, the Ontario Law Reform Commission and the Alberta Law Reform Commission. See also the Issues Paper at [2.17].</w:t>
      </w:r>
    </w:p>
  </w:footnote>
  <w:footnote w:id="573">
    <w:p w14:paraId="097696CF"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Craig</w:t>
      </w:r>
      <w:r w:rsidRPr="00421C05">
        <w:rPr>
          <w:i/>
          <w:iCs/>
          <w:szCs w:val="15"/>
        </w:rPr>
        <w:t xml:space="preserve"> v Stringer </w:t>
      </w:r>
      <w:r w:rsidRPr="00421C05">
        <w:rPr>
          <w:szCs w:val="15"/>
        </w:rPr>
        <w:t xml:space="preserve">[2020] NZCA 260 at [16] and [23]. There are two ‘species’ of </w:t>
      </w:r>
      <w:r w:rsidRPr="00421C05">
        <w:rPr>
          <w:i/>
          <w:szCs w:val="15"/>
        </w:rPr>
        <w:t>r</w:t>
      </w:r>
      <w:r w:rsidRPr="00421C05">
        <w:rPr>
          <w:i/>
          <w:iCs/>
          <w:szCs w:val="15"/>
        </w:rPr>
        <w:t>es judicata</w:t>
      </w:r>
      <w:r w:rsidRPr="00421C05">
        <w:rPr>
          <w:szCs w:val="15"/>
        </w:rPr>
        <w:t>: it prevents a party from re-litigating the same cause of action in a subsequent proceeding (cause of action estoppel); and prevents a party from relitigating an issue that was essential to the determination of the claim, such that the earlier judgment could not stand without it (issue estoppel).</w:t>
      </w:r>
    </w:p>
  </w:footnote>
  <w:footnote w:id="574">
    <w:p w14:paraId="2584296A"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Craig</w:t>
      </w:r>
      <w:r w:rsidRPr="00421C05">
        <w:rPr>
          <w:i/>
          <w:iCs/>
          <w:szCs w:val="15"/>
        </w:rPr>
        <w:t xml:space="preserve"> v Stringer </w:t>
      </w:r>
      <w:r w:rsidRPr="00421C05">
        <w:rPr>
          <w:szCs w:val="15"/>
        </w:rPr>
        <w:t xml:space="preserve">[2020] NZCA 260 at [16] citing </w:t>
      </w:r>
      <w:r w:rsidRPr="00421C05">
        <w:rPr>
          <w:i/>
          <w:iCs/>
          <w:szCs w:val="15"/>
        </w:rPr>
        <w:t>Lai v Chamberlains</w:t>
      </w:r>
      <w:r w:rsidRPr="00421C05">
        <w:rPr>
          <w:szCs w:val="15"/>
        </w:rPr>
        <w:t xml:space="preserve"> [2006] NZSC 70, [2007] 2 NZLR 7 at [58].</w:t>
      </w:r>
    </w:p>
  </w:footnote>
  <w:footnote w:id="575">
    <w:p w14:paraId="5A359369"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lang w:val="mi-NZ"/>
        </w:rPr>
        <w:t>Cridge</w:t>
      </w:r>
      <w:r w:rsidRPr="00421C05">
        <w:rPr>
          <w:i/>
          <w:iCs/>
          <w:szCs w:val="15"/>
          <w:lang w:val="mi-NZ"/>
        </w:rPr>
        <w:t xml:space="preserve"> v Studorp Ltd</w:t>
      </w:r>
      <w:r w:rsidRPr="00421C05">
        <w:rPr>
          <w:szCs w:val="15"/>
          <w:lang w:val="mi-NZ"/>
        </w:rPr>
        <w:t xml:space="preserve"> [2016] NZHC 2451 at [32]: “judgments are binding only between the parties to them”. </w:t>
      </w:r>
    </w:p>
  </w:footnote>
  <w:footnote w:id="576">
    <w:p w14:paraId="5464FD0F" w14:textId="5CCD6333"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Andrew Beck and others </w:t>
      </w:r>
      <w:r w:rsidRPr="00421C05">
        <w:rPr>
          <w:i/>
          <w:iCs/>
          <w:szCs w:val="15"/>
          <w:lang w:val="mi-NZ"/>
        </w:rPr>
        <w:t xml:space="preserve">McGechan on Procedure </w:t>
      </w:r>
      <w:r w:rsidRPr="00421C05">
        <w:rPr>
          <w:szCs w:val="15"/>
          <w:lang w:val="mi-NZ"/>
        </w:rPr>
        <w:t xml:space="preserve">(online ed, Thomson Reuters) at [HR15.1.05]; and High Court Rules 2016, r 15.1. </w:t>
      </w:r>
    </w:p>
  </w:footnote>
  <w:footnote w:id="577">
    <w:p w14:paraId="414D0117"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Moevao</w:t>
      </w:r>
      <w:r w:rsidRPr="00421C05">
        <w:rPr>
          <w:i/>
          <w:iCs/>
          <w:szCs w:val="15"/>
        </w:rPr>
        <w:t xml:space="preserve"> v Department of Labour</w:t>
      </w:r>
      <w:r w:rsidRPr="00421C05">
        <w:rPr>
          <w:szCs w:val="15"/>
        </w:rPr>
        <w:t xml:space="preserve"> [1980] 1 NZLR 464 (CA) at 482 per Richardson J.</w:t>
      </w:r>
    </w:p>
  </w:footnote>
  <w:footnote w:id="578">
    <w:p w14:paraId="422FA4A0" w14:textId="306EE11F"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Craig</w:t>
      </w:r>
      <w:r w:rsidRPr="00421C05">
        <w:rPr>
          <w:i/>
          <w:iCs/>
          <w:szCs w:val="15"/>
        </w:rPr>
        <w:t xml:space="preserve"> v Stringer </w:t>
      </w:r>
      <w:r w:rsidRPr="00421C05">
        <w:rPr>
          <w:szCs w:val="15"/>
        </w:rPr>
        <w:t xml:space="preserve">[2020] NZCA 260 at [31]. See also </w:t>
      </w:r>
      <w:r w:rsidRPr="00421C05">
        <w:rPr>
          <w:szCs w:val="15"/>
          <w:lang w:val="mi-NZ"/>
        </w:rPr>
        <w:t xml:space="preserve">Andrew Beck and others </w:t>
      </w:r>
      <w:r w:rsidRPr="00421C05">
        <w:rPr>
          <w:i/>
          <w:iCs/>
          <w:szCs w:val="15"/>
          <w:lang w:val="mi-NZ"/>
        </w:rPr>
        <w:t xml:space="preserve">McGechan on Procedure </w:t>
      </w:r>
      <w:r w:rsidRPr="00421C05">
        <w:rPr>
          <w:szCs w:val="15"/>
          <w:lang w:val="mi-NZ"/>
        </w:rPr>
        <w:t xml:space="preserve">(online ed, Thomson Reuters) at [HR15.1.05(2)(a)] citing </w:t>
      </w:r>
      <w:r w:rsidRPr="00421C05">
        <w:rPr>
          <w:i/>
          <w:iCs/>
          <w:szCs w:val="15"/>
          <w:lang w:val="mi-NZ"/>
        </w:rPr>
        <w:t>Collier v Butterworths</w:t>
      </w:r>
      <w:r w:rsidRPr="00421C05">
        <w:rPr>
          <w:szCs w:val="15"/>
          <w:lang w:val="mi-NZ"/>
        </w:rPr>
        <w:t xml:space="preserve"> </w:t>
      </w:r>
      <w:r w:rsidRPr="00421C05">
        <w:rPr>
          <w:i/>
          <w:iCs/>
          <w:szCs w:val="15"/>
          <w:lang w:val="mi-NZ"/>
        </w:rPr>
        <w:t xml:space="preserve">of New Zealand Ltd </w:t>
      </w:r>
      <w:r w:rsidRPr="00421C05">
        <w:rPr>
          <w:szCs w:val="15"/>
          <w:lang w:val="mi-NZ"/>
        </w:rPr>
        <w:t>(1997) 11 PRNZ 581 (HC) at 586 (bringing substantively the same proceeding “in a different garb”).</w:t>
      </w:r>
    </w:p>
  </w:footnote>
  <w:footnote w:id="579">
    <w:p w14:paraId="38CB5CBA"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Lai</w:t>
      </w:r>
      <w:r w:rsidRPr="00421C05">
        <w:rPr>
          <w:i/>
          <w:iCs/>
          <w:szCs w:val="15"/>
        </w:rPr>
        <w:t xml:space="preserve"> v Chamberlains</w:t>
      </w:r>
      <w:r w:rsidRPr="00421C05">
        <w:rPr>
          <w:szCs w:val="15"/>
        </w:rPr>
        <w:t xml:space="preserve"> [2006] NZSC 70, [2007] 2 NZLR 7 at [59].</w:t>
      </w:r>
    </w:p>
  </w:footnote>
  <w:footnote w:id="580">
    <w:p w14:paraId="6CB113CC" w14:textId="649ECD80"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lang w:val="mi-NZ"/>
        </w:rPr>
        <w:t>Henderson</w:t>
      </w:r>
      <w:r w:rsidRPr="00421C05">
        <w:rPr>
          <w:i/>
          <w:iCs/>
          <w:szCs w:val="15"/>
          <w:lang w:val="mi-NZ"/>
        </w:rPr>
        <w:t xml:space="preserve"> v Henderson</w:t>
      </w:r>
      <w:r w:rsidRPr="00421C05">
        <w:rPr>
          <w:szCs w:val="15"/>
          <w:lang w:val="mi-NZ"/>
        </w:rPr>
        <w:t xml:space="preserve"> (1843) 3 Hare 100, 67 ER 313 (Ch) at 115. For its application in Aotearoa New Zealand, see for example </w:t>
      </w:r>
      <w:r w:rsidRPr="00421C05">
        <w:rPr>
          <w:i/>
          <w:iCs/>
          <w:szCs w:val="15"/>
          <w:lang w:val="mi-NZ"/>
        </w:rPr>
        <w:t>Broadspectrum (New Zealand) Ltd v Nathan</w:t>
      </w:r>
      <w:r w:rsidRPr="00421C05">
        <w:rPr>
          <w:szCs w:val="15"/>
          <w:lang w:val="mi-NZ"/>
        </w:rPr>
        <w:t xml:space="preserve"> [2017] NZCA 434, (2017) 15 NZELR 398 at [49]–[50]; and </w:t>
      </w:r>
      <w:r w:rsidRPr="00421C05">
        <w:rPr>
          <w:i/>
          <w:iCs/>
          <w:szCs w:val="15"/>
        </w:rPr>
        <w:t xml:space="preserve">Craig v Stringer </w:t>
      </w:r>
      <w:r w:rsidRPr="00421C05">
        <w:rPr>
          <w:szCs w:val="15"/>
        </w:rPr>
        <w:t xml:space="preserve">[2020] NZCA 260 at [17]. See also </w:t>
      </w:r>
      <w:r w:rsidRPr="00421C05">
        <w:rPr>
          <w:i/>
          <w:iCs/>
          <w:szCs w:val="15"/>
        </w:rPr>
        <w:t xml:space="preserve">Lai v Chamberlains </w:t>
      </w:r>
      <w:r w:rsidRPr="00421C05">
        <w:rPr>
          <w:szCs w:val="15"/>
        </w:rPr>
        <w:t>[2006] NZSC 70, [2007] 2 NZLR 7 at [59].</w:t>
      </w:r>
    </w:p>
  </w:footnote>
  <w:footnote w:id="581">
    <w:p w14:paraId="60517D35" w14:textId="33B24F6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bookmarkStart w:id="85" w:name="_Hlk79408668"/>
      <w:r w:rsidRPr="00421C05">
        <w:rPr>
          <w:i/>
          <w:szCs w:val="15"/>
        </w:rPr>
        <w:t>Lai</w:t>
      </w:r>
      <w:r w:rsidRPr="00421C05">
        <w:rPr>
          <w:i/>
          <w:iCs/>
          <w:szCs w:val="15"/>
        </w:rPr>
        <w:t xml:space="preserve"> v Chamberlains </w:t>
      </w:r>
      <w:r w:rsidRPr="00421C05">
        <w:rPr>
          <w:szCs w:val="15"/>
        </w:rPr>
        <w:t xml:space="preserve">[2006] NZSC 70, [2007] 2 NZLR 7 at [59]. See also </w:t>
      </w:r>
      <w:r w:rsidRPr="00421C05">
        <w:rPr>
          <w:i/>
          <w:iCs/>
          <w:szCs w:val="15"/>
        </w:rPr>
        <w:t xml:space="preserve">Craig v Stringer </w:t>
      </w:r>
      <w:r w:rsidRPr="00421C05">
        <w:rPr>
          <w:szCs w:val="15"/>
        </w:rPr>
        <w:t>[2020] NZCA 260 at [17</w:t>
      </w:r>
      <w:bookmarkEnd w:id="85"/>
      <w:r w:rsidRPr="00421C05">
        <w:rPr>
          <w:szCs w:val="15"/>
        </w:rPr>
        <w:t>].</w:t>
      </w:r>
    </w:p>
  </w:footnote>
  <w:footnote w:id="582">
    <w:p w14:paraId="313D3D16"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Barrow</w:t>
      </w:r>
      <w:r w:rsidRPr="00421C05">
        <w:rPr>
          <w:i/>
          <w:iCs/>
          <w:szCs w:val="15"/>
        </w:rPr>
        <w:t xml:space="preserve"> v Bankside Members Agency </w:t>
      </w:r>
      <w:r w:rsidRPr="00421C05">
        <w:rPr>
          <w:szCs w:val="15"/>
        </w:rPr>
        <w:t xml:space="preserve">[1996] 1 WLR 257 (CA) at 268. </w:t>
      </w:r>
    </w:p>
  </w:footnote>
  <w:footnote w:id="583">
    <w:p w14:paraId="155D3EE0"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szCs w:val="15"/>
          <w:lang w:val="mi-NZ"/>
        </w:rPr>
        <w:t xml:space="preserve">Rachael Mulheron “Some Comparative Observations on </w:t>
      </w:r>
      <w:r w:rsidRPr="00421C05">
        <w:rPr>
          <w:i/>
          <w:iCs/>
          <w:szCs w:val="15"/>
          <w:lang w:val="mi-NZ"/>
        </w:rPr>
        <w:t>Res Judicata</w:t>
      </w:r>
      <w:r w:rsidRPr="00421C05">
        <w:rPr>
          <w:szCs w:val="15"/>
          <w:lang w:val="mi-NZ"/>
        </w:rPr>
        <w:t xml:space="preserve"> for Canada’s Newest Class Actions Regime” (2004) 30 Man LJ 171 at 187–190, referring at 188 to analysis in </w:t>
      </w:r>
      <w:r w:rsidRPr="00421C05">
        <w:rPr>
          <w:szCs w:val="15"/>
        </w:rPr>
        <w:t xml:space="preserve">P R Barnett </w:t>
      </w:r>
      <w:r w:rsidRPr="00421C05">
        <w:rPr>
          <w:i/>
          <w:iCs/>
          <w:szCs w:val="15"/>
        </w:rPr>
        <w:t>Res Judicata, Estoppel and Foreign Judgments</w:t>
      </w:r>
      <w:r w:rsidRPr="00421C05">
        <w:rPr>
          <w:szCs w:val="15"/>
        </w:rPr>
        <w:t xml:space="preserve"> (Oxford University Press, Oxford 2001) at 207. See also </w:t>
      </w:r>
      <w:r w:rsidRPr="00421C05">
        <w:rPr>
          <w:i/>
          <w:iCs/>
          <w:szCs w:val="15"/>
        </w:rPr>
        <w:t>Fennoscandia Ltd v Clarke</w:t>
      </w:r>
      <w:r w:rsidRPr="00421C05">
        <w:rPr>
          <w:szCs w:val="15"/>
        </w:rPr>
        <w:t xml:space="preserve"> [1999] 1 All ER (Comm) 365 (CA) at 374: “Barrow's case was unusual because the Lloyd's litigation with its initial group action was itself unusual”. </w:t>
      </w:r>
    </w:p>
  </w:footnote>
  <w:footnote w:id="584">
    <w:p w14:paraId="3541CE99" w14:textId="12EBD49E" w:rsidR="00A55F53" w:rsidRPr="00421C05" w:rsidRDefault="00A55F53" w:rsidP="00653EA8">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t xml:space="preserve">There is some uncertainty as to whether the rule in </w:t>
      </w:r>
      <w:r w:rsidRPr="00421C05">
        <w:rPr>
          <w:i/>
          <w:iCs/>
          <w:szCs w:val="15"/>
        </w:rPr>
        <w:t>Henderson</w:t>
      </w:r>
      <w:r w:rsidRPr="00421C05">
        <w:rPr>
          <w:szCs w:val="15"/>
        </w:rPr>
        <w:t xml:space="preserve"> </w:t>
      </w:r>
      <w:r w:rsidRPr="00421C05">
        <w:rPr>
          <w:i/>
          <w:iCs/>
          <w:szCs w:val="15"/>
        </w:rPr>
        <w:t xml:space="preserve">v Henderson </w:t>
      </w:r>
      <w:r w:rsidRPr="00421C05">
        <w:rPr>
          <w:szCs w:val="15"/>
        </w:rPr>
        <w:t xml:space="preserve">is better characterised as an abuse of process or part of </w:t>
      </w:r>
      <w:r w:rsidRPr="00421C05">
        <w:rPr>
          <w:i/>
          <w:iCs/>
          <w:szCs w:val="15"/>
        </w:rPr>
        <w:t>res judicata</w:t>
      </w:r>
      <w:r w:rsidRPr="00421C05">
        <w:rPr>
          <w:szCs w:val="15"/>
        </w:rPr>
        <w:t xml:space="preserve">: see </w:t>
      </w:r>
      <w:r w:rsidRPr="00421C05">
        <w:rPr>
          <w:i/>
          <w:iCs/>
          <w:szCs w:val="15"/>
        </w:rPr>
        <w:t xml:space="preserve">Lai v Chamberlains </w:t>
      </w:r>
      <w:r w:rsidRPr="00421C05">
        <w:rPr>
          <w:szCs w:val="15"/>
        </w:rPr>
        <w:t xml:space="preserve">[2006] NZSC 70, [2007] 2 NZLR 7 [59]; and </w:t>
      </w:r>
      <w:r w:rsidRPr="00421C05">
        <w:rPr>
          <w:i/>
          <w:iCs/>
          <w:szCs w:val="15"/>
        </w:rPr>
        <w:t xml:space="preserve">Craig v Stringer </w:t>
      </w:r>
      <w:r w:rsidRPr="00421C05">
        <w:rPr>
          <w:szCs w:val="15"/>
        </w:rPr>
        <w:t>[2020] NZCA 260 at [17]–[19]. We do not attempt to resolve this uncertainty, as it is the application of the principle underpinning the rule (rather than its characterisation) that needs to be considered in a class actions regime.</w:t>
      </w:r>
    </w:p>
  </w:footnote>
  <w:footnote w:id="585">
    <w:p w14:paraId="389F9867" w14:textId="708FB8C0" w:rsidR="00A55F53" w:rsidRPr="00421C05" w:rsidRDefault="00A55F53" w:rsidP="00653EA8">
      <w:pPr>
        <w:pStyle w:val="FootnoteText"/>
        <w:rPr>
          <w:i/>
          <w:iCs/>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lang w:val="mi-NZ"/>
        </w:rPr>
        <w:t>Cridge</w:t>
      </w:r>
      <w:r w:rsidRPr="00421C05">
        <w:rPr>
          <w:i/>
          <w:iCs/>
          <w:szCs w:val="15"/>
          <w:lang w:val="mi-NZ"/>
        </w:rPr>
        <w:t xml:space="preserve"> v Studorp Ltd</w:t>
      </w:r>
      <w:r w:rsidRPr="00421C05">
        <w:rPr>
          <w:szCs w:val="15"/>
          <w:lang w:val="mi-NZ"/>
        </w:rPr>
        <w:t xml:space="preserve"> [2016] NZHC 2451 at [71]. The decision granting the representative order was upheld on appeal. The Court of Appeal commented “[a] test case would involve the same work and judicial resources as a lead representative case, but without the tangible benefit of generating findings that are binding on all”: </w:t>
      </w:r>
      <w:r w:rsidRPr="00421C05">
        <w:rPr>
          <w:i/>
          <w:iCs/>
          <w:szCs w:val="15"/>
          <w:lang w:val="mi-NZ"/>
        </w:rPr>
        <w:t>Cridge v Studorp Ltd</w:t>
      </w:r>
      <w:r w:rsidRPr="00421C05">
        <w:rPr>
          <w:szCs w:val="15"/>
          <w:lang w:val="mi-NZ"/>
        </w:rPr>
        <w:t xml:space="preserve"> [2017] NZCA 376 at [39]. More recently, see </w:t>
      </w:r>
      <w:r w:rsidRPr="00421C05">
        <w:rPr>
          <w:i/>
          <w:iCs/>
          <w:szCs w:val="15"/>
          <w:lang w:val="mi-NZ"/>
        </w:rPr>
        <w:t xml:space="preserve">Cridge v Studorp Ltd </w:t>
      </w:r>
      <w:r w:rsidRPr="00421C05">
        <w:rPr>
          <w:szCs w:val="15"/>
          <w:lang w:val="mi-NZ"/>
        </w:rPr>
        <w:t>[2021] NZHC 2077 at [5(b)] where the High Court observed group members must accept the benefits of any applicable findings or any adverse consequences if unsuccessful.</w:t>
      </w:r>
    </w:p>
  </w:footnote>
  <w:footnote w:id="586">
    <w:p w14:paraId="5DA67292"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lang w:val="mi-NZ"/>
        </w:rPr>
        <w:t>Saunders</w:t>
      </w:r>
      <w:r w:rsidRPr="00421C05">
        <w:rPr>
          <w:i/>
          <w:iCs/>
          <w:szCs w:val="15"/>
          <w:lang w:val="mi-NZ"/>
        </w:rPr>
        <w:t xml:space="preserve"> v Houghton</w:t>
      </w:r>
      <w:r w:rsidRPr="00421C05">
        <w:rPr>
          <w:szCs w:val="15"/>
          <w:lang w:val="mi-NZ"/>
        </w:rPr>
        <w:t xml:space="preserve"> [2009] NZCA 610, [2010] 3 NZLR 331 at [14], approving a statement from </w:t>
      </w:r>
      <w:r w:rsidRPr="00421C05">
        <w:rPr>
          <w:i/>
          <w:iCs/>
          <w:szCs w:val="15"/>
          <w:lang w:val="mi-NZ"/>
        </w:rPr>
        <w:t>Taspac Oysters Ltd v James Hardie &amp; Co Pty Ltd</w:t>
      </w:r>
      <w:r w:rsidRPr="00421C05">
        <w:rPr>
          <w:szCs w:val="15"/>
          <w:lang w:val="mi-NZ"/>
        </w:rPr>
        <w:t xml:space="preserve"> [1990] 1 NZLR 442 (HC) at 446.</w:t>
      </w:r>
    </w:p>
  </w:footnote>
  <w:footnote w:id="587">
    <w:p w14:paraId="55862BFF" w14:textId="49E5A33D"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See for example Class Proceeding Act SO 1992 c 6, s 27(3). Similar provisions exist elsewhere in Canada.</w:t>
      </w:r>
      <w:r w:rsidRPr="00421C05" w:rsidDel="0058102E">
        <w:rPr>
          <w:szCs w:val="15"/>
        </w:rPr>
        <w:t xml:space="preserve"> </w:t>
      </w:r>
      <w:r w:rsidRPr="00421C05">
        <w:rPr>
          <w:szCs w:val="15"/>
        </w:rPr>
        <w:t xml:space="preserve">In Australia, see s 33ZB of the Supreme Court Act 1986 (Vic) which provides a judgment “binds all persons who are such group members at the time the time the judgment is given”. The judgment provisions in New South Wales, Queensland, Tasmania and the Federal Court are similar. We have not addressed the United States. While their </w:t>
      </w:r>
      <w:r w:rsidRPr="00421C05">
        <w:rPr>
          <w:i/>
          <w:iCs/>
          <w:szCs w:val="15"/>
        </w:rPr>
        <w:t>res judicata</w:t>
      </w:r>
      <w:r w:rsidRPr="00421C05">
        <w:rPr>
          <w:szCs w:val="15"/>
        </w:rPr>
        <w:t xml:space="preserve"> equivalents (claim preclusion and issue preclusion) are based on similar policy objectives as </w:t>
      </w:r>
      <w:r w:rsidRPr="00421C05">
        <w:rPr>
          <w:i/>
          <w:iCs/>
          <w:szCs w:val="15"/>
        </w:rPr>
        <w:t xml:space="preserve">res judicata </w:t>
      </w:r>
      <w:r w:rsidRPr="00421C05">
        <w:rPr>
          <w:szCs w:val="15"/>
        </w:rPr>
        <w:t xml:space="preserve">they do not appear to be sufficiently similar. </w:t>
      </w:r>
    </w:p>
  </w:footnote>
  <w:footnote w:id="588">
    <w:p w14:paraId="1752B121"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Ontario Law Reform Commission </w:t>
      </w:r>
      <w:r w:rsidRPr="00421C05">
        <w:rPr>
          <w:i/>
          <w:iCs/>
          <w:szCs w:val="15"/>
        </w:rPr>
        <w:t>Report on Class Actions</w:t>
      </w:r>
      <w:r w:rsidRPr="00421C05">
        <w:rPr>
          <w:szCs w:val="15"/>
        </w:rPr>
        <w:t xml:space="preserve"> (1982) vol III </w:t>
      </w:r>
      <w:r w:rsidRPr="00421C05">
        <w:rPr>
          <w:szCs w:val="15"/>
          <w:lang w:val="mi-NZ"/>
        </w:rPr>
        <w:t xml:space="preserve">at 766. </w:t>
      </w:r>
    </w:p>
  </w:footnote>
  <w:footnote w:id="589">
    <w:p w14:paraId="5A61EA25"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Ontario Law Reform Commission </w:t>
      </w:r>
      <w:r w:rsidRPr="00421C05">
        <w:rPr>
          <w:i/>
          <w:iCs/>
          <w:szCs w:val="15"/>
        </w:rPr>
        <w:t>Report on Class Actions</w:t>
      </w:r>
      <w:r w:rsidRPr="00421C05">
        <w:rPr>
          <w:szCs w:val="15"/>
        </w:rPr>
        <w:t xml:space="preserve"> (1982) vol III </w:t>
      </w:r>
      <w:r w:rsidRPr="00421C05">
        <w:rPr>
          <w:szCs w:val="15"/>
          <w:lang w:val="mi-NZ"/>
        </w:rPr>
        <w:t xml:space="preserve">at 766. </w:t>
      </w:r>
    </w:p>
  </w:footnote>
  <w:footnote w:id="590">
    <w:p w14:paraId="79607F41"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Ontario Law Reform Commission </w:t>
      </w:r>
      <w:r w:rsidRPr="00421C05">
        <w:rPr>
          <w:i/>
          <w:iCs/>
          <w:szCs w:val="15"/>
        </w:rPr>
        <w:t>Report on Class Actions</w:t>
      </w:r>
      <w:r w:rsidRPr="00421C05">
        <w:rPr>
          <w:szCs w:val="15"/>
        </w:rPr>
        <w:t xml:space="preserve"> (1982) vol III </w:t>
      </w:r>
      <w:r w:rsidRPr="00421C05">
        <w:rPr>
          <w:szCs w:val="15"/>
          <w:lang w:val="mi-NZ"/>
        </w:rPr>
        <w:t>at 766.</w:t>
      </w:r>
    </w:p>
  </w:footnote>
  <w:footnote w:id="591">
    <w:p w14:paraId="05FEDD73"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Ontario Law Reform Commission </w:t>
      </w:r>
      <w:r w:rsidRPr="00421C05">
        <w:rPr>
          <w:i/>
          <w:iCs/>
          <w:szCs w:val="15"/>
        </w:rPr>
        <w:t>Report on Class Actions</w:t>
      </w:r>
      <w:r w:rsidRPr="00421C05">
        <w:rPr>
          <w:szCs w:val="15"/>
        </w:rPr>
        <w:t xml:space="preserve"> (1982) vol III </w:t>
      </w:r>
      <w:r w:rsidRPr="00421C05">
        <w:rPr>
          <w:szCs w:val="15"/>
          <w:lang w:val="mi-NZ"/>
        </w:rPr>
        <w:t>at 767.</w:t>
      </w:r>
      <w:r w:rsidRPr="00421C05">
        <w:rPr>
          <w:szCs w:val="15"/>
        </w:rPr>
        <w:t xml:space="preserve"> In reaching this conclusion, it was primarily concerned with the effect of the “rule against splitting” at 755. However, see</w:t>
      </w:r>
      <w:r w:rsidRPr="00421C05">
        <w:rPr>
          <w:szCs w:val="15"/>
          <w:lang w:val="mi-NZ"/>
        </w:rPr>
        <w:t xml:space="preserve"> Rachael Mulheron “Some Comparative Observations on </w:t>
      </w:r>
      <w:r w:rsidRPr="00421C05">
        <w:rPr>
          <w:i/>
          <w:iCs/>
          <w:szCs w:val="15"/>
          <w:lang w:val="mi-NZ"/>
        </w:rPr>
        <w:t>Res Judicata</w:t>
      </w:r>
      <w:r w:rsidRPr="00421C05">
        <w:rPr>
          <w:szCs w:val="15"/>
          <w:lang w:val="mi-NZ"/>
        </w:rPr>
        <w:t xml:space="preserve"> for Canada’s Newest Class Actions Regime” (2004) 30 Man LJ 171 at 185–186, where she argues that the rule against splitting is different to </w:t>
      </w:r>
      <w:r w:rsidRPr="00421C05">
        <w:rPr>
          <w:i/>
          <w:iCs/>
          <w:szCs w:val="15"/>
        </w:rPr>
        <w:t>Henderson</w:t>
      </w:r>
      <w:r w:rsidRPr="00421C05">
        <w:rPr>
          <w:szCs w:val="15"/>
        </w:rPr>
        <w:t xml:space="preserve"> </w:t>
      </w:r>
      <w:r w:rsidRPr="00421C05">
        <w:rPr>
          <w:i/>
          <w:iCs/>
          <w:szCs w:val="15"/>
        </w:rPr>
        <w:t xml:space="preserve">v Henderson </w:t>
      </w:r>
      <w:r w:rsidRPr="00421C05">
        <w:rPr>
          <w:szCs w:val="15"/>
          <w:lang w:val="mi-NZ"/>
        </w:rPr>
        <w:t xml:space="preserve">as splitting can cover recovery for different types of damages, where as </w:t>
      </w:r>
      <w:r w:rsidRPr="00421C05">
        <w:rPr>
          <w:i/>
          <w:iCs/>
          <w:szCs w:val="15"/>
        </w:rPr>
        <w:t>Henderson</w:t>
      </w:r>
      <w:r w:rsidRPr="00421C05">
        <w:rPr>
          <w:szCs w:val="15"/>
        </w:rPr>
        <w:t xml:space="preserve"> </w:t>
      </w:r>
      <w:r w:rsidRPr="00421C05">
        <w:rPr>
          <w:i/>
          <w:iCs/>
          <w:szCs w:val="15"/>
        </w:rPr>
        <w:t xml:space="preserve">v Henderson </w:t>
      </w:r>
      <w:r w:rsidRPr="00421C05">
        <w:rPr>
          <w:szCs w:val="15"/>
          <w:lang w:val="mi-NZ"/>
        </w:rPr>
        <w:t xml:space="preserve">can cover a different theory of liability in respect of the </w:t>
      </w:r>
      <w:r w:rsidRPr="00421C05">
        <w:rPr>
          <w:i/>
          <w:iCs/>
          <w:szCs w:val="15"/>
          <w:lang w:val="mi-NZ"/>
        </w:rPr>
        <w:t>same</w:t>
      </w:r>
      <w:r w:rsidRPr="00421C05">
        <w:rPr>
          <w:szCs w:val="15"/>
          <w:lang w:val="mi-NZ"/>
        </w:rPr>
        <w:t xml:space="preserve"> damages in the previous claim. </w:t>
      </w:r>
    </w:p>
  </w:footnote>
  <w:footnote w:id="592">
    <w:p w14:paraId="1D822992"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Ontario Law Reform Commission </w:t>
      </w:r>
      <w:r w:rsidRPr="00421C05">
        <w:rPr>
          <w:i/>
          <w:iCs/>
          <w:szCs w:val="15"/>
        </w:rPr>
        <w:t>Report on Class Actions</w:t>
      </w:r>
      <w:r w:rsidRPr="00421C05">
        <w:rPr>
          <w:szCs w:val="15"/>
        </w:rPr>
        <w:t xml:space="preserve"> (1982) vol III </w:t>
      </w:r>
      <w:r w:rsidRPr="00421C05">
        <w:rPr>
          <w:szCs w:val="15"/>
          <w:lang w:val="mi-NZ"/>
        </w:rPr>
        <w:t>at 767.</w:t>
      </w:r>
    </w:p>
  </w:footnote>
  <w:footnote w:id="593">
    <w:p w14:paraId="258180A3"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Allan</w:t>
      </w:r>
      <w:r w:rsidRPr="00421C05">
        <w:rPr>
          <w:i/>
          <w:iCs/>
          <w:szCs w:val="15"/>
        </w:rPr>
        <w:t xml:space="preserve"> v CIBC Trust Corporation </w:t>
      </w:r>
      <w:r w:rsidRPr="00421C05">
        <w:rPr>
          <w:szCs w:val="15"/>
        </w:rPr>
        <w:t xml:space="preserve">(1998) 39 OR (3d) 675 (ONCJ). </w:t>
      </w:r>
    </w:p>
  </w:footnote>
  <w:footnote w:id="594">
    <w:p w14:paraId="7430A256"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Allan</w:t>
      </w:r>
      <w:r w:rsidRPr="00421C05">
        <w:rPr>
          <w:i/>
          <w:iCs/>
          <w:szCs w:val="15"/>
        </w:rPr>
        <w:t xml:space="preserve"> v CIBC Trust Corporation </w:t>
      </w:r>
      <w:r w:rsidRPr="00421C05">
        <w:rPr>
          <w:szCs w:val="15"/>
        </w:rPr>
        <w:t>(1998) 39 OR (3d) 675 (ONCJ) at 684.</w:t>
      </w:r>
    </w:p>
  </w:footnote>
  <w:footnote w:id="595">
    <w:p w14:paraId="3990D492" w14:textId="77777777" w:rsidR="00A55F53" w:rsidRPr="00421C05" w:rsidRDefault="00A55F53" w:rsidP="00FF5CE0">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Timbercorp</w:t>
      </w:r>
      <w:r w:rsidRPr="00421C05">
        <w:rPr>
          <w:i/>
          <w:iCs/>
          <w:szCs w:val="15"/>
        </w:rPr>
        <w:t xml:space="preserve"> Finance Pty Ltd (in liq) v Collins </w:t>
      </w:r>
      <w:r w:rsidRPr="00421C05">
        <w:rPr>
          <w:szCs w:val="15"/>
        </w:rPr>
        <w:t>[2016] HCA 44.</w:t>
      </w:r>
    </w:p>
  </w:footnote>
  <w:footnote w:id="596">
    <w:p w14:paraId="49C17E71" w14:textId="63F5B377" w:rsidR="00A55F53" w:rsidRPr="00421C05" w:rsidRDefault="00A55F53" w:rsidP="00653EA8">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t xml:space="preserve">The argument was based on (in the alternative) </w:t>
      </w:r>
      <w:r w:rsidRPr="00421C05">
        <w:rPr>
          <w:i/>
          <w:iCs/>
          <w:szCs w:val="15"/>
        </w:rPr>
        <w:t>Ashun</w:t>
      </w:r>
      <w:r w:rsidRPr="00421C05">
        <w:rPr>
          <w:szCs w:val="15"/>
        </w:rPr>
        <w:t xml:space="preserve"> estoppel and abuse of process. </w:t>
      </w:r>
      <w:r w:rsidRPr="00421C05">
        <w:rPr>
          <w:i/>
          <w:iCs/>
          <w:szCs w:val="15"/>
        </w:rPr>
        <w:t xml:space="preserve">Ashun </w:t>
      </w:r>
      <w:r w:rsidRPr="00421C05">
        <w:rPr>
          <w:szCs w:val="15"/>
        </w:rPr>
        <w:t xml:space="preserve">estoppel is the Australian equivalent of </w:t>
      </w:r>
      <w:r w:rsidRPr="00421C05">
        <w:rPr>
          <w:i/>
          <w:iCs/>
          <w:szCs w:val="15"/>
        </w:rPr>
        <w:t>Henderson v Henderson</w:t>
      </w:r>
      <w:r w:rsidRPr="00421C05">
        <w:rPr>
          <w:szCs w:val="15"/>
        </w:rPr>
        <w:t xml:space="preserve">. The High Court in </w:t>
      </w:r>
      <w:r w:rsidRPr="00421C05">
        <w:rPr>
          <w:i/>
          <w:iCs/>
          <w:szCs w:val="15"/>
        </w:rPr>
        <w:t xml:space="preserve">Timbercorp </w:t>
      </w:r>
      <w:r w:rsidRPr="00421C05">
        <w:rPr>
          <w:szCs w:val="15"/>
        </w:rPr>
        <w:t>explained that an “</w:t>
      </w:r>
      <w:r w:rsidRPr="00421C05">
        <w:rPr>
          <w:i/>
          <w:iCs/>
          <w:szCs w:val="15"/>
        </w:rPr>
        <w:t xml:space="preserve">Ashun </w:t>
      </w:r>
      <w:r w:rsidRPr="00421C05">
        <w:rPr>
          <w:szCs w:val="15"/>
        </w:rPr>
        <w:t xml:space="preserve">estoppel” is also referred to as “the extended principle” in </w:t>
      </w:r>
      <w:r w:rsidRPr="00421C05">
        <w:rPr>
          <w:i/>
          <w:szCs w:val="15"/>
          <w:lang w:val="mi-NZ"/>
        </w:rPr>
        <w:t>Henderson v Henderson</w:t>
      </w:r>
      <w:r w:rsidRPr="00421C05">
        <w:rPr>
          <w:szCs w:val="15"/>
          <w:lang w:val="mi-NZ"/>
        </w:rPr>
        <w:t xml:space="preserve"> (1843) 3 Hare 100, 67 ER 313 (Ch) </w:t>
      </w:r>
      <w:r w:rsidRPr="00421C05">
        <w:rPr>
          <w:szCs w:val="15"/>
        </w:rPr>
        <w:t xml:space="preserve">and will preclude the assertion of a claim or of an issue of law or fact if the claim or issue was so connected to the subject matter of the first proceeding as to make it unreasonable, in the context of the first proceeding, for the claim or issue not to have been made or raised in it: </w:t>
      </w:r>
      <w:r w:rsidRPr="00421C05">
        <w:rPr>
          <w:i/>
          <w:iCs/>
          <w:szCs w:val="15"/>
        </w:rPr>
        <w:t xml:space="preserve">Timbercorp Finance Pty Ltd (in liq) v Collins </w:t>
      </w:r>
      <w:r w:rsidRPr="00421C05">
        <w:rPr>
          <w:szCs w:val="15"/>
        </w:rPr>
        <w:t xml:space="preserve">[2016] HCA 44 at [27] and fn 13. </w:t>
      </w:r>
    </w:p>
  </w:footnote>
  <w:footnote w:id="597">
    <w:p w14:paraId="25213852" w14:textId="666F01CC"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Timbercorp</w:t>
      </w:r>
      <w:r w:rsidRPr="00421C05">
        <w:rPr>
          <w:i/>
          <w:iCs/>
          <w:szCs w:val="15"/>
        </w:rPr>
        <w:t xml:space="preserve"> Finance Pty Ltd (in liq) v Collins </w:t>
      </w:r>
      <w:r w:rsidRPr="00421C05">
        <w:rPr>
          <w:szCs w:val="15"/>
        </w:rPr>
        <w:t xml:space="preserve">[2016] HCA 44 at [49] and [52]. </w:t>
      </w:r>
    </w:p>
  </w:footnote>
  <w:footnote w:id="598">
    <w:p w14:paraId="067A74D0"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Timbercorp</w:t>
      </w:r>
      <w:r w:rsidRPr="00421C05">
        <w:rPr>
          <w:i/>
          <w:iCs/>
          <w:szCs w:val="15"/>
        </w:rPr>
        <w:t xml:space="preserve"> Finance Pty Ltd (in liq) v Collins </w:t>
      </w:r>
      <w:r w:rsidRPr="00421C05">
        <w:rPr>
          <w:szCs w:val="15"/>
        </w:rPr>
        <w:t>[2016] HCA 44 at [53].</w:t>
      </w:r>
    </w:p>
  </w:footnote>
  <w:footnote w:id="599">
    <w:p w14:paraId="22E00CEE"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Timbercorp</w:t>
      </w:r>
      <w:r w:rsidRPr="00421C05">
        <w:rPr>
          <w:i/>
          <w:iCs/>
          <w:szCs w:val="15"/>
        </w:rPr>
        <w:t xml:space="preserve"> Finance Pty Ltd (in liq) v Collins </w:t>
      </w:r>
      <w:r w:rsidRPr="00421C05">
        <w:rPr>
          <w:szCs w:val="15"/>
        </w:rPr>
        <w:t xml:space="preserve">[2016] HCA 44 at [53]. </w:t>
      </w:r>
    </w:p>
  </w:footnote>
  <w:footnote w:id="600">
    <w:p w14:paraId="085CD73D" w14:textId="7397184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rPr>
        <w:t>Timbercorp</w:t>
      </w:r>
      <w:r w:rsidRPr="00421C05">
        <w:rPr>
          <w:i/>
          <w:iCs/>
          <w:szCs w:val="15"/>
        </w:rPr>
        <w:t xml:space="preserve"> Finance Pty Ltd (in liq) v Collins </w:t>
      </w:r>
      <w:r w:rsidRPr="00421C05">
        <w:rPr>
          <w:szCs w:val="15"/>
        </w:rPr>
        <w:t xml:space="preserve">[2016] HCA 44 at [54]. </w:t>
      </w:r>
    </w:p>
  </w:footnote>
  <w:footnote w:id="601">
    <w:p w14:paraId="6CB9EB4A"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Ontario Law Reform Commission </w:t>
      </w:r>
      <w:r w:rsidRPr="00421C05">
        <w:rPr>
          <w:i/>
          <w:iCs/>
          <w:szCs w:val="15"/>
        </w:rPr>
        <w:t>Report on Class Actions</w:t>
      </w:r>
      <w:r w:rsidRPr="00421C05">
        <w:rPr>
          <w:szCs w:val="15"/>
        </w:rPr>
        <w:t xml:space="preserve"> (1982) vol III </w:t>
      </w:r>
      <w:r w:rsidRPr="00421C05">
        <w:rPr>
          <w:szCs w:val="15"/>
          <w:lang w:val="mi-NZ"/>
        </w:rPr>
        <w:t xml:space="preserve">at 766. </w:t>
      </w:r>
    </w:p>
  </w:footnote>
  <w:footnote w:id="602">
    <w:p w14:paraId="33847590"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i/>
          <w:szCs w:val="15"/>
          <w:lang w:val="mi-NZ"/>
        </w:rPr>
        <w:t>Broadspectrum</w:t>
      </w:r>
      <w:r w:rsidRPr="00421C05">
        <w:rPr>
          <w:i/>
          <w:iCs/>
          <w:szCs w:val="15"/>
          <w:lang w:val="mi-NZ"/>
        </w:rPr>
        <w:t xml:space="preserve"> (New Zealand) Ltd v Nathan </w:t>
      </w:r>
      <w:r w:rsidRPr="00421C05">
        <w:rPr>
          <w:szCs w:val="15"/>
          <w:lang w:val="mi-NZ"/>
        </w:rPr>
        <w:t xml:space="preserve">[2017] NZCA 434, (2017) 15 NZELR 398 at [50] quoting </w:t>
      </w:r>
      <w:r w:rsidRPr="00421C05">
        <w:rPr>
          <w:i/>
          <w:iCs/>
          <w:szCs w:val="15"/>
          <w:lang w:val="mi-NZ"/>
        </w:rPr>
        <w:t xml:space="preserve">Johnson v Gore Wood &amp; Co (a firm) </w:t>
      </w:r>
      <w:r w:rsidRPr="00421C05">
        <w:rPr>
          <w:szCs w:val="15"/>
          <w:lang w:val="mi-NZ"/>
        </w:rPr>
        <w:t>[2002] 2 AC 1 (HL) at 31 per Lord Bingham.</w:t>
      </w:r>
    </w:p>
  </w:footnote>
  <w:footnote w:id="603">
    <w:p w14:paraId="7B9EDC91" w14:textId="06EDDD60"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discussion in </w:t>
      </w:r>
      <w:r w:rsidRPr="00421C05">
        <w:rPr>
          <w:szCs w:val="15"/>
          <w:lang w:val="mi-NZ"/>
        </w:rPr>
        <w:t xml:space="preserve">Rachael Mulheron “Some Comparative Observations on </w:t>
      </w:r>
      <w:r w:rsidRPr="00421C05">
        <w:rPr>
          <w:i/>
          <w:iCs/>
          <w:szCs w:val="15"/>
          <w:lang w:val="mi-NZ"/>
        </w:rPr>
        <w:t>Res Judicata</w:t>
      </w:r>
      <w:r w:rsidRPr="00421C05">
        <w:rPr>
          <w:szCs w:val="15"/>
          <w:lang w:val="mi-NZ"/>
        </w:rPr>
        <w:t xml:space="preserve"> for Canada’s Newest Class Actions Regime” (2004) 30 Man LJ 171 </w:t>
      </w:r>
      <w:r w:rsidRPr="00421C05">
        <w:rPr>
          <w:szCs w:val="15"/>
        </w:rPr>
        <w:t>at 187–194.</w:t>
      </w:r>
    </w:p>
  </w:footnote>
  <w:footnote w:id="604">
    <w:p w14:paraId="18809CEA" w14:textId="08E9160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Class</w:t>
      </w:r>
      <w:r w:rsidRPr="00421C05">
        <w:rPr>
          <w:szCs w:val="15"/>
        </w:rPr>
        <w:t xml:space="preserve"> Proceedings Act SO 1992 c 6 (Ontario), s 27; Class Proceedings Act RSBC 1996 c 50 (British Columbia), s 26; and Supreme Court Act 1986 (Vic), s 33ZB.</w:t>
      </w:r>
    </w:p>
  </w:footnote>
  <w:footnote w:id="605">
    <w:p w14:paraId="191088C3" w14:textId="227E1D54"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 cy-près damages order involves money being paid to an organisation or charity associated with the claim in a situation where distributing compensation to individual class members is impossible or impracticable. </w:t>
      </w:r>
    </w:p>
  </w:footnote>
  <w:footnote w:id="606">
    <w:p w14:paraId="2A5B6CD2"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Australian Law Reform Commission </w:t>
      </w:r>
      <w:r w:rsidRPr="00421C05">
        <w:rPr>
          <w:i/>
          <w:iCs/>
          <w:szCs w:val="15"/>
        </w:rPr>
        <w:t>Grouped Proceedings in the Federal Court</w:t>
      </w:r>
      <w:r w:rsidRPr="00421C05">
        <w:rPr>
          <w:szCs w:val="15"/>
        </w:rPr>
        <w:t xml:space="preserve"> (ALRC R46, 1988) at 94.</w:t>
      </w:r>
    </w:p>
  </w:footnote>
  <w:footnote w:id="607">
    <w:p w14:paraId="106A6ED0" w14:textId="05B4CB11"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 xml:space="preserve">§ </w:t>
      </w:r>
      <w:r w:rsidRPr="00421C05">
        <w:rPr>
          <w:rFonts w:cs="Calibri"/>
          <w:szCs w:val="15"/>
        </w:rPr>
        <w:t>1</w:t>
      </w:r>
      <w:r w:rsidRPr="00421C05">
        <w:rPr>
          <w:szCs w:val="15"/>
        </w:rPr>
        <w:t>2:4.</w:t>
      </w:r>
    </w:p>
  </w:footnote>
  <w:footnote w:id="608">
    <w:p w14:paraId="5E29CFB8" w14:textId="5EC6A185"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Federal Court of Australia Act 1976 (Cth), s 33Z(1)(e). See equivalent provisions in other Australian jurisdictions: Civil Procedure Act 2005 (NSW), s 177; Supreme Court Act 1986 (Vic), s 33Z; Civil Proceedings Act 2011 (Qld), s 103V; and Supreme Court Civil Procedure Act 1932 (Tas), s 86. Note the Rules Committee also proposed a similar term in its Class Actions Bill, cl 12(2)(d): </w:t>
      </w:r>
      <w:r w:rsidRPr="00421C05">
        <w:rPr>
          <w:szCs w:val="15"/>
          <w:lang w:val="en-AU"/>
        </w:rPr>
        <w:t>Class Action Bill (</w:t>
      </w:r>
      <w:r w:rsidRPr="00421C05">
        <w:rPr>
          <w:szCs w:val="15"/>
        </w:rPr>
        <w:t xml:space="preserve">Parliamentary Counsel Office, PCO 8247/2.13). </w:t>
      </w:r>
    </w:p>
  </w:footnote>
  <w:footnote w:id="609">
    <w:p w14:paraId="05129B7E"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Class Proceedings Act SO 1992 c 6, s 25. </w:t>
      </w:r>
    </w:p>
  </w:footnote>
  <w:footnote w:id="610">
    <w:p w14:paraId="35E3D57D" w14:textId="556C4EE0"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United Kingdom Competition Appeal Tribunal may direct quantification of individual damages to proceed as individual issues where determination by sub-class is not possible: The Competition Appeal Tribunal Rules 2015 (UK), r 88(2)(c). </w:t>
      </w:r>
    </w:p>
  </w:footnote>
  <w:footnote w:id="611">
    <w:p w14:paraId="0081F667" w14:textId="5BDBB448"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assessment of individual damages may require powers to permit an individual to appear and take control of a particular issue: See Australian Law Reform Commission </w:t>
      </w:r>
      <w:r w:rsidRPr="00421C05">
        <w:rPr>
          <w:i/>
          <w:iCs/>
          <w:szCs w:val="15"/>
        </w:rPr>
        <w:t>Grouped Proceedings in the Federal Court</w:t>
      </w:r>
      <w:r w:rsidRPr="00421C05">
        <w:rPr>
          <w:szCs w:val="15"/>
        </w:rPr>
        <w:t xml:space="preserve"> (ALRC R46, 1988) at 75 and 94. These recommendations can be seen in </w:t>
      </w:r>
      <w:r w:rsidRPr="00421C05">
        <w:rPr>
          <w:szCs w:val="15"/>
          <w:lang w:val="en-AU"/>
        </w:rPr>
        <w:t>Federal Court of Australia Act 1976 (Cth), ss 33Q and 33R and equivalent provisions. The Rules Committee proposed a provision allowing the court to “direct how class members are to establish their entitlements and resolve any disputes”: Class Actions Bill (</w:t>
      </w:r>
      <w:r w:rsidRPr="00421C05">
        <w:rPr>
          <w:szCs w:val="15"/>
        </w:rPr>
        <w:t xml:space="preserve">Parliamentary Counsel Office, PCO 8247/2.13), </w:t>
      </w:r>
      <w:r w:rsidRPr="00421C05">
        <w:rPr>
          <w:szCs w:val="15"/>
          <w:lang w:val="en-AU"/>
        </w:rPr>
        <w:t>cl 12(2)(f).</w:t>
      </w:r>
    </w:p>
  </w:footnote>
  <w:footnote w:id="612">
    <w:p w14:paraId="14D686AB" w14:textId="1958BB59"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Rachael Mulheron </w:t>
      </w:r>
      <w:r w:rsidRPr="00421C05">
        <w:rPr>
          <w:i/>
          <w:szCs w:val="15"/>
        </w:rPr>
        <w:t>The Class Action in Common Law Legal Systems: A Comparative Perspective</w:t>
      </w:r>
      <w:r w:rsidRPr="00421C05">
        <w:rPr>
          <w:szCs w:val="15"/>
        </w:rPr>
        <w:t xml:space="preserve"> (Hart Publishing, Oxford, 2004) at 407–408. </w:t>
      </w:r>
    </w:p>
  </w:footnote>
  <w:footnote w:id="613">
    <w:p w14:paraId="04F8F8E9"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Federal Court of Australia Act 1976 (Cth), s 33Z(1)(f).</w:t>
      </w:r>
    </w:p>
  </w:footnote>
  <w:footnote w:id="614">
    <w:p w14:paraId="5E71B6C1" w14:textId="4F604D92"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Federal Courts Rules SOR/98-106, r 334.28(1); Class Proceedings Act SO 1992 c 6 (Ontario), s 24; </w:t>
      </w:r>
      <w:r w:rsidRPr="00421C05">
        <w:rPr>
          <w:rStyle w:val="normaltextrun"/>
          <w:rFonts w:cs="Calibri"/>
          <w:color w:val="000000"/>
          <w:szCs w:val="15"/>
          <w:shd w:val="clear" w:color="auto" w:fill="FFFFFF"/>
        </w:rPr>
        <w:t>Code of Civil Procedure</w:t>
      </w:r>
      <w:r w:rsidRPr="00421C05">
        <w:rPr>
          <w:rStyle w:val="normaltextrun"/>
          <w:rFonts w:ascii="Calibri" w:hAnsi="Calibri" w:cs="Calibri"/>
          <w:color w:val="000000"/>
          <w:szCs w:val="15"/>
          <w:shd w:val="clear" w:color="auto" w:fill="FFFFFF"/>
        </w:rPr>
        <w:t> </w:t>
      </w:r>
      <w:r w:rsidRPr="00421C05">
        <w:rPr>
          <w:rStyle w:val="normaltextrun"/>
          <w:rFonts w:cs="Calibri"/>
          <w:color w:val="000000"/>
          <w:szCs w:val="15"/>
          <w:shd w:val="clear" w:color="auto" w:fill="FFFFFF"/>
        </w:rPr>
        <w:t>RSQ</w:t>
      </w:r>
      <w:r w:rsidRPr="00421C05">
        <w:rPr>
          <w:rStyle w:val="normaltextrun"/>
          <w:rFonts w:ascii="Calibri" w:hAnsi="Calibri" w:cs="Calibri"/>
          <w:color w:val="000000"/>
          <w:szCs w:val="15"/>
          <w:shd w:val="clear" w:color="auto" w:fill="FFFFFF"/>
        </w:rPr>
        <w:t> </w:t>
      </w:r>
      <w:r w:rsidRPr="00421C05">
        <w:rPr>
          <w:rStyle w:val="normaltextrun"/>
          <w:rFonts w:cs="Calibri"/>
          <w:color w:val="000000"/>
          <w:szCs w:val="15"/>
          <w:shd w:val="clear" w:color="auto" w:fill="FFFFFF"/>
        </w:rPr>
        <w:t>c</w:t>
      </w:r>
      <w:r w:rsidRPr="00421C05">
        <w:rPr>
          <w:rStyle w:val="normaltextrun"/>
          <w:rFonts w:ascii="Calibri" w:hAnsi="Calibri" w:cs="Calibri"/>
          <w:color w:val="000000"/>
          <w:szCs w:val="15"/>
          <w:shd w:val="clear" w:color="auto" w:fill="FFFFFF"/>
        </w:rPr>
        <w:t> </w:t>
      </w:r>
      <w:r w:rsidRPr="00421C05">
        <w:rPr>
          <w:rStyle w:val="normaltextrun"/>
          <w:rFonts w:cs="Calibri"/>
          <w:color w:val="000000"/>
          <w:szCs w:val="15"/>
          <w:shd w:val="clear" w:color="auto" w:fill="FFFFFF"/>
        </w:rPr>
        <w:t>C-25.01 (Quebec)</w:t>
      </w:r>
      <w:r w:rsidRPr="00421C05">
        <w:rPr>
          <w:szCs w:val="15"/>
        </w:rPr>
        <w:t xml:space="preserve">, art 595; Class Proceedings Act RSBC 1996 c 50 (British Columbia), s 29; Class Proceedings Act SA 2003 c C-16.5 (Alberta), s 30; The Class Proceedings Act SM 2002 c C-130 (Manitoba), s 29; Class Actions Act SNL 2001 c C-18.1 (Newfoundland and Labrador), s 29; Class Proceedings Act SNS 2007 c 28 (Nova Scotia), s 32; Class Proceedings Act 2011 RSNB c 125 (New Brunswick), s 31. </w:t>
      </w:r>
    </w:p>
  </w:footnote>
  <w:footnote w:id="615">
    <w:p w14:paraId="4B7D03D5" w14:textId="59D9922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 xml:space="preserve">§ </w:t>
      </w:r>
      <w:r w:rsidRPr="00421C05">
        <w:rPr>
          <w:rFonts w:cs="Calibri"/>
          <w:szCs w:val="15"/>
        </w:rPr>
        <w:t>1</w:t>
      </w:r>
      <w:r w:rsidRPr="00421C05">
        <w:rPr>
          <w:szCs w:val="15"/>
        </w:rPr>
        <w:t>2:2.</w:t>
      </w:r>
    </w:p>
  </w:footnote>
  <w:footnote w:id="616">
    <w:p w14:paraId="1608F253"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“Aggregate award of damages” is defined as an award of damages made by the Tribunal in collective proceedings without undertaking an assessment of the amount of damages recoverable in respect of each represented person: </w:t>
      </w:r>
      <w:r w:rsidRPr="00421C05">
        <w:rPr>
          <w:szCs w:val="15"/>
          <w:lang w:val="en-AU"/>
        </w:rPr>
        <w:t>The Competition Appeal Tribunal Rules 2015 (UK), s 73(2) and Competition Act 1998 (UK), s 47C(2).</w:t>
      </w:r>
    </w:p>
  </w:footnote>
  <w:footnote w:id="617">
    <w:p w14:paraId="70451BDD" w14:textId="66C62DE6" w:rsidR="00A55F53" w:rsidRPr="00421C05" w:rsidRDefault="00A55F53" w:rsidP="00653EA8">
      <w:pPr>
        <w:pStyle w:val="FootnoteText"/>
        <w:rPr>
          <w:szCs w:val="15"/>
          <w:lang w:val="en-AU"/>
        </w:rPr>
      </w:pPr>
      <w:r w:rsidRPr="00421C05">
        <w:rPr>
          <w:rStyle w:val="FootnoteReference"/>
          <w:sz w:val="15"/>
          <w:szCs w:val="15"/>
        </w:rPr>
        <w:footnoteRef/>
      </w:r>
      <w:r w:rsidRPr="00421C05">
        <w:rPr>
          <w:szCs w:val="15"/>
        </w:rPr>
        <w:t xml:space="preserve"> </w:t>
      </w:r>
      <w:r w:rsidRPr="00421C05">
        <w:rPr>
          <w:szCs w:val="15"/>
          <w:lang w:val="en-AU"/>
        </w:rPr>
        <w:tab/>
        <w:t xml:space="preserve">Federal Court of Australia Act 1976 (Cth), s 33Z(3). Note this section is subject to section 33V which provides that a class action may only be settled with court approval and subject to any orders “as are just with respect to the distribution of any money paid under a settlement or paid into the Court”. We note also that the Rules Committee’s Class Actions Bill would permit </w:t>
      </w:r>
      <w:r w:rsidRPr="00421C05">
        <w:rPr>
          <w:szCs w:val="15"/>
        </w:rPr>
        <w:t>the court to “award damages in an aggregate amount, without specifying the amounts to be allocated to individuals (but only if it is satisfied that a reasonably accurate assessment can be made of the total amount to which class members will be entitled under the judgment)”: Class Actions Bill (Parliamentary Counsel Office, PCO 8247/2.13), cl 12(2)(e).</w:t>
      </w:r>
    </w:p>
  </w:footnote>
  <w:footnote w:id="618">
    <w:p w14:paraId="264AD297" w14:textId="77777777" w:rsidR="00A55F53" w:rsidRPr="00421C05" w:rsidRDefault="00A55F53" w:rsidP="00653EA8">
      <w:pPr>
        <w:pStyle w:val="FootnoteText"/>
        <w:rPr>
          <w:szCs w:val="15"/>
          <w:lang w:val="en-AU"/>
        </w:rPr>
      </w:pPr>
      <w:r w:rsidRPr="00421C05">
        <w:rPr>
          <w:rStyle w:val="FootnoteReference"/>
          <w:sz w:val="15"/>
          <w:szCs w:val="15"/>
        </w:rPr>
        <w:footnoteRef/>
      </w:r>
      <w:r w:rsidRPr="00421C05">
        <w:rPr>
          <w:szCs w:val="15"/>
        </w:rPr>
        <w:t xml:space="preserve"> </w:t>
      </w:r>
      <w:r w:rsidRPr="00421C05">
        <w:rPr>
          <w:szCs w:val="15"/>
          <w:lang w:val="en-AU"/>
        </w:rPr>
        <w:tab/>
      </w:r>
      <w:r w:rsidRPr="00421C05">
        <w:rPr>
          <w:i/>
          <w:szCs w:val="15"/>
          <w:lang w:val="en-AU"/>
        </w:rPr>
        <w:t>Schutt</w:t>
      </w:r>
      <w:r w:rsidRPr="00421C05">
        <w:rPr>
          <w:i/>
          <w:iCs/>
          <w:szCs w:val="15"/>
          <w:lang w:val="en-AU"/>
        </w:rPr>
        <w:t xml:space="preserve"> Flying Academy (Australia Pty Ltd) v Mobil Oil Australia Ltd </w:t>
      </w:r>
      <w:r w:rsidRPr="00421C05">
        <w:rPr>
          <w:szCs w:val="15"/>
          <w:lang w:val="en-AU"/>
        </w:rPr>
        <w:t xml:space="preserve">[2000] VSCA 103, (2000) 1 VR 545 at [36] (per Ormiston JA). </w:t>
      </w:r>
    </w:p>
  </w:footnote>
  <w:footnote w:id="619">
    <w:p w14:paraId="1F7DB483"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Ontario Court of Appeal stated this requirement can be satisfied by showing that “potential liability” can be determined on a class-wide basis: </w:t>
      </w:r>
      <w:r w:rsidRPr="00421C05">
        <w:rPr>
          <w:i/>
          <w:iCs/>
          <w:szCs w:val="15"/>
        </w:rPr>
        <w:t>Markson v MBNA Canada Bank</w:t>
      </w:r>
      <w:r w:rsidRPr="00421C05">
        <w:rPr>
          <w:szCs w:val="15"/>
        </w:rPr>
        <w:t xml:space="preserve"> [2007] ONCA 334, (2007) 282 DLR (4th) 385 at [48]. Potential liability will exist where the common issues are “capable of establishing the defendant’s monetary liability to at least some members of the class”: </w:t>
      </w:r>
      <w:r w:rsidRPr="00421C05">
        <w:rPr>
          <w:i/>
          <w:iCs/>
          <w:szCs w:val="15"/>
        </w:rPr>
        <w:t>Fulawka v Bank of Nova Scotia</w:t>
      </w:r>
      <w:r w:rsidRPr="00421C05">
        <w:rPr>
          <w:szCs w:val="15"/>
        </w:rPr>
        <w:t xml:space="preserve"> [2012] ONCA 443, (2012) 325 DLR (4th) 1 at [124].</w:t>
      </w:r>
    </w:p>
  </w:footnote>
  <w:footnote w:id="620">
    <w:p w14:paraId="3482CE45" w14:textId="18024174"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Class Proceedings Act 1992 SO c 6 (Ontario), s 24(1)(c); </w:t>
      </w:r>
      <w:r w:rsidRPr="00421C05">
        <w:rPr>
          <w:rStyle w:val="normaltextrun"/>
          <w:rFonts w:cs="Calibri"/>
          <w:color w:val="000000"/>
          <w:szCs w:val="15"/>
          <w:shd w:val="clear" w:color="auto" w:fill="FFFFFF"/>
        </w:rPr>
        <w:t>Code of Civil Procedure</w:t>
      </w:r>
      <w:r w:rsidRPr="00421C05">
        <w:rPr>
          <w:rStyle w:val="normaltextrun"/>
          <w:rFonts w:ascii="Calibri" w:hAnsi="Calibri" w:cs="Calibri"/>
          <w:color w:val="000000"/>
          <w:szCs w:val="15"/>
          <w:shd w:val="clear" w:color="auto" w:fill="FFFFFF"/>
        </w:rPr>
        <w:t> </w:t>
      </w:r>
      <w:r w:rsidRPr="00421C05">
        <w:rPr>
          <w:rStyle w:val="normaltextrun"/>
          <w:rFonts w:cs="Calibri"/>
          <w:color w:val="000000"/>
          <w:szCs w:val="15"/>
          <w:shd w:val="clear" w:color="auto" w:fill="FFFFFF"/>
        </w:rPr>
        <w:t>RSQ</w:t>
      </w:r>
      <w:r w:rsidRPr="00421C05">
        <w:rPr>
          <w:rStyle w:val="normaltextrun"/>
          <w:rFonts w:ascii="Calibri" w:hAnsi="Calibri" w:cs="Calibri"/>
          <w:color w:val="000000"/>
          <w:szCs w:val="15"/>
          <w:shd w:val="clear" w:color="auto" w:fill="FFFFFF"/>
        </w:rPr>
        <w:t> </w:t>
      </w:r>
      <w:r w:rsidRPr="00421C05">
        <w:rPr>
          <w:rStyle w:val="normaltextrun"/>
          <w:rFonts w:cs="Calibri"/>
          <w:color w:val="000000"/>
          <w:szCs w:val="15"/>
          <w:shd w:val="clear" w:color="auto" w:fill="FFFFFF"/>
        </w:rPr>
        <w:t>c</w:t>
      </w:r>
      <w:r w:rsidRPr="00421C05">
        <w:rPr>
          <w:rStyle w:val="normaltextrun"/>
          <w:rFonts w:ascii="Calibri" w:hAnsi="Calibri" w:cs="Calibri"/>
          <w:color w:val="000000"/>
          <w:szCs w:val="15"/>
          <w:shd w:val="clear" w:color="auto" w:fill="FFFFFF"/>
        </w:rPr>
        <w:t> </w:t>
      </w:r>
      <w:r w:rsidRPr="00421C05">
        <w:rPr>
          <w:rStyle w:val="normaltextrun"/>
          <w:rFonts w:cs="Calibri"/>
          <w:color w:val="000000"/>
          <w:szCs w:val="15"/>
          <w:shd w:val="clear" w:color="auto" w:fill="FFFFFF"/>
        </w:rPr>
        <w:t>C-25.01 (Quebec)</w:t>
      </w:r>
      <w:r w:rsidRPr="00421C05">
        <w:rPr>
          <w:szCs w:val="15"/>
        </w:rPr>
        <w:t>, art 595 ; Class Proceedings Act RSBC 1996 c 50 (British Columbia), s 29(1)(c); Class Proceedings Act SA 2003 c C-16.5 (Alberta), s 30(1)(c); Class Proceedings Act SM 2002 c C-130 (Manitoba), s 29(1)(c); The Class Actions Act SNL 2001 c C-18 (Newfoundland and Labrador), s 29(1)(c); Class Proceedings Act SNS 2007 c 28 (Nova Scotia), s 32(1)(c); Class Proceedings Act 2011 NSNB c 125 (New Brunswick), s 31(1)(c).</w:t>
      </w:r>
    </w:p>
  </w:footnote>
  <w:footnote w:id="621">
    <w:p w14:paraId="19300E40" w14:textId="7DBD4142"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color w:val="000000"/>
          <w:szCs w:val="15"/>
          <w:lang w:val="mi-NZ"/>
        </w:rPr>
        <w:t>Class Proceedings Act SO 1992 c 6 (Ontario), s 23(1). Note the a party seeking to introduce statistical evidence must give reasonable notice to the other parties. The person who supervised the preparation of the statistical information may be required to be available for cross-examination and documents relied upon may need to be produced: Class Proceedings Act SO 1992 c 6 (Ontario), s 23(3)–(4).</w:t>
      </w:r>
    </w:p>
  </w:footnote>
  <w:footnote w:id="622">
    <w:p w14:paraId="639F7747" w14:textId="1E79CC74" w:rsidR="00A55F53" w:rsidRPr="00421C05" w:rsidRDefault="00A55F53" w:rsidP="00653EA8">
      <w:pPr>
        <w:pStyle w:val="FootnoteText"/>
        <w:rPr>
          <w:szCs w:val="15"/>
          <w:lang w:val="en-AU"/>
        </w:rPr>
      </w:pPr>
      <w:r w:rsidRPr="00421C05">
        <w:rPr>
          <w:rStyle w:val="FootnoteReference"/>
          <w:sz w:val="15"/>
          <w:szCs w:val="15"/>
        </w:rPr>
        <w:footnoteRef/>
      </w:r>
      <w:r w:rsidRPr="00421C05">
        <w:rPr>
          <w:szCs w:val="15"/>
        </w:rPr>
        <w:t xml:space="preserve"> </w:t>
      </w:r>
      <w:r w:rsidRPr="00421C05">
        <w:rPr>
          <w:szCs w:val="15"/>
          <w:lang w:val="en-AU"/>
        </w:rPr>
        <w:tab/>
      </w:r>
      <w:r w:rsidRPr="00421C05">
        <w:rPr>
          <w:szCs w:val="15"/>
        </w:rPr>
        <w:t xml:space="preserve">William Rubenstein </w:t>
      </w:r>
      <w:r w:rsidRPr="00421C05">
        <w:rPr>
          <w:i/>
          <w:iCs/>
          <w:szCs w:val="15"/>
        </w:rPr>
        <w:t>Newberg on Class Actions</w:t>
      </w:r>
      <w:r w:rsidRPr="00421C05">
        <w:rPr>
          <w:szCs w:val="15"/>
        </w:rPr>
        <w:t xml:space="preserve"> (online ed, Thomson Reuters) at</w:t>
      </w:r>
      <w:r w:rsidRPr="00421C05">
        <w:rPr>
          <w:szCs w:val="15"/>
          <w:lang w:val="en-AU"/>
        </w:rPr>
        <w:t xml:space="preserve"> </w:t>
      </w:r>
      <w:r w:rsidRPr="00421C05">
        <w:rPr>
          <w:rFonts w:ascii="Calibri" w:hAnsi="Calibri" w:cs="Calibri"/>
          <w:szCs w:val="15"/>
        </w:rPr>
        <w:t xml:space="preserve">§ </w:t>
      </w:r>
      <w:r w:rsidRPr="00421C05">
        <w:rPr>
          <w:szCs w:val="15"/>
        </w:rPr>
        <w:t>12.2.</w:t>
      </w:r>
    </w:p>
  </w:footnote>
  <w:footnote w:id="623">
    <w:p w14:paraId="77AFCA50"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Competition Appeal Tribunal </w:t>
      </w:r>
      <w:r w:rsidRPr="00421C05">
        <w:rPr>
          <w:i/>
          <w:iCs/>
          <w:szCs w:val="15"/>
        </w:rPr>
        <w:t>Guide to Proceedings</w:t>
      </w:r>
      <w:r w:rsidRPr="00421C05">
        <w:rPr>
          <w:szCs w:val="15"/>
        </w:rPr>
        <w:t xml:space="preserve"> 2015 at [6.78]. For instance, “where the defendant’s records are sufficient, or where there is a large class with largely identical individual claims”. </w:t>
      </w:r>
    </w:p>
  </w:footnote>
  <w:footnote w:id="624">
    <w:p w14:paraId="2DF15201" w14:textId="7D2D19A2"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Mastercard</w:t>
      </w:r>
      <w:r w:rsidRPr="00421C05">
        <w:rPr>
          <w:i/>
          <w:iCs/>
          <w:szCs w:val="15"/>
        </w:rPr>
        <w:t xml:space="preserve"> v Merricks </w:t>
      </w:r>
      <w:r w:rsidRPr="00421C05">
        <w:rPr>
          <w:szCs w:val="15"/>
        </w:rPr>
        <w:t>[2020] UKSC 51, [2021] 3 All ER 285 at [77] per Lord Briggs SCJ.</w:t>
      </w:r>
    </w:p>
  </w:footnote>
  <w:footnote w:id="625">
    <w:p w14:paraId="1DE3BC6B"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Competition Appeal Tribunal </w:t>
      </w:r>
      <w:r w:rsidRPr="00421C05">
        <w:rPr>
          <w:i/>
          <w:iCs/>
          <w:szCs w:val="15"/>
        </w:rPr>
        <w:t>Guide to Proceedings</w:t>
      </w:r>
      <w:r w:rsidRPr="00421C05">
        <w:rPr>
          <w:szCs w:val="15"/>
        </w:rPr>
        <w:t xml:space="preserve"> 2015 at [6.79].</w:t>
      </w:r>
    </w:p>
  </w:footnote>
  <w:footnote w:id="626">
    <w:p w14:paraId="44C0165C" w14:textId="295EDCFF"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bookmarkStart w:id="88" w:name="_Hlk80110687"/>
      <w:r w:rsidRPr="00421C05">
        <w:rPr>
          <w:szCs w:val="15"/>
        </w:rPr>
        <w:t xml:space="preserve">See Australian Law Reform Commission </w:t>
      </w:r>
      <w:r w:rsidRPr="00421C05">
        <w:rPr>
          <w:i/>
          <w:iCs/>
          <w:szCs w:val="15"/>
        </w:rPr>
        <w:t>Grouped Proceedings in the Federal Court</w:t>
      </w:r>
      <w:r w:rsidRPr="00421C05">
        <w:rPr>
          <w:szCs w:val="15"/>
        </w:rPr>
        <w:t xml:space="preserve"> (ALRC R46, 1988</w:t>
      </w:r>
      <w:bookmarkEnd w:id="88"/>
      <w:r w:rsidRPr="00421C05">
        <w:rPr>
          <w:szCs w:val="15"/>
        </w:rPr>
        <w:t>) at</w:t>
      </w:r>
      <w:r w:rsidRPr="00421C05">
        <w:rPr>
          <w:szCs w:val="15"/>
          <w:lang w:val="en-AU"/>
        </w:rPr>
        <w:t xml:space="preserve"> [227]; and </w:t>
      </w:r>
      <w:r w:rsidRPr="00421C05">
        <w:rPr>
          <w:szCs w:val="15"/>
        </w:rPr>
        <w:t xml:space="preserve">Rachael Mulheron </w:t>
      </w:r>
      <w:r w:rsidRPr="00421C05">
        <w:rPr>
          <w:i/>
          <w:iCs/>
          <w:szCs w:val="15"/>
        </w:rPr>
        <w:t>The Class Action in Common Law Legal Systems: A Comparative Perspective</w:t>
      </w:r>
      <w:r w:rsidRPr="00421C05">
        <w:rPr>
          <w:szCs w:val="15"/>
        </w:rPr>
        <w:t xml:space="preserve"> (Hart Publishing, Oxford, 2004) at 411. </w:t>
      </w:r>
    </w:p>
  </w:footnote>
  <w:footnote w:id="627">
    <w:p w14:paraId="182697D3"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Rachael Mulheron </w:t>
      </w:r>
      <w:r w:rsidRPr="00421C05">
        <w:rPr>
          <w:i/>
          <w:iCs/>
          <w:szCs w:val="15"/>
        </w:rPr>
        <w:t>The Class Action in Common Law Legal Systems: A Comparative Perspective</w:t>
      </w:r>
      <w:r w:rsidRPr="00421C05">
        <w:rPr>
          <w:szCs w:val="15"/>
        </w:rPr>
        <w:t xml:space="preserve"> (Hart Publishing, Oxford, 2004) at 412.</w:t>
      </w:r>
    </w:p>
  </w:footnote>
  <w:footnote w:id="628">
    <w:p w14:paraId="2A8C8342"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Federal Court of Australia Act 1976 (Cth), s 33Z(3); Class Actions Bill (Parliamentary Counsel Office, PCO 8247/2.13), cl 12(2)(e). </w:t>
      </w:r>
    </w:p>
  </w:footnote>
  <w:footnote w:id="629">
    <w:p w14:paraId="6B94405C"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Rachael Mulheron </w:t>
      </w:r>
      <w:r w:rsidRPr="00421C05">
        <w:rPr>
          <w:i/>
          <w:iCs/>
          <w:szCs w:val="15"/>
        </w:rPr>
        <w:t>The Class Action in Common Law Legal Systems: A Comparative Perspective</w:t>
      </w:r>
      <w:r w:rsidRPr="00421C05">
        <w:rPr>
          <w:szCs w:val="15"/>
        </w:rPr>
        <w:t xml:space="preserve"> (Hart Publishing, Oxford, 2004) at 412-413. </w:t>
      </w:r>
    </w:p>
  </w:footnote>
  <w:footnote w:id="630">
    <w:p w14:paraId="3175EAE8" w14:textId="65E5B39F"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Class Proceedings Act SO 1992 c6 (Ontario), s 24(1)(b). </w:t>
      </w:r>
    </w:p>
  </w:footnote>
  <w:footnote w:id="631">
    <w:p w14:paraId="13C185E6"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Rachael Mulheron </w:t>
      </w:r>
      <w:r w:rsidRPr="00421C05">
        <w:rPr>
          <w:i/>
          <w:iCs/>
          <w:szCs w:val="15"/>
        </w:rPr>
        <w:t>The Class Action in Common Law Legal Systems: A Comparative Perspective</w:t>
      </w:r>
      <w:r w:rsidRPr="00421C05">
        <w:rPr>
          <w:szCs w:val="15"/>
        </w:rPr>
        <w:t xml:space="preserve"> (Hart Publishing, Oxford, 2004) at 418-419. See also Ontario Law Reform Commission </w:t>
      </w:r>
      <w:r w:rsidRPr="00421C05">
        <w:rPr>
          <w:i/>
          <w:iCs/>
          <w:szCs w:val="15"/>
        </w:rPr>
        <w:t>Report on Class Actions</w:t>
      </w:r>
      <w:r w:rsidRPr="00421C05">
        <w:rPr>
          <w:szCs w:val="15"/>
        </w:rPr>
        <w:t xml:space="preserve"> (1982) vol II at 555.</w:t>
      </w:r>
    </w:p>
  </w:footnote>
  <w:footnote w:id="632">
    <w:p w14:paraId="023A8434" w14:textId="27407FF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11(1).</w:t>
      </w:r>
    </w:p>
  </w:footnote>
  <w:footnote w:id="633">
    <w:p w14:paraId="19EE627C"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Federal Court of Australia Act 1976 (Cth), s 33Z(2). Note s 33ZA which permits the creation of a fund for this purpose clarifies it does not limit the operation of s 33Z(2): see s 33ZA(1). </w:t>
      </w:r>
    </w:p>
  </w:footnote>
  <w:footnote w:id="634">
    <w:p w14:paraId="6944ED3D" w14:textId="758CCB9C" w:rsidR="00A55F53" w:rsidRPr="00421C05" w:rsidRDefault="00A55F53" w:rsidP="00653EA8">
      <w:pPr>
        <w:pStyle w:val="FootnoteText"/>
        <w:rPr>
          <w:szCs w:val="15"/>
          <w:lang w:val="en-AU"/>
        </w:rPr>
      </w:pPr>
      <w:r w:rsidRPr="00421C05">
        <w:rPr>
          <w:rStyle w:val="FootnoteReference"/>
          <w:sz w:val="15"/>
          <w:szCs w:val="15"/>
        </w:rPr>
        <w:footnoteRef/>
      </w:r>
      <w:r w:rsidRPr="00421C05">
        <w:rPr>
          <w:szCs w:val="15"/>
        </w:rPr>
        <w:t xml:space="preserve"> </w:t>
      </w:r>
      <w:r w:rsidRPr="00421C05">
        <w:rPr>
          <w:szCs w:val="15"/>
          <w:lang w:val="en-AU"/>
        </w:rPr>
        <w:tab/>
        <w:t>See for example Class Proceedings Act 1992 SO c 6 (Ontario), s 26.</w:t>
      </w:r>
    </w:p>
  </w:footnote>
  <w:footnote w:id="635">
    <w:p w14:paraId="144E24DD" w14:textId="59B4FCE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 Competition Appeal Tribunal Rules 2015 (UK), r 93.</w:t>
      </w:r>
    </w:p>
  </w:footnote>
  <w:footnote w:id="636">
    <w:p w14:paraId="14E8F4C0"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Rachael Mulheron </w:t>
      </w:r>
      <w:r w:rsidRPr="00421C05">
        <w:rPr>
          <w:i/>
          <w:iCs/>
          <w:szCs w:val="15"/>
        </w:rPr>
        <w:t>The Class Action in Common Law Legal Systems: A Comparative Perspective</w:t>
      </w:r>
      <w:r w:rsidRPr="00421C05">
        <w:rPr>
          <w:szCs w:val="15"/>
        </w:rPr>
        <w:t xml:space="preserve"> (Hart Publishing, Oxford, 2004) at 423-424. The ALRC noted that where restitution of overcharges is required, it will not be necessary to establish a fund: Australian Law Reform Commission </w:t>
      </w:r>
      <w:r w:rsidRPr="00421C05">
        <w:rPr>
          <w:i/>
          <w:iCs/>
          <w:szCs w:val="15"/>
        </w:rPr>
        <w:t>Grouped Proceedings in the Federal Court</w:t>
      </w:r>
      <w:r w:rsidRPr="00421C05">
        <w:rPr>
          <w:szCs w:val="15"/>
        </w:rPr>
        <w:t xml:space="preserve"> (ALRC R46, 1988), at [225].</w:t>
      </w:r>
    </w:p>
  </w:footnote>
  <w:footnote w:id="637">
    <w:p w14:paraId="480221A5" w14:textId="25D71DE6"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Federal Court of Australia Act 1976 (Cth), s 33Z(2). </w:t>
      </w:r>
      <w:r w:rsidRPr="00421C05">
        <w:rPr>
          <w:szCs w:val="15"/>
          <w:lang w:val="en-AU"/>
        </w:rPr>
        <w:t xml:space="preserve">See also </w:t>
      </w:r>
      <w:r w:rsidRPr="00421C05">
        <w:rPr>
          <w:szCs w:val="15"/>
        </w:rPr>
        <w:t xml:space="preserve">Rachael Mulheron </w:t>
      </w:r>
      <w:r w:rsidRPr="00421C05">
        <w:rPr>
          <w:i/>
          <w:iCs/>
          <w:szCs w:val="15"/>
        </w:rPr>
        <w:t>The Class Action in Common Law Legal Systems: A Comparative Perspective</w:t>
      </w:r>
      <w:r w:rsidRPr="00421C05">
        <w:rPr>
          <w:szCs w:val="15"/>
        </w:rPr>
        <w:t xml:space="preserve"> (Hart Publishing, Oxford, 2004) at 423.</w:t>
      </w:r>
    </w:p>
  </w:footnote>
  <w:footnote w:id="638">
    <w:p w14:paraId="14D1A41D" w14:textId="2F68B83F"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Class Proceedings Act 1992 SO c 6 (Ontario), s 26(2)(a). </w:t>
      </w:r>
    </w:p>
  </w:footnote>
  <w:footnote w:id="639">
    <w:p w14:paraId="4991B8F6" w14:textId="1BCF5273"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Newberg on Class Actions</w:t>
      </w:r>
      <w:r w:rsidRPr="00421C05">
        <w:rPr>
          <w:szCs w:val="15"/>
        </w:rPr>
        <w:t xml:space="preserve"> (online ed, Thomson Reuters) at</w:t>
      </w:r>
      <w:r w:rsidRPr="00421C05">
        <w:rPr>
          <w:rFonts w:cs="Arial"/>
          <w:color w:val="202122"/>
          <w:szCs w:val="15"/>
          <w:shd w:val="clear" w:color="auto" w:fill="FFFFFF"/>
          <w:lang w:eastAsia="en-GB"/>
        </w:rPr>
        <w:t xml:space="preserve"> </w:t>
      </w:r>
      <w:r w:rsidRPr="00421C05">
        <w:rPr>
          <w:rFonts w:ascii="Calibri" w:hAnsi="Calibri" w:cs="Calibri"/>
          <w:szCs w:val="15"/>
        </w:rPr>
        <w:t xml:space="preserve">§ </w:t>
      </w:r>
      <w:r w:rsidRPr="00421C05">
        <w:rPr>
          <w:szCs w:val="15"/>
        </w:rPr>
        <w:t>12:15.</w:t>
      </w:r>
    </w:p>
  </w:footnote>
  <w:footnote w:id="640">
    <w:p w14:paraId="767199B1" w14:textId="0FB3885B"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for example Federal Court of Australia Act 1976 (Cth</w:t>
      </w:r>
      <w:r w:rsidRPr="00421C05">
        <w:rPr>
          <w:szCs w:val="15"/>
          <w:lang w:val="en-AU"/>
        </w:rPr>
        <w:t xml:space="preserve">), s 33ZA. Note the Rules Committee also made a similar proposal in its Class Actions Bill and Rules: see </w:t>
      </w:r>
      <w:r w:rsidRPr="00421C05">
        <w:rPr>
          <w:szCs w:val="15"/>
        </w:rPr>
        <w:t>Class Actions Bill (Parliamentary Counsel Office, PCO 8247/2.13), schedule 1, r</w:t>
      </w:r>
      <w:r w:rsidRPr="00421C05">
        <w:rPr>
          <w:szCs w:val="15"/>
          <w:lang w:val="en-AU"/>
        </w:rPr>
        <w:t xml:space="preserve"> 34.22(2).</w:t>
      </w:r>
      <w:r w:rsidRPr="00421C05">
        <w:rPr>
          <w:szCs w:val="15"/>
        </w:rPr>
        <w:t xml:space="preserve"> </w:t>
      </w:r>
    </w:p>
  </w:footnote>
  <w:footnote w:id="641">
    <w:p w14:paraId="7F2223D1" w14:textId="5C9E061F"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Class Proceedings Act 1992 SO c 6 (Ontario), s 26(2)(b). </w:t>
      </w:r>
    </w:p>
  </w:footnote>
  <w:footnote w:id="642">
    <w:p w14:paraId="5BC50754" w14:textId="2B4F4C0B"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 xml:space="preserve">§ </w:t>
      </w:r>
      <w:r w:rsidRPr="00421C05">
        <w:rPr>
          <w:szCs w:val="15"/>
        </w:rPr>
        <w:t>12:16.</w:t>
      </w:r>
    </w:p>
  </w:footnote>
  <w:footnote w:id="643">
    <w:p w14:paraId="30B70BD7"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Class Proceeding Act 1992 SO c6, s 26(2)(c). </w:t>
      </w:r>
    </w:p>
  </w:footnote>
  <w:footnote w:id="644">
    <w:p w14:paraId="794E0747" w14:textId="6CA1E73F"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Competition Appeal Tribunal Rules 2015 (UK), r 93(1)(b). </w:t>
      </w:r>
    </w:p>
  </w:footnote>
  <w:footnote w:id="645">
    <w:p w14:paraId="03B52911" w14:textId="57DDC9EA"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our draft legislation, cl 11(3). </w:t>
      </w:r>
    </w:p>
  </w:footnote>
  <w:footnote w:id="646">
    <w:p w14:paraId="57F5160A" w14:textId="7B0CF37A"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 xml:space="preserve">§ </w:t>
      </w:r>
      <w:r w:rsidRPr="00421C05">
        <w:rPr>
          <w:szCs w:val="15"/>
        </w:rPr>
        <w:t>12:30.</w:t>
      </w:r>
    </w:p>
  </w:footnote>
  <w:footnote w:id="647">
    <w:p w14:paraId="705B658E" w14:textId="784ABE62" w:rsidR="00A55F53" w:rsidRPr="00421C05" w:rsidRDefault="00A55F53" w:rsidP="00653EA8">
      <w:pPr>
        <w:pStyle w:val="FootnoteText"/>
        <w:rPr>
          <w:szCs w:val="15"/>
          <w:lang w:val="en-AU"/>
        </w:rPr>
      </w:pPr>
      <w:r w:rsidRPr="00421C05">
        <w:rPr>
          <w:rStyle w:val="FootnoteReference"/>
          <w:sz w:val="15"/>
          <w:szCs w:val="15"/>
        </w:rPr>
        <w:footnoteRef/>
      </w:r>
      <w:r w:rsidRPr="00421C05">
        <w:rPr>
          <w:szCs w:val="15"/>
        </w:rPr>
        <w:t xml:space="preserve"> </w:t>
      </w:r>
      <w:r w:rsidRPr="00421C05">
        <w:rPr>
          <w:szCs w:val="15"/>
          <w:lang w:val="en-AU"/>
        </w:rPr>
        <w:tab/>
        <w:t xml:space="preserve">The </w:t>
      </w:r>
      <w:r w:rsidRPr="00421C05">
        <w:rPr>
          <w:szCs w:val="15"/>
        </w:rPr>
        <w:t xml:space="preserve">Competition Appeal Tribunal Rules 2015 (UK), r 93(4). Note where exercising this discretion the Tribunal may itself determine the amounts to be paid in respect of costs, fees or disbursements or may direct that any such amounts be determined by a costs judge of the High Court or a taxing officer of the Supreme Court of Northern Ireland or the Auditor of the Court of Session: r 93(5). </w:t>
      </w:r>
    </w:p>
  </w:footnote>
  <w:footnote w:id="648">
    <w:p w14:paraId="743B0B99" w14:textId="4CF18350"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discuss cy-près damages later in this chapter.</w:t>
      </w:r>
    </w:p>
  </w:footnote>
  <w:footnote w:id="649">
    <w:p w14:paraId="191D537A" w14:textId="1DC86D3F"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for example Class Proceedings Act 2002 SNL c C-18.1 (Newfoundland and Labrador), s 34.</w:t>
      </w:r>
    </w:p>
  </w:footnote>
  <w:footnote w:id="650">
    <w:p w14:paraId="15181EE7"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 charity may be designated by the Lord Chancellor, Competition Act 1998 (UK), s 47C(5). </w:t>
      </w:r>
    </w:p>
  </w:footnote>
  <w:footnote w:id="651">
    <w:p w14:paraId="59664481" w14:textId="53EEBA75" w:rsidR="00A55F53" w:rsidRPr="00421C05" w:rsidRDefault="00A55F53" w:rsidP="00653EA8">
      <w:pPr>
        <w:pStyle w:val="FootnoteText"/>
        <w:ind w:left="0" w:firstLine="255"/>
        <w:rPr>
          <w:szCs w:val="15"/>
        </w:rPr>
      </w:pPr>
      <w:r w:rsidRPr="00421C05">
        <w:rPr>
          <w:rStyle w:val="FootnoteReference"/>
          <w:sz w:val="15"/>
          <w:szCs w:val="15"/>
        </w:rPr>
        <w:footnoteRef/>
      </w:r>
      <w:r w:rsidRPr="00421C05">
        <w:rPr>
          <w:szCs w:val="15"/>
        </w:rPr>
        <w:tab/>
        <w:t>Class Proceedings Act 1992 SO c 6 (Ontario), s 26(10).</w:t>
      </w:r>
    </w:p>
  </w:footnote>
  <w:footnote w:id="652">
    <w:p w14:paraId="435EF8BB" w14:textId="629D4EC4"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 xml:space="preserve">§ </w:t>
      </w:r>
      <w:r w:rsidRPr="00421C05">
        <w:rPr>
          <w:szCs w:val="15"/>
        </w:rPr>
        <w:t>12:28.</w:t>
      </w:r>
    </w:p>
  </w:footnote>
  <w:footnote w:id="653">
    <w:p w14:paraId="2D78FF0B" w14:textId="7A505FEB"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Class Actions Act 2004 SNL c C-18.1 (Newfoundland and Labrador), s 34(5)(b).</w:t>
      </w:r>
    </w:p>
  </w:footnote>
  <w:footnote w:id="654">
    <w:p w14:paraId="15DD0C0F" w14:textId="268D3E4B"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 xml:space="preserve">§ </w:t>
      </w:r>
      <w:r w:rsidRPr="00421C05">
        <w:rPr>
          <w:szCs w:val="15"/>
        </w:rPr>
        <w:t xml:space="preserve">12:31. </w:t>
      </w:r>
    </w:p>
  </w:footnote>
  <w:footnote w:id="655">
    <w:p w14:paraId="5C2464BA" w14:textId="543CF169"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11(3)(d).</w:t>
      </w:r>
    </w:p>
  </w:footnote>
  <w:footnote w:id="656">
    <w:p w14:paraId="7B392622" w14:textId="56F2DDCF"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rFonts w:cstheme="minorHAnsi"/>
          <w:color w:val="000000" w:themeColor="text1"/>
          <w:szCs w:val="15"/>
        </w:rPr>
        <w:t xml:space="preserve">Michael Legg and Ross McInnes </w:t>
      </w:r>
      <w:r w:rsidRPr="00421C05">
        <w:rPr>
          <w:rFonts w:cstheme="minorHAnsi"/>
          <w:i/>
          <w:iCs/>
          <w:color w:val="000000" w:themeColor="text1"/>
          <w:szCs w:val="15"/>
        </w:rPr>
        <w:t>Australian Annotated Class Actions Legislation</w:t>
      </w:r>
      <w:r w:rsidRPr="00421C05">
        <w:rPr>
          <w:rFonts w:cstheme="minorHAnsi"/>
          <w:color w:val="000000" w:themeColor="text1"/>
          <w:szCs w:val="15"/>
        </w:rPr>
        <w:t xml:space="preserve"> (2nd ed, LexisNexis Butterworths, Chatswood 2018) at [26.10].</w:t>
      </w:r>
    </w:p>
  </w:footnote>
  <w:footnote w:id="657">
    <w:p w14:paraId="5A78DC23" w14:textId="12417069"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For instance, in a consumer class action, a cy-près damages award might be used to distribute unclaimed money to a consumer rights organisation.</w:t>
      </w:r>
    </w:p>
  </w:footnote>
  <w:footnote w:id="658">
    <w:p w14:paraId="69A2193B" w14:textId="274AF7DA"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Federal Court of Australia Act 1976 (Cth), s 33M (and equivalent provisions) provides a significant hurdle as it enables decertification where “the cost to the respondent of identifying the group members and distributing to them the amounts ordered to be paid to them would be excessive having regard to the likely total of those amounts”. Some have called for an express power, see Peter Kenneth Cashman and Amelia Simpson Class Action Remedies: Cy-près; ‘An Imperfect Solution to an Impossible Problem’ (University of New South Wales Law Research Series, Research Paper #6, November 2020). </w:t>
      </w:r>
    </w:p>
  </w:footnote>
  <w:footnote w:id="659">
    <w:p w14:paraId="0AAEE991" w14:textId="6DC5A38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Class Proceedings Act 1992 SO c 6 (Ontario), s 27.2. See also the discussion in Jasminka Kalajdzic </w:t>
      </w:r>
      <w:r w:rsidRPr="00421C05">
        <w:rPr>
          <w:i/>
          <w:iCs/>
          <w:szCs w:val="15"/>
        </w:rPr>
        <w:t>Class Actions In Canada: The Promise and Reality of Access to Justice</w:t>
      </w:r>
      <w:r w:rsidRPr="00421C05">
        <w:rPr>
          <w:szCs w:val="15"/>
        </w:rPr>
        <w:t xml:space="preserve"> (2018, UBC Press, Vancouver) at 120. </w:t>
      </w:r>
    </w:p>
  </w:footnote>
  <w:footnote w:id="660">
    <w:p w14:paraId="73432030" w14:textId="5B2F7E25"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lang w:val="en-AU"/>
        </w:rPr>
        <w:tab/>
      </w:r>
      <w:hyperlink r:id="rId4" w:anchor="co_pp_sp_506_345" w:history="1">
        <w:r w:rsidRPr="00421C05">
          <w:rPr>
            <w:i/>
            <w:szCs w:val="15"/>
          </w:rPr>
          <w:t>Mace</w:t>
        </w:r>
        <w:r w:rsidRPr="00421C05">
          <w:rPr>
            <w:i/>
            <w:iCs/>
            <w:szCs w:val="15"/>
          </w:rPr>
          <w:t xml:space="preserve"> v Van Ru Credit Corp</w:t>
        </w:r>
        <w:r w:rsidRPr="00421C05">
          <w:rPr>
            <w:szCs w:val="15"/>
          </w:rPr>
          <w:t xml:space="preserve"> 109 F3d 338 (7th Cir 1997) at 345</w:t>
        </w:r>
      </w:hyperlink>
      <w:r w:rsidRPr="00421C05">
        <w:rPr>
          <w:szCs w:val="15"/>
        </w:rPr>
        <w:t xml:space="preserve">. At least six circuits have approved such ‘full’ cy-près outcomes and no court has definitely rejected such an approach: 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 xml:space="preserve">§ </w:t>
      </w:r>
      <w:r w:rsidRPr="00421C05">
        <w:rPr>
          <w:szCs w:val="15"/>
        </w:rPr>
        <w:t xml:space="preserve">12:26. </w:t>
      </w:r>
    </w:p>
  </w:footnote>
  <w:footnote w:id="661">
    <w:p w14:paraId="7136BA56" w14:textId="168EA43C"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Australian Law Reform Commission </w:t>
      </w:r>
      <w:r w:rsidRPr="00421C05">
        <w:rPr>
          <w:i/>
          <w:iCs/>
          <w:szCs w:val="15"/>
        </w:rPr>
        <w:t>Grouped Proceedings in the Federal Court</w:t>
      </w:r>
      <w:r w:rsidRPr="00421C05">
        <w:rPr>
          <w:szCs w:val="15"/>
        </w:rPr>
        <w:t xml:space="preserve"> (ALRC R46, 1988), at [239], [236]–[240]. </w:t>
      </w:r>
    </w:p>
  </w:footnote>
  <w:footnote w:id="662">
    <w:p w14:paraId="5B975A78"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Issues Paper at [5.24]. </w:t>
      </w:r>
    </w:p>
  </w:footnote>
  <w:footnote w:id="663">
    <w:p w14:paraId="587696B8"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Law Commission of Ontario </w:t>
      </w:r>
      <w:r w:rsidRPr="00421C05">
        <w:rPr>
          <w:i/>
          <w:iCs/>
          <w:szCs w:val="15"/>
        </w:rPr>
        <w:t>Class Actions: Objectives, Experiences and Reforms – Final Report</w:t>
      </w:r>
      <w:r w:rsidRPr="00421C05">
        <w:rPr>
          <w:szCs w:val="15"/>
        </w:rPr>
        <w:t xml:space="preserve"> (July 2019) at 65.</w:t>
      </w:r>
    </w:p>
  </w:footnote>
  <w:footnote w:id="664">
    <w:p w14:paraId="5880E49D" w14:textId="0EDB381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12(1).</w:t>
      </w:r>
    </w:p>
  </w:footnote>
  <w:footnote w:id="665">
    <w:p w14:paraId="63CF37B8" w14:textId="434F7904"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Note we expect this provision to be used infrequently because of our proposal that the court assess whether the time and expense of a class action is proportionate to the remedies sought as part of certification: see our draft legislation, cl 4(3)(d). This requirement may screen class actions that otherwise might necessitate the court making an order for indirect monetary relief (for example where individual claim levels are very small).</w:t>
      </w:r>
    </w:p>
  </w:footnote>
  <w:footnote w:id="666">
    <w:p w14:paraId="1F998222" w14:textId="550C4265"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our draft legislation, cl 12(3)(a). </w:t>
      </w:r>
    </w:p>
  </w:footnote>
  <w:footnote w:id="667">
    <w:p w14:paraId="5F222898" w14:textId="4D2703D6"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12(3)(b).</w:t>
      </w:r>
    </w:p>
  </w:footnote>
  <w:footnote w:id="668">
    <w:p w14:paraId="3C7C2BAE" w14:textId="53F7BF0F"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In Ontario, cy-près payments may be made to Legal Aid Ontario: Class Proceedings Act 1992 SO c 6 (Ontario), s 27.2(3)(b). The United Kingdom Competition Appeal Tribunal may order unclaimed damages to be paid to a charity designated by the Lord Chancellor: Competition Act 1998 (UK), s 47C(5). Currently this is the Access to Justice Foundation.</w:t>
      </w:r>
    </w:p>
  </w:footnote>
  <w:footnote w:id="669">
    <w:p w14:paraId="02A49199" w14:textId="113577C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11(1).</w:t>
      </w:r>
    </w:p>
  </w:footnote>
  <w:footnote w:id="670">
    <w:p w14:paraId="7E7256D2"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Rachael Mulheron </w:t>
      </w:r>
      <w:r w:rsidRPr="00421C05">
        <w:rPr>
          <w:i/>
          <w:iCs/>
          <w:szCs w:val="15"/>
        </w:rPr>
        <w:t>The Class Action in Common Law Legal Systems: A Comparative Perspective</w:t>
      </w:r>
      <w:r w:rsidRPr="00421C05">
        <w:rPr>
          <w:szCs w:val="15"/>
        </w:rPr>
        <w:t xml:space="preserve"> (Hart Publishing, Oxford, 2004) at 409. </w:t>
      </w:r>
    </w:p>
  </w:footnote>
  <w:footnote w:id="671">
    <w:p w14:paraId="0379B7FF" w14:textId="6E6F93D1"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Rachael Mulheron </w:t>
      </w:r>
      <w:r w:rsidRPr="00421C05">
        <w:rPr>
          <w:i/>
          <w:iCs/>
          <w:szCs w:val="15"/>
        </w:rPr>
        <w:t>The Class Action in Common Law Legal Systems: A Comparative Perspective</w:t>
      </w:r>
      <w:r w:rsidRPr="00421C05">
        <w:rPr>
          <w:szCs w:val="15"/>
        </w:rPr>
        <w:t xml:space="preserve"> (Hart Publishing, Oxford, 2004) at 409 citing the Ontario Law Reform Commission </w:t>
      </w:r>
      <w:r w:rsidRPr="00421C05">
        <w:rPr>
          <w:i/>
          <w:iCs/>
          <w:szCs w:val="15"/>
        </w:rPr>
        <w:t>Report on Class Actions</w:t>
      </w:r>
      <w:r w:rsidRPr="00421C05">
        <w:rPr>
          <w:szCs w:val="15"/>
        </w:rPr>
        <w:t xml:space="preserve"> (1982) vol II at 520-521. </w:t>
      </w:r>
    </w:p>
  </w:footnote>
  <w:footnote w:id="672">
    <w:p w14:paraId="6F9465DC" w14:textId="2DC2B399"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Ontario Law Reform Commission </w:t>
      </w:r>
      <w:r w:rsidRPr="00421C05">
        <w:rPr>
          <w:i/>
          <w:iCs/>
          <w:szCs w:val="15"/>
        </w:rPr>
        <w:t>Report on Class Actions</w:t>
      </w:r>
      <w:r w:rsidRPr="00421C05">
        <w:rPr>
          <w:szCs w:val="15"/>
        </w:rPr>
        <w:t xml:space="preserve"> (1982) vol II at 521. For example, the OLRC noted that while an action for breach of contract may seek damages, an action seeking enforcement of a contract would not technically seek “damages”. It also noted an action asserting a right to money under a statute, where the right created by statute does not involve a tort or contract would not be a “damages” claim. </w:t>
      </w:r>
    </w:p>
  </w:footnote>
  <w:footnote w:id="673">
    <w:p w14:paraId="50617C8D" w14:textId="1F35B106"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12.</w:t>
      </w:r>
    </w:p>
  </w:footnote>
  <w:footnote w:id="674">
    <w:p w14:paraId="46F3FF32"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Te Aka Matua o te Ture | Law Commission </w:t>
      </w:r>
      <w:r w:rsidRPr="00421C05">
        <w:rPr>
          <w:i/>
          <w:iCs/>
          <w:szCs w:val="15"/>
          <w:lang w:val="mi-NZ"/>
        </w:rPr>
        <w:t>Delivering Justice for All: A Vision for New Zealand Courts and Tribunals</w:t>
      </w:r>
      <w:r w:rsidRPr="00421C05">
        <w:rPr>
          <w:szCs w:val="15"/>
          <w:lang w:val="mi-NZ"/>
        </w:rPr>
        <w:t xml:space="preserve"> (NZLC R85, 2004) at 111.</w:t>
      </w:r>
    </w:p>
  </w:footnote>
  <w:footnote w:id="675">
    <w:p w14:paraId="1991F011"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The requirement to seek leave to appeal is a filtering mechanism to avoid unmeritorious appeals that would otherwise cause unnecessary delay:</w:t>
      </w:r>
      <w:r w:rsidRPr="00421C05">
        <w:rPr>
          <w:rFonts w:cstheme="minorHAnsi"/>
          <w:i/>
          <w:iCs/>
          <w:szCs w:val="15"/>
        </w:rPr>
        <w:t xml:space="preserve"> Paine v Carter Holt Harvey Ltd </w:t>
      </w:r>
      <w:r w:rsidRPr="00421C05">
        <w:rPr>
          <w:rFonts w:cstheme="minorHAnsi"/>
          <w:szCs w:val="15"/>
        </w:rPr>
        <w:t xml:space="preserve">[2019] NZHC 2477 at [3] citing </w:t>
      </w:r>
      <w:r w:rsidRPr="00421C05">
        <w:rPr>
          <w:rFonts w:cstheme="minorHAnsi"/>
          <w:i/>
          <w:iCs/>
          <w:szCs w:val="15"/>
        </w:rPr>
        <w:t>Finewood Upholstery Ltd v Vaughan</w:t>
      </w:r>
      <w:r w:rsidRPr="00421C05">
        <w:rPr>
          <w:rFonts w:cstheme="minorHAnsi"/>
          <w:szCs w:val="15"/>
        </w:rPr>
        <w:t xml:space="preserve"> [2017] NZHC 1679 at [13]. See also Te Aka Matua o te Ture | </w:t>
      </w:r>
      <w:r w:rsidRPr="00421C05">
        <w:rPr>
          <w:szCs w:val="15"/>
          <w:lang w:val="mi-NZ"/>
        </w:rPr>
        <w:t xml:space="preserve">Law Commission </w:t>
      </w:r>
      <w:r w:rsidRPr="00421C05">
        <w:rPr>
          <w:i/>
          <w:iCs/>
          <w:szCs w:val="15"/>
          <w:lang w:val="mi-NZ"/>
        </w:rPr>
        <w:t>Delivering Justice for All: A Vision for New Zealand Courts and Tribunals</w:t>
      </w:r>
      <w:r w:rsidRPr="00421C05">
        <w:rPr>
          <w:szCs w:val="15"/>
          <w:lang w:val="mi-NZ"/>
        </w:rPr>
        <w:t xml:space="preserve"> (NZLC R85, March 2004) at 111 citing Brian Opeskin </w:t>
      </w:r>
      <w:r w:rsidRPr="00421C05">
        <w:rPr>
          <w:i/>
          <w:iCs/>
          <w:szCs w:val="15"/>
          <w:lang w:val="mi-NZ"/>
        </w:rPr>
        <w:t>Appellate Courts and the Management of Appeals in Australia</w:t>
      </w:r>
      <w:r w:rsidRPr="00421C05">
        <w:rPr>
          <w:szCs w:val="15"/>
          <w:lang w:val="mi-NZ"/>
        </w:rPr>
        <w:t xml:space="preserve"> (Australian Institute of Judical Administration, Sydney, 2001) at [51]. </w:t>
      </w:r>
    </w:p>
  </w:footnote>
  <w:footnote w:id="676">
    <w:p w14:paraId="0EB379EC" w14:textId="543A402B"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note that the Australian Law Reform Commission also took this view: </w:t>
      </w:r>
      <w:r w:rsidRPr="00421C05">
        <w:rPr>
          <w:szCs w:val="15"/>
          <w:lang w:val="mi-NZ"/>
        </w:rPr>
        <w:t xml:space="preserve">Australia Law Reform Commission </w:t>
      </w:r>
      <w:r w:rsidRPr="00421C05">
        <w:rPr>
          <w:i/>
          <w:iCs/>
          <w:szCs w:val="15"/>
          <w:lang w:val="mi-NZ"/>
        </w:rPr>
        <w:t>Grouped Proceedings in the Federal Court</w:t>
      </w:r>
      <w:r w:rsidRPr="00421C05">
        <w:rPr>
          <w:szCs w:val="15"/>
          <w:lang w:val="mi-NZ"/>
        </w:rPr>
        <w:t xml:space="preserve"> (ALRC R46, 1988) </w:t>
      </w:r>
      <w:r w:rsidRPr="00421C05">
        <w:rPr>
          <w:szCs w:val="15"/>
        </w:rPr>
        <w:t>at [242].</w:t>
      </w:r>
    </w:p>
  </w:footnote>
  <w:footnote w:id="677">
    <w:p w14:paraId="1658F9A0"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Ontario Law Reform Commission </w:t>
      </w:r>
      <w:r w:rsidRPr="00421C05">
        <w:rPr>
          <w:i/>
          <w:iCs/>
          <w:szCs w:val="15"/>
        </w:rPr>
        <w:t>Report on Class Actions</w:t>
      </w:r>
      <w:r w:rsidRPr="00421C05">
        <w:rPr>
          <w:szCs w:val="15"/>
        </w:rPr>
        <w:t xml:space="preserve"> (1982) vol III </w:t>
      </w:r>
      <w:r w:rsidRPr="00421C05">
        <w:rPr>
          <w:szCs w:val="15"/>
          <w:lang w:val="mi-NZ"/>
        </w:rPr>
        <w:t>at 811 and 821.</w:t>
      </w:r>
    </w:p>
  </w:footnote>
  <w:footnote w:id="678">
    <w:p w14:paraId="6E6D2D03"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Ontario Law Reform Commission </w:t>
      </w:r>
      <w:r w:rsidRPr="00421C05">
        <w:rPr>
          <w:i/>
          <w:iCs/>
          <w:szCs w:val="15"/>
        </w:rPr>
        <w:t>Report on Class Actions</w:t>
      </w:r>
      <w:r w:rsidRPr="00421C05">
        <w:rPr>
          <w:szCs w:val="15"/>
        </w:rPr>
        <w:t xml:space="preserve"> (1982) vol III </w:t>
      </w:r>
      <w:r w:rsidRPr="00421C05">
        <w:rPr>
          <w:szCs w:val="15"/>
          <w:lang w:val="mi-NZ"/>
        </w:rPr>
        <w:t xml:space="preserve">at 821. </w:t>
      </w:r>
    </w:p>
  </w:footnote>
  <w:footnote w:id="679">
    <w:p w14:paraId="6D64CDA3"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Law Commission of Ontario</w:t>
      </w:r>
      <w:r w:rsidRPr="00421C05">
        <w:rPr>
          <w:i/>
          <w:iCs/>
          <w:szCs w:val="15"/>
        </w:rPr>
        <w:t xml:space="preserve"> Class Actions: Objectives, Experiences and Reforms — Final Report</w:t>
      </w:r>
      <w:r w:rsidRPr="00421C05">
        <w:rPr>
          <w:szCs w:val="15"/>
        </w:rPr>
        <w:t xml:space="preserve"> (July 2019) </w:t>
      </w:r>
      <w:r w:rsidRPr="00421C05">
        <w:rPr>
          <w:szCs w:val="15"/>
          <w:lang w:val="mi-NZ"/>
        </w:rPr>
        <w:t xml:space="preserve">at 93. </w:t>
      </w:r>
    </w:p>
  </w:footnote>
  <w:footnote w:id="680">
    <w:p w14:paraId="4F31E8AA"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The Law Commission of Ontario is the successor of the Ontario Law Reform Commission.</w:t>
      </w:r>
    </w:p>
  </w:footnote>
  <w:footnote w:id="681">
    <w:p w14:paraId="48B7A4BD"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Law Commission of Ontario</w:t>
      </w:r>
      <w:r w:rsidRPr="00421C05">
        <w:rPr>
          <w:i/>
          <w:iCs/>
          <w:szCs w:val="15"/>
        </w:rPr>
        <w:t xml:space="preserve"> Class Actions: Objectives, Experiences and Reforms — Final Report (</w:t>
      </w:r>
      <w:r w:rsidRPr="00421C05">
        <w:rPr>
          <w:szCs w:val="15"/>
        </w:rPr>
        <w:t xml:space="preserve">July 2019) </w:t>
      </w:r>
      <w:r w:rsidRPr="00421C05">
        <w:rPr>
          <w:szCs w:val="15"/>
          <w:lang w:val="mi-NZ"/>
        </w:rPr>
        <w:t xml:space="preserve">at 94. </w:t>
      </w:r>
    </w:p>
  </w:footnote>
  <w:footnote w:id="682">
    <w:p w14:paraId="4837BE7A"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Law Commission of Ontario</w:t>
      </w:r>
      <w:r w:rsidRPr="00421C05">
        <w:rPr>
          <w:i/>
          <w:iCs/>
          <w:szCs w:val="15"/>
        </w:rPr>
        <w:t xml:space="preserve"> Class Actions: Objectives, Experiences and Reforms </w:t>
      </w:r>
      <w:r w:rsidRPr="00421C05">
        <w:rPr>
          <w:szCs w:val="15"/>
        </w:rPr>
        <w:t>—</w:t>
      </w:r>
      <w:r w:rsidRPr="00421C05">
        <w:rPr>
          <w:i/>
          <w:iCs/>
          <w:szCs w:val="15"/>
        </w:rPr>
        <w:t xml:space="preserve"> Final Report</w:t>
      </w:r>
      <w:r w:rsidRPr="00421C05">
        <w:rPr>
          <w:szCs w:val="15"/>
        </w:rPr>
        <w:t xml:space="preserve"> (July 2019) at 94. </w:t>
      </w:r>
    </w:p>
  </w:footnote>
  <w:footnote w:id="683">
    <w:p w14:paraId="1D9323AB"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Law Commission of Ontario</w:t>
      </w:r>
      <w:r w:rsidRPr="00421C05">
        <w:rPr>
          <w:i/>
          <w:iCs/>
          <w:szCs w:val="15"/>
        </w:rPr>
        <w:t xml:space="preserve"> Class Actions: Objectives, Experiences and Reforms — Final Report</w:t>
      </w:r>
      <w:r w:rsidRPr="00421C05">
        <w:rPr>
          <w:szCs w:val="15"/>
        </w:rPr>
        <w:t xml:space="preserve"> (July 2019) at</w:t>
      </w:r>
      <w:r w:rsidRPr="00421C05">
        <w:rPr>
          <w:szCs w:val="15"/>
          <w:lang w:val="mi-NZ"/>
        </w:rPr>
        <w:t xml:space="preserve"> 94. </w:t>
      </w:r>
    </w:p>
  </w:footnote>
  <w:footnote w:id="684">
    <w:p w14:paraId="30CC0654" w14:textId="126FDA88"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Class Proceedings Act SO 1992 c 6 (Ontario), s 30(1).</w:t>
      </w:r>
    </w:p>
  </w:footnote>
  <w:footnote w:id="685">
    <w:p w14:paraId="1E1B88A1"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Law Commission of Ontario</w:t>
      </w:r>
      <w:r w:rsidRPr="00421C05">
        <w:rPr>
          <w:i/>
          <w:iCs/>
          <w:szCs w:val="15"/>
        </w:rPr>
        <w:t xml:space="preserve"> Class Actions: Objectives, Experiences and Reforms — Final Report</w:t>
      </w:r>
      <w:r w:rsidRPr="00421C05">
        <w:rPr>
          <w:szCs w:val="15"/>
        </w:rPr>
        <w:t xml:space="preserve"> (July 2019) </w:t>
      </w:r>
      <w:r w:rsidRPr="00421C05">
        <w:rPr>
          <w:szCs w:val="15"/>
          <w:lang w:val="mi-NZ"/>
        </w:rPr>
        <w:t xml:space="preserve">at 93. </w:t>
      </w:r>
    </w:p>
  </w:footnote>
  <w:footnote w:id="686">
    <w:p w14:paraId="2155403D" w14:textId="53456EB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United States Federal Rules of Civil Procedure, r 23(f) provides that a party may appeal an order granting or denying class action certification. This rule was amended in 1998 to allow immediate appeals of class action decisions. Prior to that, the party needed to wait for the substantive judgment before appealing the certification decision: William Rubenstein </w:t>
      </w:r>
      <w:r w:rsidRPr="00421C05">
        <w:rPr>
          <w:i/>
          <w:iCs/>
          <w:szCs w:val="15"/>
        </w:rPr>
        <w:t xml:space="preserve">Newberg on Class Actions </w:t>
      </w:r>
      <w:r w:rsidRPr="00421C05">
        <w:rPr>
          <w:szCs w:val="15"/>
        </w:rPr>
        <w:t xml:space="preserve">(online ed, Thomson Reuters) at </w:t>
      </w:r>
      <w:r w:rsidRPr="00421C05">
        <w:rPr>
          <w:rFonts w:ascii="Calibri" w:hAnsi="Calibri" w:cs="Calibri"/>
          <w:szCs w:val="15"/>
        </w:rPr>
        <w:t>§</w:t>
      </w:r>
      <w:r w:rsidRPr="00421C05">
        <w:rPr>
          <w:szCs w:val="15"/>
        </w:rPr>
        <w:t xml:space="preserve"> 14:1 and </w:t>
      </w:r>
      <w:r w:rsidRPr="00421C05">
        <w:rPr>
          <w:rFonts w:ascii="Calibri" w:hAnsi="Calibri" w:cs="Calibri"/>
          <w:szCs w:val="15"/>
        </w:rPr>
        <w:t>§</w:t>
      </w:r>
      <w:r w:rsidRPr="00421C05">
        <w:rPr>
          <w:szCs w:val="15"/>
        </w:rPr>
        <w:t xml:space="preserve"> 14:9. </w:t>
      </w:r>
    </w:p>
  </w:footnote>
  <w:footnote w:id="687">
    <w:p w14:paraId="5E8E1D07" w14:textId="74E183D4"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Initially the Tribunal suggested that appeals against decisions on whether to grant certification could only be made by way of judicial review: Competition Appeal Tribunal </w:t>
      </w:r>
      <w:r w:rsidRPr="00421C05">
        <w:rPr>
          <w:i/>
          <w:iCs/>
          <w:szCs w:val="15"/>
        </w:rPr>
        <w:t>Guide to Proceedings</w:t>
      </w:r>
      <w:r w:rsidRPr="00421C05">
        <w:rPr>
          <w:szCs w:val="15"/>
        </w:rPr>
        <w:t xml:space="preserve"> at [6.92]. See also </w:t>
      </w:r>
      <w:r w:rsidRPr="00421C05">
        <w:rPr>
          <w:i/>
          <w:iCs/>
          <w:szCs w:val="15"/>
        </w:rPr>
        <w:t xml:space="preserve">Merricks v Mastercard </w:t>
      </w:r>
      <w:r w:rsidRPr="00421C05">
        <w:rPr>
          <w:szCs w:val="15"/>
        </w:rPr>
        <w:t xml:space="preserve">[2017] CAT 21 at [3]–[15]. However, the Court of Appeal overturned the Tribunal’s decision on this point and confirmed there is a direct right of appeal from CPO decisions: </w:t>
      </w:r>
      <w:r w:rsidRPr="00421C05">
        <w:rPr>
          <w:i/>
          <w:iCs/>
          <w:szCs w:val="15"/>
          <w:lang w:val="mi-NZ"/>
        </w:rPr>
        <w:t>Merricks CBE v Mastercard</w:t>
      </w:r>
      <w:r w:rsidRPr="00421C05">
        <w:rPr>
          <w:szCs w:val="15"/>
          <w:lang w:val="mi-NZ"/>
        </w:rPr>
        <w:t xml:space="preserve"> [2018] EWCA Civ 2527 at [27]–[28]. The appeal right arises under s 49(1B) of the Competition Act 1998 (UK).</w:t>
      </w:r>
    </w:p>
  </w:footnote>
  <w:footnote w:id="688">
    <w:p w14:paraId="0CFC9094" w14:textId="2F1E401B"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Federal Court of Australia Act </w:t>
      </w:r>
      <w:r w:rsidRPr="00421C05">
        <w:rPr>
          <w:szCs w:val="15"/>
          <w:lang w:val="mi-NZ"/>
        </w:rPr>
        <w:t xml:space="preserve">1976 (Cth), s 24(1A); </w:t>
      </w:r>
      <w:r w:rsidRPr="00421C05">
        <w:rPr>
          <w:i/>
          <w:szCs w:val="15"/>
          <w:lang w:val="mi-NZ"/>
        </w:rPr>
        <w:t xml:space="preserve">Bright v Femcare Ltd </w:t>
      </w:r>
      <w:r w:rsidRPr="00421C05">
        <w:rPr>
          <w:szCs w:val="15"/>
          <w:lang w:val="mi-NZ"/>
        </w:rPr>
        <w:t>[2002] FCAFC 243, (2002) 195 ALR 574 at [2].</w:t>
      </w:r>
    </w:p>
  </w:footnote>
  <w:footnote w:id="689">
    <w:p w14:paraId="50433AFB"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Law Commission of Ontario</w:t>
      </w:r>
      <w:r w:rsidRPr="00421C05">
        <w:rPr>
          <w:i/>
          <w:iCs/>
          <w:szCs w:val="15"/>
        </w:rPr>
        <w:t xml:space="preserve"> Class Actions: Objectives, Experiences and Reforms — Final Report</w:t>
      </w:r>
      <w:r w:rsidRPr="00421C05">
        <w:rPr>
          <w:szCs w:val="15"/>
        </w:rPr>
        <w:t xml:space="preserve"> (July 2019) </w:t>
      </w:r>
      <w:r w:rsidRPr="00421C05">
        <w:rPr>
          <w:szCs w:val="15"/>
          <w:lang w:val="mi-NZ"/>
        </w:rPr>
        <w:t xml:space="preserve">at 93. </w:t>
      </w:r>
    </w:p>
  </w:footnote>
  <w:footnote w:id="690">
    <w:p w14:paraId="3E3A9862"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Class Actions Bill (Parliamentary Counsel Office, PCO 8247/2.14, 2008), cl </w:t>
      </w:r>
      <w:r w:rsidRPr="00421C05">
        <w:rPr>
          <w:szCs w:val="15"/>
          <w:lang w:val="mi-NZ"/>
        </w:rPr>
        <w:t xml:space="preserve">13(5). </w:t>
      </w:r>
    </w:p>
  </w:footnote>
  <w:footnote w:id="691">
    <w:p w14:paraId="10D05C2D" w14:textId="4B02287D"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For example, in Ontario, s 30 of the Class Proceedings Act SO 1992 c 6 (Ontario) sets out certain appeal rights but does not expressly address settlement. However, it appears appeal routes against orders or judgments not addressed in s 30 are dealt with under s 6(1)(b) of the Courts of Justice Act SO 1990 c C.43: </w:t>
      </w:r>
      <w:r w:rsidRPr="00421C05">
        <w:rPr>
          <w:i/>
          <w:iCs/>
          <w:szCs w:val="15"/>
          <w:lang w:val="mi-NZ"/>
        </w:rPr>
        <w:t>Bancroft-Snell v Visa Canada Corprotation</w:t>
      </w:r>
      <w:r w:rsidRPr="00421C05">
        <w:rPr>
          <w:szCs w:val="15"/>
          <w:lang w:val="mi-NZ"/>
        </w:rPr>
        <w:t xml:space="preserve"> 2019 ONCA 822 at [16].</w:t>
      </w:r>
      <w:r w:rsidRPr="00421C05">
        <w:rPr>
          <w:szCs w:val="15"/>
        </w:rPr>
        <w:t xml:space="preserve"> Similar approaches are taken in British Columbia and Alberta. See </w:t>
      </w:r>
      <w:r w:rsidRPr="00421C05">
        <w:rPr>
          <w:i/>
          <w:iCs/>
          <w:szCs w:val="15"/>
          <w:lang w:val="mi-NZ"/>
        </w:rPr>
        <w:t>Macaronies Hair Club and Laser Centre Inv v Bank of Montreal</w:t>
      </w:r>
      <w:r w:rsidRPr="00421C05">
        <w:rPr>
          <w:szCs w:val="15"/>
          <w:lang w:val="mi-NZ"/>
        </w:rPr>
        <w:t xml:space="preserve"> 2021 ABCA 40; </w:t>
      </w:r>
      <w:r w:rsidRPr="00421C05">
        <w:rPr>
          <w:i/>
          <w:iCs/>
          <w:szCs w:val="15"/>
          <w:lang w:val="mi-NZ"/>
        </w:rPr>
        <w:t xml:space="preserve">Coburn and Watson’s Metropolitan Home v BMO Financial Group </w:t>
      </w:r>
      <w:r w:rsidRPr="00421C05">
        <w:rPr>
          <w:szCs w:val="15"/>
          <w:lang w:val="mi-NZ"/>
        </w:rPr>
        <w:t xml:space="preserve">2019 BCCA 308; and </w:t>
      </w:r>
      <w:r w:rsidRPr="00421C05">
        <w:rPr>
          <w:i/>
          <w:iCs/>
          <w:szCs w:val="15"/>
          <w:lang w:val="mi-NZ"/>
        </w:rPr>
        <w:t xml:space="preserve">Hello Baby Equipment v BofA Canada Bank </w:t>
      </w:r>
      <w:r w:rsidRPr="00421C05">
        <w:rPr>
          <w:szCs w:val="15"/>
          <w:lang w:val="mi-NZ"/>
        </w:rPr>
        <w:t>2020 SKCA 7. In the United States, a</w:t>
      </w:r>
      <w:r w:rsidRPr="00421C05">
        <w:rPr>
          <w:szCs w:val="15"/>
        </w:rPr>
        <w:t xml:space="preserve"> decision approving settlement is considered a “final decision” which means that it is appealable under the United States Code: see William Rubenstein </w:t>
      </w:r>
      <w:r w:rsidRPr="00421C05">
        <w:rPr>
          <w:i/>
          <w:iCs/>
          <w:szCs w:val="15"/>
        </w:rPr>
        <w:t>Newberg on Class Actions</w:t>
      </w:r>
      <w:r w:rsidRPr="00421C05">
        <w:rPr>
          <w:szCs w:val="15"/>
        </w:rPr>
        <w:t xml:space="preserve"> (online ed, Thomson Reuters) </w:t>
      </w:r>
      <w:r w:rsidRPr="00421C05">
        <w:rPr>
          <w:szCs w:val="15"/>
          <w:lang w:val="mi-NZ"/>
        </w:rPr>
        <w:t>at</w:t>
      </w:r>
      <w:r w:rsidRPr="00421C05">
        <w:rPr>
          <w:szCs w:val="15"/>
        </w:rPr>
        <w:t xml:space="preserve"> </w:t>
      </w:r>
      <w:r w:rsidRPr="00421C05">
        <w:rPr>
          <w:rFonts w:ascii="Calibri" w:hAnsi="Calibri" w:cs="Calibri"/>
          <w:szCs w:val="15"/>
        </w:rPr>
        <w:t xml:space="preserve">§ </w:t>
      </w:r>
      <w:r w:rsidRPr="00421C05">
        <w:rPr>
          <w:szCs w:val="15"/>
        </w:rPr>
        <w:t xml:space="preserve">14:5 and r 28 USCA </w:t>
      </w:r>
      <w:r w:rsidRPr="00421C05">
        <w:rPr>
          <w:rFonts w:ascii="Calibri" w:hAnsi="Calibri" w:cs="Calibri"/>
          <w:szCs w:val="15"/>
        </w:rPr>
        <w:t>§</w:t>
      </w:r>
      <w:r w:rsidRPr="00421C05">
        <w:rPr>
          <w:szCs w:val="15"/>
        </w:rPr>
        <w:t xml:space="preserve"> 1291. In the Federal Court of Australia, see Federal Court of Australia Act 1976 (Cth), s 24(1)(a); and </w:t>
      </w:r>
      <w:r w:rsidRPr="00421C05">
        <w:rPr>
          <w:i/>
          <w:iCs/>
          <w:szCs w:val="15"/>
        </w:rPr>
        <w:t>Australian Securities and Investments Commission v Richards</w:t>
      </w:r>
      <w:r w:rsidRPr="00421C05">
        <w:rPr>
          <w:szCs w:val="15"/>
        </w:rPr>
        <w:t xml:space="preserve"> [2013] FCAFC 89.</w:t>
      </w:r>
    </w:p>
  </w:footnote>
  <w:footnote w:id="692">
    <w:p w14:paraId="246CD249"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test for leave to appeal is well established. See </w:t>
      </w:r>
      <w:r w:rsidRPr="00421C05">
        <w:rPr>
          <w:i/>
          <w:iCs/>
          <w:szCs w:val="15"/>
        </w:rPr>
        <w:t xml:space="preserve">Waller v Hider </w:t>
      </w:r>
      <w:r w:rsidRPr="00421C05">
        <w:rPr>
          <w:szCs w:val="15"/>
        </w:rPr>
        <w:t xml:space="preserve">[1998] 1 NZLR 412 (CA) at 413: </w:t>
      </w:r>
    </w:p>
    <w:p w14:paraId="7DCC0D3D" w14:textId="77777777" w:rsidR="00A55F53" w:rsidRPr="00421C05" w:rsidRDefault="00A55F53" w:rsidP="00653EA8">
      <w:pPr>
        <w:pStyle w:val="FootnoteText"/>
        <w:ind w:left="1134" w:firstLine="0"/>
        <w:rPr>
          <w:szCs w:val="15"/>
        </w:rPr>
      </w:pPr>
      <w:r w:rsidRPr="00421C05">
        <w:rPr>
          <w:szCs w:val="15"/>
        </w:rPr>
        <w:t xml:space="preserve">The appeal must raise some question of law or fact capable of bona fide and serious argument in a case involving some interest, public or private, of sufficient importance to outweigh the cost and delay of further appeal. </w:t>
      </w:r>
    </w:p>
  </w:footnote>
  <w:footnote w:id="693">
    <w:p w14:paraId="1824CB62" w14:textId="77777777"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Court of Appeal (Civil) Rules 2005, r 29(1AA) (“a </w:t>
      </w:r>
      <w:r w:rsidRPr="00421C05">
        <w:rPr>
          <w:i/>
          <w:iCs/>
          <w:szCs w:val="15"/>
        </w:rPr>
        <w:t xml:space="preserve">party </w:t>
      </w:r>
      <w:r w:rsidRPr="00421C05">
        <w:rPr>
          <w:szCs w:val="15"/>
        </w:rPr>
        <w:t xml:space="preserve">must bring an appeal”). See also </w:t>
      </w:r>
      <w:r w:rsidRPr="00421C05">
        <w:rPr>
          <w:i/>
          <w:iCs/>
          <w:szCs w:val="15"/>
        </w:rPr>
        <w:t xml:space="preserve">Fairfax New Zealand Ltd v C  </w:t>
      </w:r>
      <w:r w:rsidRPr="00421C05">
        <w:rPr>
          <w:szCs w:val="15"/>
        </w:rPr>
        <w:t xml:space="preserve">[2008] NZCA 39, [2008] 2 NZLR 368 at [29] (emphasis added): </w:t>
      </w:r>
    </w:p>
    <w:p w14:paraId="569B2992" w14:textId="77777777" w:rsidR="00A55F53" w:rsidRPr="00421C05" w:rsidRDefault="00A55F53" w:rsidP="00653EA8">
      <w:pPr>
        <w:pStyle w:val="FootnoteText"/>
        <w:ind w:left="1134" w:firstLine="0"/>
        <w:rPr>
          <w:szCs w:val="15"/>
        </w:rPr>
      </w:pPr>
      <w:r w:rsidRPr="00421C05">
        <w:rPr>
          <w:szCs w:val="15"/>
        </w:rPr>
        <w:t xml:space="preserve">[T]he status of the media in a case like the present [a suppression order] is more analogous to that of an intervener … who is </w:t>
      </w:r>
      <w:r w:rsidRPr="00421C05">
        <w:rPr>
          <w:i/>
          <w:iCs/>
          <w:szCs w:val="15"/>
        </w:rPr>
        <w:t>not party in terms of appeal rights</w:t>
      </w:r>
      <w:r w:rsidRPr="00421C05">
        <w:rPr>
          <w:szCs w:val="15"/>
        </w:rPr>
        <w:t>.</w:t>
      </w:r>
    </w:p>
    <w:p w14:paraId="19969E02" w14:textId="2CDC7F8D" w:rsidR="00A55F53" w:rsidRPr="00421C05" w:rsidRDefault="00A55F53" w:rsidP="00653EA8">
      <w:pPr>
        <w:pStyle w:val="FootnoteText"/>
        <w:ind w:firstLine="0"/>
        <w:rPr>
          <w:szCs w:val="15"/>
        </w:rPr>
      </w:pPr>
      <w:r w:rsidRPr="00421C05">
        <w:rPr>
          <w:szCs w:val="15"/>
        </w:rPr>
        <w:t xml:space="preserve">See also </w:t>
      </w:r>
      <w:r w:rsidRPr="00421C05">
        <w:rPr>
          <w:i/>
          <w:iCs/>
          <w:szCs w:val="15"/>
        </w:rPr>
        <w:t xml:space="preserve">Beneficial Owners of Whangaruru Whakaturia No 4 v Warin </w:t>
      </w:r>
      <w:r w:rsidRPr="00421C05">
        <w:rPr>
          <w:szCs w:val="15"/>
        </w:rPr>
        <w:t>[2009] NZCA 60, [2009] NZAR 523 at [27] (emphasis added):</w:t>
      </w:r>
    </w:p>
    <w:p w14:paraId="42386FA5" w14:textId="77777777" w:rsidR="00A55F53" w:rsidRPr="00421C05" w:rsidRDefault="00A55F53" w:rsidP="00653EA8">
      <w:pPr>
        <w:pStyle w:val="FootnoteText"/>
        <w:ind w:left="1134" w:firstLine="0"/>
        <w:rPr>
          <w:szCs w:val="15"/>
        </w:rPr>
      </w:pPr>
      <w:r w:rsidRPr="00421C05">
        <w:rPr>
          <w:szCs w:val="15"/>
        </w:rPr>
        <w:t xml:space="preserve">Although in New Zealand (compare Australia and the United States) an intervener is </w:t>
      </w:r>
      <w:r w:rsidRPr="00421C05">
        <w:rPr>
          <w:i/>
          <w:iCs/>
          <w:szCs w:val="15"/>
        </w:rPr>
        <w:t>still not a party and cannot therefore exercise appeal rights</w:t>
      </w:r>
      <w:r w:rsidRPr="00421C05">
        <w:rPr>
          <w:szCs w:val="15"/>
        </w:rPr>
        <w:t xml:space="preserve"> any more than an amicus can. </w:t>
      </w:r>
    </w:p>
    <w:p w14:paraId="0A1FDA45" w14:textId="156DBF9A" w:rsidR="00A55F53" w:rsidRPr="00421C05" w:rsidRDefault="00A55F53" w:rsidP="00653EA8">
      <w:pPr>
        <w:pStyle w:val="FootnoteText"/>
        <w:ind w:firstLine="0"/>
        <w:rPr>
          <w:szCs w:val="15"/>
        </w:rPr>
      </w:pPr>
      <w:r w:rsidRPr="00421C05">
        <w:rPr>
          <w:szCs w:val="15"/>
        </w:rPr>
        <w:t xml:space="preserve">However, see </w:t>
      </w:r>
      <w:r w:rsidRPr="00421C05">
        <w:rPr>
          <w:i/>
          <w:iCs/>
          <w:szCs w:val="15"/>
        </w:rPr>
        <w:t>Guiness Peat Group International and Anderson v Tower Corporation</w:t>
      </w:r>
      <w:r w:rsidRPr="00421C05">
        <w:rPr>
          <w:szCs w:val="15"/>
        </w:rPr>
        <w:t xml:space="preserve"> [1999] 1 NZLR 153 at 162: while the appellants were not party to the proceeding in the High Court, the Court of Appeal accepted they had a right of appeal. They were heard before the High Court, and they had discontinued their own proceeding in the Commercial List. While they were not formally parties, they seem to have been treated as such. See also </w:t>
      </w:r>
      <w:r w:rsidRPr="00421C05">
        <w:rPr>
          <w:i/>
          <w:iCs/>
          <w:szCs w:val="15"/>
        </w:rPr>
        <w:t xml:space="preserve">A v S </w:t>
      </w:r>
      <w:r w:rsidRPr="00421C05">
        <w:rPr>
          <w:szCs w:val="15"/>
        </w:rPr>
        <w:t>[1982] 1 NZLR 726 at 731–2.</w:t>
      </w:r>
    </w:p>
  </w:footnote>
  <w:footnote w:id="694">
    <w:p w14:paraId="7D8B5429" w14:textId="7777777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Federal Court of Australia Act 1976 (Cth), ss 33Z(1) and (6). </w:t>
      </w:r>
      <w:r w:rsidRPr="00421C05">
        <w:rPr>
          <w:szCs w:val="15"/>
        </w:rPr>
        <w:t xml:space="preserve">The appeal provisions in New South Wales, Victoria, Queensland and Tasmania are similar. </w:t>
      </w:r>
    </w:p>
  </w:footnote>
  <w:footnote w:id="695">
    <w:p w14:paraId="6528ABA5" w14:textId="6B9A274B"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Either certifying, refusing to certify or decertifying: Class Proceedings Act SO 1992 c 6 (Ontario), s 30(1).</w:t>
      </w:r>
    </w:p>
  </w:footnote>
  <w:footnote w:id="696">
    <w:p w14:paraId="644DC85C" w14:textId="64550546"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Class Proceedings Act SO 1992 c 6 (Ontario), </w:t>
      </w:r>
      <w:r w:rsidRPr="00421C05">
        <w:rPr>
          <w:szCs w:val="15"/>
          <w:lang w:val="mi-NZ"/>
        </w:rPr>
        <w:t xml:space="preserve">s 30(5). </w:t>
      </w:r>
    </w:p>
  </w:footnote>
  <w:footnote w:id="697">
    <w:p w14:paraId="170C4F16" w14:textId="135870A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Class Proceedings Act SO 1992 c 6 (Ontario), </w:t>
      </w:r>
      <w:r w:rsidRPr="00421C05">
        <w:rPr>
          <w:szCs w:val="15"/>
          <w:lang w:val="mi-NZ"/>
        </w:rPr>
        <w:t xml:space="preserve">ss 30(4)–(5). </w:t>
      </w:r>
    </w:p>
  </w:footnote>
  <w:footnote w:id="698">
    <w:p w14:paraId="4E42B46A" w14:textId="341761F3"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Class Proceedings Act RSBC 1996 c 50 (British Columbia)</w:t>
      </w:r>
      <w:r w:rsidRPr="00421C05">
        <w:rPr>
          <w:szCs w:val="15"/>
          <w:lang w:val="mi-NZ"/>
        </w:rPr>
        <w:t xml:space="preserve">, s 36; </w:t>
      </w:r>
      <w:r w:rsidRPr="00421C05">
        <w:rPr>
          <w:szCs w:val="15"/>
        </w:rPr>
        <w:t xml:space="preserve">Class Proceedings Act SA 2003 c C-16.5 (Alberta), </w:t>
      </w:r>
      <w:r w:rsidRPr="00421C05">
        <w:rPr>
          <w:szCs w:val="15"/>
          <w:lang w:val="mi-NZ"/>
        </w:rPr>
        <w:t xml:space="preserve">s 36; </w:t>
      </w:r>
      <w:r w:rsidRPr="00421C05">
        <w:rPr>
          <w:szCs w:val="15"/>
        </w:rPr>
        <w:t>The Class Proceedings Act SM 2002 c C-130 (Manitoba),</w:t>
      </w:r>
      <w:r w:rsidRPr="00421C05">
        <w:rPr>
          <w:szCs w:val="15"/>
          <w:lang w:val="mi-NZ"/>
        </w:rPr>
        <w:t xml:space="preserve"> s 36; </w:t>
      </w:r>
      <w:r w:rsidRPr="00421C05">
        <w:rPr>
          <w:szCs w:val="15"/>
        </w:rPr>
        <w:t xml:space="preserve">The Class Actions Act SS 2001 c C-12.01 (Saskatchewan), </w:t>
      </w:r>
      <w:r w:rsidRPr="00421C05">
        <w:rPr>
          <w:szCs w:val="15"/>
          <w:lang w:val="mi-NZ"/>
        </w:rPr>
        <w:t xml:space="preserve">s 39; </w:t>
      </w:r>
      <w:r w:rsidRPr="00421C05">
        <w:rPr>
          <w:szCs w:val="15"/>
        </w:rPr>
        <w:t xml:space="preserve">Class Proceedings Act SNS 2007 c 28 (Nova Scotia), </w:t>
      </w:r>
      <w:r w:rsidRPr="00421C05">
        <w:rPr>
          <w:szCs w:val="15"/>
          <w:lang w:val="mi-NZ"/>
        </w:rPr>
        <w:t xml:space="preserve">s 39; </w:t>
      </w:r>
      <w:r w:rsidRPr="00421C05">
        <w:rPr>
          <w:szCs w:val="15"/>
        </w:rPr>
        <w:t xml:space="preserve">Class Proceedings Act RSNB 2011 c 125 (New Brunswick), </w:t>
      </w:r>
      <w:r w:rsidRPr="00421C05">
        <w:rPr>
          <w:szCs w:val="15"/>
          <w:lang w:val="mi-NZ"/>
        </w:rPr>
        <w:t xml:space="preserve">s 38; and </w:t>
      </w:r>
      <w:r w:rsidRPr="00421C05">
        <w:rPr>
          <w:szCs w:val="15"/>
        </w:rPr>
        <w:t xml:space="preserve">Class Actions Act SNL 2001 c C-18.1 (Newfoundland and Labrador), </w:t>
      </w:r>
      <w:r w:rsidRPr="00421C05">
        <w:rPr>
          <w:szCs w:val="15"/>
          <w:lang w:val="mi-NZ"/>
        </w:rPr>
        <w:t>s 36.</w:t>
      </w:r>
    </w:p>
  </w:footnote>
  <w:footnote w:id="699">
    <w:p w14:paraId="701033E7" w14:textId="6F0729D7"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See </w:t>
      </w:r>
      <w:r w:rsidRPr="00421C05">
        <w:rPr>
          <w:i/>
          <w:iCs/>
          <w:szCs w:val="15"/>
          <w:lang w:val="mi-NZ"/>
        </w:rPr>
        <w:t>Bancroft-Snell v Visa Canada Corprotation</w:t>
      </w:r>
      <w:r w:rsidRPr="00421C05">
        <w:rPr>
          <w:szCs w:val="15"/>
          <w:lang w:val="mi-NZ"/>
        </w:rPr>
        <w:t xml:space="preserve"> [2019] ONCA 822, (2019) 439 DLR (4th) 449 at [8] and [20]; </w:t>
      </w:r>
      <w:r w:rsidRPr="00421C05">
        <w:rPr>
          <w:i/>
          <w:iCs/>
          <w:szCs w:val="15"/>
          <w:lang w:val="mi-NZ"/>
        </w:rPr>
        <w:t>Macaronies Hair Club and Laser Centre Inv v Bank of Montreal</w:t>
      </w:r>
      <w:r w:rsidRPr="00421C05">
        <w:rPr>
          <w:szCs w:val="15"/>
          <w:lang w:val="mi-NZ"/>
        </w:rPr>
        <w:t xml:space="preserve"> [2021] ABCA 40 at [35], [40] and [41]; </w:t>
      </w:r>
      <w:r w:rsidRPr="00421C05">
        <w:rPr>
          <w:i/>
          <w:iCs/>
          <w:szCs w:val="15"/>
          <w:lang w:val="mi-NZ"/>
        </w:rPr>
        <w:t xml:space="preserve">Coburn v Watson’s Metropolitan Home v BMO Financial Group </w:t>
      </w:r>
      <w:r w:rsidRPr="00421C05">
        <w:rPr>
          <w:szCs w:val="15"/>
          <w:lang w:val="mi-NZ"/>
        </w:rPr>
        <w:t xml:space="preserve">[2019] BCCA 308, (2019) DLR (4th) 533 at [16], [40], [82] and [84]; and </w:t>
      </w:r>
      <w:r w:rsidRPr="00421C05">
        <w:rPr>
          <w:i/>
          <w:iCs/>
          <w:szCs w:val="15"/>
          <w:lang w:val="mi-NZ"/>
        </w:rPr>
        <w:t xml:space="preserve">Home Depot of Canada Ltd v Hello Baby Equipment Inc </w:t>
      </w:r>
      <w:r w:rsidRPr="00421C05">
        <w:rPr>
          <w:szCs w:val="15"/>
          <w:lang w:val="mi-NZ"/>
        </w:rPr>
        <w:t>[2020] SKCA 7, (2020) 444 DLR (4th) 145 at [15], [20], [25], and [28].</w:t>
      </w:r>
    </w:p>
  </w:footnote>
  <w:footnote w:id="700">
    <w:p w14:paraId="38A40640" w14:textId="476B3C62"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r>
      <w:r w:rsidRPr="00421C05">
        <w:rPr>
          <w:i/>
          <w:szCs w:val="15"/>
        </w:rPr>
        <w:t>Beneficial</w:t>
      </w:r>
      <w:r w:rsidRPr="00421C05">
        <w:rPr>
          <w:i/>
          <w:iCs/>
          <w:szCs w:val="15"/>
        </w:rPr>
        <w:t xml:space="preserve"> Owners of Whangaruru Whakaturia No 4 v Warin </w:t>
      </w:r>
      <w:r w:rsidRPr="00421C05">
        <w:rPr>
          <w:szCs w:val="15"/>
        </w:rPr>
        <w:t>[2009] NZCA 60, [2009] NZAR 523 at [27]: “in New Zealand (compare Australia and the United States) an intervener is still not a party and cannot therefore exercise appeal</w:t>
      </w:r>
      <w:r w:rsidRPr="00421C05">
        <w:rPr>
          <w:i/>
          <w:iCs/>
          <w:szCs w:val="15"/>
        </w:rPr>
        <w:t xml:space="preserve"> </w:t>
      </w:r>
      <w:r w:rsidRPr="00421C05">
        <w:rPr>
          <w:szCs w:val="15"/>
        </w:rPr>
        <w:t>rights”.</w:t>
      </w:r>
    </w:p>
  </w:footnote>
  <w:footnote w:id="701">
    <w:p w14:paraId="07909D4B" w14:textId="3DEF4FAB" w:rsidR="00A55F53" w:rsidRPr="00421C05" w:rsidRDefault="00A55F53" w:rsidP="00653EA8">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lang w:val="mi-NZ"/>
        </w:rPr>
        <w:t xml:space="preserve">§ </w:t>
      </w:r>
      <w:r w:rsidRPr="00421C05">
        <w:rPr>
          <w:szCs w:val="15"/>
          <w:lang w:val="mi-NZ"/>
        </w:rPr>
        <w:t xml:space="preserve">14:09. </w:t>
      </w:r>
    </w:p>
  </w:footnote>
  <w:footnote w:id="702">
    <w:p w14:paraId="51EF0A21" w14:textId="0A2D5F41"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rPr>
        <w:t xml:space="preserve">§ </w:t>
      </w:r>
      <w:r w:rsidRPr="00421C05">
        <w:rPr>
          <w:szCs w:val="15"/>
        </w:rPr>
        <w:t>14:11. Otherwise, if the representative plaintiff fails to appeal, class members may be able to argue, for example, in a subsequent proceeding, that they were not adequately represented and therefore not bound by the class action judgment.</w:t>
      </w:r>
    </w:p>
  </w:footnote>
  <w:footnote w:id="703">
    <w:p w14:paraId="5A64838E" w14:textId="0EA2A81C"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t xml:space="preserve">It is not necessary for a class member to formally intervene in a settlement hearing as they must be given the opportunity to object (and in many cases to opt out) of the settlement. Accordingly, if a class member objected during the settlement hearing, they have standing to appeal: </w:t>
      </w:r>
      <w:r w:rsidRPr="00421C05">
        <w:rPr>
          <w:szCs w:val="15"/>
        </w:rPr>
        <w:t xml:space="preserve">William Rubenstein </w:t>
      </w:r>
      <w:r w:rsidRPr="00421C05">
        <w:rPr>
          <w:i/>
          <w:iCs/>
          <w:szCs w:val="15"/>
        </w:rPr>
        <w:t>Newberg on Class Actions</w:t>
      </w:r>
      <w:r w:rsidRPr="00421C05">
        <w:rPr>
          <w:szCs w:val="15"/>
        </w:rPr>
        <w:t xml:space="preserve"> (online ed, Thomson Reuters) at </w:t>
      </w:r>
      <w:r w:rsidRPr="00421C05">
        <w:rPr>
          <w:rFonts w:ascii="Calibri" w:hAnsi="Calibri" w:cs="Calibri"/>
          <w:szCs w:val="15"/>
          <w:lang w:val="mi-NZ"/>
        </w:rPr>
        <w:t>§</w:t>
      </w:r>
      <w:r w:rsidRPr="00421C05">
        <w:rPr>
          <w:szCs w:val="15"/>
          <w:lang w:val="mi-NZ"/>
        </w:rPr>
        <w:t xml:space="preserve"> 14:11. </w:t>
      </w:r>
    </w:p>
  </w:footnote>
  <w:footnote w:id="704">
    <w:p w14:paraId="5D17CA2E" w14:textId="5068A8D6" w:rsidR="00A55F53" w:rsidRPr="00421C05" w:rsidRDefault="00A55F53" w:rsidP="00653EA8">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lang w:val="mi-NZ"/>
        </w:rPr>
        <w:tab/>
      </w:r>
      <w:r w:rsidRPr="00421C05">
        <w:rPr>
          <w:szCs w:val="15"/>
        </w:rPr>
        <w:t xml:space="preserve">William Rubenstein </w:t>
      </w:r>
      <w:r w:rsidRPr="00421C05">
        <w:rPr>
          <w:i/>
          <w:iCs/>
          <w:szCs w:val="15"/>
        </w:rPr>
        <w:t>Newberg on Class Actions</w:t>
      </w:r>
      <w:r w:rsidRPr="00421C05">
        <w:rPr>
          <w:szCs w:val="15"/>
        </w:rPr>
        <w:t xml:space="preserve"> (online ed, Thomson Reuters) </w:t>
      </w:r>
      <w:r w:rsidRPr="00421C05">
        <w:rPr>
          <w:rFonts w:ascii="Calibri" w:hAnsi="Calibri" w:cs="Calibri"/>
          <w:szCs w:val="15"/>
        </w:rPr>
        <w:t xml:space="preserve">§ </w:t>
      </w:r>
      <w:r w:rsidRPr="00421C05">
        <w:rPr>
          <w:szCs w:val="15"/>
        </w:rPr>
        <w:t xml:space="preserve">14:10. </w:t>
      </w:r>
    </w:p>
  </w:footnote>
  <w:footnote w:id="705">
    <w:p w14:paraId="6F2819D7" w14:textId="77777777" w:rsidR="00A55F53" w:rsidRPr="00421C05" w:rsidRDefault="00A55F53" w:rsidP="00751335">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our Issues Paper at [6.17], noting the settlement rates in other jurisdictions. </w:t>
      </w:r>
    </w:p>
  </w:footnote>
  <w:footnote w:id="706">
    <w:p w14:paraId="05E689EB" w14:textId="53DA972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Federal Court of </w:t>
      </w:r>
      <w:r w:rsidRPr="00421C05">
        <w:rPr>
          <w:szCs w:val="15"/>
          <w:lang w:val="mi-NZ"/>
        </w:rPr>
        <w:t xml:space="preserve">Australia Act 1976 (Cth), s 33V; </w:t>
      </w:r>
      <w:r w:rsidRPr="00421C05">
        <w:rPr>
          <w:color w:val="000000"/>
          <w:szCs w:val="15"/>
          <w:shd w:val="clear" w:color="auto" w:fill="FFFFFF"/>
          <w:lang w:val="mi-NZ" w:eastAsia="en-AU"/>
        </w:rPr>
        <w:t xml:space="preserve">Class Proceedings Act SO 1992 c 6 (Ontario), s 27.1(1); </w:t>
      </w:r>
      <w:r w:rsidRPr="00421C05">
        <w:rPr>
          <w:color w:val="000000"/>
          <w:szCs w:val="15"/>
          <w:bdr w:val="none" w:sz="0" w:space="0" w:color="auto" w:frame="1"/>
          <w:lang w:val="mi-NZ" w:eastAsia="en-AU"/>
        </w:rPr>
        <w:t xml:space="preserve">United States Federal Rules of Civil Procedure, r 23(e); and The Competition Appeal Tribunal Rules 2015 (UK), r 94(1) (opt-out proceedings only). </w:t>
      </w:r>
      <w:r w:rsidRPr="00421C05">
        <w:rPr>
          <w:rFonts w:ascii="Calibri" w:hAnsi="Calibri" w:cs="Calibri"/>
          <w:color w:val="000000"/>
          <w:szCs w:val="15"/>
          <w:shd w:val="clear" w:color="auto" w:fill="FFFFFF"/>
          <w:lang w:eastAsia="en-AU"/>
        </w:rPr>
        <w:t xml:space="preserve"> </w:t>
      </w:r>
    </w:p>
  </w:footnote>
  <w:footnote w:id="707">
    <w:p w14:paraId="7845AFFE" w14:textId="03E599F9"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Rachael Mulheron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The Class Action in Common Law Legal Systems: A Comparative Perspective</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 xml:space="preserve">(Hart Publishing, Oxford, 2004) at 390. </w:t>
      </w:r>
    </w:p>
  </w:footnote>
  <w:footnote w:id="708">
    <w:p w14:paraId="247DA93F"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Southern Response Earthquake Services Ltd v Ross </w:t>
      </w:r>
      <w:r w:rsidRPr="00421C05">
        <w:rPr>
          <w:szCs w:val="15"/>
        </w:rPr>
        <w:t>[2020] NZSC 126 at [82].</w:t>
      </w:r>
    </w:p>
  </w:footnote>
  <w:footnote w:id="709">
    <w:p w14:paraId="03D2A70A"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Southern Response Earthquake Services Ltd v Ross </w:t>
      </w:r>
      <w:r w:rsidRPr="00421C05">
        <w:rPr>
          <w:szCs w:val="15"/>
        </w:rPr>
        <w:t>[2020] NZSC 126 at [83] and [101].</w:t>
      </w:r>
    </w:p>
  </w:footnote>
  <w:footnote w:id="710">
    <w:p w14:paraId="435ED33E"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Southern Response Earthquake Services Ltd v Ross </w:t>
      </w:r>
      <w:r w:rsidRPr="00421C05">
        <w:rPr>
          <w:szCs w:val="15"/>
        </w:rPr>
        <w:t>[2020] NZSC 126 at [82].</w:t>
      </w:r>
    </w:p>
  </w:footnote>
  <w:footnote w:id="711">
    <w:p w14:paraId="27DADC99" w14:textId="4FD5C2A6"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Eaton</w:t>
      </w:r>
      <w:r w:rsidRPr="00421C05">
        <w:rPr>
          <w:i/>
          <w:iCs/>
          <w:szCs w:val="15"/>
        </w:rPr>
        <w:t xml:space="preserve"> v LDC Finance Ltd </w:t>
      </w:r>
      <w:r w:rsidRPr="00421C05">
        <w:rPr>
          <w:szCs w:val="15"/>
        </w:rPr>
        <w:t xml:space="preserve">[2013] NZHC 728 and </w:t>
      </w:r>
      <w:bookmarkStart w:id="97" w:name="_Hlk57622547"/>
      <w:r w:rsidRPr="00421C05">
        <w:rPr>
          <w:i/>
          <w:szCs w:val="15"/>
        </w:rPr>
        <w:t>Stirling</w:t>
      </w:r>
      <w:r w:rsidRPr="00421C05">
        <w:rPr>
          <w:i/>
          <w:iCs/>
          <w:szCs w:val="15"/>
        </w:rPr>
        <w:t xml:space="preserve"> v Attorney-General </w:t>
      </w:r>
      <w:r w:rsidRPr="00421C05">
        <w:rPr>
          <w:szCs w:val="15"/>
        </w:rPr>
        <w:t xml:space="preserve">HC Wellington CP161/96, 29 September 2004 (sealed judgment of Miller J). </w:t>
      </w:r>
      <w:bookmarkEnd w:id="97"/>
      <w:r w:rsidRPr="00421C05">
        <w:rPr>
          <w:szCs w:val="15"/>
        </w:rPr>
        <w:t xml:space="preserve">Another possible example is </w:t>
      </w:r>
      <w:r w:rsidRPr="00421C05">
        <w:rPr>
          <w:i/>
          <w:szCs w:val="15"/>
        </w:rPr>
        <w:t>Mawson</w:t>
      </w:r>
      <w:r w:rsidRPr="00421C05">
        <w:rPr>
          <w:i/>
          <w:iCs/>
          <w:szCs w:val="15"/>
        </w:rPr>
        <w:t xml:space="preserve"> v Auckland Area Health Board </w:t>
      </w:r>
      <w:r w:rsidRPr="00421C05">
        <w:rPr>
          <w:szCs w:val="15"/>
        </w:rPr>
        <w:t>HC Auckland CP2018/87, 8 July 1993</w:t>
      </w:r>
      <w:r w:rsidRPr="00421C05">
        <w:rPr>
          <w:i/>
          <w:iCs/>
          <w:szCs w:val="15"/>
        </w:rPr>
        <w:t xml:space="preserve"> </w:t>
      </w:r>
      <w:r w:rsidRPr="00421C05">
        <w:rPr>
          <w:szCs w:val="15"/>
        </w:rPr>
        <w:t xml:space="preserve">(it is unclear whether this was a representative action under HCR 4.24). See also </w:t>
      </w:r>
      <w:r w:rsidRPr="00421C05">
        <w:rPr>
          <w:i/>
          <w:szCs w:val="15"/>
        </w:rPr>
        <w:t>Ranchhod</w:t>
      </w:r>
      <w:r w:rsidRPr="00421C05">
        <w:rPr>
          <w:i/>
          <w:iCs/>
          <w:szCs w:val="15"/>
        </w:rPr>
        <w:t xml:space="preserve"> v Auckland Healthcare Services Ltd (No 2) </w:t>
      </w:r>
      <w:r w:rsidRPr="00421C05">
        <w:rPr>
          <w:szCs w:val="15"/>
        </w:rPr>
        <w:t xml:space="preserve">[2001] ERNZ 771 (NZEmpC) where the Employment Court approved the settlement of a representative action. We also understand that court approval is being sought of a settlement in the </w:t>
      </w:r>
      <w:r w:rsidRPr="00421C05">
        <w:rPr>
          <w:i/>
          <w:iCs/>
          <w:szCs w:val="15"/>
        </w:rPr>
        <w:t xml:space="preserve">Scott v ANZ Bank </w:t>
      </w:r>
      <w:r w:rsidRPr="00421C05">
        <w:rPr>
          <w:szCs w:val="15"/>
        </w:rPr>
        <w:t>representative action: see “ANZ settles class action claim on Ross Fraud” (23 August 2021) National Business Review &lt;</w:t>
      </w:r>
      <w:hyperlink r:id="rId5" w:anchor=":~:text=A%20%24100%20million%20class%20action,court%20for%20a%20confidential%20sum." w:history="1">
        <w:r w:rsidRPr="00421C05">
          <w:rPr>
            <w:rStyle w:val="Hyperlink"/>
            <w:szCs w:val="15"/>
          </w:rPr>
          <w:t>www.nbr.co.nz</w:t>
        </w:r>
      </w:hyperlink>
      <w:r w:rsidRPr="00421C05">
        <w:rPr>
          <w:szCs w:val="15"/>
        </w:rPr>
        <w:t>&gt;.</w:t>
      </w:r>
    </w:p>
  </w:footnote>
  <w:footnote w:id="712">
    <w:p w14:paraId="124DA2B7" w14:textId="68D9D362"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Competition Appeal Tribunal Rules 2015 (UK), rr 94-95. Note that in an opt-in proceeding the representative plaintiff may not settle proceedings before the opt-in period has finished, except with the Tribunal’s permission. See also Competition Appeal Tribunal </w:t>
      </w:r>
      <w:r w:rsidRPr="00421C05">
        <w:rPr>
          <w:i/>
          <w:szCs w:val="15"/>
        </w:rPr>
        <w:t>Guide to Proceedings</w:t>
      </w:r>
      <w:r w:rsidRPr="00421C05">
        <w:rPr>
          <w:szCs w:val="15"/>
        </w:rPr>
        <w:t xml:space="preserve"> (2015) at [6.6].</w:t>
      </w:r>
    </w:p>
  </w:footnote>
  <w:footnote w:id="713">
    <w:p w14:paraId="476804BF" w14:textId="6FEA73FC"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6(1).</w:t>
      </w:r>
    </w:p>
  </w:footnote>
  <w:footnote w:id="714">
    <w:p w14:paraId="7C8AEB0D" w14:textId="2EAF3314"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color w:val="000000"/>
          <w:szCs w:val="15"/>
          <w:shd w:val="clear" w:color="auto" w:fill="FFFFFF"/>
          <w:lang w:eastAsia="en-AU"/>
        </w:rPr>
        <w:t>Class Proceedings Act SA 2003 c C-16.5 (Alberta)</w:t>
      </w:r>
      <w:r w:rsidRPr="00421C05">
        <w:rPr>
          <w:rFonts w:ascii="Calibri" w:hAnsi="Calibri" w:cs="Calibri"/>
          <w:color w:val="000000"/>
          <w:szCs w:val="15"/>
          <w:shd w:val="clear" w:color="auto" w:fill="FFFFFF"/>
          <w:lang w:eastAsia="en-AU"/>
        </w:rPr>
        <w:t xml:space="preserve">, </w:t>
      </w:r>
      <w:r w:rsidRPr="00421C05">
        <w:rPr>
          <w:szCs w:val="15"/>
        </w:rPr>
        <w:t>s 35(1)–(2).</w:t>
      </w:r>
    </w:p>
  </w:footnote>
  <w:footnote w:id="715">
    <w:p w14:paraId="78683F7D"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Christopher Naudie and Éric Préfontaine “Class/collective actions in Canada: overview”</w:t>
      </w:r>
      <w:r w:rsidRPr="00421C05">
        <w:rPr>
          <w:i/>
          <w:szCs w:val="15"/>
        </w:rPr>
        <w:t xml:space="preserve"> </w:t>
      </w:r>
      <w:r w:rsidRPr="00421C05">
        <w:rPr>
          <w:szCs w:val="15"/>
        </w:rPr>
        <w:t>Thomson Reuters Practical Law</w:t>
      </w:r>
      <w:r w:rsidRPr="00421C05">
        <w:rPr>
          <w:i/>
          <w:szCs w:val="15"/>
        </w:rPr>
        <w:t xml:space="preserve"> </w:t>
      </w:r>
      <w:r w:rsidRPr="00421C05">
        <w:rPr>
          <w:szCs w:val="15"/>
        </w:rPr>
        <w:t>(1 December 2016) &lt;</w:t>
      </w:r>
      <w:hyperlink r:id="rId6" w:anchor=":~:text=the%20current%20trends%3F-,Definition%20of%20class%2Fcollective%20actions,individuals%20who%20have%20similar%20claims." w:history="1">
        <w:r w:rsidRPr="00421C05">
          <w:rPr>
            <w:rStyle w:val="Hyperlink"/>
            <w:szCs w:val="15"/>
          </w:rPr>
          <w:t>content.next.westlaw.com</w:t>
        </w:r>
      </w:hyperlink>
      <w:r w:rsidRPr="00421C05">
        <w:rPr>
          <w:szCs w:val="15"/>
        </w:rPr>
        <w:t>&gt; at [21].</w:t>
      </w:r>
    </w:p>
  </w:footnote>
  <w:footnote w:id="716">
    <w:p w14:paraId="2D64F7CD" w14:textId="3AEF1D0F"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Federal Court of </w:t>
      </w:r>
      <w:r w:rsidRPr="00421C05">
        <w:rPr>
          <w:szCs w:val="15"/>
          <w:lang w:val="mi-NZ"/>
        </w:rPr>
        <w:t>Australia Act 1976 (Cth), s 33V(1); and</w:t>
      </w:r>
      <w:r w:rsidRPr="00421C05">
        <w:rPr>
          <w:color w:val="000000"/>
          <w:szCs w:val="15"/>
          <w:shd w:val="clear" w:color="auto" w:fill="FFFFFF"/>
          <w:lang w:val="mi-NZ" w:eastAsia="en-AU"/>
        </w:rPr>
        <w:t xml:space="preserve"> Class Proceedings Act SO 1992 c 6 (Ontario), </w:t>
      </w:r>
      <w:r w:rsidRPr="00421C05">
        <w:rPr>
          <w:szCs w:val="15"/>
        </w:rPr>
        <w:t>29(1).</w:t>
      </w:r>
    </w:p>
  </w:footnote>
  <w:footnote w:id="717">
    <w:p w14:paraId="1583351D"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Southern Response Earthquake Services Ltd v Ross</w:t>
      </w:r>
      <w:r w:rsidRPr="00421C05">
        <w:rPr>
          <w:szCs w:val="15"/>
        </w:rPr>
        <w:t xml:space="preserve"> [2020] NZSC 126 at [83].</w:t>
      </w:r>
    </w:p>
  </w:footnote>
  <w:footnote w:id="718">
    <w:p w14:paraId="65995181"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An example of a separate discontinuance provision is </w:t>
      </w:r>
      <w:r w:rsidRPr="00421C05">
        <w:rPr>
          <w:color w:val="000000"/>
          <w:szCs w:val="15"/>
          <w:shd w:val="clear" w:color="auto" w:fill="FFFFFF"/>
          <w:lang w:val="mi-NZ" w:eastAsia="en-AU"/>
        </w:rPr>
        <w:t xml:space="preserve">Class Proceedings Act SO 1992 c 6 (Ontario), s </w:t>
      </w:r>
      <w:r w:rsidRPr="00421C05">
        <w:rPr>
          <w:szCs w:val="15"/>
        </w:rPr>
        <w:t>29(1). Note we have not provided a draft provision for consultation as we envisage this would be uncontroversial.</w:t>
      </w:r>
    </w:p>
  </w:footnote>
  <w:footnote w:id="719">
    <w:p w14:paraId="45D8B601" w14:textId="5F0C1ABC"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bdr w:val="none" w:sz="0" w:space="0" w:color="auto" w:frame="1"/>
          <w:lang w:val="mi-NZ" w:eastAsia="en-AU"/>
        </w:rPr>
        <w:t>United States Federal Rules of Civil Procedure, r 23(e)(1)(B).</w:t>
      </w:r>
      <w:r w:rsidRPr="00421C05">
        <w:rPr>
          <w:szCs w:val="15"/>
        </w:rPr>
        <w:t xml:space="preserve"> At this preliminary approval stage, the court must give notice if justified by the parties having shown</w:t>
      </w:r>
      <w:r w:rsidRPr="00421C05" w:rsidDel="00C309A0">
        <w:rPr>
          <w:szCs w:val="15"/>
        </w:rPr>
        <w:t xml:space="preserve"> </w:t>
      </w:r>
      <w:r w:rsidRPr="00421C05">
        <w:rPr>
          <w:szCs w:val="15"/>
        </w:rPr>
        <w:t>that final approval of the settlement is likely to be given. If settlement approval is sought prior to certification, the court will also need to consider whether it will likely be able to certify the class for the purposes of settlement.</w:t>
      </w:r>
    </w:p>
  </w:footnote>
  <w:footnote w:id="720">
    <w:p w14:paraId="25CB0CA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Newberg</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on Class Actions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Times New Roman" w:hAnsi="Times New Roman"/>
          <w:color w:val="000000"/>
          <w:szCs w:val="15"/>
          <w:shd w:val="clear" w:color="auto" w:fill="FFFFFF"/>
          <w:lang w:eastAsia="en-AU"/>
        </w:rPr>
        <w:t>§</w:t>
      </w:r>
      <w:r w:rsidRPr="00421C05">
        <w:rPr>
          <w:color w:val="000000"/>
          <w:szCs w:val="15"/>
          <w:shd w:val="clear" w:color="auto" w:fill="FFFFFF"/>
          <w:lang w:eastAsia="en-AU"/>
        </w:rPr>
        <w:t xml:space="preserve"> 13:12.</w:t>
      </w:r>
    </w:p>
  </w:footnote>
  <w:footnote w:id="721">
    <w:p w14:paraId="79B1E0D2"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do not rule out the possibility that an application could be determined on the papers in some cases, although we think a hearing would usually be required.</w:t>
      </w:r>
    </w:p>
  </w:footnote>
  <w:footnote w:id="722">
    <w:p w14:paraId="380ADD4A" w14:textId="14BE5A65"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6(2), 6(3).</w:t>
      </w:r>
    </w:p>
  </w:footnote>
  <w:footnote w:id="723">
    <w:p w14:paraId="13D8233F"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val="mi-NZ" w:eastAsia="en-AU"/>
        </w:rPr>
        <w:t>Class Proceedings Act SO 1992 c 6 (Ontario), 27.1(7).</w:t>
      </w:r>
    </w:p>
  </w:footnote>
  <w:footnote w:id="724">
    <w:p w14:paraId="65CCE6AD" w14:textId="2E5E574B"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Competition Appeal Tribunal Rules 2015 (UK), r 94(4). For further explanation of these requirements, see </w:t>
      </w:r>
      <w:r w:rsidRPr="00421C05">
        <w:rPr>
          <w:color w:val="0D0D0D"/>
          <w:szCs w:val="15"/>
          <w:shd w:val="clear" w:color="auto" w:fill="FFFFFF"/>
          <w:lang w:val="mi-NZ" w:eastAsia="en-AU"/>
        </w:rPr>
        <w:t>Competition</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Appeal Tribunal</w:t>
      </w:r>
      <w:r w:rsidRPr="00421C05">
        <w:rPr>
          <w:rFonts w:ascii="Calibri" w:hAnsi="Calibri" w:cs="Calibri"/>
          <w:color w:val="0D0D0D"/>
          <w:szCs w:val="15"/>
          <w:shd w:val="clear" w:color="auto" w:fill="FFFFFF"/>
          <w:lang w:val="mi-NZ" w:eastAsia="en-AU"/>
        </w:rPr>
        <w:t> </w:t>
      </w:r>
      <w:r w:rsidRPr="00421C05">
        <w:rPr>
          <w:i/>
          <w:color w:val="0D0D0D"/>
          <w:szCs w:val="15"/>
          <w:shd w:val="clear" w:color="auto" w:fill="FFFFFF"/>
          <w:lang w:val="mi-NZ" w:eastAsia="en-AU"/>
        </w:rPr>
        <w:t>Guide to Proceedings</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(2015) at [</w:t>
      </w:r>
      <w:r w:rsidRPr="00421C05">
        <w:rPr>
          <w:szCs w:val="15"/>
        </w:rPr>
        <w:t>6.98].</w:t>
      </w:r>
    </w:p>
  </w:footnote>
  <w:footnote w:id="725">
    <w:p w14:paraId="00BA5CEF"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color w:val="0D0D0D"/>
          <w:szCs w:val="15"/>
          <w:shd w:val="clear" w:color="auto" w:fill="FFFFFF"/>
          <w:lang w:eastAsia="en-AU"/>
        </w:rPr>
        <w:t>Class Actions</w:t>
      </w:r>
      <w:r w:rsidRPr="00421C05">
        <w:rPr>
          <w:rFonts w:ascii="Calibri" w:hAnsi="Calibri" w:cs="Calibri"/>
          <w:i/>
          <w:color w:val="0D0D0D"/>
          <w:szCs w:val="15"/>
          <w:shd w:val="clear" w:color="auto" w:fill="FFFFFF"/>
          <w:lang w:eastAsia="en-AU"/>
        </w:rPr>
        <w:t> </w:t>
      </w:r>
      <w:r w:rsidRPr="00421C05">
        <w:rPr>
          <w:i/>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GPN-CA, December 2019) at [15.5]; </w:t>
      </w:r>
      <w:r w:rsidRPr="00421C05">
        <w:rPr>
          <w:i/>
          <w:color w:val="0D0D0D"/>
          <w:szCs w:val="15"/>
          <w:shd w:val="clear" w:color="auto" w:fill="FFFFFF"/>
          <w:lang w:eastAsia="en-AU"/>
        </w:rPr>
        <w:t>Conduct of Group Proceedings (Class Actions)</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(Supreme Court of Victoria,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SC Gen 10, October 2020) at [16.7].</w:t>
      </w:r>
    </w:p>
  </w:footnote>
  <w:footnote w:id="726">
    <w:p w14:paraId="088BE763"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bdr w:val="none" w:sz="0" w:space="0" w:color="auto" w:frame="1"/>
          <w:lang w:val="mi-NZ" w:eastAsia="en-AU"/>
        </w:rPr>
        <w:t>United States Federal Rules of Civil Procedure, r 23(e)(1)(A); Committee Notes on Rules – 2018 Amendment.</w:t>
      </w:r>
    </w:p>
  </w:footnote>
  <w:footnote w:id="727">
    <w:p w14:paraId="7A387B08" w14:textId="63630081"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discuss our proposed test later in this chapter. </w:t>
      </w:r>
    </w:p>
  </w:footnote>
  <w:footnote w:id="728">
    <w:p w14:paraId="63D4E4D7" w14:textId="18483E8D"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w:t>
      </w:r>
    </w:p>
  </w:footnote>
  <w:footnote w:id="729">
    <w:p w14:paraId="795C0928" w14:textId="4AB349DB"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William Rubenstein </w:t>
      </w:r>
      <w:r w:rsidRPr="00421C05">
        <w:rPr>
          <w:i/>
          <w:iCs/>
          <w:szCs w:val="15"/>
        </w:rPr>
        <w:t xml:space="preserve">Newberg on Class Actions </w:t>
      </w:r>
      <w:r w:rsidRPr="00421C05">
        <w:rPr>
          <w:szCs w:val="15"/>
        </w:rPr>
        <w:t xml:space="preserve">(online ed, Thomson Reuters) at </w:t>
      </w:r>
      <w:r w:rsidRPr="00421C05">
        <w:rPr>
          <w:rFonts w:ascii="Calibri" w:hAnsi="Calibri" w:cs="Calibri"/>
          <w:szCs w:val="15"/>
        </w:rPr>
        <w:t>§</w:t>
      </w:r>
      <w:r w:rsidRPr="00421C05">
        <w:rPr>
          <w:szCs w:val="15"/>
        </w:rPr>
        <w:t xml:space="preserve"> 13:12. See also </w:t>
      </w:r>
      <w:r w:rsidRPr="00421C05">
        <w:rPr>
          <w:color w:val="000000"/>
          <w:szCs w:val="15"/>
          <w:bdr w:val="none" w:sz="0" w:space="0" w:color="auto" w:frame="1"/>
          <w:lang w:val="mi-NZ" w:eastAsia="en-AU"/>
        </w:rPr>
        <w:t>United States Federal Rules of Civil Procedure, r 23(e)(1).</w:t>
      </w:r>
    </w:p>
  </w:footnote>
  <w:footnote w:id="730">
    <w:p w14:paraId="5AD849CD" w14:textId="28A9934E"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Federal Courts Rules SOR/98-106, r 334.34.</w:t>
      </w:r>
    </w:p>
  </w:footnote>
  <w:footnote w:id="731">
    <w:p w14:paraId="36942A7F"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bdr w:val="none" w:sz="0" w:space="0" w:color="auto" w:frame="1"/>
          <w:lang w:val="mi-NZ" w:eastAsia="en-AU"/>
        </w:rPr>
        <w:t>Class Proceedings Act SO 1992 c 6 (Ontario), s 27.1(8).</w:t>
      </w:r>
    </w:p>
  </w:footnote>
  <w:footnote w:id="732">
    <w:p w14:paraId="6D2F08A0"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bdr w:val="none" w:sz="0" w:space="0" w:color="auto" w:frame="1"/>
          <w:lang w:val="mi-NZ" w:eastAsia="en-AU"/>
        </w:rPr>
        <w:t>Class Proceedings Act SO 1992 c 6 (Ontario), s 27.1(12).</w:t>
      </w:r>
    </w:p>
  </w:footnote>
  <w:footnote w:id="733">
    <w:p w14:paraId="406ACEB2" w14:textId="24B28B7A"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bdr w:val="none" w:sz="0" w:space="0" w:color="auto" w:frame="1"/>
          <w:lang w:val="mi-NZ" w:eastAsia="en-AU"/>
        </w:rPr>
        <w:t>Class Proceedings Act SO 1992 c 6 (Ontario), s 27.1(7).</w:t>
      </w:r>
    </w:p>
  </w:footnote>
  <w:footnote w:id="734">
    <w:p w14:paraId="5C886425" w14:textId="5BF181F1"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rStyle w:val="normaltextrun"/>
          <w:color w:val="000000"/>
          <w:szCs w:val="15"/>
          <w:shd w:val="clear" w:color="auto" w:fill="FFFFFF"/>
        </w:rPr>
        <w:t>Class Proceedings Act RSBC 1996 c 50 (British Columbia)</w:t>
      </w:r>
      <w:r w:rsidRPr="00421C05">
        <w:rPr>
          <w:szCs w:val="15"/>
        </w:rPr>
        <w:t xml:space="preserve">, s 35(5); and </w:t>
      </w:r>
      <w:r w:rsidRPr="00421C05">
        <w:rPr>
          <w:rStyle w:val="normaltextrun"/>
          <w:color w:val="000000"/>
          <w:szCs w:val="15"/>
          <w:shd w:val="clear" w:color="auto" w:fill="FFFFFF"/>
        </w:rPr>
        <w:t>Class Proceedings Act SA 2003 c C-16.5 (Alberta)</w:t>
      </w:r>
      <w:r w:rsidRPr="00421C05">
        <w:rPr>
          <w:szCs w:val="15"/>
        </w:rPr>
        <w:t>, s 35(7).</w:t>
      </w:r>
    </w:p>
  </w:footnote>
  <w:footnote w:id="735">
    <w:p w14:paraId="7776C557"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Federal Court of </w:t>
      </w:r>
      <w:r w:rsidRPr="00421C05">
        <w:rPr>
          <w:szCs w:val="15"/>
          <w:lang w:val="mi-NZ"/>
        </w:rPr>
        <w:t xml:space="preserve">Australia Act 1976 (Cth), s 33X(4). </w:t>
      </w:r>
    </w:p>
  </w:footnote>
  <w:footnote w:id="736">
    <w:p w14:paraId="227D9C02"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color w:val="000000"/>
          <w:szCs w:val="15"/>
          <w:shd w:val="clear" w:color="auto" w:fill="FFFFFF"/>
          <w:lang w:eastAsia="en-AU"/>
        </w:rPr>
        <w:t>Michael</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Legg</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and Ross McInnes</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Australian Annotated Class Actions Legislation</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(2nd ed, LexisNexis Butterworths, Chatswood, 2018) at [24.9].</w:t>
      </w:r>
    </w:p>
  </w:footnote>
  <w:footnote w:id="737">
    <w:p w14:paraId="47D6C6E0"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D0D0D"/>
          <w:szCs w:val="15"/>
          <w:shd w:val="clear" w:color="auto" w:fill="FFFFFF"/>
          <w:lang w:val="mi-NZ" w:eastAsia="en-AU"/>
        </w:rPr>
        <w:t>The</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Competition</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 xml:space="preserve">Appeal Tribunal Rules 2015 (UK), r 94(6)(b); Competition Appeal Tribunal </w:t>
      </w:r>
      <w:r w:rsidRPr="00421C05">
        <w:rPr>
          <w:i/>
          <w:color w:val="0D0D0D"/>
          <w:szCs w:val="15"/>
          <w:shd w:val="clear" w:color="auto" w:fill="FFFFFF"/>
          <w:lang w:val="mi-NZ" w:eastAsia="en-AU"/>
        </w:rPr>
        <w:t>Guide to Proceedings</w:t>
      </w:r>
      <w:r w:rsidRPr="00421C05">
        <w:rPr>
          <w:color w:val="0D0D0D"/>
          <w:szCs w:val="15"/>
          <w:shd w:val="clear" w:color="auto" w:fill="FFFFFF"/>
          <w:lang w:val="mi-NZ" w:eastAsia="en-AU"/>
        </w:rPr>
        <w:t xml:space="preserve"> (2015) at [6.98]. Note that when the parties seek to settle pre-certification, notice must be given of the collective settlement order (appointing a settlement representative): The</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Competition</w:t>
      </w:r>
      <w:r w:rsidRPr="00421C05">
        <w:rPr>
          <w:rFonts w:ascii="Calibri" w:hAnsi="Calibri" w:cs="Calibri"/>
          <w:color w:val="0D0D0D"/>
          <w:szCs w:val="15"/>
          <w:shd w:val="clear" w:color="auto" w:fill="FFFFFF"/>
          <w:lang w:val="mi-NZ" w:eastAsia="en-AU"/>
        </w:rPr>
        <w:t> </w:t>
      </w:r>
      <w:r w:rsidRPr="00421C05">
        <w:rPr>
          <w:color w:val="0D0D0D"/>
          <w:szCs w:val="15"/>
          <w:shd w:val="clear" w:color="auto" w:fill="FFFFFF"/>
          <w:lang w:val="mi-NZ" w:eastAsia="en-AU"/>
        </w:rPr>
        <w:t>Appeal Tribunal Rules 2015 (UK), r 96(15).</w:t>
      </w:r>
    </w:p>
  </w:footnote>
  <w:footnote w:id="738">
    <w:p w14:paraId="15986A86" w14:textId="6F9B5236"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6(4)(a).</w:t>
      </w:r>
    </w:p>
  </w:footnote>
  <w:footnote w:id="739">
    <w:p w14:paraId="133B66C8" w14:textId="3C736C2F"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9(1)(a).</w:t>
      </w:r>
    </w:p>
  </w:footnote>
  <w:footnote w:id="740">
    <w:p w14:paraId="68E2C0C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bdr w:val="none" w:sz="0" w:space="0" w:color="auto" w:frame="1"/>
          <w:lang w:val="mi-NZ" w:eastAsia="en-AU"/>
        </w:rPr>
        <w:t xml:space="preserve">Class Proceedings Act SO 1992 c 6 (Ontario), s </w:t>
      </w:r>
      <w:r w:rsidRPr="00421C05">
        <w:rPr>
          <w:szCs w:val="15"/>
        </w:rPr>
        <w:t>27.1(8).</w:t>
      </w:r>
    </w:p>
  </w:footnote>
  <w:footnote w:id="741">
    <w:p w14:paraId="5E0B5083"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bdr w:val="none" w:sz="0" w:space="0" w:color="auto" w:frame="1"/>
          <w:lang w:val="mi-NZ" w:eastAsia="en-AU"/>
        </w:rPr>
        <w:t xml:space="preserve">Class Proceedings Act SO 1992 c 6 (Ontario), s </w:t>
      </w:r>
      <w:r w:rsidRPr="00421C05">
        <w:rPr>
          <w:szCs w:val="15"/>
        </w:rPr>
        <w:t>27.1(12).</w:t>
      </w:r>
    </w:p>
  </w:footnote>
  <w:footnote w:id="742">
    <w:p w14:paraId="731C9BD6"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Canadian Judicial Protocol for the Management of Multi-jurisdictional Class Actions and the Provision of Class Action Notice</w:t>
      </w:r>
      <w:r w:rsidRPr="00421C05">
        <w:rPr>
          <w:szCs w:val="15"/>
        </w:rPr>
        <w:t xml:space="preserve"> (Canadian Bar Association, 2018) at [13] and [17].</w:t>
      </w:r>
    </w:p>
  </w:footnote>
  <w:footnote w:id="743">
    <w:p w14:paraId="2B935050"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color w:val="0D0D0D"/>
          <w:szCs w:val="15"/>
          <w:shd w:val="clear" w:color="auto" w:fill="FFFFFF"/>
          <w:lang w:eastAsia="en-AU"/>
        </w:rPr>
        <w:t>Class Actions</w:t>
      </w:r>
      <w:r w:rsidRPr="00421C05">
        <w:rPr>
          <w:rFonts w:ascii="Calibri" w:hAnsi="Calibri" w:cs="Calibri"/>
          <w:i/>
          <w:color w:val="0D0D0D"/>
          <w:szCs w:val="15"/>
          <w:shd w:val="clear" w:color="auto" w:fill="FFFFFF"/>
          <w:lang w:eastAsia="en-AU"/>
        </w:rPr>
        <w:t> </w:t>
      </w:r>
      <w:r w:rsidRPr="00421C05">
        <w:rPr>
          <w:i/>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GPN-CA, December 2019) at [15.2]; </w:t>
      </w:r>
      <w:r w:rsidRPr="00421C05">
        <w:rPr>
          <w:i/>
          <w:color w:val="0D0D0D"/>
          <w:szCs w:val="15"/>
          <w:shd w:val="clear" w:color="auto" w:fill="FFFFFF"/>
          <w:lang w:eastAsia="en-AU"/>
        </w:rPr>
        <w:t>Conduct of Group Proceedings (Class Actions)</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(Supreme Court of Victoria,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SC Gen 10, October 2020) at [16.3].</w:t>
      </w:r>
    </w:p>
  </w:footnote>
  <w:footnote w:id="744">
    <w:p w14:paraId="4D7CD25F" w14:textId="2A5CBFE3"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In the United States, rule 23 only refers to notice being made in a “reasonable manner” and the content of the notice is left to the court’s discretion: </w:t>
      </w:r>
      <w:r w:rsidRPr="00421C05">
        <w:rPr>
          <w:color w:val="000000"/>
          <w:szCs w:val="15"/>
          <w:bdr w:val="none" w:sz="0" w:space="0" w:color="auto" w:frame="1"/>
          <w:lang w:val="mi-NZ" w:eastAsia="en-AU"/>
        </w:rPr>
        <w:t xml:space="preserve">United States Federal Rules of Civil Procedure, r 23(e)(1)(B); </w:t>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Newberg</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on Class Actions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Times New Roman" w:hAnsi="Times New Roman"/>
          <w:color w:val="000000"/>
          <w:szCs w:val="15"/>
          <w:shd w:val="clear" w:color="auto" w:fill="FFFFFF"/>
          <w:lang w:eastAsia="en-AU"/>
        </w:rPr>
        <w:t>§</w:t>
      </w:r>
      <w:r w:rsidRPr="00421C05">
        <w:rPr>
          <w:color w:val="000000"/>
          <w:szCs w:val="15"/>
          <w:shd w:val="clear" w:color="auto" w:fill="FFFFFF"/>
          <w:lang w:eastAsia="en-AU"/>
        </w:rPr>
        <w:t xml:space="preserve"> 8:17. Note that the Manual for Complex Litigation sets out a list of matters which should be contained in a settlement notice: </w:t>
      </w:r>
      <w:r w:rsidRPr="00421C05">
        <w:rPr>
          <w:color w:val="0D0D0D"/>
          <w:szCs w:val="15"/>
          <w:shd w:val="clear" w:color="auto" w:fill="FFFFFF"/>
          <w:lang w:eastAsia="en-AU"/>
        </w:rPr>
        <w:t>David F Herr</w:t>
      </w:r>
      <w:r w:rsidRPr="00421C05">
        <w:rPr>
          <w:rFonts w:ascii="Calibri" w:hAnsi="Calibri" w:cs="Calibri"/>
          <w:color w:val="0D0D0D"/>
          <w:szCs w:val="15"/>
          <w:shd w:val="clear" w:color="auto" w:fill="FFFFFF"/>
          <w:lang w:eastAsia="en-AU"/>
        </w:rPr>
        <w:t> </w:t>
      </w:r>
      <w:r w:rsidRPr="00421C05">
        <w:rPr>
          <w:i/>
          <w:color w:val="0D0D0D"/>
          <w:szCs w:val="15"/>
          <w:shd w:val="clear" w:color="auto" w:fill="FFFFFF"/>
          <w:lang w:eastAsia="en-AU"/>
        </w:rPr>
        <w:t>Annotated Manual for Complex Litigation</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(online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ed, Thompson Reuters) at </w:t>
      </w:r>
      <w:r w:rsidRPr="00421C05">
        <w:rPr>
          <w:rFonts w:ascii="Times New Roman" w:hAnsi="Times New Roman"/>
          <w:color w:val="0D0D0D"/>
          <w:szCs w:val="15"/>
          <w:shd w:val="clear" w:color="auto" w:fill="FFFFFF"/>
          <w:lang w:eastAsia="en-AU"/>
        </w:rPr>
        <w:t>§</w:t>
      </w:r>
      <w:r w:rsidRPr="00421C05">
        <w:rPr>
          <w:color w:val="0D0D0D"/>
          <w:szCs w:val="15"/>
          <w:shd w:val="clear" w:color="auto" w:fill="FFFFFF"/>
          <w:lang w:eastAsia="en-AU"/>
        </w:rPr>
        <w:t xml:space="preserve"> 21.312. </w:t>
      </w:r>
      <w:r w:rsidRPr="00421C05">
        <w:rPr>
          <w:szCs w:val="15"/>
        </w:rPr>
        <w:t>The United Kingdom Competition Appeal Tribunal Rules do not require specified matters to be included in a settlement notice. When an application for approval of a class action settlement is filed in the Tribunal, it must set out the form and manner in which the representative plaintiff proposes to give notice of the application: The Competition Appeal Tribunal Rules 2015 (UK), r 94(4)(f).</w:t>
      </w:r>
    </w:p>
  </w:footnote>
  <w:footnote w:id="745">
    <w:p w14:paraId="489F6106" w14:textId="2AB98029"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consider the process for objecting to a proposed settlement in the next section.</w:t>
      </w:r>
    </w:p>
  </w:footnote>
  <w:footnote w:id="746">
    <w:p w14:paraId="255A0D35" w14:textId="7CB4A18D"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i/>
          <w:color w:val="0D0D0D"/>
          <w:szCs w:val="15"/>
          <w:shd w:val="clear" w:color="auto" w:fill="FFFFFF"/>
          <w:lang w:eastAsia="en-AU"/>
        </w:rPr>
        <w:t>Class Actions</w:t>
      </w:r>
      <w:r w:rsidRPr="00421C05">
        <w:rPr>
          <w:rFonts w:ascii="Calibri" w:hAnsi="Calibri" w:cs="Calibri"/>
          <w:i/>
          <w:color w:val="0D0D0D"/>
          <w:szCs w:val="15"/>
          <w:shd w:val="clear" w:color="auto" w:fill="FFFFFF"/>
          <w:lang w:eastAsia="en-AU"/>
        </w:rPr>
        <w:t> </w:t>
      </w:r>
      <w:r w:rsidRPr="00421C05">
        <w:rPr>
          <w:i/>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GPN-CA, December 2019) at [15.2]; </w:t>
      </w:r>
      <w:r w:rsidRPr="00421C05">
        <w:rPr>
          <w:color w:val="000000"/>
          <w:szCs w:val="15"/>
          <w:bdr w:val="none" w:sz="0" w:space="0" w:color="auto" w:frame="1"/>
          <w:lang w:val="mi-NZ" w:eastAsia="en-AU"/>
        </w:rPr>
        <w:t>Class Proceedings Act SO 1992 c 6 (Ontario), s 27.1(8); United States Federal Rules of Civil Procedure, r 23(e)(5)(A); and The Competition Appeal Tribunal Rules 2015 (UK), r 97(5).</w:t>
      </w:r>
    </w:p>
  </w:footnote>
  <w:footnote w:id="747">
    <w:p w14:paraId="0AB95E8F" w14:textId="348490F9"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6(4)(b).</w:t>
      </w:r>
    </w:p>
  </w:footnote>
  <w:footnote w:id="748">
    <w:p w14:paraId="046D3F30" w14:textId="4981D07A"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w:t>
      </w:r>
      <w:r w:rsidRPr="00421C05">
        <w:rPr>
          <w:rFonts w:asciiTheme="minorHAnsi" w:hAnsiTheme="minorHAnsi" w:cstheme="minorHAnsi"/>
          <w:szCs w:val="15"/>
          <w:lang w:eastAsia="en-AU"/>
        </w:rPr>
        <w:t xml:space="preserve"> </w:t>
      </w:r>
      <w:r w:rsidRPr="00421C05">
        <w:rPr>
          <w:szCs w:val="15"/>
        </w:rPr>
        <w:t xml:space="preserve">Michael Legg "Class action settlements in Australia - the need for greater scrutiny" (2014) 38 MULR 590 at 599-600; Jasminka Kalajdzic “Access to a Just Result: Revisiting Settlement Standards and Cy Près Distributions” (2010) 6 Canadian Class Action Review 215 at 234-235; </w:t>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Newberg</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on Class Actions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(online ed, Thomson Reuters)</w:t>
      </w:r>
      <w:r w:rsidRPr="00421C05">
        <w:rPr>
          <w:rFonts w:ascii="Calibri" w:hAnsi="Calibri" w:cs="Calibri"/>
          <w:color w:val="000000"/>
          <w:szCs w:val="15"/>
          <w:shd w:val="clear" w:color="auto" w:fill="FFFFFF"/>
          <w:lang w:eastAsia="en-AU"/>
        </w:rPr>
        <w:t> </w:t>
      </w:r>
      <w:r w:rsidRPr="00421C05">
        <w:rPr>
          <w:szCs w:val="15"/>
        </w:rPr>
        <w:t xml:space="preserve">at </w:t>
      </w:r>
      <w:r w:rsidRPr="00421C05">
        <w:rPr>
          <w:rFonts w:ascii="Calibri" w:hAnsi="Calibri" w:cs="Calibri"/>
          <w:szCs w:val="15"/>
        </w:rPr>
        <w:t>§</w:t>
      </w:r>
      <w:r w:rsidRPr="00421C05">
        <w:rPr>
          <w:szCs w:val="15"/>
        </w:rPr>
        <w:t xml:space="preserve"> 13:21, 13:58; and Parliamentary Joint Committee on Corporations and Financial Services </w:t>
      </w:r>
      <w:r w:rsidRPr="00421C05">
        <w:rPr>
          <w:i/>
          <w:szCs w:val="15"/>
        </w:rPr>
        <w:t>Litigation funding and the regulation of the class action industry</w:t>
      </w:r>
      <w:r w:rsidRPr="00421C05">
        <w:rPr>
          <w:i/>
          <w:iCs/>
          <w:szCs w:val="15"/>
        </w:rPr>
        <w:t xml:space="preserve"> </w:t>
      </w:r>
      <w:r w:rsidRPr="00421C05">
        <w:rPr>
          <w:szCs w:val="15"/>
        </w:rPr>
        <w:t xml:space="preserve">(December 2020) at [12.12], [12.51] and [12.53]–[12.54]. </w:t>
      </w:r>
    </w:p>
  </w:footnote>
  <w:footnote w:id="749">
    <w:p w14:paraId="6E1DC07E" w14:textId="333C38C8"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w:t>
      </w:r>
      <w:r w:rsidRPr="00421C05">
        <w:rPr>
          <w:rFonts w:asciiTheme="minorHAnsi" w:hAnsiTheme="minorHAnsi" w:cstheme="minorHAnsi"/>
          <w:szCs w:val="15"/>
          <w:lang w:eastAsia="en-AU"/>
        </w:rPr>
        <w:t xml:space="preserve"> </w:t>
      </w:r>
      <w:r w:rsidRPr="00421C05">
        <w:rPr>
          <w:szCs w:val="15"/>
        </w:rPr>
        <w:t xml:space="preserve">Michael Legg "Class action settlements in Australia - the need for greater scrutiny" (2014) 38 MULR 590 at 600; and </w:t>
      </w:r>
      <w:r w:rsidRPr="00421C05">
        <w:rPr>
          <w:color w:val="000000"/>
          <w:szCs w:val="15"/>
          <w:shd w:val="clear" w:color="auto" w:fill="FFFFFF"/>
          <w:lang w:eastAsia="en-AU"/>
        </w:rPr>
        <w:t>Jasminka</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Kalajdzic</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Class Actions in Canada: The Promise and Reality of Access to Justice</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(UBC Press, Vancouver, 2018) at 103.</w:t>
      </w:r>
    </w:p>
  </w:footnote>
  <w:footnote w:id="750">
    <w:p w14:paraId="066E9A7D" w14:textId="746C89D8" w:rsidR="00A55F53" w:rsidRPr="00421C05" w:rsidRDefault="00A55F53" w:rsidP="00DD0F04">
      <w:pPr>
        <w:pStyle w:val="FootnoteText"/>
        <w:rPr>
          <w:rFonts w:cstheme="minorHAnsi"/>
          <w:szCs w:val="15"/>
        </w:rPr>
      </w:pPr>
      <w:r w:rsidRPr="00421C05">
        <w:rPr>
          <w:rStyle w:val="FootnoteReference"/>
          <w:rFonts w:cstheme="minorHAnsi"/>
          <w:sz w:val="15"/>
          <w:szCs w:val="15"/>
        </w:rPr>
        <w:footnoteRef/>
      </w:r>
      <w:r w:rsidRPr="00421C05">
        <w:rPr>
          <w:rFonts w:cstheme="minorHAnsi"/>
          <w:szCs w:val="15"/>
        </w:rPr>
        <w:t xml:space="preserve"> </w:t>
      </w:r>
      <w:r w:rsidRPr="00421C05">
        <w:rPr>
          <w:rFonts w:cstheme="minorHAnsi"/>
          <w:szCs w:val="15"/>
        </w:rPr>
        <w:tab/>
      </w:r>
      <w:r w:rsidRPr="00421C05">
        <w:rPr>
          <w:rFonts w:cstheme="minorHAnsi"/>
          <w:szCs w:val="15"/>
          <w:lang w:val="mi-NZ"/>
        </w:rPr>
        <w:t xml:space="preserve">Victorian Law Reform Commission </w:t>
      </w:r>
      <w:r w:rsidRPr="00421C05">
        <w:rPr>
          <w:rFonts w:cstheme="minorHAnsi"/>
          <w:i/>
          <w:szCs w:val="15"/>
          <w:lang w:val="mi-NZ"/>
        </w:rPr>
        <w:t xml:space="preserve">Access to Justice – Litigation and Group Proceedings: Report </w:t>
      </w:r>
      <w:r w:rsidRPr="00421C05">
        <w:rPr>
          <w:rFonts w:cstheme="minorHAnsi"/>
          <w:szCs w:val="15"/>
          <w:lang w:val="mi-NZ"/>
        </w:rPr>
        <w:t>(March 2018) at 4.186-4.187.</w:t>
      </w:r>
    </w:p>
  </w:footnote>
  <w:footnote w:id="751">
    <w:p w14:paraId="5C295280" w14:textId="79AFB86B"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for example “Our Mission and Services” (22 July 2021) Windsor Law: Class Action Clinic &lt;</w:t>
      </w:r>
      <w:hyperlink r:id="rId7" w:history="1">
        <w:r w:rsidRPr="00421C05">
          <w:rPr>
            <w:rStyle w:val="Hyperlink"/>
            <w:szCs w:val="15"/>
          </w:rPr>
          <w:t>www.classactionclinic.com</w:t>
        </w:r>
      </w:hyperlink>
      <w:r w:rsidRPr="00421C05">
        <w:rPr>
          <w:szCs w:val="15"/>
        </w:rPr>
        <w:t xml:space="preserve">&gt;. </w:t>
      </w:r>
    </w:p>
  </w:footnote>
  <w:footnote w:id="752">
    <w:p w14:paraId="384ECEF8" w14:textId="285B154B"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Southern Response Earthquake Services Ltd v Ross </w:t>
      </w:r>
      <w:r w:rsidRPr="00421C05">
        <w:rPr>
          <w:szCs w:val="15"/>
        </w:rPr>
        <w:t xml:space="preserve">[2020] NZSC 126 at [82]. The Court cited the Federal Court of Australia class actions practice note, which provides that the material filed in support of an application for approval of a settlement will usually be required to include the terms of any advice received from any independent expert in relation to the issues which arise in the proceeding. It may be the Supreme Court envisaged a similar approach, rather an independent expert appearing at a settlement approval hearing. See </w:t>
      </w:r>
      <w:r w:rsidRPr="00421C05">
        <w:rPr>
          <w:i/>
          <w:szCs w:val="15"/>
        </w:rPr>
        <w:t>Class Actions Practice Note</w:t>
      </w:r>
      <w:r w:rsidRPr="00421C05">
        <w:rPr>
          <w:szCs w:val="15"/>
        </w:rPr>
        <w:t xml:space="preserve"> (Federal Court of Australia, Practice Note GPN-CA, December 2019) at [15.5(j)].</w:t>
      </w:r>
    </w:p>
  </w:footnote>
  <w:footnote w:id="753">
    <w:p w14:paraId="4266CB19" w14:textId="703876DB"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Michael Legg "Class action settlements in Australia - the need for greater scrutiny" (2014) 38 MULR 590 at 611-613; and </w:t>
      </w:r>
      <w:r w:rsidRPr="00421C05">
        <w:rPr>
          <w:i/>
          <w:color w:val="0D0D0D"/>
          <w:szCs w:val="15"/>
          <w:shd w:val="clear" w:color="auto" w:fill="FFFFFF"/>
          <w:lang w:eastAsia="en-AU"/>
        </w:rPr>
        <w:t>Conduct of Group Proceedings (Class Actions)</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(Supreme Court of Victoria,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SC Gen 10, October 2020) at [16.8]. The Victorian Law Reform Commission has recommended that the practice note should include guidance for the appointment of a contradictor: </w:t>
      </w:r>
      <w:r w:rsidRPr="00421C05">
        <w:rPr>
          <w:color w:val="0D0D0D"/>
          <w:szCs w:val="15"/>
          <w:shd w:val="clear" w:color="auto" w:fill="FFFFFF"/>
          <w:lang w:val="mi-NZ" w:eastAsia="en-AU"/>
        </w:rPr>
        <w:t xml:space="preserve">Victorian Law Reform Commission </w:t>
      </w:r>
      <w:r w:rsidRPr="00421C05">
        <w:rPr>
          <w:i/>
          <w:color w:val="0D0D0D"/>
          <w:szCs w:val="15"/>
          <w:shd w:val="clear" w:color="auto" w:fill="FFFFFF"/>
          <w:lang w:val="mi-NZ" w:eastAsia="en-AU"/>
        </w:rPr>
        <w:t xml:space="preserve">Access to Justice </w:t>
      </w:r>
      <w:r w:rsidRPr="00421C05">
        <w:rPr>
          <w:rStyle w:val="normaltextrun"/>
          <w:color w:val="000000"/>
          <w:szCs w:val="15"/>
          <w:shd w:val="clear" w:color="auto" w:fill="FFFFFF"/>
        </w:rPr>
        <w:t>–</w:t>
      </w:r>
      <w:r w:rsidRPr="00421C05">
        <w:rPr>
          <w:rStyle w:val="normaltextrun"/>
          <w:rFonts w:ascii="Calibri" w:hAnsi="Calibri" w:cs="Calibri"/>
          <w:color w:val="000000"/>
          <w:szCs w:val="15"/>
          <w:shd w:val="clear" w:color="auto" w:fill="FFFFFF"/>
        </w:rPr>
        <w:t> </w:t>
      </w:r>
      <w:r w:rsidRPr="00421C05">
        <w:rPr>
          <w:i/>
          <w:color w:val="0D0D0D"/>
          <w:szCs w:val="15"/>
          <w:shd w:val="clear" w:color="auto" w:fill="FFFFFF"/>
          <w:lang w:val="mi-NZ" w:eastAsia="en-AU"/>
        </w:rPr>
        <w:t xml:space="preserve">Litigation and Group Proceedings: Report </w:t>
      </w:r>
      <w:r w:rsidRPr="00421C05">
        <w:rPr>
          <w:color w:val="0D0D0D"/>
          <w:szCs w:val="15"/>
          <w:shd w:val="clear" w:color="auto" w:fill="FFFFFF"/>
          <w:lang w:val="mi-NZ" w:eastAsia="en-AU"/>
        </w:rPr>
        <w:t>(March 2018) at 102.</w:t>
      </w:r>
    </w:p>
  </w:footnote>
  <w:footnote w:id="754">
    <w:p w14:paraId="7C8A5119" w14:textId="1F81EF14"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D0D0D"/>
          <w:szCs w:val="15"/>
          <w:shd w:val="clear" w:color="auto" w:fill="FFFFFF"/>
          <w:lang w:val="mi-NZ" w:eastAsia="en-AU"/>
        </w:rPr>
        <w:t xml:space="preserve">Victorian Law Reform Commission </w:t>
      </w:r>
      <w:r w:rsidRPr="00421C05">
        <w:rPr>
          <w:i/>
          <w:color w:val="0D0D0D"/>
          <w:szCs w:val="15"/>
          <w:shd w:val="clear" w:color="auto" w:fill="FFFFFF"/>
          <w:lang w:val="mi-NZ" w:eastAsia="en-AU"/>
        </w:rPr>
        <w:t xml:space="preserve">Access to Justice – Litigation and Group Proceedings: Report </w:t>
      </w:r>
      <w:r w:rsidRPr="00421C05">
        <w:rPr>
          <w:color w:val="0D0D0D"/>
          <w:szCs w:val="15"/>
          <w:shd w:val="clear" w:color="auto" w:fill="FFFFFF"/>
          <w:lang w:val="mi-NZ" w:eastAsia="en-AU"/>
        </w:rPr>
        <w:t>(March 2018) at [4.182]. It recommended a presumption in favour of appointing a contradictor in claims brought in the Common Law Division of the Supreme Court of Victoria. Cases heard by this Division include: claims in property, tort and contract law; wills and estates litigation; claims arising out of breaches of trust or equitable obligation; employment and industrial issues; and cases relating to the Court’s supervisory juridiction over other Victorian courts, tribunals and public officials: see &lt;</w:t>
      </w:r>
      <w:hyperlink r:id="rId8" w:history="1">
        <w:r w:rsidRPr="00421C05">
          <w:rPr>
            <w:rStyle w:val="Hyperlink"/>
            <w:szCs w:val="15"/>
            <w:shd w:val="clear" w:color="auto" w:fill="FFFFFF"/>
            <w:lang w:val="mi-NZ" w:eastAsia="en-AU"/>
          </w:rPr>
          <w:t>www.supremecourt.vic.gov.au</w:t>
        </w:r>
      </w:hyperlink>
      <w:r w:rsidRPr="00421C05">
        <w:rPr>
          <w:color w:val="0D0D0D"/>
          <w:szCs w:val="15"/>
          <w:shd w:val="clear" w:color="auto" w:fill="FFFFFF"/>
          <w:lang w:val="mi-NZ" w:eastAsia="en-AU"/>
        </w:rPr>
        <w:t>&gt;.</w:t>
      </w:r>
    </w:p>
  </w:footnote>
  <w:footnote w:id="755">
    <w:p w14:paraId="6156362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szCs w:val="15"/>
        </w:rPr>
        <w:t xml:space="preserve">Litigation funding and the regulation of the class action industry </w:t>
      </w:r>
      <w:r w:rsidRPr="00421C05">
        <w:rPr>
          <w:szCs w:val="15"/>
        </w:rPr>
        <w:t>(December 2020) at [12.70].</w:t>
      </w:r>
    </w:p>
  </w:footnote>
  <w:footnote w:id="756">
    <w:p w14:paraId="43692D32"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Style w:val="normaltextrun"/>
          <w:color w:val="000000"/>
          <w:szCs w:val="15"/>
          <w:shd w:val="clear" w:color="auto" w:fill="FFFFFF"/>
        </w:rPr>
        <w:t>Law Commission of</w:t>
      </w:r>
      <w:r w:rsidRPr="00421C05">
        <w:rPr>
          <w:rStyle w:val="normaltextrun"/>
          <w:rFonts w:ascii="Calibri" w:hAnsi="Calibri" w:cs="Calibri"/>
          <w:color w:val="000000"/>
          <w:szCs w:val="15"/>
          <w:shd w:val="clear" w:color="auto" w:fill="FFFFFF"/>
        </w:rPr>
        <w:t> </w:t>
      </w:r>
      <w:r w:rsidRPr="00421C05">
        <w:rPr>
          <w:rStyle w:val="findhit"/>
          <w:color w:val="000000"/>
          <w:szCs w:val="15"/>
          <w:shd w:val="clear" w:color="auto" w:fill="FFFFFF"/>
        </w:rPr>
        <w:t>Ontario</w:t>
      </w:r>
      <w:r w:rsidRPr="00421C05">
        <w:rPr>
          <w:rStyle w:val="normaltextrun"/>
          <w:rFonts w:ascii="Calibri" w:hAnsi="Calibri" w:cs="Calibri"/>
          <w:color w:val="000000"/>
          <w:szCs w:val="15"/>
          <w:shd w:val="clear" w:color="auto" w:fill="FFFFFF"/>
        </w:rPr>
        <w:t> </w:t>
      </w:r>
      <w:r w:rsidRPr="00421C05">
        <w:rPr>
          <w:rStyle w:val="normaltextrun"/>
          <w:i/>
          <w:color w:val="000000"/>
          <w:szCs w:val="15"/>
          <w:shd w:val="clear" w:color="auto" w:fill="FFFFFF"/>
        </w:rPr>
        <w:t>Class Actions: Objectives, Experiences and Reforms</w:t>
      </w:r>
      <w:r w:rsidRPr="00421C05">
        <w:rPr>
          <w:rStyle w:val="normaltextrun"/>
          <w:rFonts w:ascii="Calibri" w:hAnsi="Calibri" w:cs="Calibri"/>
          <w:i/>
          <w:color w:val="000000"/>
          <w:szCs w:val="15"/>
          <w:shd w:val="clear" w:color="auto" w:fill="FFFFFF"/>
        </w:rPr>
        <w:t> </w:t>
      </w:r>
      <w:r w:rsidRPr="00421C05">
        <w:rPr>
          <w:rStyle w:val="normaltextrun"/>
          <w:color w:val="000000"/>
          <w:szCs w:val="15"/>
          <w:shd w:val="clear" w:color="auto" w:fill="FFFFFF"/>
        </w:rPr>
        <w:t>–</w:t>
      </w:r>
      <w:r w:rsidRPr="00421C05">
        <w:rPr>
          <w:rStyle w:val="normaltextrun"/>
          <w:rFonts w:ascii="Calibri" w:hAnsi="Calibri" w:cs="Calibri"/>
          <w:color w:val="000000"/>
          <w:szCs w:val="15"/>
          <w:shd w:val="clear" w:color="auto" w:fill="FFFFFF"/>
        </w:rPr>
        <w:t> </w:t>
      </w:r>
      <w:r w:rsidRPr="00421C05">
        <w:rPr>
          <w:rStyle w:val="normaltextrun"/>
          <w:i/>
          <w:color w:val="000000"/>
          <w:szCs w:val="15"/>
          <w:shd w:val="clear" w:color="auto" w:fill="FFFFFF"/>
        </w:rPr>
        <w:t>Final Report</w:t>
      </w:r>
      <w:r w:rsidRPr="00421C05">
        <w:rPr>
          <w:rStyle w:val="normaltextrun"/>
          <w:rFonts w:ascii="Calibri" w:hAnsi="Calibri" w:cs="Calibri"/>
          <w:color w:val="000000"/>
          <w:szCs w:val="15"/>
          <w:shd w:val="clear" w:color="auto" w:fill="FFFFFF"/>
        </w:rPr>
        <w:t> </w:t>
      </w:r>
      <w:r w:rsidRPr="00421C05">
        <w:rPr>
          <w:rStyle w:val="normaltextrun"/>
          <w:color w:val="000000"/>
          <w:szCs w:val="15"/>
          <w:shd w:val="clear" w:color="auto" w:fill="FFFFFF"/>
        </w:rPr>
        <w:t>(July 2019)</w:t>
      </w:r>
      <w:r w:rsidRPr="00421C05">
        <w:rPr>
          <w:szCs w:val="15"/>
        </w:rPr>
        <w:t xml:space="preserve"> at 56-57. It does not appear the Ontario Government accepted this recommendation as this was not part of the 2020 amendments to the Class Proceedings Act SO 1992 c 6 (Ontario). </w:t>
      </w:r>
    </w:p>
  </w:footnote>
  <w:footnote w:id="757">
    <w:p w14:paraId="34F7B0A1"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Style w:val="normaltextrun"/>
          <w:color w:val="000000"/>
          <w:szCs w:val="15"/>
          <w:shd w:val="clear" w:color="auto" w:fill="FFFFFF"/>
        </w:rPr>
        <w:t>Law Commission of</w:t>
      </w:r>
      <w:r w:rsidRPr="00421C05">
        <w:rPr>
          <w:rStyle w:val="normaltextrun"/>
          <w:rFonts w:ascii="Calibri" w:hAnsi="Calibri" w:cs="Calibri"/>
          <w:color w:val="000000"/>
          <w:szCs w:val="15"/>
          <w:shd w:val="clear" w:color="auto" w:fill="FFFFFF"/>
        </w:rPr>
        <w:t> </w:t>
      </w:r>
      <w:r w:rsidRPr="00421C05">
        <w:rPr>
          <w:rStyle w:val="findhit"/>
          <w:color w:val="000000"/>
          <w:szCs w:val="15"/>
          <w:shd w:val="clear" w:color="auto" w:fill="FFFFFF"/>
        </w:rPr>
        <w:t>Ontario</w:t>
      </w:r>
      <w:r w:rsidRPr="00421C05">
        <w:rPr>
          <w:rStyle w:val="normaltextrun"/>
          <w:rFonts w:ascii="Calibri" w:hAnsi="Calibri" w:cs="Calibri"/>
          <w:color w:val="000000"/>
          <w:szCs w:val="15"/>
          <w:shd w:val="clear" w:color="auto" w:fill="FFFFFF"/>
        </w:rPr>
        <w:t> </w:t>
      </w:r>
      <w:r w:rsidRPr="00421C05">
        <w:rPr>
          <w:rStyle w:val="normaltextrun"/>
          <w:i/>
          <w:color w:val="000000"/>
          <w:szCs w:val="15"/>
          <w:shd w:val="clear" w:color="auto" w:fill="FFFFFF"/>
        </w:rPr>
        <w:t>Class Actions: Objectives, Experiences and Reforms</w:t>
      </w:r>
      <w:r w:rsidRPr="00421C05">
        <w:rPr>
          <w:rStyle w:val="normaltextrun"/>
          <w:rFonts w:ascii="Calibri" w:hAnsi="Calibri" w:cs="Calibri"/>
          <w:i/>
          <w:color w:val="000000"/>
          <w:szCs w:val="15"/>
          <w:shd w:val="clear" w:color="auto" w:fill="FFFFFF"/>
        </w:rPr>
        <w:t> </w:t>
      </w:r>
      <w:bookmarkStart w:id="100" w:name="_Hlk83812747"/>
      <w:r w:rsidRPr="00421C05">
        <w:rPr>
          <w:rStyle w:val="normaltextrun"/>
          <w:color w:val="000000"/>
          <w:szCs w:val="15"/>
          <w:shd w:val="clear" w:color="auto" w:fill="FFFFFF"/>
        </w:rPr>
        <w:t>–</w:t>
      </w:r>
      <w:r w:rsidRPr="00421C05">
        <w:rPr>
          <w:rStyle w:val="normaltextrun"/>
          <w:rFonts w:ascii="Calibri" w:hAnsi="Calibri" w:cs="Calibri"/>
          <w:color w:val="000000"/>
          <w:szCs w:val="15"/>
          <w:shd w:val="clear" w:color="auto" w:fill="FFFFFF"/>
        </w:rPr>
        <w:t> </w:t>
      </w:r>
      <w:bookmarkEnd w:id="100"/>
      <w:r w:rsidRPr="00421C05">
        <w:rPr>
          <w:rStyle w:val="normaltextrun"/>
          <w:i/>
          <w:color w:val="000000"/>
          <w:szCs w:val="15"/>
          <w:shd w:val="clear" w:color="auto" w:fill="FFFFFF"/>
        </w:rPr>
        <w:t>Final Report</w:t>
      </w:r>
      <w:r w:rsidRPr="00421C05">
        <w:rPr>
          <w:rStyle w:val="normaltextrun"/>
          <w:rFonts w:ascii="Calibri" w:hAnsi="Calibri" w:cs="Calibri"/>
          <w:color w:val="000000"/>
          <w:szCs w:val="15"/>
          <w:shd w:val="clear" w:color="auto" w:fill="FFFFFF"/>
        </w:rPr>
        <w:t> </w:t>
      </w:r>
      <w:r w:rsidRPr="00421C05">
        <w:rPr>
          <w:rStyle w:val="normaltextrun"/>
          <w:color w:val="000000"/>
          <w:szCs w:val="15"/>
          <w:shd w:val="clear" w:color="auto" w:fill="FFFFFF"/>
        </w:rPr>
        <w:t>(July 2019)</w:t>
      </w:r>
      <w:r w:rsidRPr="00421C05">
        <w:rPr>
          <w:szCs w:val="15"/>
        </w:rPr>
        <w:t xml:space="preserve"> at 56.</w:t>
      </w:r>
    </w:p>
  </w:footnote>
  <w:footnote w:id="758">
    <w:p w14:paraId="1D3FE5AF" w14:textId="3A93F29C" w:rsidR="00A55F53" w:rsidRPr="00421C05" w:rsidRDefault="00A55F53" w:rsidP="00DD0F04">
      <w:pPr>
        <w:pStyle w:val="FootnoteText"/>
        <w:rPr>
          <w:szCs w:val="15"/>
          <w:lang w:val="mi-NZ"/>
        </w:rPr>
      </w:pPr>
      <w:r w:rsidRPr="00421C05">
        <w:rPr>
          <w:rStyle w:val="FootnoteReference"/>
          <w:rFonts w:cstheme="minorHAnsi"/>
          <w:sz w:val="15"/>
          <w:szCs w:val="15"/>
        </w:rPr>
        <w:footnoteRef/>
      </w:r>
      <w:r w:rsidRPr="00421C05">
        <w:rPr>
          <w:rFonts w:cstheme="minorHAnsi"/>
          <w:szCs w:val="15"/>
        </w:rPr>
        <w:t xml:space="preserve"> </w:t>
      </w:r>
      <w:r w:rsidRPr="00421C05">
        <w:rPr>
          <w:rFonts w:cstheme="minorHAnsi"/>
          <w:szCs w:val="15"/>
        </w:rPr>
        <w:tab/>
        <w:t xml:space="preserve">Garry D Watson </w:t>
      </w:r>
      <w:r w:rsidRPr="00421C05">
        <w:rPr>
          <w:rFonts w:cstheme="minorHAnsi"/>
          <w:i/>
          <w:iCs/>
          <w:szCs w:val="15"/>
        </w:rPr>
        <w:t>Holmested and Watson: Ontario Civil Procedure</w:t>
      </w:r>
      <w:r w:rsidRPr="00421C05">
        <w:rPr>
          <w:rFonts w:cstheme="minorHAnsi"/>
          <w:szCs w:val="15"/>
        </w:rPr>
        <w:t xml:space="preserve"> (online ed, Thomson Reuters) at </w:t>
      </w:r>
      <w:r w:rsidRPr="00421C05">
        <w:rPr>
          <w:rFonts w:ascii="Calibri" w:hAnsi="Calibri" w:cs="Calibri"/>
          <w:szCs w:val="15"/>
        </w:rPr>
        <w:t>§</w:t>
      </w:r>
      <w:r w:rsidRPr="00421C05">
        <w:rPr>
          <w:rFonts w:cstheme="minorHAnsi"/>
          <w:szCs w:val="15"/>
        </w:rPr>
        <w:t xml:space="preserve"> 27:39. </w:t>
      </w:r>
    </w:p>
  </w:footnote>
  <w:footnote w:id="759">
    <w:p w14:paraId="375B3235"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Corporations Act 2001 (Cth), s 1330.</w:t>
      </w:r>
    </w:p>
  </w:footnote>
  <w:footnote w:id="760">
    <w:p w14:paraId="40A1E79B" w14:textId="77777777" w:rsidR="00A55F53" w:rsidRPr="00421C05" w:rsidRDefault="00A55F53" w:rsidP="00DD0F04">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Australian Securities and Investments Commission v Richards </w:t>
      </w:r>
      <w:r w:rsidRPr="00421C05">
        <w:rPr>
          <w:szCs w:val="15"/>
        </w:rPr>
        <w:t xml:space="preserve">[2013] FCAFC 89 at [4]. </w:t>
      </w:r>
    </w:p>
  </w:footnote>
  <w:footnote w:id="761">
    <w:p w14:paraId="1E3F02A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Class Action Fairness Act of 2005 Pub L No 109-2, 118 Stat 4 at </w:t>
      </w:r>
      <w:r w:rsidRPr="00421C05">
        <w:rPr>
          <w:rFonts w:ascii="Calibri" w:hAnsi="Calibri" w:cs="Calibri"/>
          <w:szCs w:val="15"/>
        </w:rPr>
        <w:t>§</w:t>
      </w:r>
      <w:r w:rsidRPr="00421C05">
        <w:rPr>
          <w:szCs w:val="15"/>
        </w:rPr>
        <w:t xml:space="preserve"> 1715(b). See also</w:t>
      </w:r>
      <w:r w:rsidRPr="00421C05">
        <w:rPr>
          <w:rFonts w:cs="Metropolis"/>
          <w:szCs w:val="15"/>
        </w:rPr>
        <w:t xml:space="preserve"> </w:t>
      </w:r>
      <w:r w:rsidRPr="00421C05">
        <w:rPr>
          <w:color w:val="auto"/>
          <w:szCs w:val="15"/>
        </w:rPr>
        <w:t xml:space="preserve">William Rubenstein </w:t>
      </w:r>
      <w:r w:rsidRPr="00421C05">
        <w:rPr>
          <w:i/>
          <w:szCs w:val="15"/>
        </w:rPr>
        <w:t>Newberg on Class Actions</w:t>
      </w:r>
      <w:r w:rsidRPr="00421C05">
        <w:rPr>
          <w:szCs w:val="15"/>
        </w:rPr>
        <w:t xml:space="preserve"> (online ed, Thomson Reuters) </w:t>
      </w:r>
      <w:r w:rsidRPr="00421C05">
        <w:rPr>
          <w:rFonts w:cs="Metropolis"/>
          <w:szCs w:val="15"/>
        </w:rPr>
        <w:t xml:space="preserve">at </w:t>
      </w:r>
      <w:r w:rsidRPr="00421C05">
        <w:rPr>
          <w:rFonts w:ascii="Calibri" w:hAnsi="Calibri" w:cs="Calibri"/>
          <w:szCs w:val="15"/>
        </w:rPr>
        <w:t>§</w:t>
      </w:r>
      <w:r w:rsidRPr="00421C05">
        <w:rPr>
          <w:szCs w:val="15"/>
        </w:rPr>
        <w:t xml:space="preserve"> </w:t>
      </w:r>
      <w:r w:rsidRPr="00421C05">
        <w:rPr>
          <w:rFonts w:cs="Metropolis"/>
          <w:szCs w:val="15"/>
        </w:rPr>
        <w:t xml:space="preserve">13:26. </w:t>
      </w:r>
    </w:p>
  </w:footnote>
  <w:footnote w:id="762">
    <w:p w14:paraId="72564065" w14:textId="16E4DF1C"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8.</w:t>
      </w:r>
    </w:p>
  </w:footnote>
  <w:footnote w:id="763">
    <w:p w14:paraId="71F16091"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think this is appropriate given that the Crown could be a party to a class action. </w:t>
      </w:r>
    </w:p>
  </w:footnote>
  <w:footnote w:id="764">
    <w:p w14:paraId="5412A0DF"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note that the Australian Parliamentary Inquiry recommended the Government implement a procedure to facilitate class members’ concerns and objections being conveyed to a contradictor when appointed: Parliamentary Joint Committee on Corporations and Financial Services </w:t>
      </w:r>
      <w:r w:rsidRPr="00421C05">
        <w:rPr>
          <w:i/>
          <w:szCs w:val="15"/>
        </w:rPr>
        <w:t xml:space="preserve">Litigation funding and the regulation of the class action industry </w:t>
      </w:r>
      <w:r w:rsidRPr="00421C05">
        <w:rPr>
          <w:szCs w:val="15"/>
        </w:rPr>
        <w:t>(December 2020) at [12.71]. This recommendation is echoed in Georgina Dimopoulos and Vince Morabito “An Australian Perspective on the Judicial Review of Class Action Settlements” (2021) 29 NZULR 529 at 546.</w:t>
      </w:r>
    </w:p>
  </w:footnote>
  <w:footnote w:id="765">
    <w:p w14:paraId="69B27123" w14:textId="6454ECE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8.</w:t>
      </w:r>
    </w:p>
  </w:footnote>
  <w:footnote w:id="766">
    <w:p w14:paraId="7DAB3BA7"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High Court Rules 2016, r 9.36.</w:t>
      </w:r>
    </w:p>
  </w:footnote>
  <w:footnote w:id="767">
    <w:p w14:paraId="2D1C841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Southern Response Earthquake Services Ltd v Ross </w:t>
      </w:r>
      <w:r w:rsidRPr="00421C05">
        <w:rPr>
          <w:szCs w:val="15"/>
        </w:rPr>
        <w:t>[2019] NZSC 140 at [1].</w:t>
      </w:r>
    </w:p>
  </w:footnote>
  <w:footnote w:id="768">
    <w:p w14:paraId="3A04E530"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Note that the Victorian Law Reform Commission has recommended that the test for approving a settlement should be included in legislation: </w:t>
      </w:r>
      <w:r w:rsidRPr="00421C05">
        <w:rPr>
          <w:szCs w:val="15"/>
          <w:lang w:val="mi-NZ"/>
        </w:rPr>
        <w:t xml:space="preserve">Victorian Law Reform Commission </w:t>
      </w:r>
      <w:r w:rsidRPr="00421C05">
        <w:rPr>
          <w:i/>
          <w:szCs w:val="15"/>
          <w:lang w:val="mi-NZ"/>
        </w:rPr>
        <w:t xml:space="preserve">Access to Justice – Litigation and Group Proceedings: Report </w:t>
      </w:r>
      <w:r w:rsidRPr="00421C05">
        <w:rPr>
          <w:szCs w:val="15"/>
          <w:lang w:val="mi-NZ"/>
        </w:rPr>
        <w:t>(March 2018) at [4.176].</w:t>
      </w:r>
    </w:p>
  </w:footnote>
  <w:footnote w:id="769">
    <w:p w14:paraId="68D9330F" w14:textId="3B1E08F1"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Prygodicz v Commonwealth (No 2) </w:t>
      </w:r>
      <w:r w:rsidRPr="00421C05">
        <w:rPr>
          <w:szCs w:val="15"/>
        </w:rPr>
        <w:t xml:space="preserve">[2021] FCA 634 at [85]. See also </w:t>
      </w:r>
      <w:r w:rsidRPr="00421C05">
        <w:rPr>
          <w:i/>
          <w:szCs w:val="15"/>
        </w:rPr>
        <w:t xml:space="preserve">Evans v Davantage Group Pty Ltd (No 3) </w:t>
      </w:r>
      <w:r w:rsidRPr="00421C05">
        <w:rPr>
          <w:szCs w:val="15"/>
        </w:rPr>
        <w:t xml:space="preserve">[2021] FCA 70 at [15]; and </w:t>
      </w:r>
      <w:r w:rsidRPr="00421C05">
        <w:rPr>
          <w:i/>
          <w:szCs w:val="15"/>
        </w:rPr>
        <w:t xml:space="preserve">Blairgowrie Trading Ltd v Allco Finance Group Ltd (No 3) </w:t>
      </w:r>
      <w:r w:rsidRPr="00421C05">
        <w:rPr>
          <w:szCs w:val="15"/>
        </w:rPr>
        <w:t>[2017] FCA 330, (2017) 343 ALR 476 at [81].</w:t>
      </w:r>
    </w:p>
  </w:footnote>
  <w:footnote w:id="770">
    <w:p w14:paraId="6F88B15F" w14:textId="0A49EB3B"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color w:val="0D0D0D"/>
          <w:szCs w:val="15"/>
          <w:shd w:val="clear" w:color="auto" w:fill="FFFFFF"/>
          <w:lang w:eastAsia="en-AU"/>
        </w:rPr>
        <w:t>Class Actions</w:t>
      </w:r>
      <w:r w:rsidRPr="00421C05">
        <w:rPr>
          <w:rFonts w:ascii="Calibri" w:hAnsi="Calibri" w:cs="Calibri"/>
          <w:i/>
          <w:color w:val="0D0D0D"/>
          <w:szCs w:val="15"/>
          <w:shd w:val="clear" w:color="auto" w:fill="FFFFFF"/>
          <w:lang w:eastAsia="en-AU"/>
        </w:rPr>
        <w:t> </w:t>
      </w:r>
      <w:r w:rsidRPr="00421C05">
        <w:rPr>
          <w:i/>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GPN-CA, December 2019) at [15.3]. Courts have described these as the two “critical questions”:</w:t>
      </w:r>
      <w:r w:rsidRPr="00421C05">
        <w:rPr>
          <w:szCs w:val="15"/>
        </w:rPr>
        <w:t xml:space="preserve"> </w:t>
      </w:r>
      <w:r w:rsidRPr="00421C05">
        <w:rPr>
          <w:color w:val="0D0D0D"/>
          <w:szCs w:val="15"/>
          <w:shd w:val="clear" w:color="auto" w:fill="FFFFFF"/>
          <w:lang w:eastAsia="en-AU"/>
        </w:rPr>
        <w:t xml:space="preserve">Michael Legg and Ross McInnes Australian Annotated Class Actions Legislation (2nd ed, LexisNexis Butterworths, Chatswood, 2018) </w:t>
      </w:r>
      <w:r w:rsidRPr="00421C05">
        <w:rPr>
          <w:color w:val="0D0D0D"/>
          <w:szCs w:val="15"/>
          <w:shd w:val="clear" w:color="auto" w:fill="FFFFFF"/>
          <w:lang w:val="en-GB" w:eastAsia="en-AU"/>
        </w:rPr>
        <w:t>at</w:t>
      </w:r>
      <w:r w:rsidRPr="00421C05">
        <w:rPr>
          <w:rFonts w:ascii="Calibri" w:hAnsi="Calibri" w:cs="Calibri"/>
          <w:color w:val="0D0D0D"/>
          <w:szCs w:val="15"/>
          <w:shd w:val="clear" w:color="auto" w:fill="FFFFFF"/>
          <w:lang w:val="en-GB" w:eastAsia="en-AU"/>
        </w:rPr>
        <w:t> </w:t>
      </w:r>
      <w:r w:rsidRPr="00421C05">
        <w:rPr>
          <w:color w:val="0D0D0D"/>
          <w:szCs w:val="15"/>
          <w:shd w:val="clear" w:color="auto" w:fill="FFFFFF"/>
          <w:lang w:val="mi-NZ" w:eastAsia="en-AU"/>
        </w:rPr>
        <w:t>22.5</w:t>
      </w:r>
      <w:r w:rsidRPr="00421C05">
        <w:rPr>
          <w:color w:val="0D0D0D"/>
          <w:szCs w:val="15"/>
          <w:shd w:val="clear" w:color="auto" w:fill="FFFFFF"/>
          <w:lang w:eastAsia="en-AU"/>
        </w:rPr>
        <w:t>.</w:t>
      </w:r>
    </w:p>
  </w:footnote>
  <w:footnote w:id="771">
    <w:p w14:paraId="6A096B11"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Dabbs v Sun Life Assurance Co of Canada </w:t>
      </w:r>
      <w:r w:rsidRPr="00421C05">
        <w:rPr>
          <w:szCs w:val="15"/>
        </w:rPr>
        <w:t xml:space="preserve">[1998] OJ No 1598 at [11]; Catherine Piché </w:t>
      </w:r>
      <w:r w:rsidRPr="00421C05">
        <w:rPr>
          <w:i/>
          <w:szCs w:val="15"/>
        </w:rPr>
        <w:t xml:space="preserve">A Critical Reappraisal of Class Action Settlement Procedure in Search of a New Standard of Fairness </w:t>
      </w:r>
      <w:r w:rsidRPr="00421C05">
        <w:rPr>
          <w:szCs w:val="15"/>
        </w:rPr>
        <w:t xml:space="preserve">(2009) 41 Ottawa L Rev 25 at 29 (noting that in both civil and common law provinces, the generally accepted standard is the </w:t>
      </w:r>
      <w:r w:rsidRPr="00421C05">
        <w:rPr>
          <w:i/>
          <w:szCs w:val="15"/>
        </w:rPr>
        <w:t xml:space="preserve">Dabbs </w:t>
      </w:r>
      <w:r w:rsidRPr="00421C05">
        <w:rPr>
          <w:szCs w:val="15"/>
        </w:rPr>
        <w:t xml:space="preserve">test). </w:t>
      </w:r>
    </w:p>
  </w:footnote>
  <w:footnote w:id="772">
    <w:p w14:paraId="065D5833"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val="mi-NZ" w:eastAsia="en-AU"/>
        </w:rPr>
        <w:t>Class Proceedings Act SO 1992 c 6 (Ontario), s 27.1(5) (“The court shall not approve a settlement unless it determines that the settlement is fair, reasonable and in the best interests of the class or subclass members, as the case may be”).</w:t>
      </w:r>
    </w:p>
  </w:footnote>
  <w:footnote w:id="773">
    <w:p w14:paraId="460D5B04"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Law Commission of Ontario</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Class Actions: Objectives, Experiences and Reforms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Final Report</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(July 2019)</w:t>
      </w:r>
      <w:r w:rsidRPr="00421C05">
        <w:rPr>
          <w:rFonts w:ascii="Calibri" w:hAnsi="Calibri" w:cs="Calibri"/>
          <w:color w:val="000000"/>
          <w:szCs w:val="15"/>
          <w:shd w:val="clear" w:color="auto" w:fill="FFFFFF"/>
          <w:lang w:eastAsia="en-AU"/>
        </w:rPr>
        <w:t> </w:t>
      </w:r>
      <w:r w:rsidRPr="00421C05">
        <w:rPr>
          <w:szCs w:val="15"/>
        </w:rPr>
        <w:t>at 55 and 57.</w:t>
      </w:r>
    </w:p>
  </w:footnote>
  <w:footnote w:id="774">
    <w:p w14:paraId="09699507"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United States Federal Rules of Civil Procedure, r 23(e)(2).</w:t>
      </w:r>
    </w:p>
  </w:footnote>
  <w:footnote w:id="775">
    <w:p w14:paraId="3286E896" w14:textId="24D05E50"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 Competition Appeal Tribunal Rules 2015 (UK), r 94(8).</w:t>
      </w:r>
    </w:p>
  </w:footnote>
  <w:footnote w:id="776">
    <w:p w14:paraId="7C95A16C" w14:textId="3754BD90"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w:t>
      </w:r>
    </w:p>
  </w:footnote>
  <w:footnote w:id="777">
    <w:p w14:paraId="135EB1C2" w14:textId="2C52DE1E"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i/>
          <w:szCs w:val="15"/>
        </w:rPr>
        <w:t xml:space="preserve">Darwalla Milling Company Pty v F Hoffman-La Roche Ltd (No 2) </w:t>
      </w:r>
      <w:r w:rsidRPr="00421C05">
        <w:rPr>
          <w:szCs w:val="15"/>
        </w:rPr>
        <w:t>[2006] FCA 1388,</w:t>
      </w:r>
      <w:r w:rsidRPr="00421C05">
        <w:rPr>
          <w:i/>
          <w:szCs w:val="15"/>
        </w:rPr>
        <w:t xml:space="preserve"> </w:t>
      </w:r>
      <w:r w:rsidRPr="00421C05">
        <w:rPr>
          <w:szCs w:val="15"/>
        </w:rPr>
        <w:t xml:space="preserve">(2006) 236 ALR 322 at [50] (“There will rarely, if ever, be a case in which there is a unique outcome which should be regarded as the only fair and reasonable one … So long as the agreed settlement falls within the range of fair and reasonable outcomes, taking everything into account, it should be regarded as qualifying for approval under s 33V”); </w:t>
      </w:r>
      <w:r w:rsidRPr="00421C05">
        <w:rPr>
          <w:i/>
          <w:szCs w:val="15"/>
        </w:rPr>
        <w:t xml:space="preserve">Nunes v Air Transat A.T. Inc </w:t>
      </w:r>
      <w:r w:rsidRPr="00421C05">
        <w:rPr>
          <w:szCs w:val="15"/>
        </w:rPr>
        <w:t xml:space="preserve">[2005] 140 ACWS (3d) 25 (ONSC) at [7] (“Fairness is not a standard of perfection. Reasonableness allows for a range of possible resolutions”); and Competition Appeal Tribunal </w:t>
      </w:r>
      <w:r w:rsidRPr="00421C05">
        <w:rPr>
          <w:i/>
          <w:iCs/>
          <w:szCs w:val="15"/>
        </w:rPr>
        <w:t xml:space="preserve">Guide to Proceedings </w:t>
      </w:r>
      <w:r w:rsidRPr="00421C05">
        <w:rPr>
          <w:szCs w:val="15"/>
        </w:rPr>
        <w:t>(2015) at [6.124] (“…the Tribunal will not require the settlement to be perfect and there is likely to be a range of reasonable settlements which could be approved by the Tribunal”).</w:t>
      </w:r>
    </w:p>
  </w:footnote>
  <w:footnote w:id="778">
    <w:p w14:paraId="32D62D54"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United States Federal Rules of Civil Procedure, r 23(e)(2). Note that the list of factors was added to the rule in 2018.</w:t>
      </w:r>
    </w:p>
  </w:footnote>
  <w:footnote w:id="779">
    <w:p w14:paraId="5D95BECA" w14:textId="2996358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 Competition Appeal Tribunal Rules 2015 (UK), r 94(9).</w:t>
      </w:r>
    </w:p>
  </w:footnote>
  <w:footnote w:id="780">
    <w:p w14:paraId="54C52BF7" w14:textId="4CB0D50E"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for example </w:t>
      </w:r>
      <w:r w:rsidRPr="00421C05">
        <w:rPr>
          <w:i/>
          <w:szCs w:val="15"/>
        </w:rPr>
        <w:t xml:space="preserve">Stanford v DePuy International Ltd (No 6) </w:t>
      </w:r>
      <w:r w:rsidRPr="00421C05">
        <w:rPr>
          <w:szCs w:val="15"/>
        </w:rPr>
        <w:t xml:space="preserve">[2016] FCA 1452 at [114]; and </w:t>
      </w:r>
      <w:r w:rsidRPr="00421C05">
        <w:rPr>
          <w:i/>
          <w:szCs w:val="15"/>
        </w:rPr>
        <w:t xml:space="preserve">Blairgowrie Trading Ltd v Allco Finance Group Ltd (No 3) </w:t>
      </w:r>
      <w:r w:rsidRPr="00421C05">
        <w:rPr>
          <w:szCs w:val="15"/>
        </w:rPr>
        <w:t>[2017] FCA 330,</w:t>
      </w:r>
      <w:r w:rsidRPr="00421C05">
        <w:rPr>
          <w:i/>
          <w:szCs w:val="15"/>
        </w:rPr>
        <w:t xml:space="preserve"> </w:t>
      </w:r>
      <w:r w:rsidRPr="00421C05">
        <w:rPr>
          <w:szCs w:val="15"/>
        </w:rPr>
        <w:t xml:space="preserve">(2017) 343 ALR 476 at [84]. Similar lists have been included in two Australian practice notes. See </w:t>
      </w:r>
      <w:r w:rsidRPr="00421C05">
        <w:rPr>
          <w:i/>
          <w:color w:val="0D0D0D"/>
          <w:szCs w:val="15"/>
          <w:shd w:val="clear" w:color="auto" w:fill="FFFFFF"/>
          <w:lang w:eastAsia="en-AU"/>
        </w:rPr>
        <w:t>Class Actions</w:t>
      </w:r>
      <w:r w:rsidRPr="00421C05">
        <w:rPr>
          <w:rFonts w:ascii="Calibri" w:hAnsi="Calibri" w:cs="Calibri"/>
          <w:i/>
          <w:color w:val="0D0D0D"/>
          <w:szCs w:val="15"/>
          <w:shd w:val="clear" w:color="auto" w:fill="FFFFFF"/>
          <w:lang w:eastAsia="en-AU"/>
        </w:rPr>
        <w:t> </w:t>
      </w:r>
      <w:r w:rsidRPr="00421C05">
        <w:rPr>
          <w:i/>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GPN-CA, December 2019) at [15.5]; and </w:t>
      </w:r>
      <w:r w:rsidRPr="00421C05">
        <w:rPr>
          <w:i/>
          <w:color w:val="0D0D0D"/>
          <w:szCs w:val="15"/>
          <w:shd w:val="clear" w:color="auto" w:fill="FFFFFF"/>
          <w:lang w:eastAsia="en-AU"/>
        </w:rPr>
        <w:t>Group Proceedings (Class Actions)</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(Supreme Court of Victoria,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SC Gen 10, October 2020) at [16.6]. </w:t>
      </w:r>
    </w:p>
  </w:footnote>
  <w:footnote w:id="781">
    <w:p w14:paraId="15F47382" w14:textId="5F859AD7" w:rsidR="00A55F53" w:rsidRPr="00421C05" w:rsidRDefault="00A55F53">
      <w:pPr>
        <w:pStyle w:val="FootnoteText"/>
        <w:rPr>
          <w:szCs w:val="15"/>
        </w:rPr>
      </w:pPr>
      <w:r w:rsidRPr="00421C05">
        <w:rPr>
          <w:rStyle w:val="FootnoteReference"/>
          <w:sz w:val="15"/>
          <w:szCs w:val="15"/>
        </w:rPr>
        <w:footnoteRef/>
      </w:r>
      <w:r w:rsidRPr="00421C05">
        <w:rPr>
          <w:szCs w:val="15"/>
        </w:rPr>
        <w:t xml:space="preserve"> </w:t>
      </w:r>
      <w:r w:rsidRPr="00421C05">
        <w:rPr>
          <w:szCs w:val="15"/>
        </w:rPr>
        <w:tab/>
        <w:t>Australian Law Reform Commission</w:t>
      </w:r>
      <w:r w:rsidRPr="00421C05">
        <w:rPr>
          <w:i/>
          <w:szCs w:val="15"/>
        </w:rPr>
        <w:t xml:space="preserve"> Integrity, Fairness and Efficiency—An Inquiry into Class Action Proceedings and Third-Party Litigation Funders</w:t>
      </w:r>
      <w:r w:rsidRPr="00421C05">
        <w:rPr>
          <w:szCs w:val="15"/>
        </w:rPr>
        <w:t xml:space="preserve"> (ALRC R134, 2018) at [5.7].</w:t>
      </w:r>
    </w:p>
  </w:footnote>
  <w:footnote w:id="782">
    <w:p w14:paraId="2B3481BE" w14:textId="33690261"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szCs w:val="15"/>
          <w:lang w:val="mi-NZ"/>
        </w:rPr>
        <w:t xml:space="preserve">Victorian Law Reform Commission </w:t>
      </w:r>
      <w:r w:rsidRPr="00421C05">
        <w:rPr>
          <w:i/>
          <w:szCs w:val="15"/>
          <w:lang w:val="mi-NZ"/>
        </w:rPr>
        <w:t xml:space="preserve">Access to Justice – Litigation and Group Proceedings: Report </w:t>
      </w:r>
      <w:r w:rsidRPr="00421C05">
        <w:rPr>
          <w:szCs w:val="15"/>
          <w:lang w:val="mi-NZ"/>
        </w:rPr>
        <w:t>(March 2018) at [4.168]–[4.176]. As noted above, the VLRC did recommend that the settlement approval principles should be set out in the legislation (so that a settlement must be fair and reasonable and in the interests of the class as a whole).</w:t>
      </w:r>
    </w:p>
  </w:footnote>
  <w:footnote w:id="783">
    <w:p w14:paraId="186215CA" w14:textId="6189C8F0" w:rsidR="00A55F53" w:rsidRPr="00421C05" w:rsidRDefault="00A55F53" w:rsidP="00DD0F04">
      <w:pPr>
        <w:pStyle w:val="FootnoteText"/>
        <w:rPr>
          <w:i/>
          <w:iCs/>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Law Commission of Ontario</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Class Actions: Objectives, Experiences and Reforms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Final Report</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(July 2019)</w:t>
      </w:r>
      <w:r w:rsidRPr="00421C05">
        <w:rPr>
          <w:rFonts w:ascii="Calibri" w:hAnsi="Calibri" w:cs="Calibri"/>
          <w:color w:val="000000"/>
          <w:szCs w:val="15"/>
          <w:shd w:val="clear" w:color="auto" w:fill="FFFFFF"/>
          <w:lang w:eastAsia="en-AU"/>
        </w:rPr>
        <w:t> </w:t>
      </w:r>
      <w:r w:rsidRPr="00421C05">
        <w:rPr>
          <w:szCs w:val="15"/>
        </w:rPr>
        <w:t xml:space="preserve">at 54. For factors applied in British Columbia, see </w:t>
      </w:r>
      <w:r w:rsidRPr="00421C05">
        <w:rPr>
          <w:i/>
          <w:szCs w:val="15"/>
        </w:rPr>
        <w:t xml:space="preserve">Jeffrey v Nortel Networks Corp </w:t>
      </w:r>
      <w:r w:rsidRPr="00421C05">
        <w:rPr>
          <w:szCs w:val="15"/>
        </w:rPr>
        <w:t>2007 BCSC 69 at [28].</w:t>
      </w:r>
    </w:p>
  </w:footnote>
  <w:footnote w:id="784">
    <w:p w14:paraId="05EAAFF7"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Law Commission of Ontario</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Class Actions: Objectives, Experiences and Reforms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Final Report</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(July 2019)</w:t>
      </w:r>
      <w:r w:rsidRPr="00421C05">
        <w:rPr>
          <w:rFonts w:ascii="Calibri" w:hAnsi="Calibri" w:cs="Calibri"/>
          <w:color w:val="000000"/>
          <w:szCs w:val="15"/>
          <w:shd w:val="clear" w:color="auto" w:fill="FFFFFF"/>
          <w:lang w:eastAsia="en-AU"/>
        </w:rPr>
        <w:t> </w:t>
      </w:r>
      <w:r w:rsidRPr="00421C05">
        <w:rPr>
          <w:szCs w:val="15"/>
        </w:rPr>
        <w:t>at 55.</w:t>
      </w:r>
    </w:p>
  </w:footnote>
  <w:footnote w:id="785">
    <w:p w14:paraId="176D5872" w14:textId="20D89828"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w:t>
      </w:r>
    </w:p>
  </w:footnote>
  <w:footnote w:id="786">
    <w:p w14:paraId="58E6CC5A" w14:textId="36404380"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6(5)(a).</w:t>
      </w:r>
    </w:p>
  </w:footnote>
  <w:footnote w:id="787">
    <w:p w14:paraId="293A88B7" w14:textId="767AB7D2"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6(5)(a)(i).</w:t>
      </w:r>
    </w:p>
  </w:footnote>
  <w:footnote w:id="788">
    <w:p w14:paraId="459B9D29"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In the United States, settlement terms such as coupon settlements are seen as “hot button indicators” as they may indicate unfairness on their face: see Barbara J Rothstein and Thomas E Willging </w:t>
      </w:r>
      <w:r w:rsidRPr="00421C05">
        <w:rPr>
          <w:i/>
          <w:szCs w:val="15"/>
        </w:rPr>
        <w:t>Managing Class Action Litigation: A Pocket Guide for Judges</w:t>
      </w:r>
      <w:r w:rsidRPr="00421C05">
        <w:rPr>
          <w:szCs w:val="15"/>
        </w:rPr>
        <w:t xml:space="preserve"> (3rd ed, Federal Judicial Center, 2010) at 17-18.</w:t>
      </w:r>
    </w:p>
  </w:footnote>
  <w:footnote w:id="789">
    <w:p w14:paraId="7DE90F13"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discuss alternative distribution with respect to damages in Chapter 5. </w:t>
      </w:r>
    </w:p>
  </w:footnote>
  <w:footnote w:id="790">
    <w:p w14:paraId="70F43C4B" w14:textId="3118D02C"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6(5)(a)(ii).</w:t>
      </w:r>
    </w:p>
  </w:footnote>
  <w:footnote w:id="791">
    <w:p w14:paraId="64B9F4C4"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Newberg</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on Class Actions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(online ed, Thomson Reuters)</w:t>
      </w:r>
      <w:r w:rsidRPr="00421C05">
        <w:rPr>
          <w:rFonts w:ascii="Calibri" w:hAnsi="Calibri" w:cs="Calibri"/>
          <w:color w:val="000000"/>
          <w:szCs w:val="15"/>
          <w:shd w:val="clear" w:color="auto" w:fill="FFFFFF"/>
          <w:lang w:eastAsia="en-AU"/>
        </w:rPr>
        <w:t> </w:t>
      </w:r>
      <w:r w:rsidRPr="00421C05">
        <w:rPr>
          <w:szCs w:val="15"/>
        </w:rPr>
        <w:t xml:space="preserve">at </w:t>
      </w:r>
      <w:r w:rsidRPr="00421C05">
        <w:rPr>
          <w:rFonts w:ascii="Times New Roman" w:hAnsi="Times New Roman"/>
          <w:szCs w:val="15"/>
        </w:rPr>
        <w:t>§</w:t>
      </w:r>
      <w:r w:rsidRPr="00421C05">
        <w:rPr>
          <w:szCs w:val="15"/>
        </w:rPr>
        <w:t xml:space="preserve"> 17:1.</w:t>
      </w:r>
    </w:p>
  </w:footnote>
  <w:footnote w:id="792">
    <w:p w14:paraId="4CEFF638"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Georgina Dimopoulous and Vince Morabito “An Australian Perspective on the Judicial Review of Class Action Settlements” (2021) 29 NZULR 529 at 553 (stating that over the last five years, reimbursement payments have been granted in the vast majority of Australian class action settlements).</w:t>
      </w:r>
    </w:p>
  </w:footnote>
  <w:footnote w:id="793">
    <w:p w14:paraId="2CC59537"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 xml:space="preserve">Makris v Endo International </w:t>
      </w:r>
      <w:r w:rsidRPr="00421C05">
        <w:rPr>
          <w:szCs w:val="15"/>
        </w:rPr>
        <w:t xml:space="preserve">2020 ONSC 5709 at [38]; </w:t>
      </w:r>
      <w:r w:rsidRPr="00421C05">
        <w:rPr>
          <w:i/>
          <w:szCs w:val="15"/>
        </w:rPr>
        <w:t xml:space="preserve">Baker (Estate) v Sony BMG Music (Canada) Inc </w:t>
      </w:r>
      <w:r w:rsidRPr="00421C05">
        <w:rPr>
          <w:szCs w:val="15"/>
        </w:rPr>
        <w:t xml:space="preserve">2011 ONSC 7105 at [93]. </w:t>
      </w:r>
    </w:p>
  </w:footnote>
  <w:footnote w:id="794">
    <w:p w14:paraId="32FA34C6" w14:textId="72098DC1"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Cardoso v Canada Dry Mott’s Inc </w:t>
      </w:r>
      <w:r w:rsidRPr="00421C05">
        <w:rPr>
          <w:szCs w:val="15"/>
        </w:rPr>
        <w:t xml:space="preserve">2020 BCSC 1569 at [49]–[50] (commenting that “[m]odest compensation is appropriate where the representative plaintiff has provided necessary and active assistance leading to success on behalf of all class members”. A payment of $1,500 was awarded) and </w:t>
      </w:r>
      <w:r w:rsidRPr="00421C05">
        <w:rPr>
          <w:i/>
          <w:szCs w:val="15"/>
        </w:rPr>
        <w:t xml:space="preserve">Parsons v Coast Capital Savings Credit </w:t>
      </w:r>
      <w:r w:rsidRPr="00421C05">
        <w:rPr>
          <w:szCs w:val="15"/>
        </w:rPr>
        <w:t>2010 BCCA 311 at [20]–[25] (approving a payment of $3,500 to the representative plaintiff).</w:t>
      </w:r>
    </w:p>
  </w:footnote>
  <w:footnote w:id="795">
    <w:p w14:paraId="43C768F2"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are not suggesting an actual conflict of interest would necessarily arise in all cases. In Australia, it has been said that only two reimbursement payments have generated actual, rather than perceived, problems with conflicts of interest:  Georgina Dimopoulous and Vince Morabito “An Australian Perspective on the Judicial Review of Class Action Settlements” (2021) 29 NZULR 529 at 554.</w:t>
      </w:r>
    </w:p>
  </w:footnote>
  <w:footnote w:id="796">
    <w:p w14:paraId="5411DDA9" w14:textId="77B7395A"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6(5)(iii).</w:t>
      </w:r>
    </w:p>
  </w:footnote>
  <w:footnote w:id="797">
    <w:p w14:paraId="4C717CC0"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w:t>
      </w:r>
      <w:r w:rsidRPr="00421C05">
        <w:rPr>
          <w:color w:val="000000"/>
          <w:szCs w:val="15"/>
          <w:shd w:val="clear" w:color="auto" w:fill="FFFFFF"/>
          <w:lang w:eastAsia="en-AU"/>
        </w:rPr>
        <w:t xml:space="preserve"> Law Commission of Ontario </w:t>
      </w:r>
      <w:r w:rsidRPr="00421C05">
        <w:rPr>
          <w:i/>
          <w:color w:val="000000"/>
          <w:szCs w:val="15"/>
          <w:shd w:val="clear" w:color="auto" w:fill="FFFFFF"/>
          <w:lang w:eastAsia="en-AU"/>
        </w:rPr>
        <w:t>Class Actions: Objectives, Experiences and Reforms — Final Report</w:t>
      </w:r>
      <w:r w:rsidRPr="00421C05">
        <w:rPr>
          <w:color w:val="000000"/>
          <w:szCs w:val="15"/>
          <w:shd w:val="clear" w:color="auto" w:fill="FFFFFF"/>
          <w:lang w:eastAsia="en-AU"/>
        </w:rPr>
        <w:t xml:space="preserve"> (July 2019)</w:t>
      </w:r>
      <w:r w:rsidRPr="00421C05">
        <w:rPr>
          <w:rFonts w:ascii="Calibri" w:hAnsi="Calibri" w:cs="Calibri"/>
          <w:color w:val="000000"/>
          <w:szCs w:val="15"/>
          <w:shd w:val="clear" w:color="auto" w:fill="FFFFFF"/>
          <w:lang w:eastAsia="en-AU"/>
        </w:rPr>
        <w:t> </w:t>
      </w:r>
      <w:r w:rsidRPr="00421C05">
        <w:rPr>
          <w:szCs w:val="15"/>
        </w:rPr>
        <w:t>at 58.</w:t>
      </w:r>
    </w:p>
  </w:footnote>
  <w:footnote w:id="798">
    <w:p w14:paraId="38CBC238"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Michael Legg and Ross McInnes </w:t>
      </w:r>
      <w:r w:rsidRPr="00421C05">
        <w:rPr>
          <w:i/>
          <w:szCs w:val="15"/>
        </w:rPr>
        <w:t xml:space="preserve">Australian Annotated Class Actions Legislation </w:t>
      </w:r>
      <w:r w:rsidRPr="00421C05">
        <w:rPr>
          <w:szCs w:val="15"/>
        </w:rPr>
        <w:t xml:space="preserve">(2nd ed, LexisNexis Butterworths, Chatswood, 2018) </w:t>
      </w:r>
      <w:r w:rsidRPr="00421C05">
        <w:rPr>
          <w:color w:val="000000"/>
          <w:szCs w:val="15"/>
          <w:shd w:val="clear" w:color="auto" w:fill="FFFFFF"/>
          <w:lang w:eastAsia="en-AU"/>
        </w:rPr>
        <w:t>at [22.36]</w:t>
      </w:r>
      <w:r w:rsidRPr="00421C05">
        <w:rPr>
          <w:szCs w:val="15"/>
        </w:rPr>
        <w:t xml:space="preserve">. The stages typically involved in the process of distributing a shareholder or investor settlement are outlined in </w:t>
      </w:r>
      <w:r w:rsidRPr="00421C05">
        <w:rPr>
          <w:color w:val="000000"/>
          <w:szCs w:val="15"/>
          <w:shd w:val="clear" w:color="auto" w:fill="FFFFFF"/>
          <w:lang w:eastAsia="en-AU"/>
        </w:rPr>
        <w:t>Australian</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Law Reform Commission</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Integrity, Fairness and Efficiency—An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(ALRC R134, 2018) at [5.42].</w:t>
      </w:r>
    </w:p>
  </w:footnote>
  <w:footnote w:id="799">
    <w:p w14:paraId="7BE6AA78" w14:textId="5E6810E3"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Michael</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Legg</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and Ross McInnes</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Australian Annotated Class Actions Legislation</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(2nd ed, LexisNexis Butterworths, Chatswood, 2018) at [32.36]; and Victorian</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Law Reform Commission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Access to Justice—Litigation Funding and Group Proceedings: Report</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(March 2018)</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at [4.194]</w:t>
      </w:r>
      <w:r w:rsidRPr="00421C05">
        <w:rPr>
          <w:szCs w:val="15"/>
        </w:rPr>
        <w:t>. Mass tort class actions will sometimes involve a ‘process settlement’ where there is no global settlement sum (although there may be maximum recoveries for each type of loss or injury): see Rebecca Gilsenan and Michael Legg “Australian Class Action Settlement Distribution Scheme Design – Deciding Who Gets What” (2019) 38 U Queensland LJ 15 at 24.</w:t>
      </w:r>
    </w:p>
  </w:footnote>
  <w:footnote w:id="800">
    <w:p w14:paraId="5B26AC69"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An example is an employment case where a defendant employer holds employee records and account details: see </w:t>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Newberg</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on Class Actions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Times New Roman" w:hAnsi="Times New Roman"/>
          <w:color w:val="000000"/>
          <w:szCs w:val="15"/>
          <w:shd w:val="clear" w:color="auto" w:fill="FFFFFF"/>
          <w:lang w:eastAsia="en-AU"/>
        </w:rPr>
        <w:t>§</w:t>
      </w:r>
      <w:r w:rsidRPr="00421C05">
        <w:rPr>
          <w:color w:val="000000"/>
          <w:szCs w:val="15"/>
          <w:shd w:val="clear" w:color="auto" w:fill="FFFFFF"/>
          <w:lang w:eastAsia="en-AU"/>
        </w:rPr>
        <w:t xml:space="preserve"> 12:15. </w:t>
      </w:r>
    </w:p>
  </w:footnote>
  <w:footnote w:id="801">
    <w:p w14:paraId="75B12ADB" w14:textId="3D14918E"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Eidoo v Infineon Technologies AG </w:t>
      </w:r>
      <w:r w:rsidRPr="00421C05">
        <w:rPr>
          <w:szCs w:val="15"/>
        </w:rPr>
        <w:t>2015 ONSC 5493 at [26] (“...the ideal distribution scheme for a class action gets the compensation into the hands of class members”), cited in</w:t>
      </w:r>
      <w:r w:rsidRPr="00421C05">
        <w:rPr>
          <w:color w:val="000000"/>
          <w:szCs w:val="15"/>
          <w:shd w:val="clear" w:color="auto" w:fill="FFFFFF"/>
          <w:lang w:eastAsia="en-AU"/>
        </w:rPr>
        <w:t xml:space="preserve"> Law Commission of Ontario </w:t>
      </w:r>
      <w:r w:rsidRPr="00421C05">
        <w:rPr>
          <w:i/>
          <w:color w:val="000000"/>
          <w:szCs w:val="15"/>
          <w:shd w:val="clear" w:color="auto" w:fill="FFFFFF"/>
          <w:lang w:eastAsia="en-AU"/>
        </w:rPr>
        <w:t>Class Actions: Objectives, Experiences and Reforms — Final Report</w:t>
      </w:r>
      <w:r w:rsidRPr="00421C05">
        <w:rPr>
          <w:color w:val="000000"/>
          <w:szCs w:val="15"/>
          <w:shd w:val="clear" w:color="auto" w:fill="FFFFFF"/>
          <w:lang w:eastAsia="en-AU"/>
        </w:rPr>
        <w:t xml:space="preserve"> (July 2019)</w:t>
      </w:r>
      <w:r w:rsidRPr="00421C05">
        <w:rPr>
          <w:rFonts w:ascii="Calibri" w:hAnsi="Calibri" w:cs="Calibri"/>
          <w:color w:val="000000"/>
          <w:szCs w:val="15"/>
          <w:shd w:val="clear" w:color="auto" w:fill="FFFFFF"/>
          <w:lang w:eastAsia="en-AU"/>
        </w:rPr>
        <w:t> </w:t>
      </w:r>
      <w:r w:rsidRPr="00421C05">
        <w:rPr>
          <w:szCs w:val="15"/>
        </w:rPr>
        <w:t xml:space="preserve">at [60]; and </w:t>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Newberg</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on Class Actions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Calibri" w:hAnsi="Calibri" w:cs="Calibri"/>
          <w:color w:val="000000"/>
          <w:szCs w:val="15"/>
          <w:shd w:val="clear" w:color="auto" w:fill="FFFFFF"/>
          <w:lang w:eastAsia="en-AU"/>
        </w:rPr>
        <w:t>§</w:t>
      </w:r>
      <w:r w:rsidRPr="00421C05">
        <w:rPr>
          <w:color w:val="000000"/>
          <w:szCs w:val="15"/>
          <w:shd w:val="clear" w:color="auto" w:fill="FFFFFF"/>
          <w:lang w:eastAsia="en-AU"/>
        </w:rPr>
        <w:t xml:space="preserve"> 13:53 (“…the goal of any distribution method is to get as much of the available damages remedy to class members as possible and in as simple and expedient a manner as possible”).</w:t>
      </w:r>
    </w:p>
  </w:footnote>
  <w:footnote w:id="802">
    <w:p w14:paraId="28C61749"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Michael Legg “Class Action Settlement Distribution in Australia: Compensation on the Merits or Rough Justice” (2016) 16 Macquarie LJ 89 at 89.</w:t>
      </w:r>
    </w:p>
  </w:footnote>
  <w:footnote w:id="803">
    <w:p w14:paraId="52780B95" w14:textId="2D7037E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have drawn on the factors outlined in </w:t>
      </w:r>
      <w:r w:rsidRPr="00421C05">
        <w:rPr>
          <w:i/>
          <w:szCs w:val="15"/>
        </w:rPr>
        <w:t xml:space="preserve">Camilleri v Trust Company (Nominees) Ltd </w:t>
      </w:r>
      <w:r w:rsidRPr="00421C05">
        <w:rPr>
          <w:szCs w:val="15"/>
        </w:rPr>
        <w:t xml:space="preserve">[2015] FCA 1468 at [43]–[44]; as well as Victorian </w:t>
      </w:r>
      <w:r w:rsidRPr="00421C05">
        <w:rPr>
          <w:color w:val="000000"/>
          <w:szCs w:val="15"/>
          <w:shd w:val="clear" w:color="auto" w:fill="FFFFFF"/>
          <w:lang w:eastAsia="en-AU"/>
        </w:rPr>
        <w:t>Law Reform Commission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Access to Justice—Litigation Funding and Group Proceedings: Report</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(March 2018)</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at 107 (recommendation 17). </w:t>
      </w:r>
    </w:p>
  </w:footnote>
  <w:footnote w:id="804">
    <w:p w14:paraId="62613894" w14:textId="51C943FC"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6(5)(a)(iv).</w:t>
      </w:r>
    </w:p>
  </w:footnote>
  <w:footnote w:id="805">
    <w:p w14:paraId="46C483B8"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Newberg</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on Class Actions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Calibri" w:hAnsi="Calibri" w:cs="Calibri"/>
          <w:color w:val="000000"/>
          <w:szCs w:val="15"/>
          <w:shd w:val="clear" w:color="auto" w:fill="FFFFFF"/>
          <w:lang w:eastAsia="en-AU"/>
        </w:rPr>
        <w:t>§</w:t>
      </w:r>
      <w:r w:rsidRPr="00421C05">
        <w:rPr>
          <w:color w:val="000000"/>
          <w:szCs w:val="15"/>
          <w:shd w:val="clear" w:color="auto" w:fill="FFFFFF"/>
          <w:lang w:eastAsia="en-AU"/>
        </w:rPr>
        <w:t xml:space="preserve"> 12:24.</w:t>
      </w:r>
    </w:p>
  </w:footnote>
  <w:footnote w:id="806">
    <w:p w14:paraId="7BFE10A4"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Newberg</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on Class Actions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Times New Roman" w:hAnsi="Times New Roman"/>
          <w:color w:val="000000"/>
          <w:szCs w:val="15"/>
          <w:shd w:val="clear" w:color="auto" w:fill="FFFFFF"/>
          <w:lang w:eastAsia="en-AU"/>
        </w:rPr>
        <w:t>§</w:t>
      </w:r>
      <w:r w:rsidRPr="00421C05">
        <w:rPr>
          <w:color w:val="000000"/>
          <w:szCs w:val="15"/>
          <w:shd w:val="clear" w:color="auto" w:fill="FFFFFF"/>
          <w:lang w:eastAsia="en-AU"/>
        </w:rPr>
        <w:t xml:space="preserve"> 12:28.</w:t>
      </w:r>
    </w:p>
  </w:footnote>
  <w:footnote w:id="807">
    <w:p w14:paraId="5CD16BDF" w14:textId="526D1816" w:rsidR="00A55F53" w:rsidRPr="00421C05" w:rsidRDefault="00A55F53" w:rsidP="00DD0F04">
      <w:pPr>
        <w:pStyle w:val="FootnoteText"/>
        <w:rPr>
          <w:color w:val="000000"/>
          <w:szCs w:val="15"/>
          <w:shd w:val="clear" w:color="auto" w:fill="FFFFFF"/>
          <w:lang w:eastAsia="en-AU"/>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color w:val="000000"/>
          <w:szCs w:val="15"/>
          <w:shd w:val="clear" w:color="auto" w:fill="FFFFFF"/>
          <w:lang w:eastAsia="en-AU"/>
        </w:rPr>
        <w:t>Newberg</w:t>
      </w:r>
      <w:r w:rsidRPr="00421C05">
        <w:rPr>
          <w:rFonts w:ascii="Calibri" w:hAnsi="Calibri" w:cs="Calibri"/>
          <w:i/>
          <w:color w:val="000000"/>
          <w:szCs w:val="15"/>
          <w:shd w:val="clear" w:color="auto" w:fill="FFFFFF"/>
          <w:lang w:eastAsia="en-AU"/>
        </w:rPr>
        <w:t> </w:t>
      </w:r>
      <w:r w:rsidRPr="00421C05">
        <w:rPr>
          <w:i/>
          <w:color w:val="000000"/>
          <w:szCs w:val="15"/>
          <w:shd w:val="clear" w:color="auto" w:fill="FFFFFF"/>
          <w:lang w:eastAsia="en-AU"/>
        </w:rPr>
        <w:t>on Class Actions</w:t>
      </w:r>
      <w:r w:rsidRPr="00421C05">
        <w:rPr>
          <w:rFonts w:ascii="Calibri" w:hAnsi="Calibri" w:cs="Calibri"/>
          <w:i/>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Times New Roman" w:hAnsi="Times New Roman"/>
          <w:color w:val="000000"/>
          <w:szCs w:val="15"/>
          <w:shd w:val="clear" w:color="auto" w:fill="FFFFFF"/>
          <w:lang w:eastAsia="en-AU"/>
        </w:rPr>
        <w:t>§</w:t>
      </w:r>
      <w:r w:rsidRPr="00421C05">
        <w:rPr>
          <w:color w:val="000000"/>
          <w:szCs w:val="15"/>
          <w:shd w:val="clear" w:color="auto" w:fill="FFFFFF"/>
          <w:lang w:eastAsia="en-AU"/>
        </w:rPr>
        <w:t xml:space="preserve"> 12:24; and Barbara J Rothstein and Thomas E Willging </w:t>
      </w:r>
      <w:r w:rsidRPr="00421C05">
        <w:rPr>
          <w:i/>
          <w:color w:val="000000"/>
          <w:szCs w:val="15"/>
          <w:shd w:val="clear" w:color="auto" w:fill="FFFFFF"/>
          <w:lang w:eastAsia="en-AU"/>
        </w:rPr>
        <w:t>Managing Class Action Litigation: A Pocket Guide for Judges</w:t>
      </w:r>
      <w:r w:rsidRPr="00421C05">
        <w:rPr>
          <w:color w:val="000000"/>
          <w:szCs w:val="15"/>
          <w:shd w:val="clear" w:color="auto" w:fill="FFFFFF"/>
          <w:lang w:eastAsia="en-AU"/>
        </w:rPr>
        <w:t xml:space="preserve"> (3rd ed, Federal Judicial Center, 2010) </w:t>
      </w:r>
      <w:r w:rsidRPr="00421C05">
        <w:rPr>
          <w:szCs w:val="15"/>
        </w:rPr>
        <w:t xml:space="preserve">at 30. For example, a court could order an extension to the claims filing period or that the clarity of claim forms be improved. </w:t>
      </w:r>
    </w:p>
  </w:footnote>
  <w:footnote w:id="808">
    <w:p w14:paraId="6924336F"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val="mi-NZ" w:eastAsia="en-AU"/>
        </w:rPr>
        <w:t>Class Proceedings Act SO 1992 c 6 (Ontario), s 27.2(2).</w:t>
      </w:r>
    </w:p>
  </w:footnote>
  <w:footnote w:id="809">
    <w:p w14:paraId="2CD618F8"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val="mi-NZ" w:eastAsia="en-AU"/>
        </w:rPr>
        <w:t>Class Proceedings Act SO 1992 c 6 (Ontario), s 27.2(3).</w:t>
      </w:r>
    </w:p>
  </w:footnote>
  <w:footnote w:id="810">
    <w:p w14:paraId="2C88AE4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 Competition Appeal Tribunal Rules 2015 (UK), r 93(6).</w:t>
      </w:r>
    </w:p>
  </w:footnote>
  <w:footnote w:id="811">
    <w:p w14:paraId="12936909"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 Competition Appeal Tribunal Rules 2015 (UK), r 97(7)(g).</w:t>
      </w:r>
    </w:p>
  </w:footnote>
  <w:footnote w:id="812">
    <w:p w14:paraId="3C31466D"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The Competition Appeal Tribunal Rules 2015 (UK), r 97(7)(g). Competition Appeal Tribunal </w:t>
      </w:r>
      <w:r w:rsidRPr="00421C05">
        <w:rPr>
          <w:i/>
          <w:szCs w:val="15"/>
        </w:rPr>
        <w:t xml:space="preserve">Guide to Proceedings </w:t>
      </w:r>
      <w:r w:rsidRPr="00421C05">
        <w:rPr>
          <w:szCs w:val="15"/>
        </w:rPr>
        <w:t xml:space="preserve">(2015) at [6.125]. For example, a settlement that might result in substantial fees being paid to the plaintiff’s lawyers and a significant part of the settlement sum being paid back to defendants, while barring future claims by class members, is unlikely to be viewed as just and reasonable. </w:t>
      </w:r>
    </w:p>
  </w:footnote>
  <w:footnote w:id="813">
    <w:p w14:paraId="49679A5D" w14:textId="2C46EC4C"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6(5)(b).</w:t>
      </w:r>
    </w:p>
  </w:footnote>
  <w:footnote w:id="814">
    <w:p w14:paraId="2699C8AA"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color w:val="0D0D0D"/>
          <w:szCs w:val="15"/>
          <w:shd w:val="clear" w:color="auto" w:fill="FFFFFF"/>
          <w:lang w:eastAsia="en-AU"/>
        </w:rPr>
        <w:t>Class Actions</w:t>
      </w:r>
      <w:r w:rsidRPr="00421C05">
        <w:rPr>
          <w:rFonts w:ascii="Calibri" w:hAnsi="Calibri" w:cs="Calibri"/>
          <w:i/>
          <w:color w:val="0D0D0D"/>
          <w:szCs w:val="15"/>
          <w:shd w:val="clear" w:color="auto" w:fill="FFFFFF"/>
          <w:lang w:eastAsia="en-AU"/>
        </w:rPr>
        <w:t> </w:t>
      </w:r>
      <w:r w:rsidRPr="00421C05">
        <w:rPr>
          <w:i/>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GPN-CA, December 2019) at [16.4].</w:t>
      </w:r>
    </w:p>
  </w:footnote>
  <w:footnote w:id="815">
    <w:p w14:paraId="74B3E44B"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Lawyers and Conveyancers Act (Lawyers: Conduct and Client Care) Rules 2008, r 9. The fee must not be more than is fair and reasonable, having regard to the interests of both client and lawyer and the factors set out in rule 9.1.</w:t>
      </w:r>
    </w:p>
  </w:footnote>
  <w:footnote w:id="816">
    <w:p w14:paraId="3449F67A" w14:textId="5A933BBC"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6(5)(c).</w:t>
      </w:r>
    </w:p>
  </w:footnote>
  <w:footnote w:id="817">
    <w:p w14:paraId="14816916"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In some litigation funding agreements, the funding commission may vary depending on the stage at which the matter resolves, with a lower percentage if it resolves at an earlier stage and a higher percentage if it resolves later: see Issues Paper at [14.3].</w:t>
      </w:r>
    </w:p>
  </w:footnote>
  <w:footnote w:id="818">
    <w:p w14:paraId="43A91E66"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color w:val="0D0D0D"/>
          <w:szCs w:val="15"/>
          <w:shd w:val="clear" w:color="auto" w:fill="FFFFFF"/>
          <w:lang w:eastAsia="en-AU"/>
        </w:rPr>
        <w:t>Class Actions</w:t>
      </w:r>
      <w:r w:rsidRPr="00421C05">
        <w:rPr>
          <w:rFonts w:ascii="Calibri" w:hAnsi="Calibri" w:cs="Calibri"/>
          <w:i/>
          <w:color w:val="0D0D0D"/>
          <w:szCs w:val="15"/>
          <w:shd w:val="clear" w:color="auto" w:fill="FFFFFF"/>
          <w:lang w:eastAsia="en-AU"/>
        </w:rPr>
        <w:t> </w:t>
      </w:r>
      <w:r w:rsidRPr="00421C05">
        <w:rPr>
          <w:i/>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GPN-CA, December 2019) at [15.5].</w:t>
      </w:r>
    </w:p>
  </w:footnote>
  <w:footnote w:id="819">
    <w:p w14:paraId="4A000BBE" w14:textId="0ABA17FA"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6(5)(d).</w:t>
      </w:r>
    </w:p>
  </w:footnote>
  <w:footnote w:id="820">
    <w:p w14:paraId="7ECF45F2" w14:textId="11CD9580"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address this earlier in the chapter. </w:t>
      </w:r>
    </w:p>
  </w:footnote>
  <w:footnote w:id="821">
    <w:p w14:paraId="70BB5184" w14:textId="654A0179"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6(5)(e).</w:t>
      </w:r>
    </w:p>
  </w:footnote>
  <w:footnote w:id="822">
    <w:p w14:paraId="5D3337DA" w14:textId="551548FE"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United States Federal Rules of Civil Procedure, r 23(e)(2)(B); and </w:t>
      </w:r>
      <w:r w:rsidRPr="00421C05">
        <w:rPr>
          <w:color w:val="000000"/>
          <w:szCs w:val="15"/>
          <w:shd w:val="clear" w:color="auto" w:fill="FFFFFF"/>
          <w:lang w:eastAsia="en-AU"/>
        </w:rPr>
        <w:t>Law Commission of</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Ontario</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Class Actions: Objectives, Experiences and Reforms</w:t>
      </w:r>
      <w:r w:rsidRPr="00421C05">
        <w:rPr>
          <w:color w:val="000000"/>
          <w:szCs w:val="15"/>
          <w:shd w:val="clear" w:color="auto" w:fill="FFFFFF"/>
          <w:lang w:eastAsia="en-AU"/>
        </w:rPr>
        <w:t xml:space="preserve"> – </w:t>
      </w:r>
      <w:r w:rsidRPr="00421C05">
        <w:rPr>
          <w:i/>
          <w:iCs/>
          <w:color w:val="000000"/>
          <w:szCs w:val="15"/>
          <w:shd w:val="clear" w:color="auto" w:fill="FFFFFF"/>
          <w:lang w:eastAsia="en-AU"/>
        </w:rPr>
        <w:t>Final Report</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(July 2019)</w:t>
      </w:r>
      <w:r w:rsidRPr="00421C05">
        <w:rPr>
          <w:rFonts w:ascii="Calibri" w:hAnsi="Calibri" w:cs="Calibri"/>
          <w:color w:val="000000"/>
          <w:szCs w:val="15"/>
          <w:shd w:val="clear" w:color="auto" w:fill="FFFFFF"/>
          <w:lang w:eastAsia="en-AU"/>
        </w:rPr>
        <w:t> </w:t>
      </w:r>
      <w:r w:rsidRPr="00421C05">
        <w:rPr>
          <w:szCs w:val="15"/>
        </w:rPr>
        <w:t>at 54.</w:t>
      </w:r>
    </w:p>
  </w:footnote>
  <w:footnote w:id="823">
    <w:p w14:paraId="10F28CA0"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United States Federal Rules of Civil Procedure, r 23(e)(2)(B). Guidelines developed by courts in assessing whether a settlement was negotiated at arm’s length include: (a) settlement negotiations should only occur once the parties have a good sense of the strength and weaknesses of their claims, particularly through discovery; (b) legal fees should not be negotiated between lawyers until terms affecting class members’ claims have been agreed upon; (c) where a neutral third party has overseen the settlement process, this may lend legitimacy to it, as may the presence of an independent government agency; and (d)</w:t>
      </w:r>
      <w:r w:rsidRPr="00421C05">
        <w:rPr>
          <w:szCs w:val="15"/>
        </w:rPr>
        <w:tab/>
        <w:t xml:space="preserve">simultaneous settlement of several related cases could indicate that class member claims have been compromised to benefit another settlement: </w:t>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Newberg</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on Class Actions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(online ed, Thomson Reuters)</w:t>
      </w:r>
      <w:r w:rsidRPr="00421C05">
        <w:rPr>
          <w:rFonts w:ascii="Calibri" w:hAnsi="Calibri" w:cs="Calibri"/>
          <w:color w:val="000000"/>
          <w:szCs w:val="15"/>
          <w:shd w:val="clear" w:color="auto" w:fill="FFFFFF"/>
          <w:lang w:eastAsia="en-AU"/>
        </w:rPr>
        <w:t> </w:t>
      </w:r>
      <w:r w:rsidRPr="00421C05">
        <w:rPr>
          <w:szCs w:val="15"/>
        </w:rPr>
        <w:t xml:space="preserve">at </w:t>
      </w:r>
      <w:r w:rsidRPr="00421C05">
        <w:rPr>
          <w:rFonts w:ascii="Times New Roman" w:hAnsi="Times New Roman"/>
          <w:szCs w:val="15"/>
        </w:rPr>
        <w:t>§</w:t>
      </w:r>
      <w:r w:rsidRPr="00421C05">
        <w:rPr>
          <w:szCs w:val="15"/>
        </w:rPr>
        <w:t xml:space="preserve"> 13:50.</w:t>
      </w:r>
    </w:p>
  </w:footnote>
  <w:footnote w:id="824">
    <w:p w14:paraId="44099537" w14:textId="07F9FD3A"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Newberg</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on Class Actions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(online ed, Thomson Reuters)</w:t>
      </w:r>
      <w:r w:rsidRPr="00421C05">
        <w:rPr>
          <w:rFonts w:ascii="Calibri" w:hAnsi="Calibri" w:cs="Calibri"/>
          <w:color w:val="000000"/>
          <w:szCs w:val="15"/>
          <w:shd w:val="clear" w:color="auto" w:fill="FFFFFF"/>
          <w:lang w:eastAsia="en-AU"/>
        </w:rPr>
        <w:t> </w:t>
      </w:r>
      <w:r w:rsidRPr="00421C05">
        <w:rPr>
          <w:szCs w:val="15"/>
        </w:rPr>
        <w:t xml:space="preserve">at </w:t>
      </w:r>
      <w:r w:rsidRPr="00421C05">
        <w:rPr>
          <w:rFonts w:ascii="Times New Roman" w:hAnsi="Times New Roman"/>
          <w:szCs w:val="15"/>
        </w:rPr>
        <w:t>§</w:t>
      </w:r>
      <w:r w:rsidRPr="00421C05">
        <w:rPr>
          <w:szCs w:val="15"/>
        </w:rPr>
        <w:t xml:space="preserve"> 13:46; Competition Appeal Tribunal </w:t>
      </w:r>
      <w:r w:rsidRPr="00421C05">
        <w:rPr>
          <w:i/>
          <w:iCs/>
          <w:szCs w:val="15"/>
        </w:rPr>
        <w:t xml:space="preserve">Guide to Proceedings </w:t>
      </w:r>
      <w:r w:rsidRPr="00421C05">
        <w:rPr>
          <w:szCs w:val="15"/>
        </w:rPr>
        <w:t xml:space="preserve">(2015) at [6.135]–[6.138]; and </w:t>
      </w:r>
      <w:r w:rsidRPr="00421C05">
        <w:rPr>
          <w:color w:val="000000"/>
          <w:szCs w:val="15"/>
          <w:shd w:val="clear" w:color="auto" w:fill="FFFFFF"/>
          <w:lang w:eastAsia="en-AU"/>
        </w:rPr>
        <w:t>Garry D Watson</w:t>
      </w:r>
      <w:r w:rsidRPr="00421C05">
        <w:rPr>
          <w:rFonts w:ascii="Calibri" w:hAnsi="Calibri" w:cs="Calibri"/>
          <w:color w:val="000000"/>
          <w:szCs w:val="15"/>
          <w:shd w:val="clear" w:color="auto" w:fill="FFFFFF"/>
          <w:lang w:eastAsia="en-AU"/>
        </w:rPr>
        <w:t xml:space="preserve"> </w:t>
      </w:r>
      <w:r w:rsidRPr="00421C05">
        <w:rPr>
          <w:i/>
          <w:iCs/>
          <w:color w:val="000000"/>
          <w:szCs w:val="15"/>
          <w:shd w:val="clear" w:color="auto" w:fill="FFFFFF"/>
          <w:lang w:eastAsia="en-AU"/>
        </w:rPr>
        <w:t>Holmested</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and Watson:</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Ontario Civil Procedure</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Times New Roman" w:hAnsi="Times New Roman"/>
          <w:color w:val="000000"/>
          <w:szCs w:val="15"/>
          <w:shd w:val="clear" w:color="auto" w:fill="FFFFFF"/>
          <w:lang w:eastAsia="en-AU"/>
        </w:rPr>
        <w:t>§</w:t>
      </w:r>
      <w:r w:rsidRPr="00421C05">
        <w:rPr>
          <w:color w:val="000000"/>
          <w:szCs w:val="15"/>
          <w:shd w:val="clear" w:color="auto" w:fill="FFFFFF"/>
          <w:lang w:eastAsia="en-AU"/>
        </w:rPr>
        <w:t xml:space="preserve"> 27:39. </w:t>
      </w:r>
    </w:p>
  </w:footnote>
  <w:footnote w:id="825">
    <w:p w14:paraId="3EAE3692"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We discuss common fund orders in Chapter 4.</w:t>
      </w:r>
    </w:p>
  </w:footnote>
  <w:footnote w:id="826">
    <w:p w14:paraId="3C7065D7"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There may be exceptions to this, for example where a litigation funder begins funding an opt-in proceeding at a late stage when class members have already opted in.</w:t>
      </w:r>
    </w:p>
  </w:footnote>
  <w:footnote w:id="827">
    <w:p w14:paraId="3EFFCB0A"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As we discuss in Chapter 4, alternatively the court could set the funding rate at an early stage of the proceeding, or after the common issues are determined. </w:t>
      </w:r>
    </w:p>
  </w:footnote>
  <w:footnote w:id="828">
    <w:p w14:paraId="761D019E" w14:textId="694F0872"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 xml:space="preserve">Money Max Int Pty Ltd (Trustee) v QBE Insurance Group Ltd </w:t>
      </w:r>
      <w:r w:rsidRPr="00421C05">
        <w:rPr>
          <w:szCs w:val="15"/>
        </w:rPr>
        <w:t xml:space="preserve">[2016] FCAFC 184 at [72] and [80] as cited in </w:t>
      </w:r>
      <w:r w:rsidRPr="00421C05">
        <w:rPr>
          <w:i/>
          <w:szCs w:val="15"/>
        </w:rPr>
        <w:t>Endeavour River Pty Ltd v MG Responsible Entity Ltd</w:t>
      </w:r>
      <w:r w:rsidRPr="00421C05">
        <w:rPr>
          <w:szCs w:val="15"/>
        </w:rPr>
        <w:t xml:space="preserve"> [2019] FCA 1719</w:t>
      </w:r>
      <w:r w:rsidRPr="00421C05">
        <w:rPr>
          <w:i/>
          <w:szCs w:val="15"/>
        </w:rPr>
        <w:t xml:space="preserve"> </w:t>
      </w:r>
      <w:r w:rsidRPr="00421C05">
        <w:rPr>
          <w:szCs w:val="15"/>
        </w:rPr>
        <w:t>at [26]–[29].</w:t>
      </w:r>
    </w:p>
  </w:footnote>
  <w:footnote w:id="829">
    <w:p w14:paraId="51D3F313"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Australian Law Reform Commission </w:t>
      </w:r>
      <w:r w:rsidRPr="00421C05">
        <w:rPr>
          <w:i/>
          <w:szCs w:val="15"/>
        </w:rPr>
        <w:t>Integrity, Fairness and Efficiency—An Inquiry into Class Action Proceedings and Third-Party Litigation Funders</w:t>
      </w:r>
      <w:r w:rsidRPr="00421C05">
        <w:rPr>
          <w:szCs w:val="15"/>
        </w:rPr>
        <w:t xml:space="preserve"> (ALRC R134, 2018) at [6.90].</w:t>
      </w:r>
    </w:p>
  </w:footnote>
  <w:footnote w:id="830">
    <w:p w14:paraId="4B20F04D" w14:textId="193BE2C0"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i/>
          <w:szCs w:val="15"/>
        </w:rPr>
        <w:t>Endeavour</w:t>
      </w:r>
      <w:r w:rsidRPr="00421C05">
        <w:rPr>
          <w:i/>
          <w:iCs/>
          <w:szCs w:val="15"/>
        </w:rPr>
        <w:t xml:space="preserve"> River Pty Ltd v MG Responsible Entity Ltd (No 2) </w:t>
      </w:r>
      <w:r w:rsidRPr="00421C05">
        <w:rPr>
          <w:szCs w:val="15"/>
        </w:rPr>
        <w:t>[2020] FCA 968 at [3]–[5].</w:t>
      </w:r>
    </w:p>
  </w:footnote>
  <w:footnote w:id="831">
    <w:p w14:paraId="49AF8FFD"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Simone Degeling and Michael Legg “Class Action Settlements, Opt-Out and Class Closure: Fiduciary Conflicts” (2017) 11 J Eq 319 at 323; and Parliamentary Joint Committee on Corporations and Financial Services </w:t>
      </w:r>
      <w:r w:rsidRPr="00421C05">
        <w:rPr>
          <w:i/>
          <w:iCs/>
          <w:szCs w:val="15"/>
        </w:rPr>
        <w:t xml:space="preserve">Litigation funding and the regulation of the class action industry </w:t>
      </w:r>
      <w:r w:rsidRPr="00421C05">
        <w:rPr>
          <w:szCs w:val="15"/>
        </w:rPr>
        <w:t xml:space="preserve">(December 2020) </w:t>
      </w:r>
      <w:r w:rsidRPr="00131C80">
        <w:rPr>
          <w:szCs w:val="15"/>
        </w:rPr>
        <w:t>at</w:t>
      </w:r>
      <w:r w:rsidRPr="00421C05">
        <w:rPr>
          <w:szCs w:val="15"/>
        </w:rPr>
        <w:t xml:space="preserve"> [8.7].</w:t>
      </w:r>
    </w:p>
  </w:footnote>
  <w:footnote w:id="832">
    <w:p w14:paraId="6F33CAD4"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Michael</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Legg</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and Ross McInnes</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Australian Annotated Class Actions Legislation</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(2nd ed, LexisNexis Butterworths, Chatswood, 2018) at [32.42]</w:t>
      </w:r>
      <w:r w:rsidRPr="00421C05">
        <w:rPr>
          <w:szCs w:val="15"/>
        </w:rPr>
        <w:t xml:space="preserve">; and </w:t>
      </w:r>
      <w:r w:rsidRPr="00421C05">
        <w:rPr>
          <w:i/>
          <w:szCs w:val="15"/>
        </w:rPr>
        <w:t>Melbourne</w:t>
      </w:r>
      <w:r w:rsidRPr="00421C05">
        <w:rPr>
          <w:i/>
          <w:iCs/>
          <w:szCs w:val="15"/>
        </w:rPr>
        <w:t xml:space="preserve"> City Investments Pty Ltd v Treasury Wine Estates Ltd</w:t>
      </w:r>
      <w:r w:rsidRPr="00421C05">
        <w:rPr>
          <w:szCs w:val="15"/>
        </w:rPr>
        <w:t xml:space="preserve"> [2017] FCAFC 98, (2017) 252 FCR 1 at [74].</w:t>
      </w:r>
    </w:p>
  </w:footnote>
  <w:footnote w:id="833">
    <w:p w14:paraId="30F912C4"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Simone Degeling and Michael Legg “Class Action Settlements, Opt-Out and Class Closure: Fiduciary Conflicts” (2017) 11 J Eq 319 at 324; and </w:t>
      </w:r>
      <w:r w:rsidRPr="00421C05">
        <w:rPr>
          <w:color w:val="000000"/>
          <w:szCs w:val="15"/>
          <w:shd w:val="clear" w:color="auto" w:fill="FFFFFF"/>
          <w:lang w:eastAsia="en-AU"/>
        </w:rPr>
        <w:t>Michael</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Legg</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and Ross McInnes</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Australian Annotated Class Actions Legislation</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(2nd ed, LexisNexis Butterworths, Chatswood, 2018) at [32.42]</w:t>
      </w:r>
      <w:r w:rsidRPr="00421C05">
        <w:rPr>
          <w:szCs w:val="15"/>
        </w:rPr>
        <w:t>.</w:t>
      </w:r>
    </w:p>
  </w:footnote>
  <w:footnote w:id="834">
    <w:p w14:paraId="5E51A478"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Australian Law Reform </w:t>
      </w:r>
      <w:r w:rsidRPr="00421C05">
        <w:rPr>
          <w:color w:val="000000"/>
          <w:szCs w:val="15"/>
          <w:shd w:val="clear" w:color="auto" w:fill="FFFFFF"/>
          <w:lang w:eastAsia="en-AU"/>
        </w:rPr>
        <w:t>Commission</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Integrity, Fairness and Efficiency</w:t>
      </w:r>
      <w:r w:rsidRPr="00421C05">
        <w:rPr>
          <w:rFonts w:cs="Metropolis Light"/>
          <w:i/>
          <w:iCs/>
          <w:color w:val="000000"/>
          <w:szCs w:val="15"/>
          <w:shd w:val="clear" w:color="auto" w:fill="FFFFFF"/>
          <w:lang w:eastAsia="en-AU"/>
        </w:rPr>
        <w:t>—</w:t>
      </w:r>
      <w:r w:rsidRPr="00421C05">
        <w:rPr>
          <w:i/>
          <w:iCs/>
          <w:color w:val="000000"/>
          <w:szCs w:val="15"/>
          <w:shd w:val="clear" w:color="auto" w:fill="FFFFFF"/>
          <w:lang w:eastAsia="en-AU"/>
        </w:rPr>
        <w:t>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(ALRC R134, 2018) at [4.19]. </w:t>
      </w:r>
      <w:r w:rsidRPr="00421C05">
        <w:rPr>
          <w:szCs w:val="15"/>
        </w:rPr>
        <w:t>This was because the way shares were traded on the ASX, such as through custodians and nominees.</w:t>
      </w:r>
    </w:p>
  </w:footnote>
  <w:footnote w:id="835">
    <w:p w14:paraId="7D1F836E"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 xml:space="preserve">Australian Law Reform </w:t>
      </w:r>
      <w:bookmarkStart w:id="104" w:name="_Hlk83649409"/>
      <w:r w:rsidRPr="00421C05">
        <w:rPr>
          <w:color w:val="000000"/>
          <w:szCs w:val="15"/>
          <w:shd w:val="clear" w:color="auto" w:fill="FFFFFF"/>
          <w:lang w:eastAsia="en-AU"/>
        </w:rPr>
        <w:t>Commission</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Integrity, Fairness and Efficiency</w:t>
      </w:r>
      <w:r w:rsidRPr="00421C05">
        <w:rPr>
          <w:rFonts w:cs="Metropolis Light"/>
          <w:i/>
          <w:iCs/>
          <w:color w:val="000000"/>
          <w:szCs w:val="15"/>
          <w:shd w:val="clear" w:color="auto" w:fill="FFFFFF"/>
          <w:lang w:eastAsia="en-AU"/>
        </w:rPr>
        <w:t>—</w:t>
      </w:r>
      <w:r w:rsidRPr="00421C05">
        <w:rPr>
          <w:i/>
          <w:iCs/>
          <w:color w:val="000000"/>
          <w:szCs w:val="15"/>
          <w:shd w:val="clear" w:color="auto" w:fill="FFFFFF"/>
          <w:lang w:eastAsia="en-AU"/>
        </w:rPr>
        <w:t>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(ALRC R134, 2018) at </w:t>
      </w:r>
      <w:bookmarkEnd w:id="104"/>
      <w:r w:rsidRPr="00421C05">
        <w:rPr>
          <w:color w:val="000000"/>
          <w:szCs w:val="15"/>
          <w:shd w:val="clear" w:color="auto" w:fill="FFFFFF"/>
          <w:lang w:eastAsia="en-AU"/>
        </w:rPr>
        <w:t xml:space="preserve">[4.19]. It also noted at [4.20] that when the ALRC originally recommended a class actions regime, it proceeded on the expectation that settlements would be reached on an aggregate basis, with rules as to how that aggregate would be divided among class members. This approach avoided the need for class closure prior to mediation. </w:t>
      </w:r>
    </w:p>
  </w:footnote>
  <w:footnote w:id="836">
    <w:p w14:paraId="3D020C1F"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Supreme Court Act 1986 (Vic), s 33ZG.</w:t>
      </w:r>
    </w:p>
  </w:footnote>
  <w:footnote w:id="837">
    <w:p w14:paraId="1297D02A"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Michael</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Legg</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and Ross McInnes</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Australian Annotated Class Actions Legislation</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(2nd ed, LexisNexis Butterworths, Chatswood, 2018) at [32.41].</w:t>
      </w:r>
    </w:p>
  </w:footnote>
  <w:footnote w:id="838">
    <w:p w14:paraId="651998FF" w14:textId="77777777" w:rsidR="00A55F53" w:rsidRPr="00421C05" w:rsidRDefault="00A55F53" w:rsidP="00DD0F04">
      <w:pPr>
        <w:pStyle w:val="FootnoteText"/>
        <w:rPr>
          <w:color w:val="auto"/>
          <w:szCs w:val="15"/>
        </w:rPr>
      </w:pPr>
      <w:r w:rsidRPr="00421C05">
        <w:rPr>
          <w:rStyle w:val="FootnoteReference"/>
          <w:sz w:val="15"/>
          <w:szCs w:val="15"/>
        </w:rPr>
        <w:footnoteRef/>
      </w:r>
      <w:r w:rsidRPr="00421C05">
        <w:rPr>
          <w:szCs w:val="15"/>
        </w:rPr>
        <w:t xml:space="preserve"> </w:t>
      </w:r>
      <w:r w:rsidRPr="00421C05">
        <w:rPr>
          <w:szCs w:val="15"/>
        </w:rPr>
        <w:tab/>
      </w:r>
      <w:r w:rsidRPr="00421C05">
        <w:rPr>
          <w:i/>
          <w:color w:val="auto"/>
          <w:szCs w:val="15"/>
        </w:rPr>
        <w:t>Gill</w:t>
      </w:r>
      <w:r w:rsidRPr="00421C05">
        <w:rPr>
          <w:i/>
          <w:iCs/>
          <w:color w:val="auto"/>
          <w:szCs w:val="15"/>
        </w:rPr>
        <w:t xml:space="preserve"> v Ethicon SàrlL (No 2)</w:t>
      </w:r>
      <w:r w:rsidRPr="00421C05">
        <w:rPr>
          <w:color w:val="auto"/>
          <w:szCs w:val="15"/>
        </w:rPr>
        <w:t xml:space="preserve"> [2019] FCA 177</w:t>
      </w:r>
      <w:r w:rsidRPr="00421C05">
        <w:rPr>
          <w:i/>
          <w:iCs/>
          <w:color w:val="auto"/>
          <w:szCs w:val="15"/>
        </w:rPr>
        <w:t xml:space="preserve"> </w:t>
      </w:r>
      <w:r w:rsidRPr="00421C05">
        <w:rPr>
          <w:color w:val="auto"/>
          <w:szCs w:val="15"/>
        </w:rPr>
        <w:t xml:space="preserve">at [25]; </w:t>
      </w:r>
      <w:r w:rsidRPr="00421C05">
        <w:rPr>
          <w:i/>
          <w:color w:val="auto"/>
          <w:szCs w:val="15"/>
        </w:rPr>
        <w:t>The</w:t>
      </w:r>
      <w:r w:rsidRPr="00421C05">
        <w:rPr>
          <w:i/>
          <w:iCs/>
          <w:color w:val="auto"/>
          <w:szCs w:val="15"/>
        </w:rPr>
        <w:t xml:space="preserve"> Owners – Strata Plan No 87231 v 3A Composites GmbH (No 3) </w:t>
      </w:r>
      <w:r w:rsidRPr="00421C05">
        <w:rPr>
          <w:color w:val="auto"/>
          <w:szCs w:val="15"/>
        </w:rPr>
        <w:t xml:space="preserve">[2020] FCA 748 at [198]–[214]; and </w:t>
      </w:r>
      <w:r w:rsidRPr="00421C05">
        <w:rPr>
          <w:i/>
          <w:color w:val="auto"/>
          <w:szCs w:val="15"/>
        </w:rPr>
        <w:t>Furnell</w:t>
      </w:r>
      <w:r w:rsidRPr="00421C05">
        <w:rPr>
          <w:i/>
          <w:iCs/>
          <w:color w:val="auto"/>
          <w:szCs w:val="15"/>
        </w:rPr>
        <w:t xml:space="preserve"> v Shahin Enterprises Pty Ltd </w:t>
      </w:r>
      <w:r w:rsidRPr="00421C05">
        <w:rPr>
          <w:color w:val="auto"/>
          <w:szCs w:val="15"/>
        </w:rPr>
        <w:t>[2021] FCA 73 at [60]–[74].</w:t>
      </w:r>
      <w:r w:rsidRPr="00421C05">
        <w:rPr>
          <w:szCs w:val="15"/>
        </w:rPr>
        <w:t xml:space="preserve"> See also </w:t>
      </w:r>
      <w:r w:rsidRPr="00421C05">
        <w:rPr>
          <w:i/>
          <w:color w:val="auto"/>
          <w:szCs w:val="15"/>
        </w:rPr>
        <w:t>Haselhurst</w:t>
      </w:r>
      <w:r w:rsidRPr="00421C05">
        <w:rPr>
          <w:i/>
          <w:iCs/>
          <w:color w:val="auto"/>
          <w:szCs w:val="15"/>
        </w:rPr>
        <w:t xml:space="preserve"> v Toyota Motor Corporation Australia Ltd </w:t>
      </w:r>
      <w:r w:rsidRPr="00421C05">
        <w:rPr>
          <w:color w:val="auto"/>
          <w:szCs w:val="15"/>
        </w:rPr>
        <w:t xml:space="preserve">[2020] NSWCA 66 at [121]–[123]; and </w:t>
      </w:r>
      <w:r w:rsidRPr="00421C05">
        <w:rPr>
          <w:i/>
          <w:color w:val="auto"/>
          <w:szCs w:val="15"/>
        </w:rPr>
        <w:t>Wigmans</w:t>
      </w:r>
      <w:r w:rsidRPr="00421C05">
        <w:rPr>
          <w:i/>
          <w:iCs/>
          <w:color w:val="auto"/>
          <w:szCs w:val="15"/>
        </w:rPr>
        <w:t xml:space="preserve"> v AMP Ltd </w:t>
      </w:r>
      <w:r w:rsidRPr="00421C05">
        <w:rPr>
          <w:color w:val="auto"/>
          <w:szCs w:val="15"/>
        </w:rPr>
        <w:t>[2020] NSWCA 104 at [76]–[79], [95] and [132] regarding the equivalent power in the Civil Procedure Act 2005 (NSW).</w:t>
      </w:r>
    </w:p>
  </w:footnote>
  <w:footnote w:id="839">
    <w:p w14:paraId="220F6241"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iCs/>
          <w:szCs w:val="15"/>
        </w:rPr>
        <w:t xml:space="preserve">Litigation funding and the regulation of the class action industry </w:t>
      </w:r>
      <w:r w:rsidRPr="00421C05">
        <w:rPr>
          <w:szCs w:val="15"/>
        </w:rPr>
        <w:t>(December 2020) at Recommendation 5.</w:t>
      </w:r>
    </w:p>
  </w:footnote>
  <w:footnote w:id="840">
    <w:p w14:paraId="43391581"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Parliamentary Joint Committee on Corporations and Financial Services </w:t>
      </w:r>
      <w:r w:rsidRPr="00421C05">
        <w:rPr>
          <w:i/>
          <w:iCs/>
          <w:szCs w:val="15"/>
        </w:rPr>
        <w:t xml:space="preserve">Litigation funding and the regulation of the class action industry </w:t>
      </w:r>
      <w:r w:rsidRPr="00421C05">
        <w:rPr>
          <w:szCs w:val="15"/>
        </w:rPr>
        <w:t>(December 2020) at [8.44].</w:t>
      </w:r>
    </w:p>
  </w:footnote>
  <w:footnote w:id="841">
    <w:p w14:paraId="7FFAD10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rFonts w:cstheme="minorHAnsi"/>
          <w:szCs w:val="15"/>
          <w:lang w:val="mi-NZ"/>
        </w:rPr>
        <w:t xml:space="preserve">Cameron Hanson “Weighing the bird in the hand: settlement of class actions” in Damian Grave and Helen Mould (eds) </w:t>
      </w:r>
      <w:r w:rsidRPr="00421C05">
        <w:rPr>
          <w:rFonts w:cstheme="minorHAnsi"/>
          <w:i/>
          <w:iCs/>
          <w:szCs w:val="15"/>
          <w:lang w:val="mi-NZ"/>
        </w:rPr>
        <w:t xml:space="preserve">25 Years of Class Actions in Australia </w:t>
      </w:r>
      <w:r w:rsidRPr="00421C05">
        <w:rPr>
          <w:rFonts w:cstheme="minorHAnsi"/>
          <w:szCs w:val="15"/>
          <w:lang w:val="mi-NZ"/>
        </w:rPr>
        <w:t xml:space="preserve">(Ross Parsons Centre of Commercial, Corporate and Taxation Law, Sydney, 2017) at 262 and 272. See also </w:t>
      </w:r>
      <w:r w:rsidRPr="00421C05">
        <w:rPr>
          <w:i/>
          <w:color w:val="0D0D0D"/>
          <w:szCs w:val="15"/>
          <w:shd w:val="clear" w:color="auto" w:fill="FFFFFF"/>
          <w:lang w:eastAsia="en-AU"/>
        </w:rPr>
        <w:t>Class</w:t>
      </w:r>
      <w:r w:rsidRPr="00421C05">
        <w:rPr>
          <w:i/>
          <w:iCs/>
          <w:color w:val="0D0D0D"/>
          <w:szCs w:val="15"/>
          <w:shd w:val="clear" w:color="auto" w:fill="FFFFFF"/>
          <w:lang w:eastAsia="en-AU"/>
        </w:rPr>
        <w:t xml:space="preserve"> Actions 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of Australia, Practice Note GPN-CA, December 2019) at [15.2(p)], which states that notice of a proposed settlement should outline any steps required to be taken by persons wishing to opt out of the settlement “if that is possible under the terms of the settlement”. </w:t>
      </w:r>
      <w:r w:rsidRPr="00421C05">
        <w:rPr>
          <w:rFonts w:ascii="Calibri" w:hAnsi="Calibri" w:cs="Calibri"/>
          <w:color w:val="0D0D0D"/>
          <w:szCs w:val="15"/>
          <w:shd w:val="clear" w:color="auto" w:fill="FFFFFF"/>
          <w:lang w:eastAsia="en-AU"/>
        </w:rPr>
        <w:t> </w:t>
      </w:r>
    </w:p>
  </w:footnote>
  <w:footnote w:id="842">
    <w:p w14:paraId="5432BBB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Fonts w:cstheme="minorHAnsi"/>
          <w:szCs w:val="15"/>
          <w:lang w:val="mi-NZ"/>
        </w:rPr>
        <w:t xml:space="preserve">Cameron Hanson “Weighing the bird in the hand: settlement of class actions” in Damian Grave and Helen Mould (eds) </w:t>
      </w:r>
      <w:r w:rsidRPr="00421C05">
        <w:rPr>
          <w:rFonts w:cstheme="minorHAnsi"/>
          <w:i/>
          <w:iCs/>
          <w:szCs w:val="15"/>
          <w:lang w:val="mi-NZ"/>
        </w:rPr>
        <w:t xml:space="preserve">25 Years of Class Actions in Australia </w:t>
      </w:r>
      <w:r w:rsidRPr="00421C05">
        <w:rPr>
          <w:rFonts w:cstheme="minorHAnsi"/>
          <w:szCs w:val="15"/>
          <w:lang w:val="mi-NZ"/>
        </w:rPr>
        <w:t>(Ross Parsons Centre of Commercial, Corporate and Taxation Law, Sydney, 2017) at 272.</w:t>
      </w:r>
    </w:p>
  </w:footnote>
  <w:footnote w:id="843">
    <w:p w14:paraId="3958F73C" w14:textId="18825F24"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Style w:val="findhit"/>
          <w:color w:val="000000"/>
          <w:szCs w:val="15"/>
          <w:shd w:val="clear" w:color="auto" w:fill="FFFFFF"/>
        </w:rPr>
        <w:t>Jasminka</w:t>
      </w:r>
      <w:r w:rsidRPr="00421C05">
        <w:rPr>
          <w:rStyle w:val="normaltextrun"/>
          <w:rFonts w:ascii="Calibri" w:hAnsi="Calibri" w:cs="Calibri"/>
          <w:color w:val="000000"/>
          <w:szCs w:val="15"/>
          <w:shd w:val="clear" w:color="auto" w:fill="FFFFFF"/>
        </w:rPr>
        <w:t> </w:t>
      </w:r>
      <w:r w:rsidRPr="00421C05">
        <w:rPr>
          <w:rStyle w:val="normaltextrun"/>
          <w:color w:val="000000"/>
          <w:szCs w:val="15"/>
          <w:shd w:val="clear" w:color="auto" w:fill="FFFFFF"/>
        </w:rPr>
        <w:t>Kalajdzic</w:t>
      </w:r>
      <w:r w:rsidRPr="00421C05">
        <w:rPr>
          <w:rStyle w:val="normaltextrun"/>
          <w:rFonts w:ascii="Calibri" w:hAnsi="Calibri" w:cs="Calibri"/>
          <w:color w:val="000000"/>
          <w:szCs w:val="15"/>
          <w:shd w:val="clear" w:color="auto" w:fill="FFFFFF"/>
        </w:rPr>
        <w:t> </w:t>
      </w:r>
      <w:r w:rsidRPr="00421C05">
        <w:rPr>
          <w:rStyle w:val="normaltextrun"/>
          <w:i/>
          <w:iCs/>
          <w:color w:val="000000"/>
          <w:szCs w:val="15"/>
          <w:shd w:val="clear" w:color="auto" w:fill="FFFFFF"/>
        </w:rPr>
        <w:t>Class Actions in Canada: The Promise and Reality of Access to Justice</w:t>
      </w:r>
      <w:r w:rsidRPr="00421C05">
        <w:rPr>
          <w:rStyle w:val="normaltextrun"/>
          <w:rFonts w:ascii="Calibri" w:hAnsi="Calibri" w:cs="Calibri"/>
          <w:i/>
          <w:iCs/>
          <w:color w:val="000000"/>
          <w:szCs w:val="15"/>
          <w:shd w:val="clear" w:color="auto" w:fill="FFFFFF"/>
        </w:rPr>
        <w:t> </w:t>
      </w:r>
      <w:r w:rsidRPr="00421C05">
        <w:rPr>
          <w:rStyle w:val="normaltextrun"/>
          <w:color w:val="000000"/>
          <w:szCs w:val="15"/>
          <w:shd w:val="clear" w:color="auto" w:fill="FFFFFF"/>
        </w:rPr>
        <w:t>(UBC Press, Vancouver, 2018)</w:t>
      </w:r>
      <w:r w:rsidRPr="00421C05">
        <w:rPr>
          <w:rStyle w:val="eop"/>
          <w:rFonts w:ascii="Calibri" w:hAnsi="Calibri" w:cs="Calibri"/>
          <w:color w:val="000000"/>
          <w:szCs w:val="15"/>
          <w:shd w:val="clear" w:color="auto" w:fill="FFFFFF"/>
        </w:rPr>
        <w:t> </w:t>
      </w:r>
      <w:r w:rsidRPr="00421C05">
        <w:rPr>
          <w:szCs w:val="15"/>
        </w:rPr>
        <w:t xml:space="preserve">at 96. However, it appears possible for class members to be given a second opportunity to opt out at settlement. See for example </w:t>
      </w:r>
      <w:r w:rsidRPr="00421C05">
        <w:rPr>
          <w:i/>
          <w:szCs w:val="15"/>
        </w:rPr>
        <w:t>Robertson</w:t>
      </w:r>
      <w:r w:rsidRPr="00421C05">
        <w:rPr>
          <w:i/>
          <w:iCs/>
          <w:szCs w:val="15"/>
        </w:rPr>
        <w:t xml:space="preserve"> v ProQuest Information and Learning LLC </w:t>
      </w:r>
      <w:r w:rsidRPr="00421C05">
        <w:rPr>
          <w:szCs w:val="15"/>
        </w:rPr>
        <w:t xml:space="preserve">2011 ONSC 2629 at [26] and [29]; and </w:t>
      </w:r>
      <w:r w:rsidRPr="00421C05">
        <w:rPr>
          <w:i/>
          <w:szCs w:val="15"/>
        </w:rPr>
        <w:t>Macaronies</w:t>
      </w:r>
      <w:r w:rsidRPr="00421C05">
        <w:rPr>
          <w:i/>
          <w:iCs/>
          <w:szCs w:val="15"/>
        </w:rPr>
        <w:t xml:space="preserve"> Hair Club and Laser Centre Inc v Bank of Montreal </w:t>
      </w:r>
      <w:r w:rsidRPr="00421C05">
        <w:rPr>
          <w:szCs w:val="15"/>
        </w:rPr>
        <w:t xml:space="preserve">2021 ABCA 40 at [47] (where the Court accepted that the Class Proceedings Act SA 2003 c C-16.5 (Alberta) allowed for the possibility of more than one right to opt out to address the issue of sequential settlements). </w:t>
      </w:r>
    </w:p>
  </w:footnote>
  <w:footnote w:id="844">
    <w:p w14:paraId="25118DC4"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United States Federal Rules of Civil Procedure, r 23(e)(4). This provides that the court “may” refuse to approve a settlement unless it gives class members another opportunity to opt out.</w:t>
      </w:r>
    </w:p>
  </w:footnote>
  <w:footnote w:id="845">
    <w:p w14:paraId="2D78714B"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Notes of Advisory Committee on 2003 amendment to United States Federal Rules of Civil Procedure, r 23(e)(2).</w:t>
      </w:r>
    </w:p>
  </w:footnote>
  <w:footnote w:id="846">
    <w:p w14:paraId="009F22F7"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Newberg</w:t>
      </w:r>
      <w:r w:rsidRPr="00421C05">
        <w:rPr>
          <w:rFonts w:ascii="Calibri" w:hAnsi="Calibri" w:cs="Calibri"/>
          <w:i/>
          <w:iCs/>
          <w:color w:val="000000"/>
          <w:szCs w:val="15"/>
          <w:shd w:val="clear" w:color="auto" w:fill="FFFFFF"/>
          <w:lang w:eastAsia="en-AU"/>
        </w:rPr>
        <w:t xml:space="preserve"> </w:t>
      </w:r>
      <w:r w:rsidRPr="00421C05">
        <w:rPr>
          <w:i/>
          <w:iCs/>
          <w:color w:val="000000"/>
          <w:szCs w:val="15"/>
          <w:shd w:val="clear" w:color="auto" w:fill="FFFFFF"/>
          <w:lang w:eastAsia="en-AU"/>
        </w:rPr>
        <w:t>on Class Actions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Times New Roman" w:hAnsi="Times New Roman"/>
          <w:color w:val="000000"/>
          <w:szCs w:val="15"/>
          <w:shd w:val="clear" w:color="auto" w:fill="FFFFFF"/>
          <w:lang w:eastAsia="en-AU"/>
        </w:rPr>
        <w:t>§</w:t>
      </w:r>
      <w:r w:rsidRPr="00421C05">
        <w:rPr>
          <w:color w:val="000000"/>
          <w:szCs w:val="15"/>
          <w:shd w:val="clear" w:color="auto" w:fill="FFFFFF"/>
          <w:lang w:eastAsia="en-AU"/>
        </w:rPr>
        <w:t xml:space="preserve"> 9:52. </w:t>
      </w:r>
    </w:p>
  </w:footnote>
  <w:footnote w:id="847">
    <w:p w14:paraId="740D139A"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Competition Appeal Tribunal </w:t>
      </w:r>
      <w:r w:rsidRPr="00421C05">
        <w:rPr>
          <w:i/>
          <w:iCs/>
          <w:szCs w:val="15"/>
        </w:rPr>
        <w:t>Guide to Proceedings</w:t>
      </w:r>
      <w:r w:rsidRPr="00421C05">
        <w:rPr>
          <w:szCs w:val="15"/>
        </w:rPr>
        <w:t xml:space="preserve"> (2015) at [6.122]; and The Competition Appeal Tribunal Rules 2015 (UK), rr 94(10) and 97(8)–97(9).</w:t>
      </w:r>
    </w:p>
  </w:footnote>
  <w:footnote w:id="848">
    <w:p w14:paraId="34B5EBCA" w14:textId="3BEC2823"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9(1)(b).</w:t>
      </w:r>
    </w:p>
  </w:footnote>
  <w:footnote w:id="849">
    <w:p w14:paraId="42237887" w14:textId="398D42AF"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9(2).</w:t>
      </w:r>
    </w:p>
  </w:footnote>
  <w:footnote w:id="850">
    <w:p w14:paraId="65D3AC35" w14:textId="64964736"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9(1)(c).</w:t>
      </w:r>
    </w:p>
  </w:footnote>
  <w:footnote w:id="851">
    <w:p w14:paraId="04824CF1"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 Competition Appeal Tribunal Rules 2015 (UK), r 96.</w:t>
      </w:r>
    </w:p>
  </w:footnote>
  <w:footnote w:id="852">
    <w:p w14:paraId="15CE6B4E"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Competition Appeal Tribunal </w:t>
      </w:r>
      <w:r w:rsidRPr="00421C05">
        <w:rPr>
          <w:i/>
          <w:iCs/>
          <w:szCs w:val="15"/>
        </w:rPr>
        <w:t xml:space="preserve">Guide to Proceedings </w:t>
      </w:r>
      <w:r w:rsidRPr="00421C05">
        <w:rPr>
          <w:szCs w:val="15"/>
        </w:rPr>
        <w:t>(2015) at [6.103] and [6.108].</w:t>
      </w:r>
    </w:p>
  </w:footnote>
  <w:footnote w:id="853">
    <w:p w14:paraId="2AF75A31"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The Competition Appeal Tribunal Rules 2015 (UK), r 97.</w:t>
      </w:r>
    </w:p>
  </w:footnote>
  <w:footnote w:id="854">
    <w:p w14:paraId="6E4BCEE2"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bdr w:val="none" w:sz="0" w:space="0" w:color="auto" w:frame="1"/>
          <w:lang w:val="mi-NZ" w:eastAsia="en-AU"/>
        </w:rPr>
        <w:t>United States Federal Rules of Civil Procedure, r 23(e)(1)(B)(ii).</w:t>
      </w:r>
    </w:p>
  </w:footnote>
  <w:footnote w:id="855">
    <w:p w14:paraId="6D4CA012"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Newberg</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on Class Actions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Calibri" w:hAnsi="Calibri" w:cs="Calibri"/>
          <w:color w:val="000000"/>
          <w:szCs w:val="15"/>
          <w:shd w:val="clear" w:color="auto" w:fill="FFFFFF"/>
          <w:lang w:eastAsia="en-AU"/>
        </w:rPr>
        <w:t>§</w:t>
      </w:r>
      <w:r w:rsidRPr="00421C05">
        <w:rPr>
          <w:color w:val="000000"/>
          <w:szCs w:val="15"/>
          <w:shd w:val="clear" w:color="auto" w:fill="FFFFFF"/>
          <w:lang w:eastAsia="en-AU"/>
        </w:rPr>
        <w:t xml:space="preserve"> 13:17.</w:t>
      </w:r>
    </w:p>
  </w:footnote>
  <w:footnote w:id="856">
    <w:p w14:paraId="2FA5C901"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Newberg</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on Class Actions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Calibri" w:hAnsi="Calibri" w:cs="Calibri"/>
          <w:color w:val="000000"/>
          <w:szCs w:val="15"/>
          <w:shd w:val="clear" w:color="auto" w:fill="FFFFFF"/>
          <w:lang w:eastAsia="en-AU"/>
        </w:rPr>
        <w:t>§</w:t>
      </w:r>
      <w:r w:rsidRPr="00421C05">
        <w:rPr>
          <w:color w:val="000000"/>
          <w:szCs w:val="15"/>
          <w:shd w:val="clear" w:color="auto" w:fill="FFFFFF"/>
          <w:lang w:eastAsia="en-AU"/>
        </w:rPr>
        <w:t xml:space="preserve"> 13:18. The manageability requirement is in United </w:t>
      </w:r>
      <w:r w:rsidRPr="00421C05">
        <w:rPr>
          <w:color w:val="000000"/>
          <w:szCs w:val="15"/>
          <w:bdr w:val="none" w:sz="0" w:space="0" w:color="auto" w:frame="1"/>
          <w:lang w:val="mi-NZ" w:eastAsia="en-AU"/>
        </w:rPr>
        <w:t xml:space="preserve">States Federal Rules of Civil Procedure, r 23(b)(3)(D). </w:t>
      </w:r>
    </w:p>
  </w:footnote>
  <w:footnote w:id="857">
    <w:p w14:paraId="061CE596"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Anchem</w:t>
      </w:r>
      <w:r w:rsidRPr="00421C05">
        <w:rPr>
          <w:i/>
          <w:iCs/>
          <w:szCs w:val="15"/>
        </w:rPr>
        <w:t xml:space="preserve"> Products Inc v Windsor </w:t>
      </w:r>
      <w:r w:rsidRPr="00421C05">
        <w:rPr>
          <w:szCs w:val="15"/>
        </w:rPr>
        <w:t xml:space="preserve">(1997) 521 US 591 at 620. However, commentary notes that the requirement for heighted scrutiny where certification is sought for settlement has been “honoured more in the breach than the observance”: </w:t>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Newberg</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on Class Actions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Calibri" w:hAnsi="Calibri" w:cs="Calibri"/>
          <w:color w:val="000000"/>
          <w:szCs w:val="15"/>
          <w:shd w:val="clear" w:color="auto" w:fill="FFFFFF"/>
          <w:lang w:eastAsia="en-AU"/>
        </w:rPr>
        <w:t>§</w:t>
      </w:r>
      <w:r w:rsidRPr="00421C05">
        <w:rPr>
          <w:color w:val="000000"/>
          <w:szCs w:val="15"/>
          <w:shd w:val="clear" w:color="auto" w:fill="FFFFFF"/>
          <w:lang w:eastAsia="en-AU"/>
        </w:rPr>
        <w:t xml:space="preserve"> 13:18.</w:t>
      </w:r>
    </w:p>
  </w:footnote>
  <w:footnote w:id="858">
    <w:p w14:paraId="1DA06424"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Newberg</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on Class Actions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Calibri" w:hAnsi="Calibri" w:cs="Calibri"/>
          <w:color w:val="000000"/>
          <w:szCs w:val="15"/>
          <w:shd w:val="clear" w:color="auto" w:fill="FFFFFF"/>
          <w:lang w:eastAsia="en-AU"/>
        </w:rPr>
        <w:t>§</w:t>
      </w:r>
      <w:r w:rsidRPr="00421C05">
        <w:rPr>
          <w:color w:val="000000"/>
          <w:szCs w:val="15"/>
          <w:shd w:val="clear" w:color="auto" w:fill="FFFFFF"/>
          <w:lang w:eastAsia="en-AU"/>
        </w:rPr>
        <w:t xml:space="preserve"> 13:18.</w:t>
      </w:r>
    </w:p>
  </w:footnote>
  <w:footnote w:id="859">
    <w:p w14:paraId="2D2E78D8"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Newberg</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on Class Actions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Calibri" w:hAnsi="Calibri" w:cs="Calibri"/>
          <w:color w:val="000000"/>
          <w:szCs w:val="15"/>
          <w:shd w:val="clear" w:color="auto" w:fill="FFFFFF"/>
          <w:lang w:eastAsia="en-AU"/>
        </w:rPr>
        <w:t>§</w:t>
      </w:r>
      <w:r w:rsidRPr="00421C05">
        <w:rPr>
          <w:color w:val="000000"/>
          <w:szCs w:val="15"/>
          <w:shd w:val="clear" w:color="auto" w:fill="FFFFFF"/>
          <w:lang w:eastAsia="en-AU"/>
        </w:rPr>
        <w:t xml:space="preserve"> 13:39.</w:t>
      </w:r>
    </w:p>
  </w:footnote>
  <w:footnote w:id="860">
    <w:p w14:paraId="6ADEC00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Lenczner Slaght </w:t>
      </w:r>
      <w:r w:rsidRPr="00421C05">
        <w:rPr>
          <w:i/>
          <w:iCs/>
          <w:szCs w:val="15"/>
        </w:rPr>
        <w:t xml:space="preserve">Class Actions in Canada 2019 </w:t>
      </w:r>
      <w:r w:rsidRPr="00421C05">
        <w:rPr>
          <w:szCs w:val="15"/>
        </w:rPr>
        <w:t>(2019)</w:t>
      </w:r>
      <w:r w:rsidRPr="00421C05">
        <w:rPr>
          <w:i/>
          <w:iCs/>
          <w:szCs w:val="15"/>
        </w:rPr>
        <w:t xml:space="preserve"> </w:t>
      </w:r>
      <w:r w:rsidRPr="00421C05">
        <w:rPr>
          <w:szCs w:val="15"/>
        </w:rPr>
        <w:t xml:space="preserve">at 11. Note that some provinces provide that where an application is made to certify a class action for the purposes of settlement, the court cannot certify the proceeding unless it has approved the settlement: </w:t>
      </w:r>
      <w:r w:rsidRPr="00421C05">
        <w:rPr>
          <w:szCs w:val="15"/>
          <w:lang w:val="en-US"/>
        </w:rPr>
        <w:t>Class Proceedings Act SA 2003 c C-16.5 (Alberta), s 5(5); Class Proceedings Act SNS 2007 c 28 (Nova Scotia), s 7(3); and Class Proceedings Act RSNB 2011 c 125 (New Brunswick), s 6(3).</w:t>
      </w:r>
      <w:r w:rsidRPr="00421C05">
        <w:rPr>
          <w:szCs w:val="15"/>
        </w:rPr>
        <w:t xml:space="preserve"> </w:t>
      </w:r>
    </w:p>
  </w:footnote>
  <w:footnote w:id="861">
    <w:p w14:paraId="7E7A746E" w14:textId="63E2D3C1"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i/>
          <w:szCs w:val="15"/>
        </w:rPr>
        <w:t>Gariepy</w:t>
      </w:r>
      <w:r w:rsidRPr="00421C05">
        <w:rPr>
          <w:i/>
          <w:iCs/>
          <w:szCs w:val="15"/>
        </w:rPr>
        <w:t xml:space="preserve"> v Shell Oil Co </w:t>
      </w:r>
      <w:r w:rsidRPr="00421C05">
        <w:rPr>
          <w:szCs w:val="15"/>
        </w:rPr>
        <w:t xml:space="preserve">[2002] OJ No 4022 at [27] and </w:t>
      </w:r>
      <w:r w:rsidRPr="00421C05">
        <w:rPr>
          <w:i/>
          <w:szCs w:val="15"/>
        </w:rPr>
        <w:t>Buote</w:t>
      </w:r>
      <w:r w:rsidRPr="00421C05">
        <w:rPr>
          <w:i/>
          <w:iCs/>
          <w:szCs w:val="15"/>
        </w:rPr>
        <w:t xml:space="preserve"> Estate v R </w:t>
      </w:r>
      <w:r w:rsidRPr="00421C05">
        <w:rPr>
          <w:szCs w:val="15"/>
        </w:rPr>
        <w:t>2014 FC773 at [8].</w:t>
      </w:r>
    </w:p>
  </w:footnote>
  <w:footnote w:id="862">
    <w:p w14:paraId="3AD1ABB4" w14:textId="27A05061"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cls 4 and 7(1)–(2).</w:t>
      </w:r>
    </w:p>
  </w:footnote>
  <w:footnote w:id="863">
    <w:p w14:paraId="18B4E917" w14:textId="3993CEDE"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7(2).</w:t>
      </w:r>
    </w:p>
  </w:footnote>
  <w:footnote w:id="864">
    <w:p w14:paraId="6F5EE2E1" w14:textId="2BEC2625"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our draft legislation, cl 7(3). </w:t>
      </w:r>
    </w:p>
  </w:footnote>
  <w:footnote w:id="865">
    <w:p w14:paraId="2632D58A" w14:textId="7C1C207B"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9(2).</w:t>
      </w:r>
    </w:p>
  </w:footnote>
  <w:footnote w:id="866">
    <w:p w14:paraId="5DC00AB8" w14:textId="4143F8DA"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our draft legislation, cl 10(1); and </w:t>
      </w:r>
      <w:r w:rsidRPr="00421C05">
        <w:rPr>
          <w:color w:val="000000"/>
          <w:szCs w:val="15"/>
          <w:shd w:val="clear" w:color="auto" w:fill="FFFFFF"/>
          <w:lang w:val="mi-NZ" w:eastAsia="en-AU"/>
        </w:rPr>
        <w:t xml:space="preserve">Class Proceedings Act SO 1992 c 6 (Ontario), s 27.1(13). </w:t>
      </w:r>
    </w:p>
  </w:footnote>
  <w:footnote w:id="867">
    <w:p w14:paraId="2B6810EF" w14:textId="12B23EF8"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9(1)(e).</w:t>
      </w:r>
    </w:p>
  </w:footnote>
  <w:footnote w:id="868">
    <w:p w14:paraId="525E5D5E" w14:textId="747FE67D"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Federal Court of </w:t>
      </w:r>
      <w:r w:rsidRPr="00421C05">
        <w:rPr>
          <w:szCs w:val="15"/>
          <w:lang w:val="mi-NZ"/>
        </w:rPr>
        <w:t xml:space="preserve">Australia Act 1976 (Cth), s 33V(2). Note that the Australian legislation involves </w:t>
      </w:r>
      <w:r w:rsidRPr="00421C05">
        <w:rPr>
          <w:szCs w:val="15"/>
        </w:rPr>
        <w:t xml:space="preserve">two distinct, but related, powers: the power to approve the settlement and the power to approve the distribution of payments under the settlement: see </w:t>
      </w:r>
      <w:r w:rsidRPr="00421C05">
        <w:rPr>
          <w:i/>
          <w:szCs w:val="15"/>
        </w:rPr>
        <w:t>Botsman</w:t>
      </w:r>
      <w:r w:rsidRPr="00421C05">
        <w:rPr>
          <w:i/>
          <w:iCs/>
          <w:szCs w:val="15"/>
        </w:rPr>
        <w:t xml:space="preserve"> v Bolitho </w:t>
      </w:r>
      <w:r w:rsidRPr="00421C05">
        <w:rPr>
          <w:szCs w:val="15"/>
        </w:rPr>
        <w:t>(2018) 57 VR 68 at [200] (referring to Supreme Court Act 1986 (Vic), s 33V).</w:t>
      </w:r>
    </w:p>
  </w:footnote>
  <w:footnote w:id="869">
    <w:p w14:paraId="2BDCA31A" w14:textId="5CF8C37A"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Victorian </w:t>
      </w:r>
      <w:r w:rsidRPr="00421C05">
        <w:rPr>
          <w:color w:val="000000"/>
          <w:szCs w:val="15"/>
          <w:shd w:val="clear" w:color="auto" w:fill="FFFFFF"/>
          <w:lang w:eastAsia="en-AU"/>
        </w:rPr>
        <w:t>Law Reform Commission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Access to Justice—Litigation Funding and Group Proceedings: Report</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(March 2018)</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at [4.194]. </w:t>
      </w:r>
    </w:p>
  </w:footnote>
  <w:footnote w:id="870">
    <w:p w14:paraId="4A69F1A3"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w:t>
      </w:r>
      <w:r w:rsidRPr="00421C05">
        <w:rPr>
          <w:color w:val="000000"/>
          <w:szCs w:val="15"/>
          <w:shd w:val="clear" w:color="auto" w:fill="FFFFFF"/>
          <w:lang w:eastAsia="en-AU"/>
        </w:rPr>
        <w:t>William Rubenstein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Newberg</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on Class Actions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 xml:space="preserve">(online ed, Thomson Reuters) at </w:t>
      </w:r>
      <w:r w:rsidRPr="00421C05">
        <w:rPr>
          <w:rFonts w:ascii="Times New Roman" w:hAnsi="Times New Roman"/>
          <w:color w:val="000000"/>
          <w:szCs w:val="15"/>
          <w:shd w:val="clear" w:color="auto" w:fill="FFFFFF"/>
          <w:lang w:eastAsia="en-AU"/>
        </w:rPr>
        <w:t>§</w:t>
      </w:r>
      <w:r w:rsidRPr="00421C05">
        <w:rPr>
          <w:color w:val="000000"/>
          <w:szCs w:val="15"/>
          <w:shd w:val="clear" w:color="auto" w:fill="FFFFFF"/>
          <w:lang w:eastAsia="en-AU"/>
        </w:rPr>
        <w:t xml:space="preserve"> 12:20; and Australian</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Law Reform Commission</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Integrity, Fairness and Efficiency—An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(ALRC R134, 2018) at [5.35].</w:t>
      </w:r>
    </w:p>
  </w:footnote>
  <w:footnote w:id="871">
    <w:p w14:paraId="5D67E835"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Australian</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Law Reform Commission</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Integrity, Fairness and Efficiency—An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(ALRC R134, 2018) at [5.36].</w:t>
      </w:r>
    </w:p>
  </w:footnote>
  <w:footnote w:id="872">
    <w:p w14:paraId="76442BF7"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Australian</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Law Reform Commission</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Integrity, Fairness and Efficiency—An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(ALRC R134, 2018) at [5.37]. It referred to costs for administering shareholder class actions ranging from $250,000 to $600,000 while the costs of administering personal injury class actions often exceeded $3 million.</w:t>
      </w:r>
    </w:p>
  </w:footnote>
  <w:footnote w:id="873">
    <w:p w14:paraId="3057A675"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Victorian </w:t>
      </w:r>
      <w:r w:rsidRPr="00421C05">
        <w:rPr>
          <w:color w:val="000000"/>
          <w:szCs w:val="15"/>
          <w:shd w:val="clear" w:color="auto" w:fill="FFFFFF"/>
          <w:lang w:eastAsia="en-AU"/>
        </w:rPr>
        <w:t>Law Reform Commission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Access to Justice—Litigation Funding and Group Proceedings: Report</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(March 2018)</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at </w:t>
      </w:r>
      <w:r w:rsidRPr="00421C05">
        <w:rPr>
          <w:szCs w:val="15"/>
        </w:rPr>
        <w:t xml:space="preserve">[4.113]; and </w:t>
      </w:r>
      <w:r w:rsidRPr="00421C05">
        <w:rPr>
          <w:color w:val="000000"/>
          <w:szCs w:val="15"/>
          <w:shd w:val="clear" w:color="auto" w:fill="FFFFFF"/>
          <w:lang w:eastAsia="en-AU"/>
        </w:rPr>
        <w:t>Australian</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Law Reform Commission</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Integrity, Fairness and Efficiency—An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(ALRC R134, 2018) at [5.35].</w:t>
      </w:r>
    </w:p>
  </w:footnote>
  <w:footnote w:id="874">
    <w:p w14:paraId="2D999692"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Victorian </w:t>
      </w:r>
      <w:r w:rsidRPr="00421C05">
        <w:rPr>
          <w:color w:val="000000"/>
          <w:szCs w:val="15"/>
          <w:shd w:val="clear" w:color="auto" w:fill="FFFFFF"/>
          <w:lang w:eastAsia="en-AU"/>
        </w:rPr>
        <w:t>Law Reform Commission</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Access to Justice—Litigation Funding and Group Proceedings: Report</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(March 2018)</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at [4.115]. </w:t>
      </w:r>
      <w:r w:rsidRPr="00421C05">
        <w:rPr>
          <w:szCs w:val="15"/>
        </w:rPr>
        <w:t>It suggested that in smaller, less complex class actions, Funds in Court (an office of the Supreme Court which administers funds paid into court in civil proceedings) could administer settlement distribution: at [4.117].</w:t>
      </w:r>
    </w:p>
  </w:footnote>
  <w:footnote w:id="875">
    <w:p w14:paraId="78321E20"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Australian</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Law Reform Commission</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Integrity, Fairness and Efficiency—An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(ALRC R134, 2018) at [5.43] and Recommendation 9 at 141. The ALRC agreed with the </w:t>
      </w:r>
      <w:r w:rsidRPr="00421C05">
        <w:rPr>
          <w:szCs w:val="15"/>
        </w:rPr>
        <w:t>Law Council of Australia’s suggestion that a tender process could be run by the judge who is conducting the settlement approval hearing, a registrar, or a court-appointed expert who provides the judge with a</w:t>
      </w:r>
      <w:r w:rsidRPr="00421C05">
        <w:rPr>
          <w:color w:val="000000"/>
          <w:szCs w:val="15"/>
          <w:shd w:val="clear" w:color="auto" w:fill="FFFFFF"/>
          <w:lang w:eastAsia="en-AU"/>
        </w:rPr>
        <w:t xml:space="preserve"> recommendation: at [5.50]. </w:t>
      </w:r>
    </w:p>
  </w:footnote>
  <w:footnote w:id="876">
    <w:p w14:paraId="35BAAF95"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Australian</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Law Reform Commission </w:t>
      </w:r>
      <w:r w:rsidRPr="00421C05">
        <w:rPr>
          <w:i/>
          <w:iCs/>
          <w:color w:val="000000"/>
          <w:szCs w:val="15"/>
          <w:shd w:val="clear" w:color="auto" w:fill="FFFFFF"/>
          <w:lang w:eastAsia="en-AU"/>
        </w:rPr>
        <w:t>Integrity, Fairness and Efficiency—An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(ALRC R134, 2018) at [5.39].</w:t>
      </w:r>
    </w:p>
  </w:footnote>
  <w:footnote w:id="877">
    <w:p w14:paraId="55EEA7A4"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Law Commission of</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Ontario</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Class Actions: Objectives, Experiences and Reforms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Final Report</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(July 2019)</w:t>
      </w:r>
      <w:r w:rsidRPr="00421C05">
        <w:rPr>
          <w:rFonts w:ascii="Calibri" w:hAnsi="Calibri" w:cs="Calibri"/>
          <w:color w:val="000000"/>
          <w:szCs w:val="15"/>
          <w:shd w:val="clear" w:color="auto" w:fill="FFFFFF"/>
          <w:lang w:eastAsia="en-AU"/>
        </w:rPr>
        <w:t> </w:t>
      </w:r>
      <w:r w:rsidRPr="00421C05">
        <w:rPr>
          <w:szCs w:val="15"/>
        </w:rPr>
        <w:t xml:space="preserve">at 64; and </w:t>
      </w:r>
      <w:r w:rsidRPr="00421C05">
        <w:rPr>
          <w:rStyle w:val="normaltextrun"/>
          <w:color w:val="000000"/>
          <w:szCs w:val="15"/>
          <w:shd w:val="clear" w:color="auto" w:fill="FFFFFF"/>
        </w:rPr>
        <w:t>William Rubenstein</w:t>
      </w:r>
      <w:r w:rsidRPr="00421C05">
        <w:rPr>
          <w:rStyle w:val="normaltextrun"/>
          <w:rFonts w:ascii="Calibri" w:hAnsi="Calibri" w:cs="Calibri"/>
          <w:color w:val="000000"/>
          <w:szCs w:val="15"/>
          <w:shd w:val="clear" w:color="auto" w:fill="FFFFFF"/>
        </w:rPr>
        <w:t> </w:t>
      </w:r>
      <w:r w:rsidRPr="00421C05">
        <w:rPr>
          <w:rStyle w:val="findhit"/>
          <w:i/>
          <w:iCs/>
          <w:color w:val="000000"/>
          <w:szCs w:val="15"/>
          <w:shd w:val="clear" w:color="auto" w:fill="FFFFFF"/>
        </w:rPr>
        <w:t>Newberg</w:t>
      </w:r>
      <w:r w:rsidRPr="00421C05">
        <w:rPr>
          <w:rStyle w:val="normaltextrun"/>
          <w:rFonts w:ascii="Calibri" w:hAnsi="Calibri" w:cs="Calibri"/>
          <w:i/>
          <w:iCs/>
          <w:color w:val="000000"/>
          <w:szCs w:val="15"/>
          <w:shd w:val="clear" w:color="auto" w:fill="FFFFFF"/>
        </w:rPr>
        <w:t> </w:t>
      </w:r>
      <w:r w:rsidRPr="00421C05">
        <w:rPr>
          <w:rStyle w:val="normaltextrun"/>
          <w:i/>
          <w:iCs/>
          <w:color w:val="000000"/>
          <w:szCs w:val="15"/>
          <w:shd w:val="clear" w:color="auto" w:fill="FFFFFF"/>
        </w:rPr>
        <w:t>on Class Actions</w:t>
      </w:r>
      <w:r w:rsidRPr="00421C05">
        <w:rPr>
          <w:rStyle w:val="normaltextrun"/>
          <w:rFonts w:ascii="Calibri" w:hAnsi="Calibri" w:cs="Calibri"/>
          <w:i/>
          <w:iCs/>
          <w:color w:val="000000"/>
          <w:szCs w:val="15"/>
          <w:shd w:val="clear" w:color="auto" w:fill="FFFFFF"/>
        </w:rPr>
        <w:t> </w:t>
      </w:r>
      <w:r w:rsidRPr="00421C05">
        <w:rPr>
          <w:rStyle w:val="normaltextrun"/>
          <w:color w:val="000000"/>
          <w:szCs w:val="15"/>
          <w:shd w:val="clear" w:color="auto" w:fill="FFFFFF"/>
        </w:rPr>
        <w:t>(online ed, Thomson Reuters)</w:t>
      </w:r>
      <w:r w:rsidRPr="00421C05">
        <w:rPr>
          <w:rStyle w:val="eop"/>
          <w:rFonts w:ascii="Calibri" w:hAnsi="Calibri" w:cs="Calibri"/>
          <w:color w:val="000000"/>
          <w:szCs w:val="15"/>
          <w:shd w:val="clear" w:color="auto" w:fill="FFFFFF"/>
        </w:rPr>
        <w:t> </w:t>
      </w:r>
      <w:r w:rsidRPr="00421C05">
        <w:rPr>
          <w:szCs w:val="15"/>
        </w:rPr>
        <w:t xml:space="preserve">at </w:t>
      </w:r>
      <w:r w:rsidRPr="00421C05">
        <w:rPr>
          <w:rFonts w:ascii="Times New Roman" w:hAnsi="Times New Roman"/>
          <w:szCs w:val="15"/>
        </w:rPr>
        <w:t>§</w:t>
      </w:r>
      <w:r w:rsidRPr="00421C05">
        <w:rPr>
          <w:szCs w:val="15"/>
        </w:rPr>
        <w:t xml:space="preserve"> 12:20. In the United States, courts will sometimes appoint a special master instead. </w:t>
      </w:r>
    </w:p>
  </w:footnote>
  <w:footnote w:id="878">
    <w:p w14:paraId="3FA2277A"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val="mi-NZ" w:eastAsia="en-AU"/>
        </w:rPr>
        <w:t>Class Proceedings Act SO 1992 c 6 (Ontario), s 27.1(15).</w:t>
      </w:r>
    </w:p>
  </w:footnote>
  <w:footnote w:id="879">
    <w:p w14:paraId="4AD1588C"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Law Commission of</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Ontario</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Class Actions: Objectives, Experiences and Reforms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Final Report</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(July 2019)</w:t>
      </w:r>
      <w:r w:rsidRPr="00421C05">
        <w:rPr>
          <w:rFonts w:ascii="Calibri" w:hAnsi="Calibri" w:cs="Calibri"/>
          <w:color w:val="000000"/>
          <w:szCs w:val="15"/>
          <w:shd w:val="clear" w:color="auto" w:fill="FFFFFF"/>
          <w:lang w:eastAsia="en-AU"/>
        </w:rPr>
        <w:t> </w:t>
      </w:r>
      <w:r w:rsidRPr="00421C05">
        <w:rPr>
          <w:szCs w:val="15"/>
        </w:rPr>
        <w:t>at 64.</w:t>
      </w:r>
    </w:p>
  </w:footnote>
  <w:footnote w:id="880">
    <w:p w14:paraId="5C3EDBE8"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rStyle w:val="normaltextrun"/>
          <w:color w:val="000000"/>
          <w:szCs w:val="15"/>
          <w:shd w:val="clear" w:color="auto" w:fill="FFFFFF"/>
        </w:rPr>
        <w:t>William Rubenstein</w:t>
      </w:r>
      <w:r w:rsidRPr="00421C05">
        <w:rPr>
          <w:rStyle w:val="normaltextrun"/>
          <w:rFonts w:ascii="Calibri" w:hAnsi="Calibri" w:cs="Calibri"/>
          <w:color w:val="000000"/>
          <w:szCs w:val="15"/>
          <w:shd w:val="clear" w:color="auto" w:fill="FFFFFF"/>
        </w:rPr>
        <w:t> </w:t>
      </w:r>
      <w:r w:rsidRPr="00421C05">
        <w:rPr>
          <w:rStyle w:val="findhit"/>
          <w:i/>
          <w:iCs/>
          <w:color w:val="000000"/>
          <w:szCs w:val="15"/>
          <w:shd w:val="clear" w:color="auto" w:fill="FFFFFF"/>
        </w:rPr>
        <w:t>Newberg</w:t>
      </w:r>
      <w:r w:rsidRPr="00421C05">
        <w:rPr>
          <w:rStyle w:val="normaltextrun"/>
          <w:rFonts w:ascii="Calibri" w:hAnsi="Calibri" w:cs="Calibri"/>
          <w:i/>
          <w:iCs/>
          <w:color w:val="000000"/>
          <w:szCs w:val="15"/>
          <w:shd w:val="clear" w:color="auto" w:fill="FFFFFF"/>
        </w:rPr>
        <w:t> </w:t>
      </w:r>
      <w:r w:rsidRPr="00421C05">
        <w:rPr>
          <w:rStyle w:val="normaltextrun"/>
          <w:i/>
          <w:iCs/>
          <w:color w:val="000000"/>
          <w:szCs w:val="15"/>
          <w:shd w:val="clear" w:color="auto" w:fill="FFFFFF"/>
        </w:rPr>
        <w:t>on Class Actions</w:t>
      </w:r>
      <w:r w:rsidRPr="00421C05">
        <w:rPr>
          <w:rStyle w:val="normaltextrun"/>
          <w:rFonts w:ascii="Calibri" w:hAnsi="Calibri" w:cs="Calibri"/>
          <w:i/>
          <w:iCs/>
          <w:color w:val="000000"/>
          <w:szCs w:val="15"/>
          <w:shd w:val="clear" w:color="auto" w:fill="FFFFFF"/>
        </w:rPr>
        <w:t> </w:t>
      </w:r>
      <w:r w:rsidRPr="00421C05">
        <w:rPr>
          <w:rStyle w:val="normaltextrun"/>
          <w:color w:val="000000"/>
          <w:szCs w:val="15"/>
          <w:shd w:val="clear" w:color="auto" w:fill="FFFFFF"/>
        </w:rPr>
        <w:t>(online ed, Thomson Reuters)</w:t>
      </w:r>
      <w:r w:rsidRPr="00421C05">
        <w:rPr>
          <w:rStyle w:val="eop"/>
          <w:rFonts w:ascii="Calibri" w:hAnsi="Calibri" w:cs="Calibri"/>
          <w:color w:val="000000"/>
          <w:szCs w:val="15"/>
          <w:shd w:val="clear" w:color="auto" w:fill="FFFFFF"/>
        </w:rPr>
        <w:t> </w:t>
      </w:r>
      <w:r w:rsidRPr="00421C05">
        <w:rPr>
          <w:szCs w:val="15"/>
        </w:rPr>
        <w:t xml:space="preserve">at </w:t>
      </w:r>
      <w:r w:rsidRPr="00421C05">
        <w:rPr>
          <w:rFonts w:ascii="Times New Roman" w:hAnsi="Times New Roman"/>
          <w:szCs w:val="15"/>
        </w:rPr>
        <w:t>§</w:t>
      </w:r>
      <w:r w:rsidRPr="00421C05">
        <w:rPr>
          <w:szCs w:val="15"/>
        </w:rPr>
        <w:t xml:space="preserve"> 12:20.</w:t>
      </w:r>
    </w:p>
  </w:footnote>
  <w:footnote w:id="881">
    <w:p w14:paraId="72874671" w14:textId="748AF8D3"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See our draft legislation, cl 9(1)(d). The Ontario provision is: </w:t>
      </w:r>
      <w:r w:rsidRPr="00421C05">
        <w:rPr>
          <w:color w:val="000000"/>
          <w:szCs w:val="15"/>
          <w:shd w:val="clear" w:color="auto" w:fill="FFFFFF"/>
          <w:lang w:val="mi-NZ" w:eastAsia="en-AU"/>
        </w:rPr>
        <w:t xml:space="preserve">Class Proceedings Act SO 1992 c 6 (Ontario), s 27.1(14). This provision was inserted in the 2020 amendments to the legislation, following a recommendation of the Law Commission of Ontario: </w:t>
      </w:r>
      <w:r w:rsidRPr="00421C05">
        <w:rPr>
          <w:color w:val="000000"/>
          <w:szCs w:val="15"/>
          <w:shd w:val="clear" w:color="auto" w:fill="FFFFFF"/>
          <w:lang w:eastAsia="en-AU"/>
        </w:rPr>
        <w:t>Law Commission of</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Ontario</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Class Actions: Objectives, Experiences and Reforms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Final Report</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(July 2019)</w:t>
      </w:r>
      <w:r w:rsidRPr="00421C05">
        <w:rPr>
          <w:rFonts w:ascii="Calibri" w:hAnsi="Calibri" w:cs="Calibri"/>
          <w:color w:val="000000"/>
          <w:szCs w:val="15"/>
          <w:shd w:val="clear" w:color="auto" w:fill="FFFFFF"/>
          <w:lang w:eastAsia="en-AU"/>
        </w:rPr>
        <w:t> </w:t>
      </w:r>
      <w:r w:rsidRPr="00421C05">
        <w:rPr>
          <w:szCs w:val="15"/>
        </w:rPr>
        <w:t>at 69.</w:t>
      </w:r>
    </w:p>
  </w:footnote>
  <w:footnote w:id="882">
    <w:p w14:paraId="4AA66439" w14:textId="77777777"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We note that the Law Commission of Ontario considered that mandatory and consistent settlement outcome reports could significantly improve the transparency, monitoring and measurement of settlements: </w:t>
      </w:r>
      <w:r w:rsidRPr="00421C05">
        <w:rPr>
          <w:color w:val="000000"/>
          <w:szCs w:val="15"/>
          <w:shd w:val="clear" w:color="auto" w:fill="FFFFFF"/>
          <w:lang w:eastAsia="en-AU"/>
        </w:rPr>
        <w:t>Law Commission of</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Ontario</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Class Actions: Objectives, Experiences and Reforms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Final Report</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(July 2019)</w:t>
      </w:r>
      <w:r w:rsidRPr="00421C05">
        <w:rPr>
          <w:rFonts w:ascii="Calibri" w:hAnsi="Calibri" w:cs="Calibri"/>
          <w:color w:val="000000"/>
          <w:szCs w:val="15"/>
          <w:shd w:val="clear" w:color="auto" w:fill="FFFFFF"/>
          <w:lang w:eastAsia="en-AU"/>
        </w:rPr>
        <w:t> </w:t>
      </w:r>
      <w:r w:rsidRPr="00421C05">
        <w:rPr>
          <w:szCs w:val="15"/>
        </w:rPr>
        <w:t>at 8.</w:t>
      </w:r>
    </w:p>
  </w:footnote>
  <w:footnote w:id="883">
    <w:p w14:paraId="6C5FAC41" w14:textId="77777777" w:rsidR="00A55F53" w:rsidRPr="00421C05" w:rsidRDefault="00A55F53" w:rsidP="00DD0F04">
      <w:pPr>
        <w:pStyle w:val="FootnoteText"/>
        <w:rPr>
          <w:szCs w:val="15"/>
          <w:lang w:val="mi-NZ"/>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val="mi-NZ" w:eastAsia="en-AU"/>
        </w:rPr>
        <w:t xml:space="preserve">Class Proceedings Act SO 1992 c 6 (Ontario), s 27.1(16) (note that the provision sets out the information that must be provided in the report); and </w:t>
      </w:r>
      <w:r w:rsidRPr="00421C05">
        <w:rPr>
          <w:i/>
          <w:color w:val="0D0D0D"/>
          <w:szCs w:val="15"/>
          <w:shd w:val="clear" w:color="auto" w:fill="FFFFFF"/>
          <w:lang w:eastAsia="en-AU"/>
        </w:rPr>
        <w:t>Class</w:t>
      </w:r>
      <w:r w:rsidRPr="00421C05">
        <w:rPr>
          <w:i/>
          <w:iCs/>
          <w:color w:val="0D0D0D"/>
          <w:szCs w:val="15"/>
          <w:shd w:val="clear" w:color="auto" w:fill="FFFFFF"/>
          <w:lang w:eastAsia="en-AU"/>
        </w:rPr>
        <w:t xml:space="preserve"> Actions</w:t>
      </w:r>
      <w:r w:rsidRPr="00421C05">
        <w:rPr>
          <w:rFonts w:ascii="Calibri" w:hAnsi="Calibri" w:cs="Calibri"/>
          <w:i/>
          <w:iCs/>
          <w:color w:val="0D0D0D"/>
          <w:szCs w:val="15"/>
          <w:shd w:val="clear" w:color="auto" w:fill="FFFFFF"/>
          <w:lang w:eastAsia="en-AU"/>
        </w:rPr>
        <w:t> </w:t>
      </w:r>
      <w:r w:rsidRPr="00421C05">
        <w:rPr>
          <w:i/>
          <w:iCs/>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(Federal Court of Australia,</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Practice Note</w:t>
      </w:r>
      <w:r w:rsidRPr="00421C05">
        <w:rPr>
          <w:rFonts w:ascii="Calibri" w:hAnsi="Calibri" w:cs="Calibri"/>
          <w:color w:val="0D0D0D"/>
          <w:szCs w:val="15"/>
          <w:shd w:val="clear" w:color="auto" w:fill="FFFFFF"/>
          <w:lang w:eastAsia="en-AU"/>
        </w:rPr>
        <w:t> </w:t>
      </w:r>
      <w:r w:rsidRPr="00421C05">
        <w:rPr>
          <w:color w:val="0D0D0D"/>
          <w:szCs w:val="15"/>
          <w:shd w:val="clear" w:color="auto" w:fill="FFFFFF"/>
          <w:lang w:eastAsia="en-AU"/>
        </w:rPr>
        <w:t xml:space="preserve">GPN-CA, December 2019) at [15.7]. These followed recommendations of the Law Commission of Ontario and the Australian Law Reform Commission. </w:t>
      </w:r>
    </w:p>
  </w:footnote>
  <w:footnote w:id="884">
    <w:p w14:paraId="2D6039BE" w14:textId="55FC08BB"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See our draft legislation, cl 10(2).</w:t>
      </w:r>
    </w:p>
  </w:footnote>
  <w:footnote w:id="885">
    <w:p w14:paraId="5F93F8E0" w14:textId="77CCAB51"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r>
      <w:r w:rsidRPr="00421C05">
        <w:rPr>
          <w:color w:val="000000"/>
          <w:szCs w:val="15"/>
          <w:shd w:val="clear" w:color="auto" w:fill="FFFFFF"/>
          <w:lang w:eastAsia="en-AU"/>
        </w:rPr>
        <w:t>Law Commission of</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Ontario</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Class Actions: Objectives, Experiences and Reforms</w:t>
      </w:r>
      <w:r w:rsidRPr="00421C05">
        <w:rPr>
          <w:rFonts w:ascii="Calibri" w:hAnsi="Calibri" w:cs="Calibri"/>
          <w:i/>
          <w:iCs/>
          <w:color w:val="000000"/>
          <w:szCs w:val="15"/>
          <w:shd w:val="clear" w:color="auto" w:fill="FFFFFF"/>
          <w:lang w:eastAsia="en-AU"/>
        </w:rPr>
        <w:t> </w:t>
      </w:r>
      <w:r w:rsidRPr="00421C05">
        <w:rPr>
          <w:color w:val="000000"/>
          <w:szCs w:val="15"/>
          <w:shd w:val="clear" w:color="auto" w:fill="FFFFFF"/>
          <w:lang w:eastAsia="en-AU"/>
        </w:rPr>
        <w:t>–</w:t>
      </w:r>
      <w:r w:rsidRPr="00421C05">
        <w:rPr>
          <w:rFonts w:ascii="Calibri" w:hAnsi="Calibri" w:cs="Calibri"/>
          <w:color w:val="000000"/>
          <w:szCs w:val="15"/>
          <w:shd w:val="clear" w:color="auto" w:fill="FFFFFF"/>
          <w:lang w:eastAsia="en-AU"/>
        </w:rPr>
        <w:t> </w:t>
      </w:r>
      <w:r w:rsidRPr="00421C05">
        <w:rPr>
          <w:i/>
          <w:iCs/>
          <w:color w:val="000000"/>
          <w:szCs w:val="15"/>
          <w:shd w:val="clear" w:color="auto" w:fill="FFFFFF"/>
          <w:lang w:eastAsia="en-AU"/>
        </w:rPr>
        <w:t>Final Report</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(July 2019) at 65-68 and 70; and </w:t>
      </w:r>
      <w:r w:rsidRPr="00421C05">
        <w:rPr>
          <w:szCs w:val="15"/>
        </w:rPr>
        <w:t xml:space="preserve"> </w:t>
      </w:r>
      <w:r w:rsidRPr="00421C05">
        <w:rPr>
          <w:color w:val="000000"/>
          <w:szCs w:val="15"/>
          <w:shd w:val="clear" w:color="auto" w:fill="FFFFFF"/>
          <w:lang w:eastAsia="en-AU"/>
        </w:rPr>
        <w:t>Australian</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Law Reform Commission</w:t>
      </w:r>
      <w:r w:rsidRPr="00421C05">
        <w:rPr>
          <w:rFonts w:ascii="Calibri" w:hAnsi="Calibri" w:cs="Calibri"/>
          <w:i/>
          <w:iCs/>
          <w:color w:val="000000"/>
          <w:szCs w:val="15"/>
          <w:shd w:val="clear" w:color="auto" w:fill="FFFFFF"/>
          <w:lang w:eastAsia="en-AU"/>
        </w:rPr>
        <w:t> </w:t>
      </w:r>
      <w:r w:rsidRPr="00421C05">
        <w:rPr>
          <w:i/>
          <w:iCs/>
          <w:color w:val="000000"/>
          <w:szCs w:val="15"/>
          <w:shd w:val="clear" w:color="auto" w:fill="FFFFFF"/>
          <w:lang w:eastAsia="en-AU"/>
        </w:rPr>
        <w:t>Integrity, Fairness and Efficiency—An Inquiry into Class Action Proceedings and Third-Party Litigation Funders</w:t>
      </w:r>
      <w:r w:rsidRPr="00421C05">
        <w:rPr>
          <w:rFonts w:ascii="Calibri" w:hAnsi="Calibri" w:cs="Calibri"/>
          <w:color w:val="000000"/>
          <w:szCs w:val="15"/>
          <w:shd w:val="clear" w:color="auto" w:fill="FFFFFF"/>
          <w:lang w:eastAsia="en-AU"/>
        </w:rPr>
        <w:t> </w:t>
      </w:r>
      <w:r w:rsidRPr="00421C05">
        <w:rPr>
          <w:color w:val="000000"/>
          <w:szCs w:val="15"/>
          <w:shd w:val="clear" w:color="auto" w:fill="FFFFFF"/>
          <w:lang w:eastAsia="en-AU"/>
        </w:rPr>
        <w:t xml:space="preserve">(ALRC R134, 2018) at [5.70]–[5.76] and Recommendation 10. The ALRC observed that </w:t>
      </w:r>
      <w:r w:rsidRPr="00421C05">
        <w:rPr>
          <w:szCs w:val="15"/>
        </w:rPr>
        <w:t xml:space="preserve">without a report on settlement administration, it is difficult for the court, class members, participants and the public to gain an in-depth understanding of how class actions resolve and for the legal profession, academics and policy makers to have a clear and accurate evidence base. </w:t>
      </w:r>
    </w:p>
  </w:footnote>
  <w:footnote w:id="886">
    <w:p w14:paraId="4ABF94D2" w14:textId="0F032069" w:rsidR="00A55F53" w:rsidRPr="00421C05" w:rsidRDefault="00A55F53" w:rsidP="00DD0F04">
      <w:pPr>
        <w:pStyle w:val="FootnoteText"/>
        <w:rPr>
          <w:szCs w:val="15"/>
        </w:rPr>
      </w:pPr>
      <w:r w:rsidRPr="00421C05">
        <w:rPr>
          <w:rStyle w:val="FootnoteReference"/>
          <w:sz w:val="15"/>
          <w:szCs w:val="15"/>
        </w:rPr>
        <w:footnoteRef/>
      </w:r>
      <w:r w:rsidRPr="00421C05">
        <w:rPr>
          <w:szCs w:val="15"/>
        </w:rPr>
        <w:t xml:space="preserve"> </w:t>
      </w:r>
      <w:r w:rsidRPr="00421C05">
        <w:rPr>
          <w:szCs w:val="15"/>
        </w:rPr>
        <w:tab/>
        <w:t xml:space="preserve">Barbara J Rothstein and Thomas E Willging </w:t>
      </w:r>
      <w:r w:rsidRPr="00421C05">
        <w:rPr>
          <w:i/>
          <w:iCs/>
          <w:szCs w:val="15"/>
        </w:rPr>
        <w:t xml:space="preserve">Managing Class Action Litigation: A Pocket Guide for Judges </w:t>
      </w:r>
      <w:r w:rsidRPr="00421C05">
        <w:rPr>
          <w:szCs w:val="15"/>
        </w:rPr>
        <w:t>(2</w:t>
      </w:r>
      <w:r w:rsidRPr="00421C05">
        <w:rPr>
          <w:szCs w:val="15"/>
          <w:vertAlign w:val="superscript"/>
        </w:rPr>
        <w:t>nd</w:t>
      </w:r>
      <w:r w:rsidRPr="00421C05">
        <w:rPr>
          <w:szCs w:val="15"/>
        </w:rPr>
        <w:t xml:space="preserve"> ed, Federal Judicial Center, 2009) at 23. Note that in California there is a requirement for the parties to report to the court the total amount that was paid to class members:  Code of Civil Procedure (California) </w:t>
      </w:r>
      <w:r w:rsidRPr="00421C05">
        <w:rPr>
          <w:rFonts w:ascii="Times New Roman" w:hAnsi="Times New Roman"/>
          <w:szCs w:val="15"/>
        </w:rPr>
        <w:t>§</w:t>
      </w:r>
      <w:r w:rsidRPr="00421C05">
        <w:rPr>
          <w:szCs w:val="15"/>
        </w:rPr>
        <w:t xml:space="preserve"> 384(b).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BB939" w14:textId="77777777" w:rsidR="00A55F53" w:rsidRPr="001A7CE5" w:rsidRDefault="00A55F53" w:rsidP="001A7CE5">
    <w:pPr>
      <w:pStyle w:val="Header"/>
      <w:tabs>
        <w:tab w:val="left" w:pos="709"/>
      </w:tabs>
      <w:rPr>
        <w:szCs w:val="20"/>
      </w:rPr>
    </w:pPr>
    <w:r>
      <w:rPr>
        <w:noProof/>
        <w:lang w:eastAsia="en-NZ"/>
      </w:rPr>
      <mc:AlternateContent>
        <mc:Choice Requires="wps">
          <w:drawing>
            <wp:anchor distT="0" distB="0" distL="114300" distR="114300" simplePos="0" relativeHeight="251658241" behindDoc="1" locked="0" layoutInCell="1" allowOverlap="1" wp14:anchorId="2A4FEF17" wp14:editId="57940B1D">
              <wp:simplePos x="0" y="0"/>
              <wp:positionH relativeFrom="column">
                <wp:posOffset>-1082040</wp:posOffset>
              </wp:positionH>
              <wp:positionV relativeFrom="paragraph">
                <wp:posOffset>-347060</wp:posOffset>
              </wp:positionV>
              <wp:extent cx="7560310" cy="10692130"/>
              <wp:effectExtent l="0" t="0" r="2540" b="0"/>
              <wp:wrapNone/>
              <wp:docPr id="35"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48E4D434" id="Freeform 134"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v-text-anchor:top" points="-85.2pt,814.55pt,510.1pt,814.55pt,510.1pt,-27.35pt,-85.2pt,-27.35pt,-85.2pt,814.5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" fillcolor="#edf2ea" stroked="f">
              <v:path arrowok="t" o:connecttype="custom" o:connectlocs="0,10692130;7560310,10692130;7560310,0;0,0;0,10692130" o:connectangles="0,0,0,0,0"/>
            </v:polyline>
          </w:pict>
        </mc:Fallback>
      </mc:AlternateContent>
    </w:r>
    <w:sdt>
      <w:sdtPr>
        <w:id w:val="1454837497"/>
        <w:docPartObj>
          <w:docPartGallery w:val="Page Numbers (Top of Page)"/>
          <w:docPartUnique/>
        </w:docPartObj>
      </w:sdtPr>
      <w:sdtEndPr/>
      <w:sdtContent>
        <w:r>
          <w:t>v</w:t>
        </w:r>
        <w:r w:rsidRPr="00FF65F4">
          <w:rPr>
            <w:szCs w:val="13"/>
            <w:lang w:val="fr-FR"/>
          </w:rPr>
          <w:t xml:space="preserve">     </w:t>
        </w:r>
        <w:r>
          <w:rPr>
            <w:szCs w:val="13"/>
            <w:lang w:val="fr-FR"/>
          </w:rPr>
          <w:tab/>
          <w:t>ACKNOWLEDGEMENTS</w:t>
        </w:r>
      </w:sdtContent>
    </w:sdt>
    <w:r>
      <w:tab/>
      <w:t xml:space="preserve"> </w:t>
    </w:r>
    <w:r w:rsidRPr="0074159A">
      <w:rPr>
        <w:szCs w:val="13"/>
      </w:rPr>
      <w:tab/>
    </w:r>
    <w:r w:rsidRPr="001007E8">
      <w:rPr>
        <w:szCs w:val="13"/>
      </w:rPr>
      <w:t>TE AKA MATUA O TE TURE | LAW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417947"/>
      <w:docPartObj>
        <w:docPartGallery w:val="Page Numbers (Top of Page)"/>
        <w:docPartUnique/>
      </w:docPartObj>
    </w:sdtPr>
    <w:sdtEndPr/>
    <w:sdtContent>
      <w:p w14:paraId="5F2E4E43" w14:textId="28DD1266" w:rsidR="00A55F53" w:rsidRPr="0096089E" w:rsidRDefault="00F92A12" w:rsidP="0096089E">
        <w:pPr>
          <w:pStyle w:val="Header"/>
          <w:tabs>
            <w:tab w:val="left" w:pos="709"/>
          </w:tabs>
          <w:rPr>
            <w:szCs w:val="20"/>
          </w:rPr>
        </w:pPr>
        <w:sdt>
          <w:sdtPr>
            <w:id w:val="-2040260788"/>
            <w:docPartObj>
              <w:docPartGallery w:val="Page Numbers (Top of Page)"/>
              <w:docPartUnique/>
            </w:docPartObj>
          </w:sdtPr>
          <w:sdtEndPr/>
          <w:sdtContent>
            <w:r w:rsidR="00A55F53" w:rsidRPr="001D3DD6">
              <w:rPr>
                <w:szCs w:val="13"/>
              </w:rPr>
              <w:fldChar w:fldCharType="begin"/>
            </w:r>
            <w:r w:rsidR="00A55F53" w:rsidRPr="00FF65F4">
              <w:rPr>
                <w:szCs w:val="13"/>
                <w:lang w:val="fr-FR"/>
              </w:rPr>
              <w:instrText xml:space="preserve"> PAGE   \* MERGEFORMAT </w:instrText>
            </w:r>
            <w:r w:rsidR="00A55F53" w:rsidRPr="001D3DD6">
              <w:rPr>
                <w:szCs w:val="13"/>
              </w:rPr>
              <w:fldChar w:fldCharType="separate"/>
            </w:r>
            <w:r w:rsidR="00A55F53">
              <w:rPr>
                <w:szCs w:val="13"/>
              </w:rPr>
              <w:t>11</w:t>
            </w:r>
            <w:r w:rsidR="00A55F53" w:rsidRPr="001D3DD6">
              <w:rPr>
                <w:szCs w:val="13"/>
              </w:rPr>
              <w:fldChar w:fldCharType="end"/>
            </w:r>
            <w:r w:rsidR="00A55F53" w:rsidRPr="00FF65F4">
              <w:rPr>
                <w:szCs w:val="13"/>
                <w:lang w:val="fr-FR"/>
              </w:rPr>
              <w:t xml:space="preserve">     </w:t>
            </w:r>
            <w:r w:rsidR="00A55F53">
              <w:rPr>
                <w:szCs w:val="13"/>
                <w:lang w:val="fr-FR"/>
              </w:rPr>
              <w:tab/>
              <w:t>CHAPTER 1</w:t>
            </w:r>
            <w:r w:rsidR="00A55F53">
              <w:rPr>
                <w:rFonts w:ascii="Calibri" w:hAnsi="Calibri" w:cs="Calibri"/>
                <w:szCs w:val="13"/>
                <w:lang w:val="fr-FR"/>
              </w:rPr>
              <w:t>:</w:t>
            </w:r>
            <w:r w:rsidR="00A55F53">
              <w:rPr>
                <w:szCs w:val="13"/>
                <w:lang w:val="fr-FR"/>
              </w:rPr>
              <w:t xml:space="preserve"> </w:t>
            </w:r>
            <w:r w:rsidR="00F87116">
              <w:rPr>
                <w:rFonts w:eastAsia="Metropolis Black"/>
              </w:rPr>
              <w:t>COMMENCEMENT AND CERTIFICATION OF A CLASS ACTION</w:t>
            </w:r>
          </w:sdtContent>
        </w:sdt>
        <w:r w:rsidR="00A55F53" w:rsidRPr="0074159A">
          <w:rPr>
            <w:szCs w:val="13"/>
          </w:rPr>
          <w:tab/>
        </w:r>
        <w:r w:rsidR="00A55F53" w:rsidRPr="001007E8">
          <w:t>TE AKA MATUA O TE TURE | LAW COMMISSION</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746292"/>
      <w:docPartObj>
        <w:docPartGallery w:val="Page Numbers (Top of Page)"/>
        <w:docPartUnique/>
      </w:docPartObj>
    </w:sdtPr>
    <w:sdtEndPr>
      <w:rPr>
        <w:szCs w:val="13"/>
      </w:rPr>
    </w:sdtEndPr>
    <w:sdtContent>
      <w:p w14:paraId="2E373AE0" w14:textId="16EEF39C" w:rsidR="00A55F53" w:rsidRPr="00EA7381" w:rsidRDefault="00F92A12" w:rsidP="00C02600">
        <w:pPr>
          <w:pStyle w:val="Header"/>
          <w:tabs>
            <w:tab w:val="clear" w:pos="4536"/>
            <w:tab w:val="left" w:pos="709"/>
            <w:tab w:val="center" w:pos="3828"/>
          </w:tabs>
          <w:rPr>
            <w:szCs w:val="20"/>
          </w:rPr>
        </w:pPr>
        <w:sdt>
          <w:sdtPr>
            <w:id w:val="1312526268"/>
            <w:docPartObj>
              <w:docPartGallery w:val="Page Numbers (Top of Page)"/>
              <w:docPartUnique/>
            </w:docPartObj>
          </w:sdtPr>
          <w:sdtEndPr>
            <w:rPr>
              <w:szCs w:val="13"/>
            </w:rPr>
          </w:sdtEndPr>
          <w:sdtContent>
            <w:r w:rsidR="00A55F53" w:rsidRPr="001007E8">
              <w:t>TE AKA MATUA O TE TURE | LAW COMMISSION</w:t>
            </w:r>
            <w:r w:rsidR="00A55F53" w:rsidRPr="00DA1028">
              <w:t xml:space="preserve"> </w:t>
            </w:r>
            <w:r w:rsidR="00A55F53" w:rsidRPr="00DA1028">
              <w:tab/>
            </w:r>
            <w:r w:rsidR="00A55F53">
              <w:t xml:space="preserve">    </w:t>
            </w:r>
            <w:r w:rsidR="00A55F53">
              <w:tab/>
            </w:r>
            <w:r w:rsidR="00A55F53" w:rsidRPr="008E6468">
              <w:t>CLASS ACTIONS AND LITIGATION FUNDING</w:t>
            </w:r>
            <w:r w:rsidR="00A55F53">
              <w:t xml:space="preserve"> – ISSUES PAPER 48</w:t>
            </w:r>
            <w:r w:rsidR="00A55F53" w:rsidRPr="00C5544E">
              <w:rPr>
                <w:szCs w:val="13"/>
              </w:rPr>
              <w:t xml:space="preserve">               </w:t>
            </w:r>
            <w:r w:rsidR="00A55F53" w:rsidRPr="00C5544E">
              <w:rPr>
                <w:szCs w:val="13"/>
              </w:rPr>
              <w:fldChar w:fldCharType="begin"/>
            </w:r>
            <w:r w:rsidR="00A55F53" w:rsidRPr="00C5544E">
              <w:rPr>
                <w:szCs w:val="13"/>
              </w:rPr>
              <w:instrText xml:space="preserve"> PAGE   \* MERGEFORMAT </w:instrText>
            </w:r>
            <w:r w:rsidR="00A55F53" w:rsidRPr="00C5544E">
              <w:rPr>
                <w:szCs w:val="13"/>
              </w:rPr>
              <w:fldChar w:fldCharType="separate"/>
            </w:r>
            <w:r w:rsidR="00A55F53">
              <w:rPr>
                <w:szCs w:val="13"/>
              </w:rPr>
              <w:t>49</w:t>
            </w:r>
            <w:r w:rsidR="00A55F53" w:rsidRPr="00C5544E">
              <w:rPr>
                <w:szCs w:val="13"/>
              </w:rPr>
              <w:fldChar w:fldCharType="end"/>
            </w:r>
          </w:sdtContent>
        </w:sdt>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720812"/>
      <w:docPartObj>
        <w:docPartGallery w:val="Page Numbers (Top of Page)"/>
        <w:docPartUnique/>
      </w:docPartObj>
    </w:sdtPr>
    <w:sdtEndPr>
      <w:rPr>
        <w:szCs w:val="13"/>
      </w:rPr>
    </w:sdtEndPr>
    <w:sdtContent>
      <w:sdt>
        <w:sdtPr>
          <w:id w:val="-1796275942"/>
          <w:docPartObj>
            <w:docPartGallery w:val="Page Numbers (Top of Page)"/>
            <w:docPartUnique/>
          </w:docPartObj>
        </w:sdtPr>
        <w:sdtEndPr>
          <w:rPr>
            <w:szCs w:val="13"/>
          </w:rPr>
        </w:sdtEndPr>
        <w:sdtContent>
          <w:sdt>
            <w:sdtPr>
              <w:id w:val="272061587"/>
              <w:docPartObj>
                <w:docPartGallery w:val="Page Numbers (Top of Page)"/>
                <w:docPartUnique/>
              </w:docPartObj>
            </w:sdtPr>
            <w:sdtEndPr/>
            <w:sdtContent>
              <w:p w14:paraId="321CAE82" w14:textId="0469EBB8" w:rsidR="00A55F53" w:rsidRPr="00EA7381" w:rsidRDefault="00F92A12" w:rsidP="00623DDA">
                <w:pPr>
                  <w:pStyle w:val="Header"/>
                  <w:tabs>
                    <w:tab w:val="left" w:pos="709"/>
                  </w:tabs>
                  <w:rPr>
                    <w:szCs w:val="20"/>
                  </w:rPr>
                </w:pPr>
                <w:sdt>
                  <w:sdtPr>
                    <w:id w:val="-479153890"/>
                    <w:docPartObj>
                      <w:docPartGallery w:val="Page Numbers (Top of Page)"/>
                      <w:docPartUnique/>
                    </w:docPartObj>
                  </w:sdtPr>
                  <w:sdtEndPr/>
                  <w:sdtContent>
                    <w:r w:rsidR="00A55F53" w:rsidRPr="001D3DD6">
                      <w:rPr>
                        <w:szCs w:val="13"/>
                      </w:rPr>
                      <w:fldChar w:fldCharType="begin"/>
                    </w:r>
                    <w:r w:rsidR="00A55F53" w:rsidRPr="00FF65F4">
                      <w:rPr>
                        <w:szCs w:val="13"/>
                        <w:lang w:val="fr-FR"/>
                      </w:rPr>
                      <w:instrText xml:space="preserve"> PAGE   \* MERGEFORMAT </w:instrText>
                    </w:r>
                    <w:r w:rsidR="00A55F53" w:rsidRPr="001D3DD6">
                      <w:rPr>
                        <w:szCs w:val="13"/>
                      </w:rPr>
                      <w:fldChar w:fldCharType="separate"/>
                    </w:r>
                    <w:r w:rsidR="00A55F53">
                      <w:rPr>
                        <w:szCs w:val="13"/>
                      </w:rPr>
                      <w:t>47</w:t>
                    </w:r>
                    <w:r w:rsidR="00A55F53" w:rsidRPr="001D3DD6">
                      <w:rPr>
                        <w:szCs w:val="13"/>
                      </w:rPr>
                      <w:fldChar w:fldCharType="end"/>
                    </w:r>
                    <w:r w:rsidR="00A55F53" w:rsidRPr="00FF65F4">
                      <w:rPr>
                        <w:szCs w:val="13"/>
                        <w:lang w:val="fr-FR"/>
                      </w:rPr>
                      <w:t xml:space="preserve">     </w:t>
                    </w:r>
                    <w:r w:rsidR="00A55F53">
                      <w:rPr>
                        <w:szCs w:val="13"/>
                        <w:lang w:val="fr-FR"/>
                      </w:rPr>
                      <w:tab/>
                      <w:t>CHAPTER 2</w:t>
                    </w:r>
                    <w:r w:rsidR="00A55F53">
                      <w:rPr>
                        <w:rFonts w:ascii="Calibri" w:hAnsi="Calibri" w:cs="Calibri"/>
                        <w:szCs w:val="13"/>
                        <w:lang w:val="fr-FR"/>
                      </w:rPr>
                      <w:t>:</w:t>
                    </w:r>
                    <w:r w:rsidR="00A55F53">
                      <w:rPr>
                        <w:szCs w:val="13"/>
                        <w:lang w:val="fr-FR"/>
                      </w:rPr>
                      <w:t xml:space="preserve"> COMPETING </w:t>
                    </w:r>
                    <w:r w:rsidR="00A55F53">
                      <w:rPr>
                        <w:rFonts w:eastAsia="Metropolis Black"/>
                      </w:rPr>
                      <w:t>CLASS ACTION</w:t>
                    </w:r>
                    <w:r w:rsidR="00A64FFD">
                      <w:rPr>
                        <w:rFonts w:eastAsia="Metropolis Black"/>
                      </w:rPr>
                      <w:t>S</w:t>
                    </w:r>
                  </w:sdtContent>
                </w:sdt>
                <w:r w:rsidR="00A55F53">
                  <w:tab/>
                  <w:t xml:space="preserve"> </w:t>
                </w:r>
                <w:r w:rsidR="00A55F53" w:rsidRPr="0074159A">
                  <w:rPr>
                    <w:szCs w:val="13"/>
                  </w:rPr>
                  <w:tab/>
                </w:r>
                <w:r w:rsidR="00A55F53" w:rsidRPr="001007E8">
                  <w:t>TE AKA MATUA O TE TURE | LAW COMMISSION</w:t>
                </w:r>
              </w:p>
            </w:sdtContent>
          </w:sdt>
        </w:sdtContent>
      </w:sdt>
    </w:sdtContent>
  </w:sdt>
  <w:p w14:paraId="115F908A" w14:textId="77777777" w:rsidR="00A55F53" w:rsidRPr="00FD73B2" w:rsidRDefault="00A55F53" w:rsidP="00FD73B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E195B" w14:textId="5E363297" w:rsidR="00A55F53" w:rsidRDefault="00F92A12" w:rsidP="00720626">
    <w:pPr>
      <w:pStyle w:val="Header"/>
      <w:tabs>
        <w:tab w:val="left" w:pos="709"/>
      </w:tabs>
    </w:pPr>
    <w:sdt>
      <w:sdtPr>
        <w:id w:val="-1732070299"/>
        <w:docPartObj>
          <w:docPartGallery w:val="Page Numbers (Top of Page)"/>
          <w:docPartUnique/>
        </w:docPartObj>
      </w:sdtPr>
      <w:sdtEndPr/>
      <w:sdtContent>
        <w:r w:rsidR="00A55F53" w:rsidRPr="001D3DD6">
          <w:rPr>
            <w:szCs w:val="13"/>
          </w:rPr>
          <w:fldChar w:fldCharType="begin"/>
        </w:r>
        <w:r w:rsidR="00A55F53" w:rsidRPr="001D3DD6">
          <w:rPr>
            <w:szCs w:val="13"/>
          </w:rPr>
          <w:instrText xml:space="preserve"> PAGE   \* MERGEFORMAT </w:instrText>
        </w:r>
        <w:r w:rsidR="00A55F53" w:rsidRPr="001D3DD6">
          <w:rPr>
            <w:szCs w:val="13"/>
          </w:rPr>
          <w:fldChar w:fldCharType="separate"/>
        </w:r>
        <w:r w:rsidR="00A55F53">
          <w:rPr>
            <w:szCs w:val="13"/>
          </w:rPr>
          <w:t>59</w:t>
        </w:r>
        <w:r w:rsidR="00A55F53" w:rsidRPr="001D3DD6">
          <w:rPr>
            <w:szCs w:val="13"/>
          </w:rPr>
          <w:fldChar w:fldCharType="end"/>
        </w:r>
        <w:r w:rsidR="00A55F53">
          <w:rPr>
            <w:szCs w:val="13"/>
          </w:rPr>
          <w:t xml:space="preserve">           </w:t>
        </w:r>
        <w:r w:rsidR="00A55F53">
          <w:rPr>
            <w:szCs w:val="13"/>
          </w:rPr>
          <w:tab/>
          <w:t xml:space="preserve">CHAPTER 3: </w:t>
        </w:r>
        <w:r w:rsidR="00A55F53">
          <w:rPr>
            <w:rFonts w:eastAsia="Metropolis Black"/>
          </w:rPr>
          <w:t>RELATIONSHIPS WITH CLASS MEMBERS</w:t>
        </w:r>
        <w:r w:rsidR="00A55F53">
          <w:t xml:space="preserve"> </w:t>
        </w:r>
        <w:r w:rsidR="00A55F53">
          <w:tab/>
        </w:r>
      </w:sdtContent>
    </w:sdt>
    <w:r w:rsidR="00A55F53">
      <w:tab/>
      <w:t xml:space="preserve"> </w:t>
    </w:r>
    <w:r w:rsidR="00A55F53" w:rsidRPr="001007E8">
      <w:t>TE AKA MATUA O TE TURE | LAW COMMISSION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46E0C" w14:textId="0795E15A" w:rsidR="00A55F53" w:rsidRPr="00C5544E" w:rsidRDefault="00F92A12" w:rsidP="005C6BC7">
    <w:pPr>
      <w:pStyle w:val="Header"/>
      <w:tabs>
        <w:tab w:val="left" w:pos="709"/>
      </w:tabs>
    </w:pPr>
    <w:sdt>
      <w:sdtPr>
        <w:id w:val="1083190192"/>
        <w:docPartObj>
          <w:docPartGallery w:val="Page Numbers (Top of Page)"/>
          <w:docPartUnique/>
        </w:docPartObj>
      </w:sdtPr>
      <w:sdtEndPr/>
      <w:sdtContent>
        <w:r w:rsidR="00A55F53" w:rsidRPr="001D3DD6">
          <w:rPr>
            <w:szCs w:val="13"/>
          </w:rPr>
          <w:fldChar w:fldCharType="begin"/>
        </w:r>
        <w:r w:rsidR="00A55F53" w:rsidRPr="001D3DD6">
          <w:rPr>
            <w:szCs w:val="13"/>
          </w:rPr>
          <w:instrText xml:space="preserve"> PAGE   \* MERGEFORMAT </w:instrText>
        </w:r>
        <w:r w:rsidR="00A55F53" w:rsidRPr="001D3DD6">
          <w:rPr>
            <w:szCs w:val="13"/>
          </w:rPr>
          <w:fldChar w:fldCharType="separate"/>
        </w:r>
        <w:r w:rsidR="00A55F53">
          <w:rPr>
            <w:szCs w:val="13"/>
          </w:rPr>
          <w:t>189</w:t>
        </w:r>
        <w:r w:rsidR="00A55F53" w:rsidRPr="001D3DD6">
          <w:rPr>
            <w:szCs w:val="13"/>
          </w:rPr>
          <w:fldChar w:fldCharType="end"/>
        </w:r>
        <w:r w:rsidR="00A55F53">
          <w:rPr>
            <w:szCs w:val="13"/>
          </w:rPr>
          <w:t xml:space="preserve">           </w:t>
        </w:r>
        <w:r w:rsidR="00A55F53">
          <w:rPr>
            <w:szCs w:val="13"/>
          </w:rPr>
          <w:tab/>
          <w:t xml:space="preserve">CHAPTER 4: </w:t>
        </w:r>
        <w:r w:rsidR="00A55F53">
          <w:rPr>
            <w:rFonts w:eastAsia="Metropolis Black"/>
          </w:rPr>
          <w:t>DURING A CLASS ACTION</w:t>
        </w:r>
        <w:r w:rsidR="00A55F53">
          <w:rPr>
            <w:rFonts w:eastAsia="Metropolis Black"/>
          </w:rPr>
          <w:tab/>
          <w:t xml:space="preserve"> </w:t>
        </w:r>
      </w:sdtContent>
    </w:sdt>
    <w:r w:rsidR="00A55F53">
      <w:tab/>
    </w:r>
    <w:r w:rsidR="00A55F53" w:rsidRPr="001007E8">
      <w:t>TE AKA MATUA O TE TURE | LAW COMMISSION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D5D3E" w14:textId="4B1113A6" w:rsidR="00A55F53" w:rsidRDefault="00F92A12" w:rsidP="005C6BC7">
    <w:pPr>
      <w:pStyle w:val="Header"/>
      <w:tabs>
        <w:tab w:val="left" w:pos="709"/>
      </w:tabs>
    </w:pPr>
    <w:sdt>
      <w:sdtPr>
        <w:id w:val="1444338422"/>
        <w:docPartObj>
          <w:docPartGallery w:val="Page Numbers (Top of Page)"/>
          <w:docPartUnique/>
        </w:docPartObj>
      </w:sdtPr>
      <w:sdtEndPr/>
      <w:sdtContent>
        <w:r w:rsidR="00A55F53" w:rsidRPr="001D3DD6">
          <w:rPr>
            <w:szCs w:val="13"/>
          </w:rPr>
          <w:fldChar w:fldCharType="begin"/>
        </w:r>
        <w:r w:rsidR="00A55F53" w:rsidRPr="001D3DD6">
          <w:rPr>
            <w:szCs w:val="13"/>
          </w:rPr>
          <w:instrText xml:space="preserve"> PAGE   \* MERGEFORMAT </w:instrText>
        </w:r>
        <w:r w:rsidR="00A55F53" w:rsidRPr="001D3DD6">
          <w:rPr>
            <w:szCs w:val="13"/>
          </w:rPr>
          <w:fldChar w:fldCharType="separate"/>
        </w:r>
        <w:r w:rsidR="00A55F53">
          <w:rPr>
            <w:szCs w:val="13"/>
          </w:rPr>
          <w:t>75</w:t>
        </w:r>
        <w:r w:rsidR="00A55F53" w:rsidRPr="001D3DD6">
          <w:rPr>
            <w:szCs w:val="13"/>
          </w:rPr>
          <w:fldChar w:fldCharType="end"/>
        </w:r>
        <w:r w:rsidR="00A55F53">
          <w:rPr>
            <w:szCs w:val="13"/>
          </w:rPr>
          <w:t xml:space="preserve">           </w:t>
        </w:r>
        <w:r w:rsidR="00A55F53">
          <w:rPr>
            <w:szCs w:val="13"/>
          </w:rPr>
          <w:tab/>
          <w:t xml:space="preserve">CHAPTER 5: </w:t>
        </w:r>
        <w:r w:rsidR="00A55F53">
          <w:rPr>
            <w:rFonts w:eastAsia="Metropolis Black"/>
          </w:rPr>
          <w:t>JUDGMENTS, DAMAGES AND APPEALS</w:t>
        </w:r>
      </w:sdtContent>
    </w:sdt>
    <w:r w:rsidR="00A55F53">
      <w:tab/>
    </w:r>
    <w:r w:rsidR="00A55F53">
      <w:tab/>
    </w:r>
    <w:r w:rsidR="00A55F53" w:rsidRPr="001007E8">
      <w:t>TE AKA MATUA O TE TURE | LAW COMMISSION</w:t>
    </w:r>
  </w:p>
  <w:p w14:paraId="3F2753AD" w14:textId="77777777" w:rsidR="00A55F53" w:rsidRDefault="00A55F5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4737F" w14:textId="782FDA93" w:rsidR="00A55F53" w:rsidRDefault="00F92A12" w:rsidP="003342C4">
    <w:pPr>
      <w:pStyle w:val="Header"/>
      <w:tabs>
        <w:tab w:val="left" w:pos="709"/>
      </w:tabs>
    </w:pPr>
    <w:sdt>
      <w:sdtPr>
        <w:id w:val="1107537997"/>
        <w:docPartObj>
          <w:docPartGallery w:val="Page Numbers (Top of Page)"/>
          <w:docPartUnique/>
        </w:docPartObj>
      </w:sdtPr>
      <w:sdtEndPr/>
      <w:sdtContent>
        <w:r w:rsidR="00A55F53" w:rsidRPr="001D3DD6">
          <w:rPr>
            <w:szCs w:val="13"/>
          </w:rPr>
          <w:fldChar w:fldCharType="begin"/>
        </w:r>
        <w:r w:rsidR="00A55F53" w:rsidRPr="001D3DD6">
          <w:rPr>
            <w:szCs w:val="13"/>
          </w:rPr>
          <w:instrText xml:space="preserve"> PAGE   \* MERGEFORMAT </w:instrText>
        </w:r>
        <w:r w:rsidR="00A55F53" w:rsidRPr="001D3DD6">
          <w:rPr>
            <w:szCs w:val="13"/>
          </w:rPr>
          <w:fldChar w:fldCharType="separate"/>
        </w:r>
        <w:r w:rsidR="00A55F53">
          <w:rPr>
            <w:szCs w:val="13"/>
          </w:rPr>
          <w:t>305</w:t>
        </w:r>
        <w:r w:rsidR="00A55F53" w:rsidRPr="001D3DD6">
          <w:rPr>
            <w:szCs w:val="13"/>
          </w:rPr>
          <w:fldChar w:fldCharType="end"/>
        </w:r>
        <w:r w:rsidR="00A55F53">
          <w:rPr>
            <w:szCs w:val="13"/>
          </w:rPr>
          <w:t xml:space="preserve">           </w:t>
        </w:r>
        <w:r w:rsidR="00A55F53">
          <w:rPr>
            <w:szCs w:val="13"/>
          </w:rPr>
          <w:tab/>
          <w:t>CHAPTER 6:</w:t>
        </w:r>
        <w:r w:rsidR="00A55F53" w:rsidRPr="00A85387">
          <w:t xml:space="preserve"> </w:t>
        </w:r>
        <w:r w:rsidR="00A55F53">
          <w:rPr>
            <w:rFonts w:eastAsia="Metropolis Black"/>
          </w:rPr>
          <w:t>SETTLEMENT OF A CLASS ACTION</w:t>
        </w:r>
      </w:sdtContent>
    </w:sdt>
    <w:r w:rsidR="00A55F53">
      <w:tab/>
    </w:r>
    <w:r w:rsidR="00A55F53">
      <w:tab/>
      <w:t xml:space="preserve"> </w:t>
    </w:r>
    <w:r w:rsidR="00A55F53" w:rsidRPr="001007E8">
      <w:t>TE AKA MATUA O TE TURE | LAW COMMISSION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61C3A" w14:textId="07C7EF17" w:rsidR="00A55F53" w:rsidRDefault="00A55F53" w:rsidP="009E281D">
    <w:pPr>
      <w:pStyle w:val="Header"/>
      <w:tabs>
        <w:tab w:val="left" w:pos="709"/>
      </w:tabs>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239</w:t>
    </w:r>
    <w:r w:rsidRPr="001D3DD6">
      <w:rPr>
        <w:szCs w:val="13"/>
      </w:rPr>
      <w:fldChar w:fldCharType="end"/>
    </w:r>
    <w:r>
      <w:rPr>
        <w:szCs w:val="13"/>
      </w:rPr>
      <w:t xml:space="preserve">           </w:t>
    </w:r>
    <w:r>
      <w:rPr>
        <w:szCs w:val="13"/>
      </w:rPr>
      <w:tab/>
    </w:r>
    <w:r w:rsidR="00AB19C2">
      <w:rPr>
        <w:szCs w:val="13"/>
      </w:rPr>
      <w:t xml:space="preserve">APPENDIX </w:t>
    </w:r>
    <w:r w:rsidR="00593CAA">
      <w:rPr>
        <w:szCs w:val="13"/>
      </w:rPr>
      <w:t xml:space="preserve">1: </w:t>
    </w:r>
    <w:r w:rsidR="00593CAA" w:rsidRPr="00593CAA">
      <w:rPr>
        <w:szCs w:val="13"/>
      </w:rPr>
      <w:t>PROCESS FOR SETTLEMENT POST-CERTIFICATION</w:t>
    </w:r>
    <w:r>
      <w:tab/>
      <w:t xml:space="preserve"> </w:t>
    </w:r>
    <w:r w:rsidRPr="001007E8">
      <w:t>TE AKA MATUA O TE TURE | LAW COMMISSION</w:t>
    </w:r>
  </w:p>
  <w:p w14:paraId="44B87509" w14:textId="77777777" w:rsidR="00A55F53" w:rsidRPr="001D3DD6" w:rsidRDefault="00A55F5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4B05" w14:textId="0614BABB" w:rsidR="00593CAA" w:rsidRDefault="00593CAA" w:rsidP="009E281D">
    <w:pPr>
      <w:pStyle w:val="Header"/>
      <w:tabs>
        <w:tab w:val="left" w:pos="709"/>
      </w:tabs>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239</w:t>
    </w:r>
    <w:r w:rsidRPr="001D3DD6">
      <w:rPr>
        <w:szCs w:val="13"/>
      </w:rPr>
      <w:fldChar w:fldCharType="end"/>
    </w:r>
    <w:r>
      <w:rPr>
        <w:szCs w:val="13"/>
      </w:rPr>
      <w:t xml:space="preserve">           </w:t>
    </w:r>
    <w:r>
      <w:rPr>
        <w:szCs w:val="13"/>
      </w:rPr>
      <w:tab/>
      <w:t>APPENDIX</w:t>
    </w:r>
    <w:r w:rsidR="00BF5AE9">
      <w:rPr>
        <w:szCs w:val="13"/>
      </w:rPr>
      <w:t xml:space="preserve"> </w:t>
    </w:r>
    <w:r>
      <w:rPr>
        <w:szCs w:val="13"/>
      </w:rPr>
      <w:t xml:space="preserve">2: </w:t>
    </w:r>
    <w:r>
      <w:t xml:space="preserve">PROVISIONS FOR A </w:t>
    </w:r>
    <w:r w:rsidRPr="001B7333">
      <w:t>CLASS ACTIONS BILL</w:t>
    </w:r>
    <w:r>
      <w:tab/>
    </w:r>
    <w:r>
      <w:tab/>
      <w:t xml:space="preserve"> </w:t>
    </w:r>
    <w:r w:rsidRPr="001007E8">
      <w:t>TE AKA MATUA O TE TURE | LAW COMMISSION</w:t>
    </w:r>
  </w:p>
  <w:p w14:paraId="447A089C" w14:textId="77777777" w:rsidR="00593CAA" w:rsidRPr="001D3DD6" w:rsidRDefault="00593CAA" w:rsidP="003342C4">
    <w:pPr>
      <w:pStyle w:val="Header"/>
      <w:tabs>
        <w:tab w:val="left" w:pos="709"/>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E3769" w14:textId="37A596B7" w:rsidR="00A55F53" w:rsidRPr="001D3DD6" w:rsidRDefault="00A55F53" w:rsidP="003342C4">
    <w:pPr>
      <w:pStyle w:val="Header"/>
      <w:tabs>
        <w:tab w:val="left" w:pos="709"/>
      </w:tabs>
    </w:pPr>
    <w:r w:rsidRPr="001007E8">
      <w:t>TE AKA MATUA O TE TURE | LAW COMMISSION</w:t>
    </w:r>
    <w:r w:rsidRPr="00DA1028">
      <w:t xml:space="preserve"> </w:t>
    </w:r>
    <w:r w:rsidRPr="00DA1028">
      <w:tab/>
    </w:r>
    <w:r w:rsidRPr="00DA1028">
      <w:tab/>
    </w:r>
    <w:r w:rsidRPr="00B311AA">
      <w:t>REVIEW OF SUCCESSION LAW</w:t>
    </w:r>
    <w:r>
      <w:t xml:space="preserve"> – ISSUES PAPER</w:t>
    </w:r>
    <w:r w:rsidRPr="00C5544E">
      <w:rPr>
        <w:szCs w:val="13"/>
      </w:rPr>
      <w:t xml:space="preserve">               </w:t>
    </w: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239</w:t>
    </w:r>
    <w:r w:rsidRPr="001D3DD6">
      <w:rPr>
        <w:szCs w:val="13"/>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DAA2" w14:textId="6F02CFD9" w:rsidR="00A55F53" w:rsidRPr="00236E58" w:rsidRDefault="00A55F53" w:rsidP="00236E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B58E1" w14:textId="77777777" w:rsidR="00A55F53" w:rsidRPr="00287AFD" w:rsidRDefault="00A55F53" w:rsidP="001A7CE5">
    <w:pPr>
      <w:pStyle w:val="Header"/>
      <w:tabs>
        <w:tab w:val="left" w:pos="709"/>
      </w:tabs>
      <w:rPr>
        <w:szCs w:val="20"/>
      </w:rPr>
    </w:pPr>
    <w:r w:rsidRPr="00287AFD">
      <w:rPr>
        <w:noProof/>
        <w:lang w:eastAsia="en-NZ"/>
      </w:rPr>
      <mc:AlternateContent>
        <mc:Choice Requires="wps">
          <w:drawing>
            <wp:anchor distT="0" distB="0" distL="114300" distR="114300" simplePos="0" relativeHeight="251658242" behindDoc="1" locked="0" layoutInCell="1" allowOverlap="1" wp14:anchorId="6956E3C6" wp14:editId="1156A9B1">
              <wp:simplePos x="0" y="0"/>
              <wp:positionH relativeFrom="column">
                <wp:posOffset>-1082040</wp:posOffset>
              </wp:positionH>
              <wp:positionV relativeFrom="paragraph">
                <wp:posOffset>-453587</wp:posOffset>
              </wp:positionV>
              <wp:extent cx="7560310" cy="10692130"/>
              <wp:effectExtent l="0" t="0" r="2540" b="0"/>
              <wp:wrapNone/>
              <wp:docPr id="47"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00E40506" id="Freeform 134" o:spid="_x0000_s1026" style="position:absolute;z-index:-251658238;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" fillcolor="#edf2ea" stroked="f">
              <v:path arrowok="t" o:connecttype="custom" o:connectlocs="0,10692130;7560310,10692130;7560310,0;0,0;0,10692130" o:connectangles="0,0,0,0,0"/>
            </v:polyline>
          </w:pict>
        </mc:Fallback>
      </mc:AlternateContent>
    </w:r>
    <w:sdt>
      <w:sdtPr>
        <w:id w:val="420845829"/>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iii</w:t>
        </w:r>
        <w:r w:rsidRPr="00287AFD">
          <w:rPr>
            <w:szCs w:val="13"/>
          </w:rPr>
          <w:fldChar w:fldCharType="end"/>
        </w:r>
        <w:r w:rsidRPr="00287AFD">
          <w:rPr>
            <w:szCs w:val="13"/>
            <w:lang w:val="fr-FR"/>
          </w:rPr>
          <w:t xml:space="preserve">       </w:t>
        </w:r>
        <w:r w:rsidRPr="00287AFD">
          <w:rPr>
            <w:szCs w:val="13"/>
            <w:lang w:val="fr-FR"/>
          </w:rPr>
          <w:tab/>
        </w:r>
        <w:r>
          <w:rPr>
            <w:szCs w:val="13"/>
            <w:lang w:val="fr-FR"/>
          </w:rPr>
          <w:t>HAVE YOUR SAY</w:t>
        </w:r>
      </w:sdtContent>
    </w:sdt>
    <w:r w:rsidRPr="00287AFD">
      <w:tab/>
      <w:t xml:space="preserve"> </w:t>
    </w:r>
    <w:r w:rsidRPr="00287AFD">
      <w:rPr>
        <w:szCs w:val="13"/>
      </w:rPr>
      <w:tab/>
      <w:t>TE AKA MATUA O TE TURE | LAW COMMISSION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F82C" w14:textId="3EC62CD2" w:rsidR="00A55F53" w:rsidRDefault="00A55F53" w:rsidP="00E81695">
    <w:pPr>
      <w:pStyle w:val="Header"/>
      <w:tabs>
        <w:tab w:val="left" w:pos="709"/>
      </w:tabs>
      <w:rPr>
        <w:szCs w:val="13"/>
      </w:rPr>
    </w:pPr>
    <w:r w:rsidRPr="00287AFD">
      <w:rPr>
        <w:noProof/>
        <w:lang w:eastAsia="en-NZ"/>
      </w:rPr>
      <mc:AlternateContent>
        <mc:Choice Requires="wps">
          <w:drawing>
            <wp:anchor distT="0" distB="0" distL="114300" distR="114300" simplePos="0" relativeHeight="251658243" behindDoc="1" locked="0" layoutInCell="1" allowOverlap="1" wp14:anchorId="06C72294" wp14:editId="208645E2">
              <wp:simplePos x="0" y="0"/>
              <wp:positionH relativeFrom="column">
                <wp:posOffset>-1081405</wp:posOffset>
              </wp:positionH>
              <wp:positionV relativeFrom="paragraph">
                <wp:posOffset>-356585</wp:posOffset>
              </wp:positionV>
              <wp:extent cx="7560310" cy="10692130"/>
              <wp:effectExtent l="0" t="0" r="2540" b="0"/>
              <wp:wrapNone/>
              <wp:docPr id="76451830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78B2822D" id="Freeform 134"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v-text-anchor:top" points="-85.15pt,813.8pt,510.15pt,813.8pt,510.15pt,-28.1pt,-85.15pt,-28.1pt,-85.15pt,813.8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" fillcolor="#edf2ea" stroked="f">
              <v:path arrowok="t" o:connecttype="custom" o:connectlocs="0,10692130;7560310,10692130;7560310,0;0,0;0,10692130" o:connectangles="0,0,0,0,0"/>
            </v:polyline>
          </w:pict>
        </mc:Fallback>
      </mc:AlternateContent>
    </w:r>
    <w:sdt>
      <w:sdtPr>
        <w:id w:val="660437905"/>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v</w:t>
        </w:r>
        <w:r w:rsidRPr="00287AFD">
          <w:rPr>
            <w:szCs w:val="13"/>
          </w:rPr>
          <w:fldChar w:fldCharType="end"/>
        </w:r>
        <w:r w:rsidRPr="00287AFD">
          <w:rPr>
            <w:szCs w:val="13"/>
            <w:lang w:val="fr-FR"/>
          </w:rPr>
          <w:t xml:space="preserve">     </w:t>
        </w:r>
        <w:r w:rsidRPr="00287AFD">
          <w:rPr>
            <w:szCs w:val="13"/>
            <w:lang w:val="fr-FR"/>
          </w:rPr>
          <w:tab/>
          <w:t>ACKNOWLEDGEMENTS</w:t>
        </w:r>
      </w:sdtContent>
    </w:sdt>
    <w:r w:rsidRPr="00287AFD">
      <w:tab/>
      <w:t xml:space="preserve"> </w:t>
    </w:r>
    <w:r w:rsidRPr="00287AFD">
      <w:rPr>
        <w:szCs w:val="13"/>
      </w:rPr>
      <w:tab/>
      <w:t>TE AKA MATUA O TE TURE | LAW COMMISSION</w:t>
    </w:r>
  </w:p>
  <w:p w14:paraId="286E61D0" w14:textId="77777777" w:rsidR="00A55F53" w:rsidRDefault="00A55F53" w:rsidP="00E81695">
    <w:pPr>
      <w:pStyle w:val="Header"/>
      <w:tabs>
        <w:tab w:val="left" w:pos="709"/>
      </w:tabs>
      <w:rPr>
        <w:szCs w:val="13"/>
      </w:rPr>
    </w:pPr>
  </w:p>
  <w:p w14:paraId="2DAB3A63" w14:textId="77777777" w:rsidR="00A55F53" w:rsidRPr="00C9038C" w:rsidRDefault="00A55F53" w:rsidP="00E81695">
    <w:pPr>
      <w:pStyle w:val="Header"/>
      <w:tabs>
        <w:tab w:val="left" w:pos="709"/>
      </w:tabs>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232454"/>
      <w:docPartObj>
        <w:docPartGallery w:val="Page Numbers (Top of Page)"/>
        <w:docPartUnique/>
      </w:docPartObj>
    </w:sdtPr>
    <w:sdtEndPr>
      <w:rPr>
        <w:szCs w:val="13"/>
      </w:rPr>
    </w:sdtEndPr>
    <w:sdtContent>
      <w:sdt>
        <w:sdtPr>
          <w:id w:val="173077286"/>
          <w:docPartObj>
            <w:docPartGallery w:val="Page Numbers (Top of Page)"/>
            <w:docPartUnique/>
          </w:docPartObj>
        </w:sdtPr>
        <w:sdtEndPr>
          <w:rPr>
            <w:szCs w:val="13"/>
          </w:rPr>
        </w:sdtEndPr>
        <w:sdtContent>
          <w:p w14:paraId="3A056F22" w14:textId="007CB19B" w:rsidR="00A55F53" w:rsidRPr="00F12956" w:rsidRDefault="00F92A12" w:rsidP="00AA7F0D">
            <w:pPr>
              <w:pStyle w:val="Header"/>
              <w:tabs>
                <w:tab w:val="left" w:pos="709"/>
                <w:tab w:val="center" w:pos="4111"/>
              </w:tabs>
              <w:rPr>
                <w:szCs w:val="13"/>
              </w:rPr>
            </w:pPr>
            <w:sdt>
              <w:sdtPr>
                <w:id w:val="1706058909"/>
                <w:docPartObj>
                  <w:docPartGallery w:val="Page Numbers (Top of Page)"/>
                  <w:docPartUnique/>
                </w:docPartObj>
              </w:sdtPr>
              <w:sdtEndPr>
                <w:rPr>
                  <w:szCs w:val="13"/>
                </w:rPr>
              </w:sdtEndPr>
              <w:sdtContent>
                <w:r w:rsidR="00A55F53" w:rsidRPr="001007E8">
                  <w:t>TE AKA MATUA O TE TURE | LAW COMMISSION</w:t>
                </w:r>
                <w:r w:rsidR="00A55F53" w:rsidRPr="00DA1028">
                  <w:t xml:space="preserve"> </w:t>
                </w:r>
                <w:r w:rsidR="00A55F53" w:rsidRPr="00DA1028">
                  <w:tab/>
                </w:r>
                <w:r w:rsidR="00A55F53">
                  <w:t xml:space="preserve">    </w:t>
                </w:r>
                <w:r w:rsidR="00A55F53">
                  <w:tab/>
                </w:r>
                <w:r w:rsidR="00A55F53" w:rsidRPr="008E6468">
                  <w:t>CLASS ACTIONS AND LITIGATION FUNDING</w:t>
                </w:r>
                <w:r w:rsidR="00A55F53">
                  <w:t xml:space="preserve"> – ISSUES PAPER 48</w:t>
                </w:r>
                <w:r w:rsidR="00A55F53" w:rsidRPr="00C5544E">
                  <w:rPr>
                    <w:szCs w:val="13"/>
                  </w:rPr>
                  <w:t xml:space="preserve">               </w:t>
                </w:r>
                <w:r w:rsidR="00A55F53" w:rsidRPr="00C5544E">
                  <w:rPr>
                    <w:szCs w:val="13"/>
                  </w:rPr>
                  <w:fldChar w:fldCharType="begin"/>
                </w:r>
                <w:r w:rsidR="00A55F53" w:rsidRPr="00C5544E">
                  <w:rPr>
                    <w:szCs w:val="13"/>
                  </w:rPr>
                  <w:instrText xml:space="preserve"> PAGE   \* MERGEFORMAT </w:instrText>
                </w:r>
                <w:r w:rsidR="00A55F53" w:rsidRPr="00C5544E">
                  <w:rPr>
                    <w:szCs w:val="13"/>
                  </w:rPr>
                  <w:fldChar w:fldCharType="separate"/>
                </w:r>
                <w:r w:rsidR="00A55F53">
                  <w:rPr>
                    <w:szCs w:val="13"/>
                  </w:rPr>
                  <w:t>22</w:t>
                </w:r>
                <w:r w:rsidR="00A55F53" w:rsidRPr="00C5544E">
                  <w:rPr>
                    <w:szCs w:val="13"/>
                  </w:rPr>
                  <w:fldChar w:fldCharType="end"/>
                </w:r>
              </w:sdtContent>
            </w:sdt>
          </w:p>
        </w:sdtContent>
      </w:sdt>
    </w:sdtContent>
  </w:sdt>
  <w:p w14:paraId="7D85348E" w14:textId="77777777" w:rsidR="00A55F53" w:rsidRDefault="00A55F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436975"/>
      <w:docPartObj>
        <w:docPartGallery w:val="Page Numbers (Top of Page)"/>
        <w:docPartUnique/>
      </w:docPartObj>
    </w:sdtPr>
    <w:sdtEndPr/>
    <w:sdtContent>
      <w:sdt>
        <w:sdtPr>
          <w:id w:val="-1394269985"/>
          <w:docPartObj>
            <w:docPartGallery w:val="Page Numbers (Top of Page)"/>
            <w:docPartUnique/>
          </w:docPartObj>
        </w:sdtPr>
        <w:sdtEndPr/>
        <w:sdtContent>
          <w:p w14:paraId="3B0C399F" w14:textId="1CD28766" w:rsidR="00A55F53" w:rsidRPr="009B492B" w:rsidRDefault="00F92A12" w:rsidP="009C7D5A">
            <w:pPr>
              <w:pStyle w:val="Header"/>
              <w:tabs>
                <w:tab w:val="left" w:pos="709"/>
              </w:tabs>
              <w:rPr>
                <w:szCs w:val="20"/>
              </w:rPr>
            </w:pPr>
            <w:sdt>
              <w:sdtPr>
                <w:id w:val="1304811506"/>
                <w:docPartObj>
                  <w:docPartGallery w:val="Page Numbers (Top of Page)"/>
                  <w:docPartUnique/>
                </w:docPartObj>
              </w:sdtPr>
              <w:sdtEndPr/>
              <w:sdtContent>
                <w:r w:rsidR="00A55F53" w:rsidRPr="001D3DD6">
                  <w:rPr>
                    <w:szCs w:val="13"/>
                  </w:rPr>
                  <w:fldChar w:fldCharType="begin"/>
                </w:r>
                <w:r w:rsidR="00A55F53" w:rsidRPr="001D3DD6">
                  <w:rPr>
                    <w:szCs w:val="13"/>
                  </w:rPr>
                  <w:instrText xml:space="preserve"> PAGE   \* MERGEFORMAT </w:instrText>
                </w:r>
                <w:r w:rsidR="00A55F53" w:rsidRPr="001D3DD6">
                  <w:rPr>
                    <w:szCs w:val="13"/>
                  </w:rPr>
                  <w:fldChar w:fldCharType="separate"/>
                </w:r>
                <w:r w:rsidR="00A55F53">
                  <w:rPr>
                    <w:szCs w:val="13"/>
                  </w:rPr>
                  <w:t>3</w:t>
                </w:r>
                <w:r w:rsidR="00A55F53" w:rsidRPr="001D3DD6">
                  <w:rPr>
                    <w:szCs w:val="13"/>
                  </w:rPr>
                  <w:fldChar w:fldCharType="end"/>
                </w:r>
                <w:r w:rsidR="00A55F53" w:rsidRPr="00FF65F4">
                  <w:rPr>
                    <w:szCs w:val="13"/>
                    <w:lang w:val="fr-FR"/>
                  </w:rPr>
                  <w:t xml:space="preserve">     </w:t>
                </w:r>
                <w:r w:rsidR="00A55F53">
                  <w:rPr>
                    <w:szCs w:val="13"/>
                    <w:lang w:val="fr-FR"/>
                  </w:rPr>
                  <w:tab/>
                  <w:t>LIST OF QUESTIONS</w:t>
                </w:r>
              </w:sdtContent>
            </w:sdt>
            <w:r w:rsidR="00A55F53">
              <w:tab/>
              <w:t xml:space="preserve"> </w:t>
            </w:r>
            <w:r w:rsidR="00A55F53" w:rsidRPr="0074159A">
              <w:rPr>
                <w:szCs w:val="13"/>
              </w:rPr>
              <w:tab/>
            </w:r>
            <w:r w:rsidR="00A55F53" w:rsidRPr="001007E8">
              <w:rPr>
                <w:szCs w:val="13"/>
              </w:rPr>
              <w:t>TE AKA MATUA O TE TURE | LAW COMMISSION</w:t>
            </w:r>
          </w:p>
        </w:sdtContent>
      </w:sdt>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511134"/>
      <w:docPartObj>
        <w:docPartGallery w:val="Page Numbers (Top of Page)"/>
        <w:docPartUnique/>
      </w:docPartObj>
    </w:sdtPr>
    <w:sdtEndPr>
      <w:rPr>
        <w:szCs w:val="13"/>
      </w:rPr>
    </w:sdtEndPr>
    <w:sdtContent>
      <w:sdt>
        <w:sdtPr>
          <w:id w:val="-1589532985"/>
          <w:docPartObj>
            <w:docPartGallery w:val="Page Numbers (Top of Page)"/>
            <w:docPartUnique/>
          </w:docPartObj>
        </w:sdtPr>
        <w:sdtEndPr>
          <w:rPr>
            <w:szCs w:val="13"/>
          </w:rPr>
        </w:sdtEndPr>
        <w:sdtContent>
          <w:p w14:paraId="5FE8CCA4" w14:textId="19494E4D" w:rsidR="00A55F53" w:rsidRPr="00F12956" w:rsidRDefault="00F92A12" w:rsidP="00AA7F0D">
            <w:pPr>
              <w:pStyle w:val="Header"/>
              <w:tabs>
                <w:tab w:val="left" w:pos="709"/>
                <w:tab w:val="center" w:pos="4111"/>
              </w:tabs>
              <w:rPr>
                <w:szCs w:val="13"/>
              </w:rPr>
            </w:pPr>
            <w:sdt>
              <w:sdtPr>
                <w:id w:val="1953278444"/>
                <w:docPartObj>
                  <w:docPartGallery w:val="Page Numbers (Top of Page)"/>
                  <w:docPartUnique/>
                </w:docPartObj>
              </w:sdtPr>
              <w:sdtEndPr>
                <w:rPr>
                  <w:szCs w:val="13"/>
                </w:rPr>
              </w:sdtEndPr>
              <w:sdtContent>
                <w:r w:rsidR="00A55F53" w:rsidRPr="001007E8">
                  <w:t>TE AKA MATUA O TE TURE | LAW COMMISSION</w:t>
                </w:r>
                <w:r w:rsidR="00A55F53" w:rsidRPr="00DA1028">
                  <w:t xml:space="preserve"> </w:t>
                </w:r>
                <w:r w:rsidR="00A55F53" w:rsidRPr="00DA1028">
                  <w:tab/>
                </w:r>
                <w:r w:rsidR="00A55F53">
                  <w:t xml:space="preserve">    </w:t>
                </w:r>
                <w:r w:rsidR="00A55F53">
                  <w:tab/>
                </w:r>
                <w:r w:rsidR="00A55F53" w:rsidRPr="008E6468">
                  <w:t>CLASS ACTIONS AND LITIGATION FUNDING</w:t>
                </w:r>
                <w:r w:rsidR="00A55F53">
                  <w:t xml:space="preserve"> – ISSUES PAPER 48</w:t>
                </w:r>
                <w:r w:rsidR="00A55F53" w:rsidRPr="00C5544E">
                  <w:rPr>
                    <w:szCs w:val="13"/>
                  </w:rPr>
                  <w:t xml:space="preserve">               </w:t>
                </w:r>
                <w:r w:rsidR="00A55F53" w:rsidRPr="00C5544E">
                  <w:rPr>
                    <w:szCs w:val="13"/>
                  </w:rPr>
                  <w:fldChar w:fldCharType="begin"/>
                </w:r>
                <w:r w:rsidR="00A55F53" w:rsidRPr="00C5544E">
                  <w:rPr>
                    <w:szCs w:val="13"/>
                  </w:rPr>
                  <w:instrText xml:space="preserve"> PAGE   \* MERGEFORMAT </w:instrText>
                </w:r>
                <w:r w:rsidR="00A55F53" w:rsidRPr="00C5544E">
                  <w:rPr>
                    <w:szCs w:val="13"/>
                  </w:rPr>
                  <w:fldChar w:fldCharType="separate"/>
                </w:r>
                <w:r w:rsidR="00A55F53">
                  <w:rPr>
                    <w:szCs w:val="13"/>
                  </w:rPr>
                  <w:t>22</w:t>
                </w:r>
                <w:r w:rsidR="00A55F53" w:rsidRPr="00C5544E">
                  <w:rPr>
                    <w:szCs w:val="13"/>
                  </w:rPr>
                  <w:fldChar w:fldCharType="end"/>
                </w:r>
              </w:sdtContent>
            </w:sdt>
          </w:p>
        </w:sdtContent>
      </w:sdt>
    </w:sdtContent>
  </w:sdt>
  <w:p w14:paraId="00FF9AE1" w14:textId="77777777" w:rsidR="00A55F53" w:rsidRDefault="00A55F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4E2ED" w14:textId="54EF3A84" w:rsidR="00A55F53" w:rsidRPr="00A14163" w:rsidRDefault="00F92A12" w:rsidP="00EA7381">
    <w:pPr>
      <w:pStyle w:val="Header"/>
      <w:tabs>
        <w:tab w:val="clear" w:pos="4536"/>
        <w:tab w:val="left" w:pos="709"/>
        <w:tab w:val="center" w:pos="4111"/>
      </w:tabs>
      <w:rPr>
        <w:szCs w:val="20"/>
      </w:rPr>
    </w:pPr>
    <w:sdt>
      <w:sdtPr>
        <w:id w:val="1283076269"/>
        <w:docPartObj>
          <w:docPartGallery w:val="Page Numbers (Top of Page)"/>
          <w:docPartUnique/>
        </w:docPartObj>
      </w:sdtPr>
      <w:sdtEndPr/>
      <w:sdtContent>
        <w:r w:rsidR="00A55F53" w:rsidRPr="001D3DD6">
          <w:rPr>
            <w:szCs w:val="13"/>
          </w:rPr>
          <w:fldChar w:fldCharType="begin"/>
        </w:r>
        <w:r w:rsidR="00A55F53" w:rsidRPr="001D3DD6">
          <w:rPr>
            <w:szCs w:val="13"/>
          </w:rPr>
          <w:instrText xml:space="preserve"> PAGE   \* MERGEFORMAT </w:instrText>
        </w:r>
        <w:r w:rsidR="00A55F53" w:rsidRPr="001D3DD6">
          <w:rPr>
            <w:szCs w:val="13"/>
          </w:rPr>
          <w:fldChar w:fldCharType="separate"/>
        </w:r>
        <w:r w:rsidR="00A55F53">
          <w:rPr>
            <w:szCs w:val="13"/>
          </w:rPr>
          <w:t>115</w:t>
        </w:r>
        <w:r w:rsidR="00A55F53" w:rsidRPr="001D3DD6">
          <w:rPr>
            <w:szCs w:val="13"/>
          </w:rPr>
          <w:fldChar w:fldCharType="end"/>
        </w:r>
        <w:r w:rsidR="00A55F53">
          <w:rPr>
            <w:szCs w:val="13"/>
          </w:rPr>
          <w:t xml:space="preserve">           </w:t>
        </w:r>
        <w:r w:rsidR="00A55F53">
          <w:rPr>
            <w:szCs w:val="13"/>
          </w:rPr>
          <w:tab/>
          <w:t>INTRODUCTION</w:t>
        </w:r>
      </w:sdtContent>
    </w:sdt>
    <w:r w:rsidR="00A55F53">
      <w:tab/>
    </w:r>
    <w:r w:rsidR="00A55F53">
      <w:tab/>
    </w:r>
    <w:r w:rsidR="00A55F53" w:rsidRPr="001007E8">
      <w:t>TE AKA MATUA O TE TURE | LAW COMMISSION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0159250"/>
      <w:docPartObj>
        <w:docPartGallery w:val="Page Numbers (Top of Page)"/>
        <w:docPartUnique/>
      </w:docPartObj>
    </w:sdtPr>
    <w:sdtEndPr>
      <w:rPr>
        <w:szCs w:val="13"/>
      </w:rPr>
    </w:sdtEndPr>
    <w:sdtContent>
      <w:p w14:paraId="4838BAF4" w14:textId="28B3A65C" w:rsidR="00A55F53" w:rsidRPr="00EA7381" w:rsidRDefault="00F92A12" w:rsidP="00EA7381">
        <w:pPr>
          <w:pStyle w:val="Header"/>
          <w:tabs>
            <w:tab w:val="clear" w:pos="4536"/>
            <w:tab w:val="left" w:pos="709"/>
            <w:tab w:val="center" w:pos="4111"/>
          </w:tabs>
          <w:rPr>
            <w:szCs w:val="20"/>
          </w:rPr>
        </w:pPr>
        <w:sdt>
          <w:sdtPr>
            <w:id w:val="-1074970623"/>
            <w:docPartObj>
              <w:docPartGallery w:val="Page Numbers (Top of Page)"/>
              <w:docPartUnique/>
            </w:docPartObj>
          </w:sdtPr>
          <w:sdtEndPr>
            <w:rPr>
              <w:szCs w:val="13"/>
            </w:rPr>
          </w:sdtEndPr>
          <w:sdtContent>
            <w:r w:rsidR="00A55F53" w:rsidRPr="001007E8">
              <w:t>TE AKA MATUA O TE TURE | LAW COMMISSION</w:t>
            </w:r>
            <w:r w:rsidR="00A55F53" w:rsidRPr="00DA1028">
              <w:t xml:space="preserve"> </w:t>
            </w:r>
            <w:r w:rsidR="00A55F53" w:rsidRPr="00DA1028">
              <w:tab/>
            </w:r>
            <w:r w:rsidR="00A55F53">
              <w:t xml:space="preserve">    </w:t>
            </w:r>
            <w:r w:rsidR="00A55F53">
              <w:tab/>
            </w:r>
            <w:r w:rsidR="00A55F53" w:rsidRPr="008E6468">
              <w:t>CLASS ACTIONS AND LITIGATION FUNDING</w:t>
            </w:r>
            <w:r w:rsidR="00A55F53">
              <w:t xml:space="preserve"> – ISSUES PAPER 48</w:t>
            </w:r>
            <w:r w:rsidR="00A55F53" w:rsidRPr="00C5544E">
              <w:rPr>
                <w:szCs w:val="13"/>
              </w:rPr>
              <w:t xml:space="preserve">               </w:t>
            </w:r>
            <w:r w:rsidR="00A55F53" w:rsidRPr="00C5544E">
              <w:rPr>
                <w:szCs w:val="13"/>
              </w:rPr>
              <w:fldChar w:fldCharType="begin"/>
            </w:r>
            <w:r w:rsidR="00A55F53" w:rsidRPr="00C5544E">
              <w:rPr>
                <w:szCs w:val="13"/>
              </w:rPr>
              <w:instrText xml:space="preserve"> PAGE   \* MERGEFORMAT </w:instrText>
            </w:r>
            <w:r w:rsidR="00A55F53" w:rsidRPr="00C5544E">
              <w:rPr>
                <w:szCs w:val="13"/>
              </w:rPr>
              <w:fldChar w:fldCharType="separate"/>
            </w:r>
            <w:r w:rsidR="00A55F53">
              <w:rPr>
                <w:szCs w:val="13"/>
              </w:rPr>
              <w:t>9</w:t>
            </w:r>
            <w:r w:rsidR="00A55F53" w:rsidRPr="00C5544E">
              <w:rPr>
                <w:szCs w:val="13"/>
              </w:rPr>
              <w:fldChar w:fldCharType="end"/>
            </w:r>
          </w:sdtContent>
        </w:sdt>
      </w:p>
    </w:sdtContent>
  </w:sdt>
  <w:p w14:paraId="65458104" w14:textId="77777777" w:rsidR="00A55F53" w:rsidRDefault="00A55F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34D"/>
    <w:multiLevelType w:val="multilevel"/>
    <w:tmpl w:val="FFDE900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596"/>
      </w:pPr>
    </w:lvl>
    <w:lvl w:ilvl="2">
      <w:start w:val="1"/>
      <w:numFmt w:val="none"/>
      <w:pStyle w:val="BodyTextnonum"/>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2BB79FD"/>
    <w:multiLevelType w:val="hybridMultilevel"/>
    <w:tmpl w:val="83F0070C"/>
    <w:lvl w:ilvl="0" w:tplc="FFFFFFFF">
      <w:start w:val="1"/>
      <w:numFmt w:val="decimal"/>
      <w:lvlText w:val="(%1)"/>
      <w:lvlJc w:val="left"/>
      <w:pPr>
        <w:ind w:left="904" w:hanging="600"/>
      </w:pPr>
      <w:rPr>
        <w:rFonts w:ascii="Times New Roman" w:eastAsia="Times New Roman" w:hAnsi="Times New Roman" w:cs="Times New Roman" w:hint="default"/>
        <w:spacing w:val="-17"/>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2" w15:restartNumberingAfterBreak="0">
    <w:nsid w:val="03697B42"/>
    <w:multiLevelType w:val="hybridMultilevel"/>
    <w:tmpl w:val="D054C78A"/>
    <w:lvl w:ilvl="0" w:tplc="9FF864C8">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A172FD94">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D9985790">
      <w:numFmt w:val="bullet"/>
      <w:lvlText w:val="•"/>
      <w:lvlJc w:val="left"/>
      <w:pPr>
        <w:ind w:left="2282" w:hanging="600"/>
      </w:pPr>
      <w:rPr>
        <w:rFonts w:hint="default"/>
        <w:lang w:val="en-US" w:eastAsia="en-US" w:bidi="en-US"/>
      </w:rPr>
    </w:lvl>
    <w:lvl w:ilvl="3" w:tplc="BCA0B9AE">
      <w:numFmt w:val="bullet"/>
      <w:lvlText w:val="•"/>
      <w:lvlJc w:val="left"/>
      <w:pPr>
        <w:ind w:left="3065" w:hanging="600"/>
      </w:pPr>
      <w:rPr>
        <w:rFonts w:hint="default"/>
        <w:lang w:val="en-US" w:eastAsia="en-US" w:bidi="en-US"/>
      </w:rPr>
    </w:lvl>
    <w:lvl w:ilvl="4" w:tplc="ED22DF90">
      <w:numFmt w:val="bullet"/>
      <w:lvlText w:val="•"/>
      <w:lvlJc w:val="left"/>
      <w:pPr>
        <w:ind w:left="3848" w:hanging="600"/>
      </w:pPr>
      <w:rPr>
        <w:rFonts w:hint="default"/>
        <w:lang w:val="en-US" w:eastAsia="en-US" w:bidi="en-US"/>
      </w:rPr>
    </w:lvl>
    <w:lvl w:ilvl="5" w:tplc="13CA8536">
      <w:numFmt w:val="bullet"/>
      <w:lvlText w:val="•"/>
      <w:lvlJc w:val="left"/>
      <w:pPr>
        <w:ind w:left="4631" w:hanging="600"/>
      </w:pPr>
      <w:rPr>
        <w:rFonts w:hint="default"/>
        <w:lang w:val="en-US" w:eastAsia="en-US" w:bidi="en-US"/>
      </w:rPr>
    </w:lvl>
    <w:lvl w:ilvl="6" w:tplc="F080F27C">
      <w:numFmt w:val="bullet"/>
      <w:lvlText w:val="•"/>
      <w:lvlJc w:val="left"/>
      <w:pPr>
        <w:ind w:left="5414" w:hanging="600"/>
      </w:pPr>
      <w:rPr>
        <w:rFonts w:hint="default"/>
        <w:lang w:val="en-US" w:eastAsia="en-US" w:bidi="en-US"/>
      </w:rPr>
    </w:lvl>
    <w:lvl w:ilvl="7" w:tplc="4770DFC4">
      <w:numFmt w:val="bullet"/>
      <w:lvlText w:val="•"/>
      <w:lvlJc w:val="left"/>
      <w:pPr>
        <w:ind w:left="6197" w:hanging="600"/>
      </w:pPr>
      <w:rPr>
        <w:rFonts w:hint="default"/>
        <w:lang w:val="en-US" w:eastAsia="en-US" w:bidi="en-US"/>
      </w:rPr>
    </w:lvl>
    <w:lvl w:ilvl="8" w:tplc="138A0DA8">
      <w:numFmt w:val="bullet"/>
      <w:lvlText w:val="•"/>
      <w:lvlJc w:val="left"/>
      <w:pPr>
        <w:ind w:left="6979" w:hanging="600"/>
      </w:pPr>
      <w:rPr>
        <w:rFonts w:hint="default"/>
        <w:lang w:val="en-US" w:eastAsia="en-US" w:bidi="en-US"/>
      </w:rPr>
    </w:lvl>
  </w:abstractNum>
  <w:abstractNum w:abstractNumId="3"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4" w15:restartNumberingAfterBreak="0">
    <w:nsid w:val="122D7374"/>
    <w:multiLevelType w:val="hybridMultilevel"/>
    <w:tmpl w:val="F4A4E766"/>
    <w:lvl w:ilvl="0" w:tplc="E764A6A8">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167E2728">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92540BFE">
      <w:numFmt w:val="bullet"/>
      <w:lvlText w:val="•"/>
      <w:lvlJc w:val="left"/>
      <w:pPr>
        <w:ind w:left="2282" w:hanging="600"/>
      </w:pPr>
      <w:rPr>
        <w:rFonts w:hint="default"/>
        <w:lang w:val="en-US" w:eastAsia="en-US" w:bidi="en-US"/>
      </w:rPr>
    </w:lvl>
    <w:lvl w:ilvl="3" w:tplc="796CBF5E">
      <w:numFmt w:val="bullet"/>
      <w:lvlText w:val="•"/>
      <w:lvlJc w:val="left"/>
      <w:pPr>
        <w:ind w:left="3065" w:hanging="600"/>
      </w:pPr>
      <w:rPr>
        <w:rFonts w:hint="default"/>
        <w:lang w:val="en-US" w:eastAsia="en-US" w:bidi="en-US"/>
      </w:rPr>
    </w:lvl>
    <w:lvl w:ilvl="4" w:tplc="E97E24EA">
      <w:numFmt w:val="bullet"/>
      <w:lvlText w:val="•"/>
      <w:lvlJc w:val="left"/>
      <w:pPr>
        <w:ind w:left="3848" w:hanging="600"/>
      </w:pPr>
      <w:rPr>
        <w:rFonts w:hint="default"/>
        <w:lang w:val="en-US" w:eastAsia="en-US" w:bidi="en-US"/>
      </w:rPr>
    </w:lvl>
    <w:lvl w:ilvl="5" w:tplc="92E8367A">
      <w:numFmt w:val="bullet"/>
      <w:lvlText w:val="•"/>
      <w:lvlJc w:val="left"/>
      <w:pPr>
        <w:ind w:left="4631" w:hanging="600"/>
      </w:pPr>
      <w:rPr>
        <w:rFonts w:hint="default"/>
        <w:lang w:val="en-US" w:eastAsia="en-US" w:bidi="en-US"/>
      </w:rPr>
    </w:lvl>
    <w:lvl w:ilvl="6" w:tplc="63901264">
      <w:numFmt w:val="bullet"/>
      <w:lvlText w:val="•"/>
      <w:lvlJc w:val="left"/>
      <w:pPr>
        <w:ind w:left="5414" w:hanging="600"/>
      </w:pPr>
      <w:rPr>
        <w:rFonts w:hint="default"/>
        <w:lang w:val="en-US" w:eastAsia="en-US" w:bidi="en-US"/>
      </w:rPr>
    </w:lvl>
    <w:lvl w:ilvl="7" w:tplc="C63C879A">
      <w:numFmt w:val="bullet"/>
      <w:lvlText w:val="•"/>
      <w:lvlJc w:val="left"/>
      <w:pPr>
        <w:ind w:left="6197" w:hanging="600"/>
      </w:pPr>
      <w:rPr>
        <w:rFonts w:hint="default"/>
        <w:lang w:val="en-US" w:eastAsia="en-US" w:bidi="en-US"/>
      </w:rPr>
    </w:lvl>
    <w:lvl w:ilvl="8" w:tplc="B12A273C">
      <w:numFmt w:val="bullet"/>
      <w:lvlText w:val="•"/>
      <w:lvlJc w:val="left"/>
      <w:pPr>
        <w:ind w:left="6979" w:hanging="600"/>
      </w:pPr>
      <w:rPr>
        <w:rFonts w:hint="default"/>
        <w:lang w:val="en-US" w:eastAsia="en-US" w:bidi="en-US"/>
      </w:rPr>
    </w:lvl>
  </w:abstractNum>
  <w:abstractNum w:abstractNumId="5" w15:restartNumberingAfterBreak="0">
    <w:nsid w:val="139207A5"/>
    <w:multiLevelType w:val="hybridMultilevel"/>
    <w:tmpl w:val="F30EFDBA"/>
    <w:lvl w:ilvl="0" w:tplc="8AD81DAC">
      <w:start w:val="1"/>
      <w:numFmt w:val="decimal"/>
      <w:lvlText w:val="%1"/>
      <w:lvlJc w:val="left"/>
      <w:pPr>
        <w:ind w:left="904" w:hanging="600"/>
      </w:pPr>
      <w:rPr>
        <w:rFonts w:ascii="Times New Roman" w:eastAsia="Times New Roman" w:hAnsi="Times New Roman" w:cs="Times New Roman" w:hint="default"/>
        <w:b/>
        <w:bCs/>
        <w:spacing w:val="-1"/>
        <w:w w:val="100"/>
        <w:sz w:val="23"/>
        <w:szCs w:val="23"/>
        <w:lang w:val="en-US" w:eastAsia="en-US" w:bidi="en-US"/>
      </w:rPr>
    </w:lvl>
    <w:lvl w:ilvl="1" w:tplc="AADA0820">
      <w:start w:val="1"/>
      <w:numFmt w:val="lowerLetter"/>
      <w:lvlText w:val="(%2)"/>
      <w:lvlJc w:val="left"/>
      <w:pPr>
        <w:ind w:left="1504" w:hanging="600"/>
      </w:pPr>
      <w:rPr>
        <w:rFonts w:ascii="Times New Roman" w:eastAsia="Times New Roman" w:hAnsi="Times New Roman" w:cs="Times New Roman" w:hint="default"/>
        <w:w w:val="100"/>
        <w:sz w:val="23"/>
        <w:szCs w:val="23"/>
        <w:lang w:val="en-US" w:eastAsia="en-US" w:bidi="en-US"/>
      </w:rPr>
    </w:lvl>
    <w:lvl w:ilvl="2" w:tplc="0DF00158">
      <w:numFmt w:val="bullet"/>
      <w:lvlText w:val="•"/>
      <w:lvlJc w:val="left"/>
      <w:pPr>
        <w:ind w:left="2282" w:hanging="600"/>
      </w:pPr>
      <w:rPr>
        <w:rFonts w:hint="default"/>
        <w:lang w:val="en-US" w:eastAsia="en-US" w:bidi="en-US"/>
      </w:rPr>
    </w:lvl>
    <w:lvl w:ilvl="3" w:tplc="076AECC2">
      <w:numFmt w:val="bullet"/>
      <w:lvlText w:val="•"/>
      <w:lvlJc w:val="left"/>
      <w:pPr>
        <w:ind w:left="3065" w:hanging="600"/>
      </w:pPr>
      <w:rPr>
        <w:rFonts w:hint="default"/>
        <w:lang w:val="en-US" w:eastAsia="en-US" w:bidi="en-US"/>
      </w:rPr>
    </w:lvl>
    <w:lvl w:ilvl="4" w:tplc="7E3087E6">
      <w:numFmt w:val="bullet"/>
      <w:lvlText w:val="•"/>
      <w:lvlJc w:val="left"/>
      <w:pPr>
        <w:ind w:left="3848" w:hanging="600"/>
      </w:pPr>
      <w:rPr>
        <w:rFonts w:hint="default"/>
        <w:lang w:val="en-US" w:eastAsia="en-US" w:bidi="en-US"/>
      </w:rPr>
    </w:lvl>
    <w:lvl w:ilvl="5" w:tplc="182A5466">
      <w:numFmt w:val="bullet"/>
      <w:lvlText w:val="•"/>
      <w:lvlJc w:val="left"/>
      <w:pPr>
        <w:ind w:left="4631" w:hanging="600"/>
      </w:pPr>
      <w:rPr>
        <w:rFonts w:hint="default"/>
        <w:lang w:val="en-US" w:eastAsia="en-US" w:bidi="en-US"/>
      </w:rPr>
    </w:lvl>
    <w:lvl w:ilvl="6" w:tplc="5688010A">
      <w:numFmt w:val="bullet"/>
      <w:lvlText w:val="•"/>
      <w:lvlJc w:val="left"/>
      <w:pPr>
        <w:ind w:left="5414" w:hanging="600"/>
      </w:pPr>
      <w:rPr>
        <w:rFonts w:hint="default"/>
        <w:lang w:val="en-US" w:eastAsia="en-US" w:bidi="en-US"/>
      </w:rPr>
    </w:lvl>
    <w:lvl w:ilvl="7" w:tplc="5A9462A4">
      <w:numFmt w:val="bullet"/>
      <w:lvlText w:val="•"/>
      <w:lvlJc w:val="left"/>
      <w:pPr>
        <w:ind w:left="6197" w:hanging="600"/>
      </w:pPr>
      <w:rPr>
        <w:rFonts w:hint="default"/>
        <w:lang w:val="en-US" w:eastAsia="en-US" w:bidi="en-US"/>
      </w:rPr>
    </w:lvl>
    <w:lvl w:ilvl="8" w:tplc="8AA20C50">
      <w:numFmt w:val="bullet"/>
      <w:lvlText w:val="•"/>
      <w:lvlJc w:val="left"/>
      <w:pPr>
        <w:ind w:left="6979" w:hanging="600"/>
      </w:pPr>
      <w:rPr>
        <w:rFonts w:hint="default"/>
        <w:lang w:val="en-US" w:eastAsia="en-US" w:bidi="en-US"/>
      </w:rPr>
    </w:lvl>
  </w:abstractNum>
  <w:abstractNum w:abstractNumId="6" w15:restartNumberingAfterBreak="0">
    <w:nsid w:val="14C15325"/>
    <w:multiLevelType w:val="hybridMultilevel"/>
    <w:tmpl w:val="E2B277E8"/>
    <w:lvl w:ilvl="0" w:tplc="FFFFFFFF">
      <w:start w:val="1"/>
      <w:numFmt w:val="decimal"/>
      <w:lvlText w:val="(%1)"/>
      <w:lvlJc w:val="left"/>
      <w:pPr>
        <w:ind w:left="904" w:hanging="600"/>
      </w:pPr>
      <w:rPr>
        <w:rFonts w:ascii="Times New Roman" w:eastAsia="Times New Roman" w:hAnsi="Times New Roman" w:cs="Times New Roman" w:hint="default"/>
        <w:spacing w:val="-1"/>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7" w15:restartNumberingAfterBreak="0">
    <w:nsid w:val="162E2828"/>
    <w:multiLevelType w:val="multilevel"/>
    <w:tmpl w:val="EFC61BB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8" w15:restartNumberingAfterBreak="0">
    <w:nsid w:val="17C05F59"/>
    <w:multiLevelType w:val="multilevel"/>
    <w:tmpl w:val="DB586FB4"/>
    <w:lvl w:ilvl="0">
      <w:start w:val="1"/>
      <w:numFmt w:val="bullet"/>
      <w:pStyle w:val="ListBullet"/>
      <w:lvlText w:val="•"/>
      <w:lvlJc w:val="left"/>
      <w:pPr>
        <w:ind w:left="425" w:hanging="425"/>
      </w:pPr>
      <w:rPr>
        <w:rFonts w:ascii="Arial" w:hAnsi="Arial" w:hint="default"/>
      </w:rPr>
    </w:lvl>
    <w:lvl w:ilvl="1">
      <w:start w:val="1"/>
      <w:numFmt w:val="bullet"/>
      <w:pStyle w:val="ListBullet2"/>
      <w:lvlText w:val="•"/>
      <w:lvlJc w:val="left"/>
      <w:pPr>
        <w:ind w:left="850" w:hanging="425"/>
      </w:pPr>
      <w:rPr>
        <w:rFonts w:ascii="Arial" w:hAnsi="Arial" w:hint="default"/>
      </w:rPr>
    </w:lvl>
    <w:lvl w:ilvl="2">
      <w:start w:val="1"/>
      <w:numFmt w:val="bullet"/>
      <w:pStyle w:val="ListBullet3"/>
      <w:lvlText w:val="•"/>
      <w:lvlJc w:val="left"/>
      <w:pPr>
        <w:ind w:left="1275" w:hanging="425"/>
      </w:pPr>
      <w:rPr>
        <w:rFonts w:ascii="Arial" w:hAnsi="Arial" w:hint="default"/>
      </w:rPr>
    </w:lvl>
    <w:lvl w:ilvl="3">
      <w:start w:val="1"/>
      <w:numFmt w:val="bullet"/>
      <w:pStyle w:val="ListBullet4"/>
      <w:lvlText w:val="•"/>
      <w:lvlJc w:val="left"/>
      <w:pPr>
        <w:ind w:left="1700" w:hanging="425"/>
      </w:pPr>
      <w:rPr>
        <w:rFonts w:ascii="Arial" w:hAnsi="Arial" w:hint="default"/>
      </w:rPr>
    </w:lvl>
    <w:lvl w:ilvl="4">
      <w:start w:val="1"/>
      <w:numFmt w:val="bullet"/>
      <w:pStyle w:val="ListBullet5"/>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9"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10" w15:restartNumberingAfterBreak="0">
    <w:nsid w:val="1CEE0CE1"/>
    <w:multiLevelType w:val="hybridMultilevel"/>
    <w:tmpl w:val="97A2C02E"/>
    <w:lvl w:ilvl="0" w:tplc="53F8BD28">
      <w:start w:val="11"/>
      <w:numFmt w:val="decimal"/>
      <w:lvlText w:val="%1"/>
      <w:lvlJc w:val="left"/>
      <w:pPr>
        <w:ind w:left="904" w:hanging="600"/>
      </w:pPr>
      <w:rPr>
        <w:rFonts w:ascii="Times New Roman" w:eastAsia="Times New Roman" w:hAnsi="Times New Roman" w:cs="Times New Roman" w:hint="default"/>
        <w:b/>
        <w:bCs/>
        <w:spacing w:val="-1"/>
        <w:w w:val="100"/>
        <w:sz w:val="23"/>
        <w:szCs w:val="23"/>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2" w15:restartNumberingAfterBreak="0">
    <w:nsid w:val="20A93443"/>
    <w:multiLevelType w:val="hybridMultilevel"/>
    <w:tmpl w:val="664877A4"/>
    <w:lvl w:ilvl="0" w:tplc="7252326E">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14A8F1CA">
      <w:start w:val="1"/>
      <w:numFmt w:val="lowerLetter"/>
      <w:lvlText w:val="(%2)"/>
      <w:lvlJc w:val="left"/>
      <w:pPr>
        <w:ind w:left="1504" w:hanging="600"/>
      </w:pPr>
      <w:rPr>
        <w:rFonts w:ascii="Times New Roman" w:eastAsia="Times New Roman" w:hAnsi="Times New Roman" w:cs="Times New Roman" w:hint="default"/>
        <w:spacing w:val="-29"/>
        <w:w w:val="100"/>
        <w:sz w:val="23"/>
        <w:szCs w:val="23"/>
        <w:lang w:val="en-US" w:eastAsia="en-US" w:bidi="en-US"/>
      </w:rPr>
    </w:lvl>
    <w:lvl w:ilvl="2" w:tplc="513CD014">
      <w:numFmt w:val="bullet"/>
      <w:lvlText w:val="•"/>
      <w:lvlJc w:val="left"/>
      <w:pPr>
        <w:ind w:left="2282" w:hanging="600"/>
      </w:pPr>
      <w:rPr>
        <w:rFonts w:hint="default"/>
        <w:lang w:val="en-US" w:eastAsia="en-US" w:bidi="en-US"/>
      </w:rPr>
    </w:lvl>
    <w:lvl w:ilvl="3" w:tplc="0EDEC46E">
      <w:numFmt w:val="bullet"/>
      <w:lvlText w:val="•"/>
      <w:lvlJc w:val="left"/>
      <w:pPr>
        <w:ind w:left="3065" w:hanging="600"/>
      </w:pPr>
      <w:rPr>
        <w:rFonts w:hint="default"/>
        <w:lang w:val="en-US" w:eastAsia="en-US" w:bidi="en-US"/>
      </w:rPr>
    </w:lvl>
    <w:lvl w:ilvl="4" w:tplc="2BFA6552">
      <w:numFmt w:val="bullet"/>
      <w:lvlText w:val="•"/>
      <w:lvlJc w:val="left"/>
      <w:pPr>
        <w:ind w:left="3848" w:hanging="600"/>
      </w:pPr>
      <w:rPr>
        <w:rFonts w:hint="default"/>
        <w:lang w:val="en-US" w:eastAsia="en-US" w:bidi="en-US"/>
      </w:rPr>
    </w:lvl>
    <w:lvl w:ilvl="5" w:tplc="560C9240">
      <w:numFmt w:val="bullet"/>
      <w:lvlText w:val="•"/>
      <w:lvlJc w:val="left"/>
      <w:pPr>
        <w:ind w:left="4631" w:hanging="600"/>
      </w:pPr>
      <w:rPr>
        <w:rFonts w:hint="default"/>
        <w:lang w:val="en-US" w:eastAsia="en-US" w:bidi="en-US"/>
      </w:rPr>
    </w:lvl>
    <w:lvl w:ilvl="6" w:tplc="28FEFAF6">
      <w:numFmt w:val="bullet"/>
      <w:lvlText w:val="•"/>
      <w:lvlJc w:val="left"/>
      <w:pPr>
        <w:ind w:left="5414" w:hanging="600"/>
      </w:pPr>
      <w:rPr>
        <w:rFonts w:hint="default"/>
        <w:lang w:val="en-US" w:eastAsia="en-US" w:bidi="en-US"/>
      </w:rPr>
    </w:lvl>
    <w:lvl w:ilvl="7" w:tplc="722460B4">
      <w:numFmt w:val="bullet"/>
      <w:lvlText w:val="•"/>
      <w:lvlJc w:val="left"/>
      <w:pPr>
        <w:ind w:left="6197" w:hanging="600"/>
      </w:pPr>
      <w:rPr>
        <w:rFonts w:hint="default"/>
        <w:lang w:val="en-US" w:eastAsia="en-US" w:bidi="en-US"/>
      </w:rPr>
    </w:lvl>
    <w:lvl w:ilvl="8" w:tplc="5524A35E">
      <w:numFmt w:val="bullet"/>
      <w:lvlText w:val="•"/>
      <w:lvlJc w:val="left"/>
      <w:pPr>
        <w:ind w:left="6979" w:hanging="600"/>
      </w:pPr>
      <w:rPr>
        <w:rFonts w:hint="default"/>
        <w:lang w:val="en-US" w:eastAsia="en-US" w:bidi="en-US"/>
      </w:rPr>
    </w:lvl>
  </w:abstractNum>
  <w:abstractNum w:abstractNumId="13" w15:restartNumberingAfterBreak="0">
    <w:nsid w:val="28E644AC"/>
    <w:multiLevelType w:val="hybridMultilevel"/>
    <w:tmpl w:val="83F0070C"/>
    <w:lvl w:ilvl="0" w:tplc="907A27CC">
      <w:start w:val="1"/>
      <w:numFmt w:val="decimal"/>
      <w:lvlText w:val="(%1)"/>
      <w:lvlJc w:val="left"/>
      <w:pPr>
        <w:ind w:left="904" w:hanging="600"/>
      </w:pPr>
      <w:rPr>
        <w:rFonts w:ascii="Times New Roman" w:eastAsia="Times New Roman" w:hAnsi="Times New Roman" w:cs="Times New Roman" w:hint="default"/>
        <w:spacing w:val="-17"/>
        <w:w w:val="100"/>
        <w:sz w:val="23"/>
        <w:szCs w:val="23"/>
        <w:lang w:val="en-US" w:eastAsia="en-US" w:bidi="en-US"/>
      </w:rPr>
    </w:lvl>
    <w:lvl w:ilvl="1" w:tplc="05DC3CEC">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A476B320">
      <w:numFmt w:val="bullet"/>
      <w:lvlText w:val="•"/>
      <w:lvlJc w:val="left"/>
      <w:pPr>
        <w:ind w:left="2282" w:hanging="600"/>
      </w:pPr>
      <w:rPr>
        <w:rFonts w:hint="default"/>
        <w:lang w:val="en-US" w:eastAsia="en-US" w:bidi="en-US"/>
      </w:rPr>
    </w:lvl>
    <w:lvl w:ilvl="3" w:tplc="85823204">
      <w:numFmt w:val="bullet"/>
      <w:lvlText w:val="•"/>
      <w:lvlJc w:val="left"/>
      <w:pPr>
        <w:ind w:left="3065" w:hanging="600"/>
      </w:pPr>
      <w:rPr>
        <w:rFonts w:hint="default"/>
        <w:lang w:val="en-US" w:eastAsia="en-US" w:bidi="en-US"/>
      </w:rPr>
    </w:lvl>
    <w:lvl w:ilvl="4" w:tplc="5510C616">
      <w:numFmt w:val="bullet"/>
      <w:lvlText w:val="•"/>
      <w:lvlJc w:val="left"/>
      <w:pPr>
        <w:ind w:left="3848" w:hanging="600"/>
      </w:pPr>
      <w:rPr>
        <w:rFonts w:hint="default"/>
        <w:lang w:val="en-US" w:eastAsia="en-US" w:bidi="en-US"/>
      </w:rPr>
    </w:lvl>
    <w:lvl w:ilvl="5" w:tplc="DA3CC044">
      <w:numFmt w:val="bullet"/>
      <w:lvlText w:val="•"/>
      <w:lvlJc w:val="left"/>
      <w:pPr>
        <w:ind w:left="4631" w:hanging="600"/>
      </w:pPr>
      <w:rPr>
        <w:rFonts w:hint="default"/>
        <w:lang w:val="en-US" w:eastAsia="en-US" w:bidi="en-US"/>
      </w:rPr>
    </w:lvl>
    <w:lvl w:ilvl="6" w:tplc="70445024">
      <w:numFmt w:val="bullet"/>
      <w:lvlText w:val="•"/>
      <w:lvlJc w:val="left"/>
      <w:pPr>
        <w:ind w:left="5414" w:hanging="600"/>
      </w:pPr>
      <w:rPr>
        <w:rFonts w:hint="default"/>
        <w:lang w:val="en-US" w:eastAsia="en-US" w:bidi="en-US"/>
      </w:rPr>
    </w:lvl>
    <w:lvl w:ilvl="7" w:tplc="0E121FE8">
      <w:numFmt w:val="bullet"/>
      <w:lvlText w:val="•"/>
      <w:lvlJc w:val="left"/>
      <w:pPr>
        <w:ind w:left="6197" w:hanging="600"/>
      </w:pPr>
      <w:rPr>
        <w:rFonts w:hint="default"/>
        <w:lang w:val="en-US" w:eastAsia="en-US" w:bidi="en-US"/>
      </w:rPr>
    </w:lvl>
    <w:lvl w:ilvl="8" w:tplc="611E1060">
      <w:numFmt w:val="bullet"/>
      <w:lvlText w:val="•"/>
      <w:lvlJc w:val="left"/>
      <w:pPr>
        <w:ind w:left="6979" w:hanging="600"/>
      </w:pPr>
      <w:rPr>
        <w:rFonts w:hint="default"/>
        <w:lang w:val="en-US" w:eastAsia="en-US" w:bidi="en-US"/>
      </w:rPr>
    </w:lvl>
  </w:abstractNum>
  <w:abstractNum w:abstractNumId="14" w15:restartNumberingAfterBreak="0">
    <w:nsid w:val="2FAD3F78"/>
    <w:multiLevelType w:val="hybridMultilevel"/>
    <w:tmpl w:val="10C80594"/>
    <w:lvl w:ilvl="0" w:tplc="FFFFFFFF">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FFFFFFFF">
      <w:start w:val="1"/>
      <w:numFmt w:val="lowerRoman"/>
      <w:lvlText w:val="(%3)"/>
      <w:lvlJc w:val="left"/>
      <w:pPr>
        <w:ind w:left="2104" w:hanging="600"/>
      </w:pPr>
      <w:rPr>
        <w:rFonts w:ascii="Times New Roman" w:eastAsia="Times New Roman" w:hAnsi="Times New Roman" w:cs="Times New Roman" w:hint="default"/>
        <w:spacing w:val="-20"/>
        <w:w w:val="100"/>
        <w:sz w:val="23"/>
        <w:szCs w:val="23"/>
        <w:lang w:val="en-US" w:eastAsia="en-US" w:bidi="en-US"/>
      </w:rPr>
    </w:lvl>
    <w:lvl w:ilvl="3" w:tplc="FFFFFFFF">
      <w:numFmt w:val="bullet"/>
      <w:lvlText w:val="•"/>
      <w:lvlJc w:val="left"/>
      <w:pPr>
        <w:ind w:left="2905" w:hanging="600"/>
      </w:pPr>
      <w:rPr>
        <w:rFonts w:hint="default"/>
        <w:lang w:val="en-US" w:eastAsia="en-US" w:bidi="en-US"/>
      </w:rPr>
    </w:lvl>
    <w:lvl w:ilvl="4" w:tplc="FFFFFFFF">
      <w:numFmt w:val="bullet"/>
      <w:lvlText w:val="•"/>
      <w:lvlJc w:val="left"/>
      <w:pPr>
        <w:ind w:left="3711" w:hanging="600"/>
      </w:pPr>
      <w:rPr>
        <w:rFonts w:hint="default"/>
        <w:lang w:val="en-US" w:eastAsia="en-US" w:bidi="en-US"/>
      </w:rPr>
    </w:lvl>
    <w:lvl w:ilvl="5" w:tplc="FFFFFFFF">
      <w:numFmt w:val="bullet"/>
      <w:lvlText w:val="•"/>
      <w:lvlJc w:val="left"/>
      <w:pPr>
        <w:ind w:left="4517" w:hanging="600"/>
      </w:pPr>
      <w:rPr>
        <w:rFonts w:hint="default"/>
        <w:lang w:val="en-US" w:eastAsia="en-US" w:bidi="en-US"/>
      </w:rPr>
    </w:lvl>
    <w:lvl w:ilvl="6" w:tplc="FFFFFFFF">
      <w:numFmt w:val="bullet"/>
      <w:lvlText w:val="•"/>
      <w:lvlJc w:val="left"/>
      <w:pPr>
        <w:ind w:left="5322" w:hanging="600"/>
      </w:pPr>
      <w:rPr>
        <w:rFonts w:hint="default"/>
        <w:lang w:val="en-US" w:eastAsia="en-US" w:bidi="en-US"/>
      </w:rPr>
    </w:lvl>
    <w:lvl w:ilvl="7" w:tplc="FFFFFFFF">
      <w:numFmt w:val="bullet"/>
      <w:lvlText w:val="•"/>
      <w:lvlJc w:val="left"/>
      <w:pPr>
        <w:ind w:left="6128" w:hanging="600"/>
      </w:pPr>
      <w:rPr>
        <w:rFonts w:hint="default"/>
        <w:lang w:val="en-US" w:eastAsia="en-US" w:bidi="en-US"/>
      </w:rPr>
    </w:lvl>
    <w:lvl w:ilvl="8" w:tplc="FFFFFFFF">
      <w:numFmt w:val="bullet"/>
      <w:lvlText w:val="•"/>
      <w:lvlJc w:val="left"/>
      <w:pPr>
        <w:ind w:left="6934" w:hanging="600"/>
      </w:pPr>
      <w:rPr>
        <w:rFonts w:hint="default"/>
        <w:lang w:val="en-US" w:eastAsia="en-US" w:bidi="en-US"/>
      </w:rPr>
    </w:lvl>
  </w:abstractNum>
  <w:abstractNum w:abstractNumId="15" w15:restartNumberingAfterBreak="0">
    <w:nsid w:val="33230DC9"/>
    <w:multiLevelType w:val="hybridMultilevel"/>
    <w:tmpl w:val="C536635E"/>
    <w:lvl w:ilvl="0" w:tplc="FFFFFFFF">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FFFFFFFF">
      <w:numFmt w:val="bullet"/>
      <w:lvlText w:val="•"/>
      <w:lvlJc w:val="left"/>
      <w:pPr>
        <w:ind w:left="1664" w:hanging="600"/>
      </w:pPr>
      <w:rPr>
        <w:rFonts w:hint="default"/>
        <w:lang w:val="en-US" w:eastAsia="en-US" w:bidi="en-US"/>
      </w:rPr>
    </w:lvl>
    <w:lvl w:ilvl="2" w:tplc="FFFFFFFF">
      <w:numFmt w:val="bullet"/>
      <w:lvlText w:val="•"/>
      <w:lvlJc w:val="left"/>
      <w:pPr>
        <w:ind w:left="2429" w:hanging="600"/>
      </w:pPr>
      <w:rPr>
        <w:rFonts w:hint="default"/>
        <w:lang w:val="en-US" w:eastAsia="en-US" w:bidi="en-US"/>
      </w:rPr>
    </w:lvl>
    <w:lvl w:ilvl="3" w:tplc="FFFFFFFF">
      <w:numFmt w:val="bullet"/>
      <w:lvlText w:val="•"/>
      <w:lvlJc w:val="left"/>
      <w:pPr>
        <w:ind w:left="3193" w:hanging="600"/>
      </w:pPr>
      <w:rPr>
        <w:rFonts w:hint="default"/>
        <w:lang w:val="en-US" w:eastAsia="en-US" w:bidi="en-US"/>
      </w:rPr>
    </w:lvl>
    <w:lvl w:ilvl="4" w:tplc="FFFFFFFF">
      <w:numFmt w:val="bullet"/>
      <w:lvlText w:val="•"/>
      <w:lvlJc w:val="left"/>
      <w:pPr>
        <w:ind w:left="3958" w:hanging="600"/>
      </w:pPr>
      <w:rPr>
        <w:rFonts w:hint="default"/>
        <w:lang w:val="en-US" w:eastAsia="en-US" w:bidi="en-US"/>
      </w:rPr>
    </w:lvl>
    <w:lvl w:ilvl="5" w:tplc="FFFFFFFF">
      <w:numFmt w:val="bullet"/>
      <w:lvlText w:val="•"/>
      <w:lvlJc w:val="left"/>
      <w:pPr>
        <w:ind w:left="4722" w:hanging="600"/>
      </w:pPr>
      <w:rPr>
        <w:rFonts w:hint="default"/>
        <w:lang w:val="en-US" w:eastAsia="en-US" w:bidi="en-US"/>
      </w:rPr>
    </w:lvl>
    <w:lvl w:ilvl="6" w:tplc="FFFFFFFF">
      <w:numFmt w:val="bullet"/>
      <w:lvlText w:val="•"/>
      <w:lvlJc w:val="left"/>
      <w:pPr>
        <w:ind w:left="5487" w:hanging="600"/>
      </w:pPr>
      <w:rPr>
        <w:rFonts w:hint="default"/>
        <w:lang w:val="en-US" w:eastAsia="en-US" w:bidi="en-US"/>
      </w:rPr>
    </w:lvl>
    <w:lvl w:ilvl="7" w:tplc="FFFFFFFF">
      <w:numFmt w:val="bullet"/>
      <w:lvlText w:val="•"/>
      <w:lvlJc w:val="left"/>
      <w:pPr>
        <w:ind w:left="6251" w:hanging="600"/>
      </w:pPr>
      <w:rPr>
        <w:rFonts w:hint="default"/>
        <w:lang w:val="en-US" w:eastAsia="en-US" w:bidi="en-US"/>
      </w:rPr>
    </w:lvl>
    <w:lvl w:ilvl="8" w:tplc="FFFFFFFF">
      <w:numFmt w:val="bullet"/>
      <w:lvlText w:val="•"/>
      <w:lvlJc w:val="left"/>
      <w:pPr>
        <w:ind w:left="7016" w:hanging="600"/>
      </w:pPr>
      <w:rPr>
        <w:rFonts w:hint="default"/>
        <w:lang w:val="en-US" w:eastAsia="en-US" w:bidi="en-US"/>
      </w:rPr>
    </w:lvl>
  </w:abstractNum>
  <w:abstractNum w:abstractNumId="16"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17" w15:restartNumberingAfterBreak="0">
    <w:nsid w:val="3D3148FA"/>
    <w:multiLevelType w:val="hybridMultilevel"/>
    <w:tmpl w:val="B2445494"/>
    <w:lvl w:ilvl="0" w:tplc="0A36390C">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F0101A5A">
      <w:start w:val="1"/>
      <w:numFmt w:val="lowerLetter"/>
      <w:lvlText w:val="(%2)"/>
      <w:lvlJc w:val="left"/>
      <w:pPr>
        <w:ind w:left="1504" w:hanging="600"/>
      </w:pPr>
      <w:rPr>
        <w:rFonts w:ascii="Times New Roman" w:eastAsia="Times New Roman" w:hAnsi="Times New Roman" w:cs="Times New Roman" w:hint="default"/>
        <w:spacing w:val="-5"/>
        <w:w w:val="100"/>
        <w:sz w:val="23"/>
        <w:szCs w:val="23"/>
        <w:lang w:val="en-US" w:eastAsia="en-US" w:bidi="en-US"/>
      </w:rPr>
    </w:lvl>
    <w:lvl w:ilvl="2" w:tplc="7274287C">
      <w:numFmt w:val="bullet"/>
      <w:lvlText w:val="•"/>
      <w:lvlJc w:val="left"/>
      <w:pPr>
        <w:ind w:left="2282" w:hanging="600"/>
      </w:pPr>
      <w:rPr>
        <w:rFonts w:hint="default"/>
        <w:lang w:val="en-US" w:eastAsia="en-US" w:bidi="en-US"/>
      </w:rPr>
    </w:lvl>
    <w:lvl w:ilvl="3" w:tplc="950C972A">
      <w:numFmt w:val="bullet"/>
      <w:lvlText w:val="•"/>
      <w:lvlJc w:val="left"/>
      <w:pPr>
        <w:ind w:left="3065" w:hanging="600"/>
      </w:pPr>
      <w:rPr>
        <w:rFonts w:hint="default"/>
        <w:lang w:val="en-US" w:eastAsia="en-US" w:bidi="en-US"/>
      </w:rPr>
    </w:lvl>
    <w:lvl w:ilvl="4" w:tplc="CEA04D52">
      <w:numFmt w:val="bullet"/>
      <w:lvlText w:val="•"/>
      <w:lvlJc w:val="left"/>
      <w:pPr>
        <w:ind w:left="3848" w:hanging="600"/>
      </w:pPr>
      <w:rPr>
        <w:rFonts w:hint="default"/>
        <w:lang w:val="en-US" w:eastAsia="en-US" w:bidi="en-US"/>
      </w:rPr>
    </w:lvl>
    <w:lvl w:ilvl="5" w:tplc="A760C162">
      <w:numFmt w:val="bullet"/>
      <w:lvlText w:val="•"/>
      <w:lvlJc w:val="left"/>
      <w:pPr>
        <w:ind w:left="4631" w:hanging="600"/>
      </w:pPr>
      <w:rPr>
        <w:rFonts w:hint="default"/>
        <w:lang w:val="en-US" w:eastAsia="en-US" w:bidi="en-US"/>
      </w:rPr>
    </w:lvl>
    <w:lvl w:ilvl="6" w:tplc="456A67C6">
      <w:numFmt w:val="bullet"/>
      <w:lvlText w:val="•"/>
      <w:lvlJc w:val="left"/>
      <w:pPr>
        <w:ind w:left="5414" w:hanging="600"/>
      </w:pPr>
      <w:rPr>
        <w:rFonts w:hint="default"/>
        <w:lang w:val="en-US" w:eastAsia="en-US" w:bidi="en-US"/>
      </w:rPr>
    </w:lvl>
    <w:lvl w:ilvl="7" w:tplc="6ED0B642">
      <w:numFmt w:val="bullet"/>
      <w:lvlText w:val="•"/>
      <w:lvlJc w:val="left"/>
      <w:pPr>
        <w:ind w:left="6197" w:hanging="600"/>
      </w:pPr>
      <w:rPr>
        <w:rFonts w:hint="default"/>
        <w:lang w:val="en-US" w:eastAsia="en-US" w:bidi="en-US"/>
      </w:rPr>
    </w:lvl>
    <w:lvl w:ilvl="8" w:tplc="AD88E324">
      <w:numFmt w:val="bullet"/>
      <w:lvlText w:val="•"/>
      <w:lvlJc w:val="left"/>
      <w:pPr>
        <w:ind w:left="6979" w:hanging="600"/>
      </w:pPr>
      <w:rPr>
        <w:rFonts w:hint="default"/>
        <w:lang w:val="en-US" w:eastAsia="en-US" w:bidi="en-US"/>
      </w:rPr>
    </w:lvl>
  </w:abstractNum>
  <w:abstractNum w:abstractNumId="18" w15:restartNumberingAfterBreak="0">
    <w:nsid w:val="3F9335AD"/>
    <w:multiLevelType w:val="hybridMultilevel"/>
    <w:tmpl w:val="DF569F3E"/>
    <w:lvl w:ilvl="0" w:tplc="93628792">
      <w:start w:val="1"/>
      <w:numFmt w:val="decimal"/>
      <w:lvlText w:val="(%1)"/>
      <w:lvlJc w:val="left"/>
      <w:pPr>
        <w:ind w:left="904" w:hanging="600"/>
      </w:pPr>
      <w:rPr>
        <w:rFonts w:ascii="Times New Roman" w:eastAsia="Times New Roman" w:hAnsi="Times New Roman" w:cs="Times New Roman" w:hint="default"/>
        <w:spacing w:val="-1"/>
        <w:w w:val="100"/>
        <w:sz w:val="23"/>
        <w:szCs w:val="23"/>
        <w:lang w:val="en-US" w:eastAsia="en-US" w:bidi="en-US"/>
      </w:rPr>
    </w:lvl>
    <w:lvl w:ilvl="1" w:tplc="76B47D8E">
      <w:start w:val="1"/>
      <w:numFmt w:val="lowerLetter"/>
      <w:lvlText w:val="(%2)"/>
      <w:lvlJc w:val="left"/>
      <w:pPr>
        <w:ind w:left="1504" w:hanging="600"/>
      </w:pPr>
      <w:rPr>
        <w:rFonts w:ascii="Times New Roman" w:eastAsia="Times New Roman" w:hAnsi="Times New Roman" w:cs="Times New Roman" w:hint="default"/>
        <w:spacing w:val="-5"/>
        <w:w w:val="100"/>
        <w:sz w:val="23"/>
        <w:szCs w:val="23"/>
        <w:lang w:val="en-US" w:eastAsia="en-US" w:bidi="en-US"/>
      </w:rPr>
    </w:lvl>
    <w:lvl w:ilvl="2" w:tplc="40569646">
      <w:numFmt w:val="bullet"/>
      <w:lvlText w:val="•"/>
      <w:lvlJc w:val="left"/>
      <w:pPr>
        <w:ind w:left="2282" w:hanging="600"/>
      </w:pPr>
      <w:rPr>
        <w:rFonts w:hint="default"/>
        <w:lang w:val="en-US" w:eastAsia="en-US" w:bidi="en-US"/>
      </w:rPr>
    </w:lvl>
    <w:lvl w:ilvl="3" w:tplc="A074EE54">
      <w:numFmt w:val="bullet"/>
      <w:lvlText w:val="•"/>
      <w:lvlJc w:val="left"/>
      <w:pPr>
        <w:ind w:left="3065" w:hanging="600"/>
      </w:pPr>
      <w:rPr>
        <w:rFonts w:hint="default"/>
        <w:lang w:val="en-US" w:eastAsia="en-US" w:bidi="en-US"/>
      </w:rPr>
    </w:lvl>
    <w:lvl w:ilvl="4" w:tplc="B2F87532">
      <w:numFmt w:val="bullet"/>
      <w:lvlText w:val="•"/>
      <w:lvlJc w:val="left"/>
      <w:pPr>
        <w:ind w:left="3848" w:hanging="600"/>
      </w:pPr>
      <w:rPr>
        <w:rFonts w:hint="default"/>
        <w:lang w:val="en-US" w:eastAsia="en-US" w:bidi="en-US"/>
      </w:rPr>
    </w:lvl>
    <w:lvl w:ilvl="5" w:tplc="8ED2AD36">
      <w:numFmt w:val="bullet"/>
      <w:lvlText w:val="•"/>
      <w:lvlJc w:val="left"/>
      <w:pPr>
        <w:ind w:left="4631" w:hanging="600"/>
      </w:pPr>
      <w:rPr>
        <w:rFonts w:hint="default"/>
        <w:lang w:val="en-US" w:eastAsia="en-US" w:bidi="en-US"/>
      </w:rPr>
    </w:lvl>
    <w:lvl w:ilvl="6" w:tplc="63BE0AB0">
      <w:numFmt w:val="bullet"/>
      <w:lvlText w:val="•"/>
      <w:lvlJc w:val="left"/>
      <w:pPr>
        <w:ind w:left="5414" w:hanging="600"/>
      </w:pPr>
      <w:rPr>
        <w:rFonts w:hint="default"/>
        <w:lang w:val="en-US" w:eastAsia="en-US" w:bidi="en-US"/>
      </w:rPr>
    </w:lvl>
    <w:lvl w:ilvl="7" w:tplc="82EC3A82">
      <w:numFmt w:val="bullet"/>
      <w:lvlText w:val="•"/>
      <w:lvlJc w:val="left"/>
      <w:pPr>
        <w:ind w:left="6197" w:hanging="600"/>
      </w:pPr>
      <w:rPr>
        <w:rFonts w:hint="default"/>
        <w:lang w:val="en-US" w:eastAsia="en-US" w:bidi="en-US"/>
      </w:rPr>
    </w:lvl>
    <w:lvl w:ilvl="8" w:tplc="F382532A">
      <w:numFmt w:val="bullet"/>
      <w:lvlText w:val="•"/>
      <w:lvlJc w:val="left"/>
      <w:pPr>
        <w:ind w:left="6979" w:hanging="600"/>
      </w:pPr>
      <w:rPr>
        <w:rFonts w:hint="default"/>
        <w:lang w:val="en-US" w:eastAsia="en-US" w:bidi="en-US"/>
      </w:rPr>
    </w:lvl>
  </w:abstractNum>
  <w:abstractNum w:abstractNumId="19" w15:restartNumberingAfterBreak="0">
    <w:nsid w:val="3FCD6F90"/>
    <w:multiLevelType w:val="hybridMultilevel"/>
    <w:tmpl w:val="F30EFDBA"/>
    <w:lvl w:ilvl="0" w:tplc="FFFFFFFF">
      <w:start w:val="1"/>
      <w:numFmt w:val="decimal"/>
      <w:lvlText w:val="%1"/>
      <w:lvlJc w:val="left"/>
      <w:pPr>
        <w:ind w:left="904" w:hanging="600"/>
      </w:pPr>
      <w:rPr>
        <w:rFonts w:ascii="Times New Roman" w:eastAsia="Times New Roman" w:hAnsi="Times New Roman" w:cs="Times New Roman" w:hint="default"/>
        <w:b/>
        <w:bCs/>
        <w:spacing w:val="-1"/>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20"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21" w15:restartNumberingAfterBreak="0">
    <w:nsid w:val="45C025E5"/>
    <w:multiLevelType w:val="multilevel"/>
    <w:tmpl w:val="F6F4801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2" w15:restartNumberingAfterBreak="0">
    <w:nsid w:val="47844D9B"/>
    <w:multiLevelType w:val="hybridMultilevel"/>
    <w:tmpl w:val="664877A4"/>
    <w:lvl w:ilvl="0" w:tplc="FFFFFFFF">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29"/>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23"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A27885"/>
    <w:multiLevelType w:val="multilevel"/>
    <w:tmpl w:val="FD58AA42"/>
    <w:lvl w:ilvl="0">
      <w:start w:val="1"/>
      <w:numFmt w:val="lowerRoman"/>
      <w:pStyle w:val="ListRomanNumeral"/>
      <w:lvlText w:val="(%1)"/>
      <w:lvlJc w:val="right"/>
      <w:pPr>
        <w:ind w:left="1530" w:hanging="198"/>
      </w:pPr>
      <w:rPr>
        <w:rFonts w:hint="default"/>
      </w:rPr>
    </w:lvl>
    <w:lvl w:ilvl="1">
      <w:start w:val="1"/>
      <w:numFmt w:val="lowerLetter"/>
      <w:lvlText w:val="%2)"/>
      <w:lvlJc w:val="left"/>
      <w:pPr>
        <w:ind w:left="1728" w:hanging="198"/>
      </w:pPr>
      <w:rPr>
        <w:rFonts w:hint="default"/>
      </w:rPr>
    </w:lvl>
    <w:lvl w:ilvl="2">
      <w:start w:val="1"/>
      <w:numFmt w:val="lowerRoman"/>
      <w:lvlText w:val="%3)"/>
      <w:lvlJc w:val="left"/>
      <w:pPr>
        <w:ind w:left="1926" w:hanging="198"/>
      </w:pPr>
      <w:rPr>
        <w:rFonts w:hint="default"/>
      </w:rPr>
    </w:lvl>
    <w:lvl w:ilvl="3">
      <w:start w:val="1"/>
      <w:numFmt w:val="decimal"/>
      <w:lvlText w:val="(%4)"/>
      <w:lvlJc w:val="left"/>
      <w:pPr>
        <w:ind w:left="2124" w:hanging="198"/>
      </w:pPr>
      <w:rPr>
        <w:rFonts w:hint="default"/>
      </w:rPr>
    </w:lvl>
    <w:lvl w:ilvl="4">
      <w:start w:val="1"/>
      <w:numFmt w:val="lowerLetter"/>
      <w:lvlText w:val="(%5)"/>
      <w:lvlJc w:val="left"/>
      <w:pPr>
        <w:ind w:left="2322" w:hanging="198"/>
      </w:pPr>
      <w:rPr>
        <w:rFonts w:hint="default"/>
      </w:rPr>
    </w:lvl>
    <w:lvl w:ilvl="5">
      <w:start w:val="1"/>
      <w:numFmt w:val="lowerRoman"/>
      <w:lvlText w:val="(%6)"/>
      <w:lvlJc w:val="left"/>
      <w:pPr>
        <w:ind w:left="2520" w:hanging="198"/>
      </w:pPr>
      <w:rPr>
        <w:rFonts w:hint="default"/>
      </w:rPr>
    </w:lvl>
    <w:lvl w:ilvl="6">
      <w:start w:val="1"/>
      <w:numFmt w:val="decimal"/>
      <w:lvlText w:val="%7."/>
      <w:lvlJc w:val="left"/>
      <w:pPr>
        <w:ind w:left="2718" w:hanging="198"/>
      </w:pPr>
      <w:rPr>
        <w:rFonts w:hint="default"/>
      </w:rPr>
    </w:lvl>
    <w:lvl w:ilvl="7">
      <w:start w:val="1"/>
      <w:numFmt w:val="lowerLetter"/>
      <w:lvlText w:val="%8."/>
      <w:lvlJc w:val="left"/>
      <w:pPr>
        <w:ind w:left="2916" w:hanging="198"/>
      </w:pPr>
      <w:rPr>
        <w:rFonts w:hint="default"/>
      </w:rPr>
    </w:lvl>
    <w:lvl w:ilvl="8">
      <w:start w:val="1"/>
      <w:numFmt w:val="lowerRoman"/>
      <w:lvlText w:val="%9."/>
      <w:lvlJc w:val="left"/>
      <w:pPr>
        <w:ind w:left="3114" w:hanging="198"/>
      </w:pPr>
      <w:rPr>
        <w:rFonts w:hint="default"/>
      </w:rPr>
    </w:lvl>
  </w:abstractNum>
  <w:abstractNum w:abstractNumId="26" w15:restartNumberingAfterBreak="0">
    <w:nsid w:val="4FFB24C0"/>
    <w:multiLevelType w:val="hybridMultilevel"/>
    <w:tmpl w:val="DD66239A"/>
    <w:lvl w:ilvl="0" w:tplc="17DA5760">
      <w:start w:val="1"/>
      <w:numFmt w:val="bullet"/>
      <w:pStyle w:val="B2Recommendation"/>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EC5D0F"/>
    <w:multiLevelType w:val="hybridMultilevel"/>
    <w:tmpl w:val="C536635E"/>
    <w:lvl w:ilvl="0" w:tplc="80944844">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C1E62688">
      <w:numFmt w:val="bullet"/>
      <w:lvlText w:val="•"/>
      <w:lvlJc w:val="left"/>
      <w:pPr>
        <w:ind w:left="1664" w:hanging="600"/>
      </w:pPr>
      <w:rPr>
        <w:rFonts w:hint="default"/>
        <w:lang w:val="en-US" w:eastAsia="en-US" w:bidi="en-US"/>
      </w:rPr>
    </w:lvl>
    <w:lvl w:ilvl="2" w:tplc="9844ECC0">
      <w:numFmt w:val="bullet"/>
      <w:lvlText w:val="•"/>
      <w:lvlJc w:val="left"/>
      <w:pPr>
        <w:ind w:left="2429" w:hanging="600"/>
      </w:pPr>
      <w:rPr>
        <w:rFonts w:hint="default"/>
        <w:lang w:val="en-US" w:eastAsia="en-US" w:bidi="en-US"/>
      </w:rPr>
    </w:lvl>
    <w:lvl w:ilvl="3" w:tplc="002E52DA">
      <w:numFmt w:val="bullet"/>
      <w:lvlText w:val="•"/>
      <w:lvlJc w:val="left"/>
      <w:pPr>
        <w:ind w:left="3193" w:hanging="600"/>
      </w:pPr>
      <w:rPr>
        <w:rFonts w:hint="default"/>
        <w:lang w:val="en-US" w:eastAsia="en-US" w:bidi="en-US"/>
      </w:rPr>
    </w:lvl>
    <w:lvl w:ilvl="4" w:tplc="E200B532">
      <w:numFmt w:val="bullet"/>
      <w:lvlText w:val="•"/>
      <w:lvlJc w:val="left"/>
      <w:pPr>
        <w:ind w:left="3958" w:hanging="600"/>
      </w:pPr>
      <w:rPr>
        <w:rFonts w:hint="default"/>
        <w:lang w:val="en-US" w:eastAsia="en-US" w:bidi="en-US"/>
      </w:rPr>
    </w:lvl>
    <w:lvl w:ilvl="5" w:tplc="C97AC3CE">
      <w:numFmt w:val="bullet"/>
      <w:lvlText w:val="•"/>
      <w:lvlJc w:val="left"/>
      <w:pPr>
        <w:ind w:left="4722" w:hanging="600"/>
      </w:pPr>
      <w:rPr>
        <w:rFonts w:hint="default"/>
        <w:lang w:val="en-US" w:eastAsia="en-US" w:bidi="en-US"/>
      </w:rPr>
    </w:lvl>
    <w:lvl w:ilvl="6" w:tplc="6B5C0096">
      <w:numFmt w:val="bullet"/>
      <w:lvlText w:val="•"/>
      <w:lvlJc w:val="left"/>
      <w:pPr>
        <w:ind w:left="5487" w:hanging="600"/>
      </w:pPr>
      <w:rPr>
        <w:rFonts w:hint="default"/>
        <w:lang w:val="en-US" w:eastAsia="en-US" w:bidi="en-US"/>
      </w:rPr>
    </w:lvl>
    <w:lvl w:ilvl="7" w:tplc="DF9C13CC">
      <w:numFmt w:val="bullet"/>
      <w:lvlText w:val="•"/>
      <w:lvlJc w:val="left"/>
      <w:pPr>
        <w:ind w:left="6251" w:hanging="600"/>
      </w:pPr>
      <w:rPr>
        <w:rFonts w:hint="default"/>
        <w:lang w:val="en-US" w:eastAsia="en-US" w:bidi="en-US"/>
      </w:rPr>
    </w:lvl>
    <w:lvl w:ilvl="8" w:tplc="C8608690">
      <w:numFmt w:val="bullet"/>
      <w:lvlText w:val="•"/>
      <w:lvlJc w:val="left"/>
      <w:pPr>
        <w:ind w:left="7016" w:hanging="600"/>
      </w:pPr>
      <w:rPr>
        <w:rFonts w:hint="default"/>
        <w:lang w:val="en-US" w:eastAsia="en-US" w:bidi="en-US"/>
      </w:rPr>
    </w:lvl>
  </w:abstractNum>
  <w:abstractNum w:abstractNumId="28" w15:restartNumberingAfterBreak="0">
    <w:nsid w:val="54A623A3"/>
    <w:multiLevelType w:val="hybridMultilevel"/>
    <w:tmpl w:val="B2445494"/>
    <w:lvl w:ilvl="0" w:tplc="FFFFFFFF">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5"/>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29" w15:restartNumberingAfterBreak="0">
    <w:nsid w:val="570811CF"/>
    <w:multiLevelType w:val="hybridMultilevel"/>
    <w:tmpl w:val="DF569F3E"/>
    <w:lvl w:ilvl="0" w:tplc="FFFFFFFF">
      <w:start w:val="1"/>
      <w:numFmt w:val="decimal"/>
      <w:lvlText w:val="(%1)"/>
      <w:lvlJc w:val="left"/>
      <w:pPr>
        <w:ind w:left="904" w:hanging="600"/>
      </w:pPr>
      <w:rPr>
        <w:rFonts w:ascii="Times New Roman" w:eastAsia="Times New Roman" w:hAnsi="Times New Roman" w:cs="Times New Roman" w:hint="default"/>
        <w:spacing w:val="-1"/>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5"/>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30"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BAA4D13"/>
    <w:multiLevelType w:val="hybridMultilevel"/>
    <w:tmpl w:val="10C80594"/>
    <w:lvl w:ilvl="0" w:tplc="4D485112">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9AD6B356">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75D28E44">
      <w:start w:val="1"/>
      <w:numFmt w:val="lowerRoman"/>
      <w:lvlText w:val="(%3)"/>
      <w:lvlJc w:val="left"/>
      <w:pPr>
        <w:ind w:left="2104" w:hanging="600"/>
      </w:pPr>
      <w:rPr>
        <w:rFonts w:ascii="Times New Roman" w:eastAsia="Times New Roman" w:hAnsi="Times New Roman" w:cs="Times New Roman" w:hint="default"/>
        <w:spacing w:val="-20"/>
        <w:w w:val="100"/>
        <w:sz w:val="23"/>
        <w:szCs w:val="23"/>
        <w:lang w:val="en-US" w:eastAsia="en-US" w:bidi="en-US"/>
      </w:rPr>
    </w:lvl>
    <w:lvl w:ilvl="3" w:tplc="6F04606C">
      <w:numFmt w:val="bullet"/>
      <w:lvlText w:val="•"/>
      <w:lvlJc w:val="left"/>
      <w:pPr>
        <w:ind w:left="2905" w:hanging="600"/>
      </w:pPr>
      <w:rPr>
        <w:rFonts w:hint="default"/>
        <w:lang w:val="en-US" w:eastAsia="en-US" w:bidi="en-US"/>
      </w:rPr>
    </w:lvl>
    <w:lvl w:ilvl="4" w:tplc="807221EA">
      <w:numFmt w:val="bullet"/>
      <w:lvlText w:val="•"/>
      <w:lvlJc w:val="left"/>
      <w:pPr>
        <w:ind w:left="3711" w:hanging="600"/>
      </w:pPr>
      <w:rPr>
        <w:rFonts w:hint="default"/>
        <w:lang w:val="en-US" w:eastAsia="en-US" w:bidi="en-US"/>
      </w:rPr>
    </w:lvl>
    <w:lvl w:ilvl="5" w:tplc="63D8CE0E">
      <w:numFmt w:val="bullet"/>
      <w:lvlText w:val="•"/>
      <w:lvlJc w:val="left"/>
      <w:pPr>
        <w:ind w:left="4517" w:hanging="600"/>
      </w:pPr>
      <w:rPr>
        <w:rFonts w:hint="default"/>
        <w:lang w:val="en-US" w:eastAsia="en-US" w:bidi="en-US"/>
      </w:rPr>
    </w:lvl>
    <w:lvl w:ilvl="6" w:tplc="9832506A">
      <w:numFmt w:val="bullet"/>
      <w:lvlText w:val="•"/>
      <w:lvlJc w:val="left"/>
      <w:pPr>
        <w:ind w:left="5322" w:hanging="600"/>
      </w:pPr>
      <w:rPr>
        <w:rFonts w:hint="default"/>
        <w:lang w:val="en-US" w:eastAsia="en-US" w:bidi="en-US"/>
      </w:rPr>
    </w:lvl>
    <w:lvl w:ilvl="7" w:tplc="7D98D306">
      <w:numFmt w:val="bullet"/>
      <w:lvlText w:val="•"/>
      <w:lvlJc w:val="left"/>
      <w:pPr>
        <w:ind w:left="6128" w:hanging="600"/>
      </w:pPr>
      <w:rPr>
        <w:rFonts w:hint="default"/>
        <w:lang w:val="en-US" w:eastAsia="en-US" w:bidi="en-US"/>
      </w:rPr>
    </w:lvl>
    <w:lvl w:ilvl="8" w:tplc="430A6BDC">
      <w:numFmt w:val="bullet"/>
      <w:lvlText w:val="•"/>
      <w:lvlJc w:val="left"/>
      <w:pPr>
        <w:ind w:left="6934" w:hanging="600"/>
      </w:pPr>
      <w:rPr>
        <w:rFonts w:hint="default"/>
        <w:lang w:val="en-US" w:eastAsia="en-US" w:bidi="en-US"/>
      </w:rPr>
    </w:lvl>
  </w:abstractNum>
  <w:abstractNum w:abstractNumId="32"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33" w15:restartNumberingAfterBreak="0">
    <w:nsid w:val="5E8F5927"/>
    <w:multiLevelType w:val="hybridMultilevel"/>
    <w:tmpl w:val="79D2FB52"/>
    <w:lvl w:ilvl="0" w:tplc="9ED85490">
      <w:start w:val="1"/>
      <w:numFmt w:val="decimal"/>
      <w:pStyle w:val="QuestionText"/>
      <w:lvlText w:val="Q%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4" w15:restartNumberingAfterBreak="0">
    <w:nsid w:val="60AB59B0"/>
    <w:multiLevelType w:val="hybridMultilevel"/>
    <w:tmpl w:val="A8D6A2FC"/>
    <w:lvl w:ilvl="0" w:tplc="FFFFFFFF">
      <w:start w:val="1"/>
      <w:numFmt w:val="decimal"/>
      <w:lvlText w:val="(%1)"/>
      <w:lvlJc w:val="left"/>
      <w:pPr>
        <w:ind w:left="904" w:hanging="600"/>
      </w:pPr>
      <w:rPr>
        <w:rFonts w:ascii="Times New Roman" w:eastAsia="Times New Roman" w:hAnsi="Times New Roman" w:cs="Times New Roman" w:hint="default"/>
        <w:spacing w:val="-22"/>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29"/>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35" w15:restartNumberingAfterBreak="0">
    <w:nsid w:val="610D0C23"/>
    <w:multiLevelType w:val="multilevel"/>
    <w:tmpl w:val="0E1492F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36"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37" w15:restartNumberingAfterBreak="0">
    <w:nsid w:val="6853018C"/>
    <w:multiLevelType w:val="hybridMultilevel"/>
    <w:tmpl w:val="E912EA2C"/>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38"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9"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AB30DB"/>
    <w:multiLevelType w:val="hybridMultilevel"/>
    <w:tmpl w:val="4462BC92"/>
    <w:lvl w:ilvl="0" w:tplc="FFFFFFFF">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FFFFFFFF">
      <w:numFmt w:val="bullet"/>
      <w:lvlText w:val="•"/>
      <w:lvlJc w:val="left"/>
      <w:pPr>
        <w:ind w:left="1664" w:hanging="600"/>
      </w:pPr>
      <w:rPr>
        <w:rFonts w:hint="default"/>
        <w:lang w:val="en-US" w:eastAsia="en-US" w:bidi="en-US"/>
      </w:rPr>
    </w:lvl>
    <w:lvl w:ilvl="2" w:tplc="FFFFFFFF">
      <w:numFmt w:val="bullet"/>
      <w:lvlText w:val="•"/>
      <w:lvlJc w:val="left"/>
      <w:pPr>
        <w:ind w:left="2429" w:hanging="600"/>
      </w:pPr>
      <w:rPr>
        <w:rFonts w:hint="default"/>
        <w:lang w:val="en-US" w:eastAsia="en-US" w:bidi="en-US"/>
      </w:rPr>
    </w:lvl>
    <w:lvl w:ilvl="3" w:tplc="FFFFFFFF">
      <w:numFmt w:val="bullet"/>
      <w:lvlText w:val="•"/>
      <w:lvlJc w:val="left"/>
      <w:pPr>
        <w:ind w:left="3193" w:hanging="600"/>
      </w:pPr>
      <w:rPr>
        <w:rFonts w:hint="default"/>
        <w:lang w:val="en-US" w:eastAsia="en-US" w:bidi="en-US"/>
      </w:rPr>
    </w:lvl>
    <w:lvl w:ilvl="4" w:tplc="FFFFFFFF">
      <w:numFmt w:val="bullet"/>
      <w:lvlText w:val="•"/>
      <w:lvlJc w:val="left"/>
      <w:pPr>
        <w:ind w:left="3958" w:hanging="600"/>
      </w:pPr>
      <w:rPr>
        <w:rFonts w:hint="default"/>
        <w:lang w:val="en-US" w:eastAsia="en-US" w:bidi="en-US"/>
      </w:rPr>
    </w:lvl>
    <w:lvl w:ilvl="5" w:tplc="FFFFFFFF">
      <w:numFmt w:val="bullet"/>
      <w:lvlText w:val="•"/>
      <w:lvlJc w:val="left"/>
      <w:pPr>
        <w:ind w:left="4722" w:hanging="600"/>
      </w:pPr>
      <w:rPr>
        <w:rFonts w:hint="default"/>
        <w:lang w:val="en-US" w:eastAsia="en-US" w:bidi="en-US"/>
      </w:rPr>
    </w:lvl>
    <w:lvl w:ilvl="6" w:tplc="FFFFFFFF">
      <w:numFmt w:val="bullet"/>
      <w:lvlText w:val="•"/>
      <w:lvlJc w:val="left"/>
      <w:pPr>
        <w:ind w:left="5487" w:hanging="600"/>
      </w:pPr>
      <w:rPr>
        <w:rFonts w:hint="default"/>
        <w:lang w:val="en-US" w:eastAsia="en-US" w:bidi="en-US"/>
      </w:rPr>
    </w:lvl>
    <w:lvl w:ilvl="7" w:tplc="FFFFFFFF">
      <w:numFmt w:val="bullet"/>
      <w:lvlText w:val="•"/>
      <w:lvlJc w:val="left"/>
      <w:pPr>
        <w:ind w:left="6251" w:hanging="600"/>
      </w:pPr>
      <w:rPr>
        <w:rFonts w:hint="default"/>
        <w:lang w:val="en-US" w:eastAsia="en-US" w:bidi="en-US"/>
      </w:rPr>
    </w:lvl>
    <w:lvl w:ilvl="8" w:tplc="FFFFFFFF">
      <w:numFmt w:val="bullet"/>
      <w:lvlText w:val="•"/>
      <w:lvlJc w:val="left"/>
      <w:pPr>
        <w:ind w:left="7016" w:hanging="600"/>
      </w:pPr>
      <w:rPr>
        <w:rFonts w:hint="default"/>
        <w:lang w:val="en-US" w:eastAsia="en-US" w:bidi="en-US"/>
      </w:rPr>
    </w:lvl>
  </w:abstractNum>
  <w:abstractNum w:abstractNumId="41" w15:restartNumberingAfterBreak="0">
    <w:nsid w:val="702168AF"/>
    <w:multiLevelType w:val="hybridMultilevel"/>
    <w:tmpl w:val="D054C78A"/>
    <w:lvl w:ilvl="0" w:tplc="FFFFFFFF">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42" w15:restartNumberingAfterBreak="0">
    <w:nsid w:val="71CE3F43"/>
    <w:multiLevelType w:val="hybridMultilevel"/>
    <w:tmpl w:val="F4A4E766"/>
    <w:lvl w:ilvl="0" w:tplc="FFFFFFFF">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43" w15:restartNumberingAfterBreak="0">
    <w:nsid w:val="732D5AFC"/>
    <w:multiLevelType w:val="multilevel"/>
    <w:tmpl w:val="EFC61BB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44" w15:restartNumberingAfterBreak="0">
    <w:nsid w:val="737C3AB2"/>
    <w:multiLevelType w:val="hybridMultilevel"/>
    <w:tmpl w:val="E2B277E8"/>
    <w:lvl w:ilvl="0" w:tplc="FFFFFFFF">
      <w:start w:val="1"/>
      <w:numFmt w:val="decimal"/>
      <w:lvlText w:val="(%1)"/>
      <w:lvlJc w:val="left"/>
      <w:pPr>
        <w:ind w:left="904" w:hanging="600"/>
      </w:pPr>
      <w:rPr>
        <w:rFonts w:ascii="Times New Roman" w:eastAsia="Times New Roman" w:hAnsi="Times New Roman" w:cs="Times New Roman" w:hint="default"/>
        <w:spacing w:val="-1"/>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45"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46" w15:restartNumberingAfterBreak="0">
    <w:nsid w:val="76530D9A"/>
    <w:multiLevelType w:val="multilevel"/>
    <w:tmpl w:val="FCAA9BA6"/>
    <w:styleLink w:val="Chapter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47" w15:restartNumberingAfterBreak="0">
    <w:nsid w:val="77E2647E"/>
    <w:multiLevelType w:val="hybridMultilevel"/>
    <w:tmpl w:val="F4A4E766"/>
    <w:lvl w:ilvl="0" w:tplc="FFFFFFFF">
      <w:start w:val="1"/>
      <w:numFmt w:val="decimal"/>
      <w:lvlText w:val="(%1)"/>
      <w:lvlJc w:val="left"/>
      <w:pPr>
        <w:ind w:left="904" w:hanging="600"/>
      </w:pPr>
      <w:rPr>
        <w:rFonts w:ascii="Times New Roman" w:eastAsia="Times New Roman" w:hAnsi="Times New Roman" w:cs="Times New Roman" w:hint="default"/>
        <w:spacing w:val="-14"/>
        <w:w w:val="100"/>
        <w:sz w:val="23"/>
        <w:szCs w:val="23"/>
        <w:lang w:val="en-US" w:eastAsia="en-US" w:bidi="en-US"/>
      </w:rPr>
    </w:lvl>
    <w:lvl w:ilvl="1" w:tplc="FFFFFFFF">
      <w:start w:val="1"/>
      <w:numFmt w:val="lowerLetter"/>
      <w:lvlText w:val="(%2)"/>
      <w:lvlJc w:val="left"/>
      <w:pPr>
        <w:ind w:left="1504" w:hanging="600"/>
      </w:pPr>
      <w:rPr>
        <w:rFonts w:ascii="Times New Roman" w:eastAsia="Times New Roman" w:hAnsi="Times New Roman" w:cs="Times New Roman" w:hint="default"/>
        <w:spacing w:val="-1"/>
        <w:w w:val="100"/>
        <w:sz w:val="23"/>
        <w:szCs w:val="23"/>
        <w:lang w:val="en-US" w:eastAsia="en-US" w:bidi="en-US"/>
      </w:rPr>
    </w:lvl>
    <w:lvl w:ilvl="2" w:tplc="FFFFFFFF">
      <w:numFmt w:val="bullet"/>
      <w:lvlText w:val="•"/>
      <w:lvlJc w:val="left"/>
      <w:pPr>
        <w:ind w:left="2282" w:hanging="600"/>
      </w:pPr>
      <w:rPr>
        <w:rFonts w:hint="default"/>
        <w:lang w:val="en-US" w:eastAsia="en-US" w:bidi="en-US"/>
      </w:rPr>
    </w:lvl>
    <w:lvl w:ilvl="3" w:tplc="FFFFFFFF">
      <w:numFmt w:val="bullet"/>
      <w:lvlText w:val="•"/>
      <w:lvlJc w:val="left"/>
      <w:pPr>
        <w:ind w:left="3065" w:hanging="600"/>
      </w:pPr>
      <w:rPr>
        <w:rFonts w:hint="default"/>
        <w:lang w:val="en-US" w:eastAsia="en-US" w:bidi="en-US"/>
      </w:rPr>
    </w:lvl>
    <w:lvl w:ilvl="4" w:tplc="FFFFFFFF">
      <w:numFmt w:val="bullet"/>
      <w:lvlText w:val="•"/>
      <w:lvlJc w:val="left"/>
      <w:pPr>
        <w:ind w:left="3848" w:hanging="600"/>
      </w:pPr>
      <w:rPr>
        <w:rFonts w:hint="default"/>
        <w:lang w:val="en-US" w:eastAsia="en-US" w:bidi="en-US"/>
      </w:rPr>
    </w:lvl>
    <w:lvl w:ilvl="5" w:tplc="FFFFFFFF">
      <w:numFmt w:val="bullet"/>
      <w:lvlText w:val="•"/>
      <w:lvlJc w:val="left"/>
      <w:pPr>
        <w:ind w:left="4631" w:hanging="600"/>
      </w:pPr>
      <w:rPr>
        <w:rFonts w:hint="default"/>
        <w:lang w:val="en-US" w:eastAsia="en-US" w:bidi="en-US"/>
      </w:rPr>
    </w:lvl>
    <w:lvl w:ilvl="6" w:tplc="FFFFFFFF">
      <w:numFmt w:val="bullet"/>
      <w:lvlText w:val="•"/>
      <w:lvlJc w:val="left"/>
      <w:pPr>
        <w:ind w:left="5414" w:hanging="600"/>
      </w:pPr>
      <w:rPr>
        <w:rFonts w:hint="default"/>
        <w:lang w:val="en-US" w:eastAsia="en-US" w:bidi="en-US"/>
      </w:rPr>
    </w:lvl>
    <w:lvl w:ilvl="7" w:tplc="FFFFFFFF">
      <w:numFmt w:val="bullet"/>
      <w:lvlText w:val="•"/>
      <w:lvlJc w:val="left"/>
      <w:pPr>
        <w:ind w:left="6197" w:hanging="600"/>
      </w:pPr>
      <w:rPr>
        <w:rFonts w:hint="default"/>
        <w:lang w:val="en-US" w:eastAsia="en-US" w:bidi="en-US"/>
      </w:rPr>
    </w:lvl>
    <w:lvl w:ilvl="8" w:tplc="FFFFFFFF">
      <w:numFmt w:val="bullet"/>
      <w:lvlText w:val="•"/>
      <w:lvlJc w:val="left"/>
      <w:pPr>
        <w:ind w:left="6979" w:hanging="600"/>
      </w:pPr>
      <w:rPr>
        <w:rFonts w:hint="default"/>
        <w:lang w:val="en-US" w:eastAsia="en-US" w:bidi="en-US"/>
      </w:rPr>
    </w:lvl>
  </w:abstractNum>
  <w:abstractNum w:abstractNumId="48"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abstractNum w:abstractNumId="49" w15:restartNumberingAfterBreak="0">
    <w:nsid w:val="7F4D0163"/>
    <w:multiLevelType w:val="hybridMultilevel"/>
    <w:tmpl w:val="A8D6A2FC"/>
    <w:lvl w:ilvl="0" w:tplc="3A2867F6">
      <w:start w:val="1"/>
      <w:numFmt w:val="decimal"/>
      <w:lvlText w:val="(%1)"/>
      <w:lvlJc w:val="left"/>
      <w:pPr>
        <w:ind w:left="904" w:hanging="600"/>
      </w:pPr>
      <w:rPr>
        <w:rFonts w:ascii="Times New Roman" w:eastAsia="Times New Roman" w:hAnsi="Times New Roman" w:cs="Times New Roman" w:hint="default"/>
        <w:spacing w:val="-22"/>
        <w:w w:val="100"/>
        <w:sz w:val="23"/>
        <w:szCs w:val="23"/>
        <w:lang w:val="en-US" w:eastAsia="en-US" w:bidi="en-US"/>
      </w:rPr>
    </w:lvl>
    <w:lvl w:ilvl="1" w:tplc="DACA2F22">
      <w:start w:val="1"/>
      <w:numFmt w:val="lowerLetter"/>
      <w:lvlText w:val="(%2)"/>
      <w:lvlJc w:val="left"/>
      <w:pPr>
        <w:ind w:left="1504" w:hanging="600"/>
      </w:pPr>
      <w:rPr>
        <w:rFonts w:ascii="Times New Roman" w:eastAsia="Times New Roman" w:hAnsi="Times New Roman" w:cs="Times New Roman" w:hint="default"/>
        <w:spacing w:val="-29"/>
        <w:w w:val="100"/>
        <w:sz w:val="23"/>
        <w:szCs w:val="23"/>
        <w:lang w:val="en-US" w:eastAsia="en-US" w:bidi="en-US"/>
      </w:rPr>
    </w:lvl>
    <w:lvl w:ilvl="2" w:tplc="86A26ECE">
      <w:numFmt w:val="bullet"/>
      <w:lvlText w:val="•"/>
      <w:lvlJc w:val="left"/>
      <w:pPr>
        <w:ind w:left="2282" w:hanging="600"/>
      </w:pPr>
      <w:rPr>
        <w:rFonts w:hint="default"/>
        <w:lang w:val="en-US" w:eastAsia="en-US" w:bidi="en-US"/>
      </w:rPr>
    </w:lvl>
    <w:lvl w:ilvl="3" w:tplc="37088890">
      <w:numFmt w:val="bullet"/>
      <w:lvlText w:val="•"/>
      <w:lvlJc w:val="left"/>
      <w:pPr>
        <w:ind w:left="3065" w:hanging="600"/>
      </w:pPr>
      <w:rPr>
        <w:rFonts w:hint="default"/>
        <w:lang w:val="en-US" w:eastAsia="en-US" w:bidi="en-US"/>
      </w:rPr>
    </w:lvl>
    <w:lvl w:ilvl="4" w:tplc="A73E72CA">
      <w:numFmt w:val="bullet"/>
      <w:lvlText w:val="•"/>
      <w:lvlJc w:val="left"/>
      <w:pPr>
        <w:ind w:left="3848" w:hanging="600"/>
      </w:pPr>
      <w:rPr>
        <w:rFonts w:hint="default"/>
        <w:lang w:val="en-US" w:eastAsia="en-US" w:bidi="en-US"/>
      </w:rPr>
    </w:lvl>
    <w:lvl w:ilvl="5" w:tplc="0A28EF4C">
      <w:numFmt w:val="bullet"/>
      <w:lvlText w:val="•"/>
      <w:lvlJc w:val="left"/>
      <w:pPr>
        <w:ind w:left="4631" w:hanging="600"/>
      </w:pPr>
      <w:rPr>
        <w:rFonts w:hint="default"/>
        <w:lang w:val="en-US" w:eastAsia="en-US" w:bidi="en-US"/>
      </w:rPr>
    </w:lvl>
    <w:lvl w:ilvl="6" w:tplc="B858A344">
      <w:numFmt w:val="bullet"/>
      <w:lvlText w:val="•"/>
      <w:lvlJc w:val="left"/>
      <w:pPr>
        <w:ind w:left="5414" w:hanging="600"/>
      </w:pPr>
      <w:rPr>
        <w:rFonts w:hint="default"/>
        <w:lang w:val="en-US" w:eastAsia="en-US" w:bidi="en-US"/>
      </w:rPr>
    </w:lvl>
    <w:lvl w:ilvl="7" w:tplc="0F0A3BC6">
      <w:numFmt w:val="bullet"/>
      <w:lvlText w:val="•"/>
      <w:lvlJc w:val="left"/>
      <w:pPr>
        <w:ind w:left="6197" w:hanging="600"/>
      </w:pPr>
      <w:rPr>
        <w:rFonts w:hint="default"/>
        <w:lang w:val="en-US" w:eastAsia="en-US" w:bidi="en-US"/>
      </w:rPr>
    </w:lvl>
    <w:lvl w:ilvl="8" w:tplc="AFA6F4DE">
      <w:numFmt w:val="bullet"/>
      <w:lvlText w:val="•"/>
      <w:lvlJc w:val="left"/>
      <w:pPr>
        <w:ind w:left="6979" w:hanging="600"/>
      </w:pPr>
      <w:rPr>
        <w:rFonts w:hint="default"/>
        <w:lang w:val="en-US" w:eastAsia="en-US" w:bidi="en-US"/>
      </w:rPr>
    </w:lvl>
  </w:abstractNum>
  <w:num w:numId="1">
    <w:abstractNumId w:val="3"/>
  </w:num>
  <w:num w:numId="2">
    <w:abstractNumId w:val="11"/>
  </w:num>
  <w:num w:numId="3">
    <w:abstractNumId w:val="8"/>
  </w:num>
  <w:num w:numId="4">
    <w:abstractNumId w:val="32"/>
  </w:num>
  <w:num w:numId="5">
    <w:abstractNumId w:val="33"/>
  </w:num>
  <w:num w:numId="6">
    <w:abstractNumId w:val="39"/>
  </w:num>
  <w:num w:numId="7">
    <w:abstractNumId w:val="16"/>
  </w:num>
  <w:num w:numId="8">
    <w:abstractNumId w:val="9"/>
  </w:num>
  <w:num w:numId="9">
    <w:abstractNumId w:val="20"/>
  </w:num>
  <w:num w:numId="10">
    <w:abstractNumId w:val="23"/>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5"/>
  </w:num>
  <w:num w:numId="13">
    <w:abstractNumId w:val="26"/>
  </w:num>
  <w:num w:numId="14">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b w:val="0"/>
          <w:bCs w:val="0"/>
          <w:sz w:val="20"/>
          <w:szCs w:val="2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15">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596"/>
          </w:tabs>
          <w:ind w:left="596" w:hanging="59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16">
    <w:abstractNumId w:val="36"/>
  </w:num>
  <w:num w:numId="17">
    <w:abstractNumId w:val="30"/>
  </w:num>
  <w:num w:numId="18">
    <w:abstractNumId w:val="38"/>
  </w:num>
  <w:num w:numId="19">
    <w:abstractNumId w:val="0"/>
    <w:lvlOverride w:ilvl="0">
      <w:startOverride w:val="3"/>
      <w:lvl w:ilvl="0">
        <w:start w:val="3"/>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709"/>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20">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1">
    <w:abstractNumId w:val="35"/>
  </w:num>
  <w:num w:numId="22">
    <w:abstractNumId w:val="37"/>
  </w:num>
  <w:num w:numId="23">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4">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5">
    <w:abstractNumId w:val="2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6">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7">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8">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9">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0">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1">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2">
    <w:abstractNumId w:val="7"/>
  </w:num>
  <w:num w:numId="33">
    <w:abstractNumId w:val="43"/>
  </w:num>
  <w:num w:numId="34">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879"/>
          </w:tabs>
          <w:ind w:left="87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5">
    <w:abstractNumId w:val="48"/>
    <w:lvlOverride w:ilvl="0">
      <w:startOverride w:val="1"/>
    </w:lvlOverride>
  </w:num>
  <w:num w:numId="36">
    <w:abstractNumId w:val="48"/>
    <w:lvlOverride w:ilvl="0">
      <w:startOverride w:val="1"/>
    </w:lvlOverride>
  </w:num>
  <w:num w:numId="37">
    <w:abstractNumId w:val="48"/>
    <w:lvlOverride w:ilvl="0">
      <w:startOverride w:val="1"/>
    </w:lvlOverride>
  </w:num>
  <w:num w:numId="38">
    <w:abstractNumId w:val="21"/>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9">
    <w:abstractNumId w:val="21"/>
    <w:lvlOverride w:ilvl="0">
      <w:lvl w:ilvl="0">
        <w:start w:val="1"/>
        <w:numFmt w:val="decimal"/>
        <w:lvlText w:val=""/>
        <w:lvlJc w:val="left"/>
      </w:lvl>
    </w:lvlOverride>
    <w:lvlOverride w:ilvl="1">
      <w:lvl w:ilvl="1">
        <w:start w:val="1"/>
        <w:numFmt w:val="decimal"/>
        <w:lvlText w:val="%1.%2"/>
        <w:lvlJc w:val="left"/>
        <w:pPr>
          <w:tabs>
            <w:tab w:val="num" w:pos="709"/>
          </w:tabs>
          <w:ind w:left="709" w:hanging="596"/>
        </w:pPr>
        <w:rPr>
          <w:rFonts w:hint="default"/>
          <w:b w:val="0"/>
          <w:bCs/>
        </w:r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0">
    <w:abstractNumId w:val="48"/>
    <w:lvlOverride w:ilvl="0">
      <w:startOverride w:val="1"/>
    </w:lvlOverride>
  </w:num>
  <w:num w:numId="41">
    <w:abstractNumId w:val="48"/>
    <w:lvlOverride w:ilvl="0">
      <w:startOverride w:val="1"/>
    </w:lvlOverride>
  </w:num>
  <w:num w:numId="42">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3">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sz w:val="20"/>
          <w:szCs w:val="2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4">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567"/>
          </w:tabs>
          <w:ind w:left="567" w:hanging="425"/>
        </w:pPr>
        <w:rPr>
          <w:rFonts w:hint="default"/>
          <w:sz w:val="20"/>
          <w:szCs w:val="2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5">
    <w:abstractNumId w:val="48"/>
    <w:lvlOverride w:ilvl="0">
      <w:startOverride w:val="1"/>
    </w:lvlOverride>
  </w:num>
  <w:num w:numId="46">
    <w:abstractNumId w:val="48"/>
    <w:lvlOverride w:ilvl="0">
      <w:startOverride w:val="1"/>
    </w:lvlOverride>
  </w:num>
  <w:num w:numId="47">
    <w:abstractNumId w:val="48"/>
    <w:lvlOverride w:ilvl="0">
      <w:startOverride w:val="1"/>
    </w:lvlOverride>
  </w:num>
  <w:num w:numId="48">
    <w:abstractNumId w:val="48"/>
    <w:lvlOverride w:ilvl="0">
      <w:startOverride w:val="1"/>
    </w:lvlOverride>
  </w:num>
  <w:num w:numId="49">
    <w:abstractNumId w:val="48"/>
    <w:lvlOverride w:ilvl="0">
      <w:startOverride w:val="1"/>
    </w:lvlOverride>
  </w:num>
  <w:num w:numId="50">
    <w:abstractNumId w:val="48"/>
    <w:lvlOverride w:ilvl="0">
      <w:startOverride w:val="1"/>
    </w:lvlOverride>
  </w:num>
  <w:num w:numId="51">
    <w:abstractNumId w:val="48"/>
    <w:lvlOverride w:ilvl="0">
      <w:startOverride w:val="1"/>
    </w:lvlOverride>
  </w:num>
  <w:num w:numId="52">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3">
    <w:abstractNumId w:val="18"/>
  </w:num>
  <w:num w:numId="54">
    <w:abstractNumId w:val="2"/>
  </w:num>
  <w:num w:numId="55">
    <w:abstractNumId w:val="5"/>
  </w:num>
  <w:num w:numId="56">
    <w:abstractNumId w:val="17"/>
  </w:num>
  <w:num w:numId="57">
    <w:abstractNumId w:val="13"/>
  </w:num>
  <w:num w:numId="58">
    <w:abstractNumId w:val="12"/>
  </w:num>
  <w:num w:numId="59">
    <w:abstractNumId w:val="49"/>
  </w:num>
  <w:num w:numId="60">
    <w:abstractNumId w:val="10"/>
  </w:num>
  <w:num w:numId="61">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b w:val="0"/>
          <w:bCs w:val="0"/>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992"/>
          </w:tabs>
          <w:ind w:left="992" w:hanging="425"/>
        </w:pPr>
        <w:rPr>
          <w:rFonts w:hint="default"/>
          <w:sz w:val="20"/>
          <w:szCs w:val="2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num>
  <w:num w:numId="64">
    <w:abstractNumId w:val="4"/>
  </w:num>
  <w:num w:numId="65">
    <w:abstractNumId w:val="31"/>
  </w:num>
  <w:num w:numId="66">
    <w:abstractNumId w:val="48"/>
  </w:num>
  <w:num w:numId="67">
    <w:abstractNumId w:val="19"/>
  </w:num>
  <w:num w:numId="68">
    <w:abstractNumId w:val="47"/>
  </w:num>
  <w:num w:numId="69">
    <w:abstractNumId w:val="41"/>
  </w:num>
  <w:num w:numId="70">
    <w:abstractNumId w:val="29"/>
  </w:num>
  <w:num w:numId="71">
    <w:abstractNumId w:val="28"/>
  </w:num>
  <w:num w:numId="72">
    <w:abstractNumId w:val="1"/>
  </w:num>
  <w:num w:numId="73">
    <w:abstractNumId w:val="14"/>
  </w:num>
  <w:num w:numId="74">
    <w:abstractNumId w:val="40"/>
  </w:num>
  <w:num w:numId="75">
    <w:abstractNumId w:val="21"/>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709"/>
          </w:tabs>
          <w:ind w:left="709" w:hanging="596"/>
        </w:pPr>
        <w:rPr>
          <w:rFonts w:hint="default"/>
          <w:b w:val="0"/>
          <w:bCs/>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6">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sz w:val="20"/>
          <w:szCs w:val="2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77">
    <w:abstractNumId w:val="44"/>
  </w:num>
  <w:num w:numId="78">
    <w:abstractNumId w:val="15"/>
  </w:num>
  <w:num w:numId="79">
    <w:abstractNumId w:val="34"/>
  </w:num>
  <w:num w:numId="80">
    <w:abstractNumId w:val="24"/>
  </w:num>
  <w:num w:numId="81">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879"/>
          </w:tabs>
          <w:ind w:left="87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2">
    <w:abstractNumId w:val="46"/>
  </w:num>
  <w:num w:numId="83">
    <w:abstractNumId w:val="22"/>
  </w:num>
  <w:num w:numId="84">
    <w:abstractNumId w:val="6"/>
  </w:num>
  <w:num w:numId="85">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sz w:val="20"/>
          <w:szCs w:val="20"/>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6">
    <w:abstractNumId w:val="48"/>
    <w:lvlOverride w:ilvl="0">
      <w:startOverride w:val="1"/>
    </w:lvlOverride>
  </w:num>
  <w:num w:numId="87">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sz w:val="20"/>
          <w:szCs w:val="20"/>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8">
    <w:abstractNumId w:val="42"/>
  </w:num>
  <w:num w:numId="89">
    <w:abstractNumId w:val="48"/>
    <w:lvlOverride w:ilvl="0">
      <w:startOverride w:val="1"/>
    </w:lvlOverride>
  </w:num>
  <w:num w:numId="90">
    <w:abstractNumId w:val="48"/>
    <w:lvlOverride w:ilvl="0">
      <w:startOverride w:val="1"/>
    </w:lvlOverride>
  </w:num>
  <w:num w:numId="91">
    <w:abstractNumId w:val="48"/>
    <w:lvlOverride w:ilvl="0">
      <w:startOverride w:val="1"/>
    </w:lvlOverride>
  </w:num>
  <w:num w:numId="92">
    <w:abstractNumId w:val="48"/>
    <w:lvlOverride w:ilvl="0">
      <w:startOverride w:val="1"/>
    </w:lvlOverride>
  </w:num>
  <w:num w:numId="93">
    <w:abstractNumId w:val="48"/>
    <w:lvlOverride w:ilvl="0">
      <w:startOverride w:val="1"/>
    </w:lvlOverride>
  </w:num>
  <w:num w:numId="94">
    <w:abstractNumId w:val="48"/>
    <w:lvlOverride w:ilvl="0">
      <w:startOverride w:val="1"/>
    </w:lvlOverride>
  </w:num>
  <w:num w:numId="95">
    <w:abstractNumId w:val="48"/>
    <w:lvlOverride w:ilvl="0">
      <w:startOverride w:val="1"/>
    </w:lvlOverride>
  </w:num>
  <w:num w:numId="96">
    <w:abstractNumId w:val="48"/>
    <w:lvlOverride w:ilvl="0">
      <w:startOverride w:val="1"/>
    </w:lvlOverride>
  </w:num>
  <w:num w:numId="97">
    <w:abstractNumId w:val="48"/>
    <w:lvlOverride w:ilvl="0">
      <w:startOverride w:val="1"/>
    </w:lvlOverride>
  </w:num>
  <w:num w:numId="98">
    <w:abstractNumId w:val="48"/>
    <w:lvlOverride w:ilvl="0">
      <w:startOverride w:val="1"/>
    </w:lvlOverride>
  </w:num>
  <w:num w:numId="99">
    <w:abstractNumId w:val="48"/>
    <w:lvlOverride w:ilvl="0">
      <w:startOverride w:val="1"/>
    </w:lvlOverride>
  </w:num>
  <w:num w:numId="100">
    <w:abstractNumId w:val="48"/>
    <w:lvlOverride w:ilvl="0">
      <w:startOverride w:val="1"/>
    </w:lvlOverride>
  </w:num>
  <w:num w:numId="101">
    <w:abstractNumId w:val="48"/>
    <w:lvlOverride w:ilvl="0">
      <w:startOverride w:val="1"/>
    </w:lvlOverride>
  </w:num>
  <w:num w:numId="102">
    <w:abstractNumId w:val="48"/>
    <w:lvlOverride w:ilvl="0">
      <w:startOverride w:val="1"/>
    </w:lvlOverride>
  </w:num>
  <w:num w:numId="103">
    <w:abstractNumId w:val="48"/>
    <w:lvlOverride w:ilvl="0">
      <w:startOverride w:val="1"/>
    </w:lvlOverride>
  </w:num>
  <w:num w:numId="104">
    <w:abstractNumId w:val="48"/>
    <w:lvlOverride w:ilvl="0">
      <w:startOverride w:val="1"/>
    </w:lvlOverride>
  </w:num>
  <w:num w:numId="105">
    <w:abstractNumId w:val="21"/>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06">
    <w:abstractNumId w:val="48"/>
    <w:lvlOverride w:ilvl="0">
      <w:startOverride w:val="1"/>
    </w:lvlOverride>
  </w:num>
  <w:num w:numId="107">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sz w:val="20"/>
          <w:szCs w:val="20"/>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TrueTypeFonts/>
  <w:saveSubsetFonts/>
  <w:hideSpellingErrors/>
  <w:hideGrammaticalErrors/>
  <w:proofState w:spelling="clean" w:grammar="clean"/>
  <w:attachedTemplate r:id="rId1"/>
  <w:linkStyles/>
  <w:documentProtection w:formatting="1" w:enforcement="1" w:cryptProviderType="rsaAES" w:cryptAlgorithmClass="hash" w:cryptAlgorithmType="typeAny" w:cryptAlgorithmSid="14" w:cryptSpinCount="100000" w:hash="feq3qx6I6DFVbIcOUWxdtAebmG11jVSrDVulAaqss4eY1egwBzIoWXWhZgW5XXOczGVMVLbwFdeXm3Kc9pUoPA==" w:salt="0PyrF+ty+jZSbiw01y/QCw=="/>
  <w:defaultTabStop w:val="720"/>
  <w:evenAndOddHeaders/>
  <w:drawingGridHorizontalSpacing w:val="110"/>
  <w:displayHorizontalDrawingGridEvery w:val="2"/>
  <w:characterSpacingControl w:val="doNotCompress"/>
  <w:hdrShapeDefaults>
    <o:shapedefaults v:ext="edit" spidmax="16385"/>
  </w:hdrShapeDefaults>
  <w:footnotePr>
    <w:numRestart w:val="eachSect"/>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8AE39F0-1D18-4DCE-96A4-1218610C5A15}"/>
    <w:docVar w:name="dgnword-eventsink" w:val="393465392"/>
  </w:docVars>
  <w:rsids>
    <w:rsidRoot w:val="003F4F6D"/>
    <w:rsid w:val="00000027"/>
    <w:rsid w:val="00000060"/>
    <w:rsid w:val="000000E9"/>
    <w:rsid w:val="0000017E"/>
    <w:rsid w:val="000001D8"/>
    <w:rsid w:val="000001E7"/>
    <w:rsid w:val="00000299"/>
    <w:rsid w:val="000002B5"/>
    <w:rsid w:val="00000376"/>
    <w:rsid w:val="00000381"/>
    <w:rsid w:val="0000040F"/>
    <w:rsid w:val="0000042A"/>
    <w:rsid w:val="0000046D"/>
    <w:rsid w:val="0000053A"/>
    <w:rsid w:val="000005EF"/>
    <w:rsid w:val="00000637"/>
    <w:rsid w:val="00000692"/>
    <w:rsid w:val="000007BB"/>
    <w:rsid w:val="000008FC"/>
    <w:rsid w:val="00000972"/>
    <w:rsid w:val="0000099D"/>
    <w:rsid w:val="00000A25"/>
    <w:rsid w:val="00000A99"/>
    <w:rsid w:val="00000AEC"/>
    <w:rsid w:val="00000AFA"/>
    <w:rsid w:val="00000BC3"/>
    <w:rsid w:val="00000BD2"/>
    <w:rsid w:val="00000C37"/>
    <w:rsid w:val="00000CB3"/>
    <w:rsid w:val="00000D3F"/>
    <w:rsid w:val="00000E58"/>
    <w:rsid w:val="00000E8C"/>
    <w:rsid w:val="00000EA9"/>
    <w:rsid w:val="00000EDF"/>
    <w:rsid w:val="00000EE0"/>
    <w:rsid w:val="00000F5B"/>
    <w:rsid w:val="00001012"/>
    <w:rsid w:val="0000105C"/>
    <w:rsid w:val="000010A3"/>
    <w:rsid w:val="0000112C"/>
    <w:rsid w:val="00001182"/>
    <w:rsid w:val="00001193"/>
    <w:rsid w:val="000011A3"/>
    <w:rsid w:val="0000122A"/>
    <w:rsid w:val="00001258"/>
    <w:rsid w:val="0000125F"/>
    <w:rsid w:val="00001285"/>
    <w:rsid w:val="000012A7"/>
    <w:rsid w:val="00001327"/>
    <w:rsid w:val="000014CB"/>
    <w:rsid w:val="0000151F"/>
    <w:rsid w:val="0000154C"/>
    <w:rsid w:val="000015D8"/>
    <w:rsid w:val="00001615"/>
    <w:rsid w:val="00001662"/>
    <w:rsid w:val="0000167A"/>
    <w:rsid w:val="000016A0"/>
    <w:rsid w:val="00001727"/>
    <w:rsid w:val="00001748"/>
    <w:rsid w:val="0000180B"/>
    <w:rsid w:val="00001826"/>
    <w:rsid w:val="00001835"/>
    <w:rsid w:val="00001878"/>
    <w:rsid w:val="00001899"/>
    <w:rsid w:val="000018C2"/>
    <w:rsid w:val="000018E0"/>
    <w:rsid w:val="0000194B"/>
    <w:rsid w:val="000019C9"/>
    <w:rsid w:val="000019EA"/>
    <w:rsid w:val="00001A89"/>
    <w:rsid w:val="00001AE0"/>
    <w:rsid w:val="00001C88"/>
    <w:rsid w:val="00001D8E"/>
    <w:rsid w:val="00001E80"/>
    <w:rsid w:val="00001E87"/>
    <w:rsid w:val="00001EC8"/>
    <w:rsid w:val="00001FCA"/>
    <w:rsid w:val="00002079"/>
    <w:rsid w:val="000020A7"/>
    <w:rsid w:val="00002141"/>
    <w:rsid w:val="000021AA"/>
    <w:rsid w:val="000021BC"/>
    <w:rsid w:val="000021CC"/>
    <w:rsid w:val="000021EE"/>
    <w:rsid w:val="00002200"/>
    <w:rsid w:val="00002212"/>
    <w:rsid w:val="000022F1"/>
    <w:rsid w:val="000022FC"/>
    <w:rsid w:val="0000241D"/>
    <w:rsid w:val="00002437"/>
    <w:rsid w:val="000024B7"/>
    <w:rsid w:val="000024C3"/>
    <w:rsid w:val="000024DB"/>
    <w:rsid w:val="0000252B"/>
    <w:rsid w:val="00002583"/>
    <w:rsid w:val="000025A9"/>
    <w:rsid w:val="00002694"/>
    <w:rsid w:val="0000269D"/>
    <w:rsid w:val="000026A7"/>
    <w:rsid w:val="000027B2"/>
    <w:rsid w:val="000027B7"/>
    <w:rsid w:val="000027E0"/>
    <w:rsid w:val="00002847"/>
    <w:rsid w:val="000028F9"/>
    <w:rsid w:val="0000295B"/>
    <w:rsid w:val="0000298E"/>
    <w:rsid w:val="000029AE"/>
    <w:rsid w:val="00002AF0"/>
    <w:rsid w:val="00002B20"/>
    <w:rsid w:val="00002C16"/>
    <w:rsid w:val="00002C40"/>
    <w:rsid w:val="00002D82"/>
    <w:rsid w:val="00002E87"/>
    <w:rsid w:val="00002F25"/>
    <w:rsid w:val="00002FBD"/>
    <w:rsid w:val="00003052"/>
    <w:rsid w:val="000030A2"/>
    <w:rsid w:val="000030BF"/>
    <w:rsid w:val="00003223"/>
    <w:rsid w:val="00003240"/>
    <w:rsid w:val="000033F6"/>
    <w:rsid w:val="0000353E"/>
    <w:rsid w:val="00003653"/>
    <w:rsid w:val="000037E1"/>
    <w:rsid w:val="000039B6"/>
    <w:rsid w:val="00003A64"/>
    <w:rsid w:val="00003A6A"/>
    <w:rsid w:val="00003AC7"/>
    <w:rsid w:val="00003B0F"/>
    <w:rsid w:val="00003B5E"/>
    <w:rsid w:val="00003B63"/>
    <w:rsid w:val="00003C48"/>
    <w:rsid w:val="00003C4D"/>
    <w:rsid w:val="00003D6A"/>
    <w:rsid w:val="00003D9E"/>
    <w:rsid w:val="00003E81"/>
    <w:rsid w:val="00003EAC"/>
    <w:rsid w:val="00003F52"/>
    <w:rsid w:val="0000403A"/>
    <w:rsid w:val="0000404C"/>
    <w:rsid w:val="0000414B"/>
    <w:rsid w:val="00004215"/>
    <w:rsid w:val="00004261"/>
    <w:rsid w:val="0000436F"/>
    <w:rsid w:val="00004395"/>
    <w:rsid w:val="000043B0"/>
    <w:rsid w:val="00004465"/>
    <w:rsid w:val="0000449E"/>
    <w:rsid w:val="00004507"/>
    <w:rsid w:val="000045F4"/>
    <w:rsid w:val="0000464B"/>
    <w:rsid w:val="00004658"/>
    <w:rsid w:val="00004706"/>
    <w:rsid w:val="00004712"/>
    <w:rsid w:val="00004739"/>
    <w:rsid w:val="0000479F"/>
    <w:rsid w:val="00004858"/>
    <w:rsid w:val="0000490F"/>
    <w:rsid w:val="0000495F"/>
    <w:rsid w:val="0000499D"/>
    <w:rsid w:val="00004A13"/>
    <w:rsid w:val="00004AA6"/>
    <w:rsid w:val="00004B03"/>
    <w:rsid w:val="00004B4F"/>
    <w:rsid w:val="00004B66"/>
    <w:rsid w:val="00004C56"/>
    <w:rsid w:val="00004CA2"/>
    <w:rsid w:val="00004CC4"/>
    <w:rsid w:val="00004CE3"/>
    <w:rsid w:val="00004D33"/>
    <w:rsid w:val="00004D3D"/>
    <w:rsid w:val="00004D54"/>
    <w:rsid w:val="00004D81"/>
    <w:rsid w:val="00004DCE"/>
    <w:rsid w:val="00004F61"/>
    <w:rsid w:val="00004F6A"/>
    <w:rsid w:val="000050AF"/>
    <w:rsid w:val="00005131"/>
    <w:rsid w:val="00005165"/>
    <w:rsid w:val="000051BA"/>
    <w:rsid w:val="0000527E"/>
    <w:rsid w:val="0000530F"/>
    <w:rsid w:val="0000535E"/>
    <w:rsid w:val="00005413"/>
    <w:rsid w:val="00005428"/>
    <w:rsid w:val="000054EC"/>
    <w:rsid w:val="00005636"/>
    <w:rsid w:val="000056EB"/>
    <w:rsid w:val="000056F1"/>
    <w:rsid w:val="00005700"/>
    <w:rsid w:val="00005823"/>
    <w:rsid w:val="00005842"/>
    <w:rsid w:val="000058A8"/>
    <w:rsid w:val="000059D2"/>
    <w:rsid w:val="00005A45"/>
    <w:rsid w:val="00005A49"/>
    <w:rsid w:val="00005B09"/>
    <w:rsid w:val="00005B40"/>
    <w:rsid w:val="00005BEA"/>
    <w:rsid w:val="00005C5C"/>
    <w:rsid w:val="00005C90"/>
    <w:rsid w:val="00005C93"/>
    <w:rsid w:val="00005D1D"/>
    <w:rsid w:val="00005D91"/>
    <w:rsid w:val="00005DFC"/>
    <w:rsid w:val="00005EBA"/>
    <w:rsid w:val="00005F4F"/>
    <w:rsid w:val="00005F6B"/>
    <w:rsid w:val="00005FCE"/>
    <w:rsid w:val="0000606D"/>
    <w:rsid w:val="0000611B"/>
    <w:rsid w:val="0000617B"/>
    <w:rsid w:val="00006274"/>
    <w:rsid w:val="000063AF"/>
    <w:rsid w:val="00006443"/>
    <w:rsid w:val="000064AF"/>
    <w:rsid w:val="00006568"/>
    <w:rsid w:val="000065D2"/>
    <w:rsid w:val="000065D3"/>
    <w:rsid w:val="0000669F"/>
    <w:rsid w:val="000066F7"/>
    <w:rsid w:val="000067A8"/>
    <w:rsid w:val="00006839"/>
    <w:rsid w:val="000068E0"/>
    <w:rsid w:val="0000691B"/>
    <w:rsid w:val="000069D8"/>
    <w:rsid w:val="00006A2E"/>
    <w:rsid w:val="00006A48"/>
    <w:rsid w:val="00006A70"/>
    <w:rsid w:val="00006B21"/>
    <w:rsid w:val="00006B3A"/>
    <w:rsid w:val="00006B51"/>
    <w:rsid w:val="00006B91"/>
    <w:rsid w:val="00006BD8"/>
    <w:rsid w:val="00006BDD"/>
    <w:rsid w:val="00006C57"/>
    <w:rsid w:val="00006D81"/>
    <w:rsid w:val="00006D89"/>
    <w:rsid w:val="00006F7F"/>
    <w:rsid w:val="00006F9E"/>
    <w:rsid w:val="000071B7"/>
    <w:rsid w:val="00007229"/>
    <w:rsid w:val="00007242"/>
    <w:rsid w:val="00007254"/>
    <w:rsid w:val="00007275"/>
    <w:rsid w:val="00007332"/>
    <w:rsid w:val="0000733E"/>
    <w:rsid w:val="0000738B"/>
    <w:rsid w:val="00007456"/>
    <w:rsid w:val="000074B3"/>
    <w:rsid w:val="00007511"/>
    <w:rsid w:val="0000752B"/>
    <w:rsid w:val="00007561"/>
    <w:rsid w:val="0000756F"/>
    <w:rsid w:val="0000767D"/>
    <w:rsid w:val="00007689"/>
    <w:rsid w:val="00007716"/>
    <w:rsid w:val="000077FA"/>
    <w:rsid w:val="00007810"/>
    <w:rsid w:val="00007870"/>
    <w:rsid w:val="00007917"/>
    <w:rsid w:val="00007A65"/>
    <w:rsid w:val="00007ABA"/>
    <w:rsid w:val="00007CA7"/>
    <w:rsid w:val="00007CC7"/>
    <w:rsid w:val="00007ED8"/>
    <w:rsid w:val="00007EE2"/>
    <w:rsid w:val="00007F05"/>
    <w:rsid w:val="00007F62"/>
    <w:rsid w:val="00010028"/>
    <w:rsid w:val="00010067"/>
    <w:rsid w:val="00010072"/>
    <w:rsid w:val="0001009A"/>
    <w:rsid w:val="000101F3"/>
    <w:rsid w:val="0001027B"/>
    <w:rsid w:val="0001027D"/>
    <w:rsid w:val="0001028E"/>
    <w:rsid w:val="00010315"/>
    <w:rsid w:val="00010333"/>
    <w:rsid w:val="0001039F"/>
    <w:rsid w:val="0001040A"/>
    <w:rsid w:val="000104EB"/>
    <w:rsid w:val="000105B7"/>
    <w:rsid w:val="000105C6"/>
    <w:rsid w:val="00010667"/>
    <w:rsid w:val="00010693"/>
    <w:rsid w:val="000106CC"/>
    <w:rsid w:val="00010757"/>
    <w:rsid w:val="0001076C"/>
    <w:rsid w:val="0001083D"/>
    <w:rsid w:val="00010857"/>
    <w:rsid w:val="00010868"/>
    <w:rsid w:val="000108CB"/>
    <w:rsid w:val="00010902"/>
    <w:rsid w:val="0001092E"/>
    <w:rsid w:val="00010A5F"/>
    <w:rsid w:val="00010ABA"/>
    <w:rsid w:val="00010AC2"/>
    <w:rsid w:val="00010AFA"/>
    <w:rsid w:val="00010B6D"/>
    <w:rsid w:val="00010BCF"/>
    <w:rsid w:val="00010C11"/>
    <w:rsid w:val="00010C1A"/>
    <w:rsid w:val="00010DD6"/>
    <w:rsid w:val="00010E23"/>
    <w:rsid w:val="00010EB4"/>
    <w:rsid w:val="00010F16"/>
    <w:rsid w:val="00010F2A"/>
    <w:rsid w:val="00010F41"/>
    <w:rsid w:val="00010F49"/>
    <w:rsid w:val="00010F58"/>
    <w:rsid w:val="00010FEA"/>
    <w:rsid w:val="00011028"/>
    <w:rsid w:val="00011088"/>
    <w:rsid w:val="0001110B"/>
    <w:rsid w:val="0001112F"/>
    <w:rsid w:val="00011262"/>
    <w:rsid w:val="00011279"/>
    <w:rsid w:val="00011324"/>
    <w:rsid w:val="0001137F"/>
    <w:rsid w:val="000113D9"/>
    <w:rsid w:val="00011434"/>
    <w:rsid w:val="00011475"/>
    <w:rsid w:val="00011491"/>
    <w:rsid w:val="00011511"/>
    <w:rsid w:val="00011514"/>
    <w:rsid w:val="000115BF"/>
    <w:rsid w:val="0001163C"/>
    <w:rsid w:val="00011798"/>
    <w:rsid w:val="00011817"/>
    <w:rsid w:val="000118AD"/>
    <w:rsid w:val="00011973"/>
    <w:rsid w:val="000119CD"/>
    <w:rsid w:val="00011A1A"/>
    <w:rsid w:val="00011A26"/>
    <w:rsid w:val="00011A76"/>
    <w:rsid w:val="00011A9D"/>
    <w:rsid w:val="00011B72"/>
    <w:rsid w:val="00011BEC"/>
    <w:rsid w:val="00011CA3"/>
    <w:rsid w:val="00011CB6"/>
    <w:rsid w:val="00011CF7"/>
    <w:rsid w:val="00011DA8"/>
    <w:rsid w:val="00011E0C"/>
    <w:rsid w:val="00012018"/>
    <w:rsid w:val="0001203A"/>
    <w:rsid w:val="000121D7"/>
    <w:rsid w:val="0001227E"/>
    <w:rsid w:val="000122A1"/>
    <w:rsid w:val="000122A2"/>
    <w:rsid w:val="00012314"/>
    <w:rsid w:val="0001233C"/>
    <w:rsid w:val="000123E3"/>
    <w:rsid w:val="000123FC"/>
    <w:rsid w:val="0001248E"/>
    <w:rsid w:val="000125AE"/>
    <w:rsid w:val="0001263E"/>
    <w:rsid w:val="00012652"/>
    <w:rsid w:val="00012733"/>
    <w:rsid w:val="00012764"/>
    <w:rsid w:val="0001282F"/>
    <w:rsid w:val="0001287C"/>
    <w:rsid w:val="000128F9"/>
    <w:rsid w:val="00012A35"/>
    <w:rsid w:val="00012A59"/>
    <w:rsid w:val="00012AD7"/>
    <w:rsid w:val="00012B54"/>
    <w:rsid w:val="00012B6A"/>
    <w:rsid w:val="00012B71"/>
    <w:rsid w:val="00012BCE"/>
    <w:rsid w:val="00012C1C"/>
    <w:rsid w:val="00012C93"/>
    <w:rsid w:val="00012D35"/>
    <w:rsid w:val="00012D37"/>
    <w:rsid w:val="00012E1A"/>
    <w:rsid w:val="00012E3F"/>
    <w:rsid w:val="00012EB7"/>
    <w:rsid w:val="00012F2B"/>
    <w:rsid w:val="00013004"/>
    <w:rsid w:val="00013024"/>
    <w:rsid w:val="0001302A"/>
    <w:rsid w:val="000130B1"/>
    <w:rsid w:val="000130D3"/>
    <w:rsid w:val="00013134"/>
    <w:rsid w:val="00013184"/>
    <w:rsid w:val="00013188"/>
    <w:rsid w:val="00013277"/>
    <w:rsid w:val="000132D7"/>
    <w:rsid w:val="00013469"/>
    <w:rsid w:val="0001347D"/>
    <w:rsid w:val="00013484"/>
    <w:rsid w:val="000134AB"/>
    <w:rsid w:val="000134FF"/>
    <w:rsid w:val="00013592"/>
    <w:rsid w:val="0001362D"/>
    <w:rsid w:val="0001362F"/>
    <w:rsid w:val="0001366E"/>
    <w:rsid w:val="0001378B"/>
    <w:rsid w:val="000137AC"/>
    <w:rsid w:val="00013838"/>
    <w:rsid w:val="000138F5"/>
    <w:rsid w:val="00013905"/>
    <w:rsid w:val="0001394E"/>
    <w:rsid w:val="0001397E"/>
    <w:rsid w:val="000139CD"/>
    <w:rsid w:val="00013A0B"/>
    <w:rsid w:val="00013A0E"/>
    <w:rsid w:val="00013C18"/>
    <w:rsid w:val="00013C26"/>
    <w:rsid w:val="00013C3F"/>
    <w:rsid w:val="00013C77"/>
    <w:rsid w:val="00013E6C"/>
    <w:rsid w:val="00013EF6"/>
    <w:rsid w:val="00013EFF"/>
    <w:rsid w:val="00013F4F"/>
    <w:rsid w:val="00013FF5"/>
    <w:rsid w:val="000141BB"/>
    <w:rsid w:val="0001436E"/>
    <w:rsid w:val="0001438D"/>
    <w:rsid w:val="000143BC"/>
    <w:rsid w:val="000143EF"/>
    <w:rsid w:val="00014569"/>
    <w:rsid w:val="00014677"/>
    <w:rsid w:val="000146A1"/>
    <w:rsid w:val="0001475D"/>
    <w:rsid w:val="0001478F"/>
    <w:rsid w:val="00014791"/>
    <w:rsid w:val="000147B6"/>
    <w:rsid w:val="00014912"/>
    <w:rsid w:val="00014928"/>
    <w:rsid w:val="000149C6"/>
    <w:rsid w:val="00014B00"/>
    <w:rsid w:val="00014C1D"/>
    <w:rsid w:val="00014C5F"/>
    <w:rsid w:val="00014C86"/>
    <w:rsid w:val="00014D04"/>
    <w:rsid w:val="00014D9D"/>
    <w:rsid w:val="00014DEE"/>
    <w:rsid w:val="00014E4D"/>
    <w:rsid w:val="00014F00"/>
    <w:rsid w:val="00014F02"/>
    <w:rsid w:val="00014FA4"/>
    <w:rsid w:val="00015049"/>
    <w:rsid w:val="0001507F"/>
    <w:rsid w:val="00015145"/>
    <w:rsid w:val="0001518A"/>
    <w:rsid w:val="00015202"/>
    <w:rsid w:val="00015212"/>
    <w:rsid w:val="0001528F"/>
    <w:rsid w:val="00015293"/>
    <w:rsid w:val="0001535A"/>
    <w:rsid w:val="0001540C"/>
    <w:rsid w:val="00015445"/>
    <w:rsid w:val="00015461"/>
    <w:rsid w:val="0001549C"/>
    <w:rsid w:val="00015543"/>
    <w:rsid w:val="0001558D"/>
    <w:rsid w:val="000155A4"/>
    <w:rsid w:val="00015628"/>
    <w:rsid w:val="00015646"/>
    <w:rsid w:val="00015654"/>
    <w:rsid w:val="000156AE"/>
    <w:rsid w:val="00015716"/>
    <w:rsid w:val="00015790"/>
    <w:rsid w:val="000157DA"/>
    <w:rsid w:val="000157F7"/>
    <w:rsid w:val="0001585E"/>
    <w:rsid w:val="000159FB"/>
    <w:rsid w:val="00015A7E"/>
    <w:rsid w:val="00015A86"/>
    <w:rsid w:val="00015AC6"/>
    <w:rsid w:val="00015B7D"/>
    <w:rsid w:val="00015B98"/>
    <w:rsid w:val="00015BDF"/>
    <w:rsid w:val="00015BF7"/>
    <w:rsid w:val="00015C28"/>
    <w:rsid w:val="00015CA0"/>
    <w:rsid w:val="00015D62"/>
    <w:rsid w:val="00015EFC"/>
    <w:rsid w:val="00015FC8"/>
    <w:rsid w:val="00015FD6"/>
    <w:rsid w:val="00015FF4"/>
    <w:rsid w:val="00015FFE"/>
    <w:rsid w:val="00016109"/>
    <w:rsid w:val="00016114"/>
    <w:rsid w:val="00016124"/>
    <w:rsid w:val="00016148"/>
    <w:rsid w:val="00016159"/>
    <w:rsid w:val="00016230"/>
    <w:rsid w:val="0001623C"/>
    <w:rsid w:val="000162EF"/>
    <w:rsid w:val="00016312"/>
    <w:rsid w:val="0001632C"/>
    <w:rsid w:val="00016354"/>
    <w:rsid w:val="00016423"/>
    <w:rsid w:val="0001642C"/>
    <w:rsid w:val="000165E0"/>
    <w:rsid w:val="00016647"/>
    <w:rsid w:val="000166BB"/>
    <w:rsid w:val="00016787"/>
    <w:rsid w:val="000167FA"/>
    <w:rsid w:val="00016897"/>
    <w:rsid w:val="0001690C"/>
    <w:rsid w:val="00016920"/>
    <w:rsid w:val="0001693F"/>
    <w:rsid w:val="00016A46"/>
    <w:rsid w:val="00016A99"/>
    <w:rsid w:val="00016B3E"/>
    <w:rsid w:val="00016B96"/>
    <w:rsid w:val="00016BC7"/>
    <w:rsid w:val="00016CB3"/>
    <w:rsid w:val="00016D13"/>
    <w:rsid w:val="00016D82"/>
    <w:rsid w:val="00016F92"/>
    <w:rsid w:val="0001704C"/>
    <w:rsid w:val="00017185"/>
    <w:rsid w:val="000172DA"/>
    <w:rsid w:val="00017325"/>
    <w:rsid w:val="00017329"/>
    <w:rsid w:val="00017353"/>
    <w:rsid w:val="00017363"/>
    <w:rsid w:val="00017381"/>
    <w:rsid w:val="00017383"/>
    <w:rsid w:val="0001744F"/>
    <w:rsid w:val="000174C0"/>
    <w:rsid w:val="000175BF"/>
    <w:rsid w:val="00017660"/>
    <w:rsid w:val="0001770D"/>
    <w:rsid w:val="000177A8"/>
    <w:rsid w:val="000177BD"/>
    <w:rsid w:val="000177FC"/>
    <w:rsid w:val="0001785C"/>
    <w:rsid w:val="000178E4"/>
    <w:rsid w:val="00017938"/>
    <w:rsid w:val="00017A29"/>
    <w:rsid w:val="00017A34"/>
    <w:rsid w:val="00017A3E"/>
    <w:rsid w:val="00017A4F"/>
    <w:rsid w:val="00017B1A"/>
    <w:rsid w:val="00017BCF"/>
    <w:rsid w:val="00017C46"/>
    <w:rsid w:val="00017C5E"/>
    <w:rsid w:val="00017C76"/>
    <w:rsid w:val="00017C97"/>
    <w:rsid w:val="00017DB7"/>
    <w:rsid w:val="00017E22"/>
    <w:rsid w:val="00017E2A"/>
    <w:rsid w:val="00017E47"/>
    <w:rsid w:val="00017E8B"/>
    <w:rsid w:val="00017EBA"/>
    <w:rsid w:val="00017F27"/>
    <w:rsid w:val="00017F47"/>
    <w:rsid w:val="00017F73"/>
    <w:rsid w:val="00017F93"/>
    <w:rsid w:val="00020046"/>
    <w:rsid w:val="00020078"/>
    <w:rsid w:val="0002010C"/>
    <w:rsid w:val="000201C3"/>
    <w:rsid w:val="000201CF"/>
    <w:rsid w:val="000201FA"/>
    <w:rsid w:val="000202A0"/>
    <w:rsid w:val="000203DA"/>
    <w:rsid w:val="0002040A"/>
    <w:rsid w:val="000204DF"/>
    <w:rsid w:val="0002055E"/>
    <w:rsid w:val="000205D6"/>
    <w:rsid w:val="00020651"/>
    <w:rsid w:val="00020660"/>
    <w:rsid w:val="00020671"/>
    <w:rsid w:val="000206FC"/>
    <w:rsid w:val="0002071A"/>
    <w:rsid w:val="0002071D"/>
    <w:rsid w:val="0002074B"/>
    <w:rsid w:val="0002081F"/>
    <w:rsid w:val="000208D8"/>
    <w:rsid w:val="000208DB"/>
    <w:rsid w:val="00020901"/>
    <w:rsid w:val="00020960"/>
    <w:rsid w:val="000209ED"/>
    <w:rsid w:val="00020A1C"/>
    <w:rsid w:val="00020A30"/>
    <w:rsid w:val="00020AE7"/>
    <w:rsid w:val="00020BAA"/>
    <w:rsid w:val="00020C59"/>
    <w:rsid w:val="00020C74"/>
    <w:rsid w:val="00020C98"/>
    <w:rsid w:val="00020CA5"/>
    <w:rsid w:val="00020D40"/>
    <w:rsid w:val="00020D78"/>
    <w:rsid w:val="00020E5C"/>
    <w:rsid w:val="00020E6B"/>
    <w:rsid w:val="00020FC8"/>
    <w:rsid w:val="00020FF6"/>
    <w:rsid w:val="00020FFB"/>
    <w:rsid w:val="0002100B"/>
    <w:rsid w:val="0002104E"/>
    <w:rsid w:val="0002109B"/>
    <w:rsid w:val="000210B6"/>
    <w:rsid w:val="0002110F"/>
    <w:rsid w:val="0002111B"/>
    <w:rsid w:val="0002123F"/>
    <w:rsid w:val="00021295"/>
    <w:rsid w:val="00021303"/>
    <w:rsid w:val="000213A7"/>
    <w:rsid w:val="000213FD"/>
    <w:rsid w:val="000215A3"/>
    <w:rsid w:val="00021622"/>
    <w:rsid w:val="0002168D"/>
    <w:rsid w:val="00021790"/>
    <w:rsid w:val="000217AA"/>
    <w:rsid w:val="000217BD"/>
    <w:rsid w:val="000218AC"/>
    <w:rsid w:val="00021912"/>
    <w:rsid w:val="0002193D"/>
    <w:rsid w:val="00021990"/>
    <w:rsid w:val="00021A4B"/>
    <w:rsid w:val="00021A91"/>
    <w:rsid w:val="00021ABD"/>
    <w:rsid w:val="00021BBF"/>
    <w:rsid w:val="00021D25"/>
    <w:rsid w:val="00021D69"/>
    <w:rsid w:val="00021DC3"/>
    <w:rsid w:val="00021E8E"/>
    <w:rsid w:val="00021EAA"/>
    <w:rsid w:val="00021ED6"/>
    <w:rsid w:val="00021F01"/>
    <w:rsid w:val="00021FC2"/>
    <w:rsid w:val="00021FDC"/>
    <w:rsid w:val="0002206D"/>
    <w:rsid w:val="000220FE"/>
    <w:rsid w:val="00022110"/>
    <w:rsid w:val="0002224F"/>
    <w:rsid w:val="00022277"/>
    <w:rsid w:val="000222D5"/>
    <w:rsid w:val="000222EE"/>
    <w:rsid w:val="000224C5"/>
    <w:rsid w:val="0002252E"/>
    <w:rsid w:val="00022586"/>
    <w:rsid w:val="000225E0"/>
    <w:rsid w:val="0002275A"/>
    <w:rsid w:val="000227EA"/>
    <w:rsid w:val="0002282F"/>
    <w:rsid w:val="00022845"/>
    <w:rsid w:val="000228DE"/>
    <w:rsid w:val="000229A4"/>
    <w:rsid w:val="000229AD"/>
    <w:rsid w:val="000229EC"/>
    <w:rsid w:val="00022A37"/>
    <w:rsid w:val="00022A42"/>
    <w:rsid w:val="00022A52"/>
    <w:rsid w:val="00022A77"/>
    <w:rsid w:val="00022ABD"/>
    <w:rsid w:val="00022ADF"/>
    <w:rsid w:val="00022B46"/>
    <w:rsid w:val="00022B83"/>
    <w:rsid w:val="00022C85"/>
    <w:rsid w:val="00022CE7"/>
    <w:rsid w:val="00022D32"/>
    <w:rsid w:val="00022D55"/>
    <w:rsid w:val="00022DC0"/>
    <w:rsid w:val="00022DCA"/>
    <w:rsid w:val="00022E26"/>
    <w:rsid w:val="00022E7D"/>
    <w:rsid w:val="00022E84"/>
    <w:rsid w:val="00022E8B"/>
    <w:rsid w:val="00022EFF"/>
    <w:rsid w:val="00022F2D"/>
    <w:rsid w:val="00022FF2"/>
    <w:rsid w:val="0002310A"/>
    <w:rsid w:val="00023145"/>
    <w:rsid w:val="00023174"/>
    <w:rsid w:val="00023176"/>
    <w:rsid w:val="00023180"/>
    <w:rsid w:val="0002319B"/>
    <w:rsid w:val="0002320A"/>
    <w:rsid w:val="0002324C"/>
    <w:rsid w:val="0002328D"/>
    <w:rsid w:val="00023465"/>
    <w:rsid w:val="000234A8"/>
    <w:rsid w:val="000234B9"/>
    <w:rsid w:val="000234C0"/>
    <w:rsid w:val="0002350F"/>
    <w:rsid w:val="000235B9"/>
    <w:rsid w:val="00023643"/>
    <w:rsid w:val="00023718"/>
    <w:rsid w:val="00023733"/>
    <w:rsid w:val="00023989"/>
    <w:rsid w:val="000239D5"/>
    <w:rsid w:val="00023A34"/>
    <w:rsid w:val="00023A51"/>
    <w:rsid w:val="00023B1D"/>
    <w:rsid w:val="00023B94"/>
    <w:rsid w:val="00023C37"/>
    <w:rsid w:val="00023C54"/>
    <w:rsid w:val="00023C84"/>
    <w:rsid w:val="00023D81"/>
    <w:rsid w:val="00023E03"/>
    <w:rsid w:val="00023E30"/>
    <w:rsid w:val="00023EA2"/>
    <w:rsid w:val="00023F56"/>
    <w:rsid w:val="00023F60"/>
    <w:rsid w:val="0002404E"/>
    <w:rsid w:val="000240AF"/>
    <w:rsid w:val="000240F9"/>
    <w:rsid w:val="00024109"/>
    <w:rsid w:val="00024125"/>
    <w:rsid w:val="00024186"/>
    <w:rsid w:val="0002418F"/>
    <w:rsid w:val="000241AA"/>
    <w:rsid w:val="000242C9"/>
    <w:rsid w:val="00024335"/>
    <w:rsid w:val="00024339"/>
    <w:rsid w:val="0002435E"/>
    <w:rsid w:val="0002437C"/>
    <w:rsid w:val="000243D2"/>
    <w:rsid w:val="000244F8"/>
    <w:rsid w:val="000244FE"/>
    <w:rsid w:val="00024593"/>
    <w:rsid w:val="00024639"/>
    <w:rsid w:val="000246EA"/>
    <w:rsid w:val="00024732"/>
    <w:rsid w:val="0002479A"/>
    <w:rsid w:val="0002482D"/>
    <w:rsid w:val="0002484C"/>
    <w:rsid w:val="000248CA"/>
    <w:rsid w:val="00024A3F"/>
    <w:rsid w:val="00024A5F"/>
    <w:rsid w:val="00024B36"/>
    <w:rsid w:val="00024B63"/>
    <w:rsid w:val="00024BE5"/>
    <w:rsid w:val="00024BF6"/>
    <w:rsid w:val="00024C04"/>
    <w:rsid w:val="00024C1A"/>
    <w:rsid w:val="00024C29"/>
    <w:rsid w:val="00024C9C"/>
    <w:rsid w:val="00024CAA"/>
    <w:rsid w:val="00024CDA"/>
    <w:rsid w:val="00024CE2"/>
    <w:rsid w:val="00024F3C"/>
    <w:rsid w:val="00024F3D"/>
    <w:rsid w:val="00024F8A"/>
    <w:rsid w:val="00024FC0"/>
    <w:rsid w:val="00024FDF"/>
    <w:rsid w:val="00025066"/>
    <w:rsid w:val="000250B3"/>
    <w:rsid w:val="000250F1"/>
    <w:rsid w:val="0002511F"/>
    <w:rsid w:val="00025129"/>
    <w:rsid w:val="00025143"/>
    <w:rsid w:val="0002516B"/>
    <w:rsid w:val="0002516C"/>
    <w:rsid w:val="00025194"/>
    <w:rsid w:val="00025215"/>
    <w:rsid w:val="00025271"/>
    <w:rsid w:val="000252D5"/>
    <w:rsid w:val="00025353"/>
    <w:rsid w:val="000253D5"/>
    <w:rsid w:val="000253E7"/>
    <w:rsid w:val="000253FF"/>
    <w:rsid w:val="00025415"/>
    <w:rsid w:val="00025426"/>
    <w:rsid w:val="00025441"/>
    <w:rsid w:val="00025467"/>
    <w:rsid w:val="00025570"/>
    <w:rsid w:val="00025661"/>
    <w:rsid w:val="000256C3"/>
    <w:rsid w:val="000257AA"/>
    <w:rsid w:val="00025803"/>
    <w:rsid w:val="000258FB"/>
    <w:rsid w:val="00025963"/>
    <w:rsid w:val="00025978"/>
    <w:rsid w:val="000259A6"/>
    <w:rsid w:val="00025A04"/>
    <w:rsid w:val="00025A1E"/>
    <w:rsid w:val="00025AA2"/>
    <w:rsid w:val="00025C11"/>
    <w:rsid w:val="00025C92"/>
    <w:rsid w:val="00025D02"/>
    <w:rsid w:val="00025DE0"/>
    <w:rsid w:val="00025F05"/>
    <w:rsid w:val="00025F1D"/>
    <w:rsid w:val="00025F98"/>
    <w:rsid w:val="00025F9A"/>
    <w:rsid w:val="00025FD3"/>
    <w:rsid w:val="00025FE2"/>
    <w:rsid w:val="00026076"/>
    <w:rsid w:val="00026094"/>
    <w:rsid w:val="00026128"/>
    <w:rsid w:val="00026136"/>
    <w:rsid w:val="00026141"/>
    <w:rsid w:val="00026146"/>
    <w:rsid w:val="0002615E"/>
    <w:rsid w:val="00026165"/>
    <w:rsid w:val="0002621F"/>
    <w:rsid w:val="0002624B"/>
    <w:rsid w:val="000262D1"/>
    <w:rsid w:val="0002638B"/>
    <w:rsid w:val="0002644E"/>
    <w:rsid w:val="00026466"/>
    <w:rsid w:val="000265A9"/>
    <w:rsid w:val="000265AD"/>
    <w:rsid w:val="000265EA"/>
    <w:rsid w:val="000266B1"/>
    <w:rsid w:val="000266FB"/>
    <w:rsid w:val="00026762"/>
    <w:rsid w:val="00026799"/>
    <w:rsid w:val="0002680F"/>
    <w:rsid w:val="00026890"/>
    <w:rsid w:val="000268D9"/>
    <w:rsid w:val="0002693A"/>
    <w:rsid w:val="00026955"/>
    <w:rsid w:val="00026967"/>
    <w:rsid w:val="000269A4"/>
    <w:rsid w:val="000269B2"/>
    <w:rsid w:val="000269D2"/>
    <w:rsid w:val="000269D9"/>
    <w:rsid w:val="00026A10"/>
    <w:rsid w:val="00026AD9"/>
    <w:rsid w:val="00026B17"/>
    <w:rsid w:val="00026B44"/>
    <w:rsid w:val="00026B75"/>
    <w:rsid w:val="00026BEC"/>
    <w:rsid w:val="00026CC1"/>
    <w:rsid w:val="00026CEA"/>
    <w:rsid w:val="00026D0C"/>
    <w:rsid w:val="00026D56"/>
    <w:rsid w:val="00026E09"/>
    <w:rsid w:val="00026E80"/>
    <w:rsid w:val="00026F2B"/>
    <w:rsid w:val="00026F9C"/>
    <w:rsid w:val="00027063"/>
    <w:rsid w:val="0002708E"/>
    <w:rsid w:val="00027146"/>
    <w:rsid w:val="00027271"/>
    <w:rsid w:val="00027289"/>
    <w:rsid w:val="000272BE"/>
    <w:rsid w:val="000272E8"/>
    <w:rsid w:val="0002735F"/>
    <w:rsid w:val="000273C4"/>
    <w:rsid w:val="0002742D"/>
    <w:rsid w:val="00027499"/>
    <w:rsid w:val="000274BD"/>
    <w:rsid w:val="00027546"/>
    <w:rsid w:val="00027569"/>
    <w:rsid w:val="000275D9"/>
    <w:rsid w:val="00027653"/>
    <w:rsid w:val="00027662"/>
    <w:rsid w:val="000276B5"/>
    <w:rsid w:val="0002771F"/>
    <w:rsid w:val="0002779C"/>
    <w:rsid w:val="000277AE"/>
    <w:rsid w:val="000277B0"/>
    <w:rsid w:val="000277C7"/>
    <w:rsid w:val="000277D7"/>
    <w:rsid w:val="00027860"/>
    <w:rsid w:val="0002787B"/>
    <w:rsid w:val="000279E4"/>
    <w:rsid w:val="000279EF"/>
    <w:rsid w:val="00027A83"/>
    <w:rsid w:val="00027AA8"/>
    <w:rsid w:val="00027ADD"/>
    <w:rsid w:val="00027AF9"/>
    <w:rsid w:val="00027B0F"/>
    <w:rsid w:val="00027B8F"/>
    <w:rsid w:val="00027C17"/>
    <w:rsid w:val="00027C6F"/>
    <w:rsid w:val="00027D20"/>
    <w:rsid w:val="00027D2F"/>
    <w:rsid w:val="00027D3F"/>
    <w:rsid w:val="00027D60"/>
    <w:rsid w:val="00027DF3"/>
    <w:rsid w:val="00027E67"/>
    <w:rsid w:val="00030056"/>
    <w:rsid w:val="0003005E"/>
    <w:rsid w:val="000300DB"/>
    <w:rsid w:val="0003011A"/>
    <w:rsid w:val="000301BD"/>
    <w:rsid w:val="000301F9"/>
    <w:rsid w:val="000302C3"/>
    <w:rsid w:val="0003032D"/>
    <w:rsid w:val="000303AD"/>
    <w:rsid w:val="00030434"/>
    <w:rsid w:val="000304E9"/>
    <w:rsid w:val="00030554"/>
    <w:rsid w:val="00030604"/>
    <w:rsid w:val="0003074C"/>
    <w:rsid w:val="000307AD"/>
    <w:rsid w:val="000307F2"/>
    <w:rsid w:val="00030A0F"/>
    <w:rsid w:val="00030A85"/>
    <w:rsid w:val="00030A97"/>
    <w:rsid w:val="00030A9F"/>
    <w:rsid w:val="00030AAF"/>
    <w:rsid w:val="00030AC5"/>
    <w:rsid w:val="00030AFF"/>
    <w:rsid w:val="00030B1A"/>
    <w:rsid w:val="00030B72"/>
    <w:rsid w:val="00030B97"/>
    <w:rsid w:val="00030BF6"/>
    <w:rsid w:val="00030C10"/>
    <w:rsid w:val="00030D06"/>
    <w:rsid w:val="00030DD0"/>
    <w:rsid w:val="00030E90"/>
    <w:rsid w:val="00030EA5"/>
    <w:rsid w:val="00030F8B"/>
    <w:rsid w:val="00031150"/>
    <w:rsid w:val="00031159"/>
    <w:rsid w:val="0003116D"/>
    <w:rsid w:val="00031190"/>
    <w:rsid w:val="000311B2"/>
    <w:rsid w:val="0003121C"/>
    <w:rsid w:val="000312BF"/>
    <w:rsid w:val="00031359"/>
    <w:rsid w:val="0003138B"/>
    <w:rsid w:val="000313AC"/>
    <w:rsid w:val="000313F7"/>
    <w:rsid w:val="00031424"/>
    <w:rsid w:val="0003144E"/>
    <w:rsid w:val="00031455"/>
    <w:rsid w:val="0003149C"/>
    <w:rsid w:val="0003152E"/>
    <w:rsid w:val="0003153C"/>
    <w:rsid w:val="00031562"/>
    <w:rsid w:val="0003160B"/>
    <w:rsid w:val="0003163F"/>
    <w:rsid w:val="000316B0"/>
    <w:rsid w:val="00031741"/>
    <w:rsid w:val="000317F2"/>
    <w:rsid w:val="00031809"/>
    <w:rsid w:val="000318A0"/>
    <w:rsid w:val="00031916"/>
    <w:rsid w:val="00031991"/>
    <w:rsid w:val="00031998"/>
    <w:rsid w:val="00031B3A"/>
    <w:rsid w:val="00031BF0"/>
    <w:rsid w:val="00031CE3"/>
    <w:rsid w:val="00031D42"/>
    <w:rsid w:val="00031D6A"/>
    <w:rsid w:val="00031EDC"/>
    <w:rsid w:val="00031FC7"/>
    <w:rsid w:val="00031FCE"/>
    <w:rsid w:val="0003201E"/>
    <w:rsid w:val="000320D5"/>
    <w:rsid w:val="0003213C"/>
    <w:rsid w:val="0003215D"/>
    <w:rsid w:val="000321B9"/>
    <w:rsid w:val="000322B7"/>
    <w:rsid w:val="0003231F"/>
    <w:rsid w:val="0003234A"/>
    <w:rsid w:val="000323BE"/>
    <w:rsid w:val="00032478"/>
    <w:rsid w:val="000325AB"/>
    <w:rsid w:val="000325B1"/>
    <w:rsid w:val="000325B2"/>
    <w:rsid w:val="000325BC"/>
    <w:rsid w:val="00032654"/>
    <w:rsid w:val="00032678"/>
    <w:rsid w:val="0003269E"/>
    <w:rsid w:val="000326E8"/>
    <w:rsid w:val="000326EF"/>
    <w:rsid w:val="00032760"/>
    <w:rsid w:val="00032773"/>
    <w:rsid w:val="00032775"/>
    <w:rsid w:val="00032795"/>
    <w:rsid w:val="000327A6"/>
    <w:rsid w:val="000327D7"/>
    <w:rsid w:val="000327F1"/>
    <w:rsid w:val="00032865"/>
    <w:rsid w:val="000328EB"/>
    <w:rsid w:val="00032924"/>
    <w:rsid w:val="00032B7B"/>
    <w:rsid w:val="00032C71"/>
    <w:rsid w:val="00032CA8"/>
    <w:rsid w:val="00032D00"/>
    <w:rsid w:val="00032D4C"/>
    <w:rsid w:val="00032DB7"/>
    <w:rsid w:val="00032DEA"/>
    <w:rsid w:val="00032E7F"/>
    <w:rsid w:val="00032E87"/>
    <w:rsid w:val="00032F1C"/>
    <w:rsid w:val="0003307B"/>
    <w:rsid w:val="0003309A"/>
    <w:rsid w:val="0003311D"/>
    <w:rsid w:val="00033150"/>
    <w:rsid w:val="00033163"/>
    <w:rsid w:val="00033192"/>
    <w:rsid w:val="000331CA"/>
    <w:rsid w:val="000332B1"/>
    <w:rsid w:val="0003337C"/>
    <w:rsid w:val="0003339C"/>
    <w:rsid w:val="00033439"/>
    <w:rsid w:val="00033507"/>
    <w:rsid w:val="000335BC"/>
    <w:rsid w:val="00033629"/>
    <w:rsid w:val="0003364E"/>
    <w:rsid w:val="0003375C"/>
    <w:rsid w:val="0003375E"/>
    <w:rsid w:val="00033894"/>
    <w:rsid w:val="00033946"/>
    <w:rsid w:val="00033968"/>
    <w:rsid w:val="000339C9"/>
    <w:rsid w:val="00033A30"/>
    <w:rsid w:val="00033B11"/>
    <w:rsid w:val="00033F91"/>
    <w:rsid w:val="00033F9D"/>
    <w:rsid w:val="0003406A"/>
    <w:rsid w:val="000341F2"/>
    <w:rsid w:val="0003429D"/>
    <w:rsid w:val="00034391"/>
    <w:rsid w:val="000343EE"/>
    <w:rsid w:val="000343FF"/>
    <w:rsid w:val="0003449F"/>
    <w:rsid w:val="000344AE"/>
    <w:rsid w:val="00034500"/>
    <w:rsid w:val="0003454A"/>
    <w:rsid w:val="00034594"/>
    <w:rsid w:val="0003463C"/>
    <w:rsid w:val="000346C6"/>
    <w:rsid w:val="00034792"/>
    <w:rsid w:val="000347B3"/>
    <w:rsid w:val="000348AB"/>
    <w:rsid w:val="00034944"/>
    <w:rsid w:val="00034A00"/>
    <w:rsid w:val="00034B3D"/>
    <w:rsid w:val="00034C31"/>
    <w:rsid w:val="00034CA2"/>
    <w:rsid w:val="00034D4F"/>
    <w:rsid w:val="00034D94"/>
    <w:rsid w:val="00034D95"/>
    <w:rsid w:val="00034DC5"/>
    <w:rsid w:val="00034E19"/>
    <w:rsid w:val="00034ED1"/>
    <w:rsid w:val="00034EE0"/>
    <w:rsid w:val="0003505B"/>
    <w:rsid w:val="0003510A"/>
    <w:rsid w:val="0003517F"/>
    <w:rsid w:val="00035293"/>
    <w:rsid w:val="00035341"/>
    <w:rsid w:val="00035390"/>
    <w:rsid w:val="00035520"/>
    <w:rsid w:val="000355DC"/>
    <w:rsid w:val="000355EC"/>
    <w:rsid w:val="00035657"/>
    <w:rsid w:val="00035663"/>
    <w:rsid w:val="00035740"/>
    <w:rsid w:val="000357E2"/>
    <w:rsid w:val="00035805"/>
    <w:rsid w:val="00035938"/>
    <w:rsid w:val="00035A92"/>
    <w:rsid w:val="00035BCC"/>
    <w:rsid w:val="00035BCF"/>
    <w:rsid w:val="00035C56"/>
    <w:rsid w:val="00035CB4"/>
    <w:rsid w:val="00035D24"/>
    <w:rsid w:val="00035E02"/>
    <w:rsid w:val="00035E3B"/>
    <w:rsid w:val="00035F16"/>
    <w:rsid w:val="00035F2E"/>
    <w:rsid w:val="00035FFB"/>
    <w:rsid w:val="000361C1"/>
    <w:rsid w:val="00036219"/>
    <w:rsid w:val="00036228"/>
    <w:rsid w:val="0003625A"/>
    <w:rsid w:val="000362C8"/>
    <w:rsid w:val="00036320"/>
    <w:rsid w:val="00036341"/>
    <w:rsid w:val="0003635C"/>
    <w:rsid w:val="0003642C"/>
    <w:rsid w:val="000364A8"/>
    <w:rsid w:val="000364C1"/>
    <w:rsid w:val="0003653F"/>
    <w:rsid w:val="00036583"/>
    <w:rsid w:val="000366D5"/>
    <w:rsid w:val="00036893"/>
    <w:rsid w:val="0003695E"/>
    <w:rsid w:val="00036ABD"/>
    <w:rsid w:val="00036AC5"/>
    <w:rsid w:val="00036C94"/>
    <w:rsid w:val="00036D20"/>
    <w:rsid w:val="00036DCE"/>
    <w:rsid w:val="00036DE2"/>
    <w:rsid w:val="00036DFB"/>
    <w:rsid w:val="00036E8A"/>
    <w:rsid w:val="00036EA4"/>
    <w:rsid w:val="00036EFF"/>
    <w:rsid w:val="00036F72"/>
    <w:rsid w:val="00036F85"/>
    <w:rsid w:val="00037025"/>
    <w:rsid w:val="000370B5"/>
    <w:rsid w:val="000371AD"/>
    <w:rsid w:val="000371AE"/>
    <w:rsid w:val="0003727D"/>
    <w:rsid w:val="0003729E"/>
    <w:rsid w:val="000372AA"/>
    <w:rsid w:val="0003738E"/>
    <w:rsid w:val="000373E8"/>
    <w:rsid w:val="00037401"/>
    <w:rsid w:val="0003741F"/>
    <w:rsid w:val="0003744A"/>
    <w:rsid w:val="00037535"/>
    <w:rsid w:val="0003753A"/>
    <w:rsid w:val="0003780B"/>
    <w:rsid w:val="00037817"/>
    <w:rsid w:val="000378AA"/>
    <w:rsid w:val="000378C2"/>
    <w:rsid w:val="000378DA"/>
    <w:rsid w:val="00037911"/>
    <w:rsid w:val="00037955"/>
    <w:rsid w:val="00037957"/>
    <w:rsid w:val="00037963"/>
    <w:rsid w:val="00037A14"/>
    <w:rsid w:val="00037AB7"/>
    <w:rsid w:val="00037AFA"/>
    <w:rsid w:val="00037B1B"/>
    <w:rsid w:val="00037B37"/>
    <w:rsid w:val="00037B7F"/>
    <w:rsid w:val="00037CE5"/>
    <w:rsid w:val="00037D5B"/>
    <w:rsid w:val="00037D66"/>
    <w:rsid w:val="00037D9C"/>
    <w:rsid w:val="00037E3D"/>
    <w:rsid w:val="00037E42"/>
    <w:rsid w:val="00037F15"/>
    <w:rsid w:val="00040064"/>
    <w:rsid w:val="000400FE"/>
    <w:rsid w:val="00040176"/>
    <w:rsid w:val="0004024A"/>
    <w:rsid w:val="0004028E"/>
    <w:rsid w:val="00040327"/>
    <w:rsid w:val="0004033F"/>
    <w:rsid w:val="00040484"/>
    <w:rsid w:val="0004062A"/>
    <w:rsid w:val="0004063F"/>
    <w:rsid w:val="0004066C"/>
    <w:rsid w:val="000406B8"/>
    <w:rsid w:val="000407FA"/>
    <w:rsid w:val="00040824"/>
    <w:rsid w:val="000408B5"/>
    <w:rsid w:val="000408ED"/>
    <w:rsid w:val="00040962"/>
    <w:rsid w:val="0004098E"/>
    <w:rsid w:val="00040A40"/>
    <w:rsid w:val="00040C12"/>
    <w:rsid w:val="00040C52"/>
    <w:rsid w:val="00040C9B"/>
    <w:rsid w:val="00040CC8"/>
    <w:rsid w:val="00040D03"/>
    <w:rsid w:val="00040D1F"/>
    <w:rsid w:val="00040D21"/>
    <w:rsid w:val="00040D31"/>
    <w:rsid w:val="00040E57"/>
    <w:rsid w:val="00040E65"/>
    <w:rsid w:val="00040EB3"/>
    <w:rsid w:val="00040F8C"/>
    <w:rsid w:val="00040FB9"/>
    <w:rsid w:val="00040FD7"/>
    <w:rsid w:val="00041066"/>
    <w:rsid w:val="000410EC"/>
    <w:rsid w:val="000411E0"/>
    <w:rsid w:val="0004121F"/>
    <w:rsid w:val="0004122D"/>
    <w:rsid w:val="0004127E"/>
    <w:rsid w:val="000412D1"/>
    <w:rsid w:val="00041307"/>
    <w:rsid w:val="00041386"/>
    <w:rsid w:val="000413E2"/>
    <w:rsid w:val="000414DF"/>
    <w:rsid w:val="00041505"/>
    <w:rsid w:val="00041591"/>
    <w:rsid w:val="0004166D"/>
    <w:rsid w:val="0004169C"/>
    <w:rsid w:val="00041732"/>
    <w:rsid w:val="0004175F"/>
    <w:rsid w:val="000417D0"/>
    <w:rsid w:val="00041856"/>
    <w:rsid w:val="000418DA"/>
    <w:rsid w:val="00041904"/>
    <w:rsid w:val="0004196F"/>
    <w:rsid w:val="000419F2"/>
    <w:rsid w:val="00041A9F"/>
    <w:rsid w:val="00041AA2"/>
    <w:rsid w:val="00041B00"/>
    <w:rsid w:val="00041C30"/>
    <w:rsid w:val="00041D6A"/>
    <w:rsid w:val="00041DEC"/>
    <w:rsid w:val="00041E1D"/>
    <w:rsid w:val="00042092"/>
    <w:rsid w:val="000420B6"/>
    <w:rsid w:val="00042112"/>
    <w:rsid w:val="00042163"/>
    <w:rsid w:val="00042228"/>
    <w:rsid w:val="00042270"/>
    <w:rsid w:val="000423B5"/>
    <w:rsid w:val="00042461"/>
    <w:rsid w:val="00042476"/>
    <w:rsid w:val="000424FA"/>
    <w:rsid w:val="000425DB"/>
    <w:rsid w:val="000425DD"/>
    <w:rsid w:val="000425F5"/>
    <w:rsid w:val="0004289D"/>
    <w:rsid w:val="00042950"/>
    <w:rsid w:val="0004299F"/>
    <w:rsid w:val="000429CC"/>
    <w:rsid w:val="00042A54"/>
    <w:rsid w:val="00042A71"/>
    <w:rsid w:val="00042B37"/>
    <w:rsid w:val="00042B63"/>
    <w:rsid w:val="00042BA0"/>
    <w:rsid w:val="00042CE9"/>
    <w:rsid w:val="00042D17"/>
    <w:rsid w:val="00042D31"/>
    <w:rsid w:val="00042DC4"/>
    <w:rsid w:val="00042E90"/>
    <w:rsid w:val="00042E9D"/>
    <w:rsid w:val="00042EA0"/>
    <w:rsid w:val="00042F23"/>
    <w:rsid w:val="00043001"/>
    <w:rsid w:val="0004305D"/>
    <w:rsid w:val="00043082"/>
    <w:rsid w:val="000430B5"/>
    <w:rsid w:val="000430E1"/>
    <w:rsid w:val="000430E3"/>
    <w:rsid w:val="00043181"/>
    <w:rsid w:val="000431B1"/>
    <w:rsid w:val="000431C7"/>
    <w:rsid w:val="000432D4"/>
    <w:rsid w:val="000432F0"/>
    <w:rsid w:val="00043321"/>
    <w:rsid w:val="00043328"/>
    <w:rsid w:val="0004332F"/>
    <w:rsid w:val="00043386"/>
    <w:rsid w:val="000433CB"/>
    <w:rsid w:val="0004341E"/>
    <w:rsid w:val="0004345D"/>
    <w:rsid w:val="0004347F"/>
    <w:rsid w:val="000434EC"/>
    <w:rsid w:val="0004355E"/>
    <w:rsid w:val="000435A1"/>
    <w:rsid w:val="000435A7"/>
    <w:rsid w:val="000435D2"/>
    <w:rsid w:val="00043678"/>
    <w:rsid w:val="00043768"/>
    <w:rsid w:val="000437DD"/>
    <w:rsid w:val="00043856"/>
    <w:rsid w:val="00043892"/>
    <w:rsid w:val="000438D6"/>
    <w:rsid w:val="0004391D"/>
    <w:rsid w:val="00043949"/>
    <w:rsid w:val="00043A05"/>
    <w:rsid w:val="00043A90"/>
    <w:rsid w:val="00043B7C"/>
    <w:rsid w:val="00043BA6"/>
    <w:rsid w:val="00043BB7"/>
    <w:rsid w:val="00043BC6"/>
    <w:rsid w:val="00043C04"/>
    <w:rsid w:val="00043C11"/>
    <w:rsid w:val="00043C9A"/>
    <w:rsid w:val="00043CFF"/>
    <w:rsid w:val="00043E01"/>
    <w:rsid w:val="00043E69"/>
    <w:rsid w:val="00043FC1"/>
    <w:rsid w:val="0004402E"/>
    <w:rsid w:val="00044030"/>
    <w:rsid w:val="00044032"/>
    <w:rsid w:val="0004410B"/>
    <w:rsid w:val="00044168"/>
    <w:rsid w:val="00044175"/>
    <w:rsid w:val="000441B4"/>
    <w:rsid w:val="0004426E"/>
    <w:rsid w:val="00044328"/>
    <w:rsid w:val="000443C7"/>
    <w:rsid w:val="000443C9"/>
    <w:rsid w:val="00044488"/>
    <w:rsid w:val="0004451E"/>
    <w:rsid w:val="00044561"/>
    <w:rsid w:val="000446CB"/>
    <w:rsid w:val="000447F3"/>
    <w:rsid w:val="00044869"/>
    <w:rsid w:val="000448E2"/>
    <w:rsid w:val="00044927"/>
    <w:rsid w:val="000449F8"/>
    <w:rsid w:val="00044A09"/>
    <w:rsid w:val="00044A37"/>
    <w:rsid w:val="00044A7B"/>
    <w:rsid w:val="00044A81"/>
    <w:rsid w:val="00044A85"/>
    <w:rsid w:val="00044ABD"/>
    <w:rsid w:val="00044B1A"/>
    <w:rsid w:val="00044C9C"/>
    <w:rsid w:val="00044D05"/>
    <w:rsid w:val="00044DAA"/>
    <w:rsid w:val="00044DF6"/>
    <w:rsid w:val="00044E2D"/>
    <w:rsid w:val="00044E86"/>
    <w:rsid w:val="00044F0F"/>
    <w:rsid w:val="00045009"/>
    <w:rsid w:val="000450DF"/>
    <w:rsid w:val="00045120"/>
    <w:rsid w:val="00045188"/>
    <w:rsid w:val="000451D0"/>
    <w:rsid w:val="000452BD"/>
    <w:rsid w:val="000452E2"/>
    <w:rsid w:val="0004537E"/>
    <w:rsid w:val="00045439"/>
    <w:rsid w:val="000454DE"/>
    <w:rsid w:val="00045501"/>
    <w:rsid w:val="00045527"/>
    <w:rsid w:val="000455E2"/>
    <w:rsid w:val="0004560F"/>
    <w:rsid w:val="00045792"/>
    <w:rsid w:val="00045848"/>
    <w:rsid w:val="00045917"/>
    <w:rsid w:val="0004593B"/>
    <w:rsid w:val="00045A27"/>
    <w:rsid w:val="00045C4B"/>
    <w:rsid w:val="00045D9D"/>
    <w:rsid w:val="00045DC0"/>
    <w:rsid w:val="00045DC4"/>
    <w:rsid w:val="00045DEA"/>
    <w:rsid w:val="00045DF6"/>
    <w:rsid w:val="00045E1D"/>
    <w:rsid w:val="00045E71"/>
    <w:rsid w:val="00045EFF"/>
    <w:rsid w:val="00045F77"/>
    <w:rsid w:val="00045FD3"/>
    <w:rsid w:val="00045FE0"/>
    <w:rsid w:val="0004600F"/>
    <w:rsid w:val="000462B8"/>
    <w:rsid w:val="00046333"/>
    <w:rsid w:val="0004640E"/>
    <w:rsid w:val="0004645F"/>
    <w:rsid w:val="0004647F"/>
    <w:rsid w:val="00046622"/>
    <w:rsid w:val="0004667C"/>
    <w:rsid w:val="00046786"/>
    <w:rsid w:val="000467C8"/>
    <w:rsid w:val="00046822"/>
    <w:rsid w:val="000468CB"/>
    <w:rsid w:val="000468E2"/>
    <w:rsid w:val="000469BD"/>
    <w:rsid w:val="000469DE"/>
    <w:rsid w:val="00046AC5"/>
    <w:rsid w:val="00046B2C"/>
    <w:rsid w:val="00046BB6"/>
    <w:rsid w:val="00046BB9"/>
    <w:rsid w:val="00046C3C"/>
    <w:rsid w:val="00046CD5"/>
    <w:rsid w:val="00046D58"/>
    <w:rsid w:val="00046DB3"/>
    <w:rsid w:val="00046DDD"/>
    <w:rsid w:val="00046E06"/>
    <w:rsid w:val="00046E50"/>
    <w:rsid w:val="00046F32"/>
    <w:rsid w:val="00046F98"/>
    <w:rsid w:val="00046FBA"/>
    <w:rsid w:val="00046FE6"/>
    <w:rsid w:val="000470D7"/>
    <w:rsid w:val="00047197"/>
    <w:rsid w:val="000471D4"/>
    <w:rsid w:val="000471FA"/>
    <w:rsid w:val="000473DE"/>
    <w:rsid w:val="000473E1"/>
    <w:rsid w:val="00047483"/>
    <w:rsid w:val="0004748D"/>
    <w:rsid w:val="00047492"/>
    <w:rsid w:val="000474D5"/>
    <w:rsid w:val="000474EC"/>
    <w:rsid w:val="00047629"/>
    <w:rsid w:val="00047666"/>
    <w:rsid w:val="000477E4"/>
    <w:rsid w:val="000478B1"/>
    <w:rsid w:val="0004791A"/>
    <w:rsid w:val="0004792F"/>
    <w:rsid w:val="0004793C"/>
    <w:rsid w:val="00047996"/>
    <w:rsid w:val="000479D8"/>
    <w:rsid w:val="00047A35"/>
    <w:rsid w:val="00047B95"/>
    <w:rsid w:val="00047C31"/>
    <w:rsid w:val="00047C6C"/>
    <w:rsid w:val="00047CA1"/>
    <w:rsid w:val="00047CC8"/>
    <w:rsid w:val="00047CE1"/>
    <w:rsid w:val="00047DC8"/>
    <w:rsid w:val="00047E01"/>
    <w:rsid w:val="00047F90"/>
    <w:rsid w:val="000500BA"/>
    <w:rsid w:val="00050147"/>
    <w:rsid w:val="0005023D"/>
    <w:rsid w:val="00050262"/>
    <w:rsid w:val="0005026B"/>
    <w:rsid w:val="000502E0"/>
    <w:rsid w:val="000503CF"/>
    <w:rsid w:val="000504EF"/>
    <w:rsid w:val="00050513"/>
    <w:rsid w:val="000505F9"/>
    <w:rsid w:val="0005060E"/>
    <w:rsid w:val="00050647"/>
    <w:rsid w:val="00050648"/>
    <w:rsid w:val="0005065C"/>
    <w:rsid w:val="00050832"/>
    <w:rsid w:val="000508A3"/>
    <w:rsid w:val="0005097C"/>
    <w:rsid w:val="00050982"/>
    <w:rsid w:val="000509F2"/>
    <w:rsid w:val="00050A46"/>
    <w:rsid w:val="00050AAF"/>
    <w:rsid w:val="00050B05"/>
    <w:rsid w:val="00050B06"/>
    <w:rsid w:val="00050BD5"/>
    <w:rsid w:val="00050C08"/>
    <w:rsid w:val="00050C58"/>
    <w:rsid w:val="00050CB0"/>
    <w:rsid w:val="00050DD6"/>
    <w:rsid w:val="00050F27"/>
    <w:rsid w:val="00050F51"/>
    <w:rsid w:val="00050F84"/>
    <w:rsid w:val="00050FA4"/>
    <w:rsid w:val="00051232"/>
    <w:rsid w:val="00051398"/>
    <w:rsid w:val="000513CE"/>
    <w:rsid w:val="00051406"/>
    <w:rsid w:val="0005140A"/>
    <w:rsid w:val="00051484"/>
    <w:rsid w:val="0005148B"/>
    <w:rsid w:val="00051499"/>
    <w:rsid w:val="00051560"/>
    <w:rsid w:val="0005157D"/>
    <w:rsid w:val="000515E1"/>
    <w:rsid w:val="00051603"/>
    <w:rsid w:val="00051653"/>
    <w:rsid w:val="000516B4"/>
    <w:rsid w:val="0005177A"/>
    <w:rsid w:val="000517D8"/>
    <w:rsid w:val="000517F0"/>
    <w:rsid w:val="00051A34"/>
    <w:rsid w:val="00051A3D"/>
    <w:rsid w:val="00051A85"/>
    <w:rsid w:val="00051BAE"/>
    <w:rsid w:val="00051BFE"/>
    <w:rsid w:val="00051C24"/>
    <w:rsid w:val="00051DCE"/>
    <w:rsid w:val="00052052"/>
    <w:rsid w:val="00052071"/>
    <w:rsid w:val="00052085"/>
    <w:rsid w:val="000520AC"/>
    <w:rsid w:val="00052113"/>
    <w:rsid w:val="0005213D"/>
    <w:rsid w:val="00052153"/>
    <w:rsid w:val="00052189"/>
    <w:rsid w:val="000521DF"/>
    <w:rsid w:val="0005225A"/>
    <w:rsid w:val="0005227E"/>
    <w:rsid w:val="000522CB"/>
    <w:rsid w:val="000523D9"/>
    <w:rsid w:val="000523EA"/>
    <w:rsid w:val="0005240F"/>
    <w:rsid w:val="00052465"/>
    <w:rsid w:val="000524B1"/>
    <w:rsid w:val="000524EC"/>
    <w:rsid w:val="000524FE"/>
    <w:rsid w:val="00052561"/>
    <w:rsid w:val="000525A3"/>
    <w:rsid w:val="000525FF"/>
    <w:rsid w:val="0005264C"/>
    <w:rsid w:val="000526D5"/>
    <w:rsid w:val="00052738"/>
    <w:rsid w:val="00052781"/>
    <w:rsid w:val="00052798"/>
    <w:rsid w:val="000527FB"/>
    <w:rsid w:val="00052847"/>
    <w:rsid w:val="00052887"/>
    <w:rsid w:val="0005292B"/>
    <w:rsid w:val="000529A5"/>
    <w:rsid w:val="00052A0D"/>
    <w:rsid w:val="00052A16"/>
    <w:rsid w:val="00052B5C"/>
    <w:rsid w:val="00052C74"/>
    <w:rsid w:val="00052C91"/>
    <w:rsid w:val="00052E47"/>
    <w:rsid w:val="00052E90"/>
    <w:rsid w:val="00052FE1"/>
    <w:rsid w:val="000530F7"/>
    <w:rsid w:val="0005323E"/>
    <w:rsid w:val="0005324A"/>
    <w:rsid w:val="0005324C"/>
    <w:rsid w:val="0005326E"/>
    <w:rsid w:val="0005327A"/>
    <w:rsid w:val="000534C5"/>
    <w:rsid w:val="0005350A"/>
    <w:rsid w:val="0005359E"/>
    <w:rsid w:val="000535B1"/>
    <w:rsid w:val="00053677"/>
    <w:rsid w:val="0005377B"/>
    <w:rsid w:val="0005396C"/>
    <w:rsid w:val="00053A5D"/>
    <w:rsid w:val="00053B36"/>
    <w:rsid w:val="00053B77"/>
    <w:rsid w:val="00053D7C"/>
    <w:rsid w:val="00053DB7"/>
    <w:rsid w:val="00053DBF"/>
    <w:rsid w:val="00053EBD"/>
    <w:rsid w:val="00053EDA"/>
    <w:rsid w:val="00053F82"/>
    <w:rsid w:val="00054036"/>
    <w:rsid w:val="0005411D"/>
    <w:rsid w:val="00054186"/>
    <w:rsid w:val="0005418A"/>
    <w:rsid w:val="0005428B"/>
    <w:rsid w:val="000542C1"/>
    <w:rsid w:val="00054302"/>
    <w:rsid w:val="00054315"/>
    <w:rsid w:val="00054329"/>
    <w:rsid w:val="00054462"/>
    <w:rsid w:val="0005447F"/>
    <w:rsid w:val="00054485"/>
    <w:rsid w:val="000544AA"/>
    <w:rsid w:val="000544AC"/>
    <w:rsid w:val="000544DB"/>
    <w:rsid w:val="00054584"/>
    <w:rsid w:val="000545AD"/>
    <w:rsid w:val="000545B8"/>
    <w:rsid w:val="000546AB"/>
    <w:rsid w:val="000546E2"/>
    <w:rsid w:val="000546E9"/>
    <w:rsid w:val="000546F5"/>
    <w:rsid w:val="0005472B"/>
    <w:rsid w:val="0005476C"/>
    <w:rsid w:val="0005476E"/>
    <w:rsid w:val="0005480C"/>
    <w:rsid w:val="000548B1"/>
    <w:rsid w:val="000548F1"/>
    <w:rsid w:val="000548FA"/>
    <w:rsid w:val="0005495F"/>
    <w:rsid w:val="0005498A"/>
    <w:rsid w:val="00054AB5"/>
    <w:rsid w:val="00054B5A"/>
    <w:rsid w:val="00054C61"/>
    <w:rsid w:val="00054D99"/>
    <w:rsid w:val="00054EDD"/>
    <w:rsid w:val="00054EF0"/>
    <w:rsid w:val="00054F6A"/>
    <w:rsid w:val="00054F70"/>
    <w:rsid w:val="00054FEE"/>
    <w:rsid w:val="000550BF"/>
    <w:rsid w:val="00055116"/>
    <w:rsid w:val="00055186"/>
    <w:rsid w:val="000551E4"/>
    <w:rsid w:val="0005524B"/>
    <w:rsid w:val="0005526C"/>
    <w:rsid w:val="0005527D"/>
    <w:rsid w:val="00055284"/>
    <w:rsid w:val="000553F5"/>
    <w:rsid w:val="00055403"/>
    <w:rsid w:val="0005542B"/>
    <w:rsid w:val="000554EE"/>
    <w:rsid w:val="000555DB"/>
    <w:rsid w:val="000555F8"/>
    <w:rsid w:val="00055607"/>
    <w:rsid w:val="000556C8"/>
    <w:rsid w:val="00055747"/>
    <w:rsid w:val="000557BE"/>
    <w:rsid w:val="000557F5"/>
    <w:rsid w:val="00055853"/>
    <w:rsid w:val="000558E6"/>
    <w:rsid w:val="00055903"/>
    <w:rsid w:val="00055A07"/>
    <w:rsid w:val="00055A0B"/>
    <w:rsid w:val="00055A6A"/>
    <w:rsid w:val="00055B17"/>
    <w:rsid w:val="00055B5C"/>
    <w:rsid w:val="00055BFF"/>
    <w:rsid w:val="00055C80"/>
    <w:rsid w:val="00055CEB"/>
    <w:rsid w:val="00055D1D"/>
    <w:rsid w:val="00055D1F"/>
    <w:rsid w:val="00055D9F"/>
    <w:rsid w:val="00055DA1"/>
    <w:rsid w:val="00055DAA"/>
    <w:rsid w:val="00055DAF"/>
    <w:rsid w:val="00055E97"/>
    <w:rsid w:val="00055EEC"/>
    <w:rsid w:val="000560A2"/>
    <w:rsid w:val="000560FD"/>
    <w:rsid w:val="0005613A"/>
    <w:rsid w:val="0005613F"/>
    <w:rsid w:val="0005616A"/>
    <w:rsid w:val="000561AA"/>
    <w:rsid w:val="000561CE"/>
    <w:rsid w:val="00056206"/>
    <w:rsid w:val="00056223"/>
    <w:rsid w:val="000562F9"/>
    <w:rsid w:val="00056330"/>
    <w:rsid w:val="000563E5"/>
    <w:rsid w:val="000563F5"/>
    <w:rsid w:val="0005646F"/>
    <w:rsid w:val="000566F6"/>
    <w:rsid w:val="00056713"/>
    <w:rsid w:val="00056770"/>
    <w:rsid w:val="000567AD"/>
    <w:rsid w:val="00056896"/>
    <w:rsid w:val="00056992"/>
    <w:rsid w:val="000569FE"/>
    <w:rsid w:val="00056A7F"/>
    <w:rsid w:val="00056AFA"/>
    <w:rsid w:val="00056BE7"/>
    <w:rsid w:val="00056C8C"/>
    <w:rsid w:val="00056D48"/>
    <w:rsid w:val="00056DDA"/>
    <w:rsid w:val="00056E7F"/>
    <w:rsid w:val="00056EE8"/>
    <w:rsid w:val="00056F94"/>
    <w:rsid w:val="00056FA5"/>
    <w:rsid w:val="0005706C"/>
    <w:rsid w:val="00057087"/>
    <w:rsid w:val="000570C1"/>
    <w:rsid w:val="00057118"/>
    <w:rsid w:val="0005718D"/>
    <w:rsid w:val="00057246"/>
    <w:rsid w:val="00057275"/>
    <w:rsid w:val="00057375"/>
    <w:rsid w:val="000573AD"/>
    <w:rsid w:val="0005759B"/>
    <w:rsid w:val="00057628"/>
    <w:rsid w:val="00057633"/>
    <w:rsid w:val="00057659"/>
    <w:rsid w:val="00057677"/>
    <w:rsid w:val="00057733"/>
    <w:rsid w:val="00057773"/>
    <w:rsid w:val="000577BC"/>
    <w:rsid w:val="000577FA"/>
    <w:rsid w:val="0005788C"/>
    <w:rsid w:val="000578BD"/>
    <w:rsid w:val="000578EA"/>
    <w:rsid w:val="00057926"/>
    <w:rsid w:val="00057940"/>
    <w:rsid w:val="000579B9"/>
    <w:rsid w:val="00057A8C"/>
    <w:rsid w:val="00057AD4"/>
    <w:rsid w:val="00057B4D"/>
    <w:rsid w:val="00057B67"/>
    <w:rsid w:val="00057BA9"/>
    <w:rsid w:val="00057BBB"/>
    <w:rsid w:val="00057C23"/>
    <w:rsid w:val="00057CD1"/>
    <w:rsid w:val="00057D74"/>
    <w:rsid w:val="00057DFE"/>
    <w:rsid w:val="0005E7D1"/>
    <w:rsid w:val="00060016"/>
    <w:rsid w:val="000600C6"/>
    <w:rsid w:val="00060125"/>
    <w:rsid w:val="0006019B"/>
    <w:rsid w:val="000601DA"/>
    <w:rsid w:val="000602CB"/>
    <w:rsid w:val="0006032B"/>
    <w:rsid w:val="0006032C"/>
    <w:rsid w:val="00060370"/>
    <w:rsid w:val="000604F2"/>
    <w:rsid w:val="00060503"/>
    <w:rsid w:val="00060504"/>
    <w:rsid w:val="0006056A"/>
    <w:rsid w:val="000605E0"/>
    <w:rsid w:val="0006064B"/>
    <w:rsid w:val="00060677"/>
    <w:rsid w:val="000606E2"/>
    <w:rsid w:val="000606E5"/>
    <w:rsid w:val="00060813"/>
    <w:rsid w:val="00060852"/>
    <w:rsid w:val="000609A4"/>
    <w:rsid w:val="00060A55"/>
    <w:rsid w:val="00060AA0"/>
    <w:rsid w:val="00060B06"/>
    <w:rsid w:val="00060B98"/>
    <w:rsid w:val="00060C4A"/>
    <w:rsid w:val="00060C78"/>
    <w:rsid w:val="00060CCA"/>
    <w:rsid w:val="00060DCE"/>
    <w:rsid w:val="00060DFF"/>
    <w:rsid w:val="00060E79"/>
    <w:rsid w:val="00060F33"/>
    <w:rsid w:val="00060F6C"/>
    <w:rsid w:val="00060F73"/>
    <w:rsid w:val="00060FB6"/>
    <w:rsid w:val="00060FDA"/>
    <w:rsid w:val="00060FE7"/>
    <w:rsid w:val="00060FFE"/>
    <w:rsid w:val="00061058"/>
    <w:rsid w:val="00061139"/>
    <w:rsid w:val="00061276"/>
    <w:rsid w:val="000612F6"/>
    <w:rsid w:val="0006132E"/>
    <w:rsid w:val="00061363"/>
    <w:rsid w:val="000613E5"/>
    <w:rsid w:val="00061422"/>
    <w:rsid w:val="000614BF"/>
    <w:rsid w:val="000614D3"/>
    <w:rsid w:val="0006158C"/>
    <w:rsid w:val="00061607"/>
    <w:rsid w:val="0006161F"/>
    <w:rsid w:val="00061620"/>
    <w:rsid w:val="000616F5"/>
    <w:rsid w:val="0006170F"/>
    <w:rsid w:val="00061767"/>
    <w:rsid w:val="000617A3"/>
    <w:rsid w:val="000617A8"/>
    <w:rsid w:val="000618A6"/>
    <w:rsid w:val="000618CB"/>
    <w:rsid w:val="000618E1"/>
    <w:rsid w:val="000618FF"/>
    <w:rsid w:val="00061920"/>
    <w:rsid w:val="00061946"/>
    <w:rsid w:val="0006198F"/>
    <w:rsid w:val="000619B2"/>
    <w:rsid w:val="00061A35"/>
    <w:rsid w:val="00061B79"/>
    <w:rsid w:val="00061BEE"/>
    <w:rsid w:val="00061C28"/>
    <w:rsid w:val="00061CA7"/>
    <w:rsid w:val="00061CA8"/>
    <w:rsid w:val="00061D36"/>
    <w:rsid w:val="00061D7C"/>
    <w:rsid w:val="00061DC7"/>
    <w:rsid w:val="00061DDC"/>
    <w:rsid w:val="00061DE0"/>
    <w:rsid w:val="00061E77"/>
    <w:rsid w:val="00061E7C"/>
    <w:rsid w:val="00061EFD"/>
    <w:rsid w:val="00061F23"/>
    <w:rsid w:val="000620B3"/>
    <w:rsid w:val="000621A5"/>
    <w:rsid w:val="00062239"/>
    <w:rsid w:val="00062274"/>
    <w:rsid w:val="00062295"/>
    <w:rsid w:val="000622AD"/>
    <w:rsid w:val="000622BF"/>
    <w:rsid w:val="00062391"/>
    <w:rsid w:val="0006250F"/>
    <w:rsid w:val="0006251C"/>
    <w:rsid w:val="0006255B"/>
    <w:rsid w:val="00062686"/>
    <w:rsid w:val="000626E8"/>
    <w:rsid w:val="00062703"/>
    <w:rsid w:val="000627DD"/>
    <w:rsid w:val="000627FB"/>
    <w:rsid w:val="00062831"/>
    <w:rsid w:val="000629B0"/>
    <w:rsid w:val="00062A65"/>
    <w:rsid w:val="00062AED"/>
    <w:rsid w:val="00062C26"/>
    <w:rsid w:val="00062C62"/>
    <w:rsid w:val="00062CB0"/>
    <w:rsid w:val="00062D58"/>
    <w:rsid w:val="00062EA7"/>
    <w:rsid w:val="00062FDC"/>
    <w:rsid w:val="00063003"/>
    <w:rsid w:val="0006300F"/>
    <w:rsid w:val="00063071"/>
    <w:rsid w:val="0006307F"/>
    <w:rsid w:val="0006310D"/>
    <w:rsid w:val="00063118"/>
    <w:rsid w:val="0006314A"/>
    <w:rsid w:val="00063165"/>
    <w:rsid w:val="0006316A"/>
    <w:rsid w:val="0006317E"/>
    <w:rsid w:val="000631D3"/>
    <w:rsid w:val="000632E7"/>
    <w:rsid w:val="00063345"/>
    <w:rsid w:val="0006334B"/>
    <w:rsid w:val="000633AF"/>
    <w:rsid w:val="000633DB"/>
    <w:rsid w:val="00063404"/>
    <w:rsid w:val="00063416"/>
    <w:rsid w:val="0006345B"/>
    <w:rsid w:val="0006351B"/>
    <w:rsid w:val="00063538"/>
    <w:rsid w:val="00063583"/>
    <w:rsid w:val="000635B6"/>
    <w:rsid w:val="000635FB"/>
    <w:rsid w:val="00063623"/>
    <w:rsid w:val="0006363A"/>
    <w:rsid w:val="000636A3"/>
    <w:rsid w:val="000636BB"/>
    <w:rsid w:val="000636C6"/>
    <w:rsid w:val="000637BB"/>
    <w:rsid w:val="0006395F"/>
    <w:rsid w:val="00063A24"/>
    <w:rsid w:val="00063A3C"/>
    <w:rsid w:val="00063A48"/>
    <w:rsid w:val="00063A69"/>
    <w:rsid w:val="00063A7D"/>
    <w:rsid w:val="00063A8D"/>
    <w:rsid w:val="00063AC8"/>
    <w:rsid w:val="00063AD8"/>
    <w:rsid w:val="00063BDC"/>
    <w:rsid w:val="00063C54"/>
    <w:rsid w:val="00063C7C"/>
    <w:rsid w:val="00063C9B"/>
    <w:rsid w:val="00063D05"/>
    <w:rsid w:val="00063D34"/>
    <w:rsid w:val="00063DC1"/>
    <w:rsid w:val="00063DF3"/>
    <w:rsid w:val="00063E8A"/>
    <w:rsid w:val="00063EA4"/>
    <w:rsid w:val="00063EA8"/>
    <w:rsid w:val="00063EC5"/>
    <w:rsid w:val="00063EDF"/>
    <w:rsid w:val="00063F2B"/>
    <w:rsid w:val="00063F43"/>
    <w:rsid w:val="00063F7F"/>
    <w:rsid w:val="00063F97"/>
    <w:rsid w:val="00063FFE"/>
    <w:rsid w:val="0006403F"/>
    <w:rsid w:val="000640A0"/>
    <w:rsid w:val="00064162"/>
    <w:rsid w:val="000641AE"/>
    <w:rsid w:val="000641F7"/>
    <w:rsid w:val="0006425A"/>
    <w:rsid w:val="000642A5"/>
    <w:rsid w:val="000642B6"/>
    <w:rsid w:val="00064439"/>
    <w:rsid w:val="0006449B"/>
    <w:rsid w:val="000644F3"/>
    <w:rsid w:val="00064509"/>
    <w:rsid w:val="00064576"/>
    <w:rsid w:val="000645DC"/>
    <w:rsid w:val="00064608"/>
    <w:rsid w:val="0006460C"/>
    <w:rsid w:val="0006464A"/>
    <w:rsid w:val="00064709"/>
    <w:rsid w:val="00064723"/>
    <w:rsid w:val="00064775"/>
    <w:rsid w:val="0006488D"/>
    <w:rsid w:val="000648BB"/>
    <w:rsid w:val="000648DF"/>
    <w:rsid w:val="00064934"/>
    <w:rsid w:val="000649FE"/>
    <w:rsid w:val="00064AF1"/>
    <w:rsid w:val="00064AF8"/>
    <w:rsid w:val="00064B17"/>
    <w:rsid w:val="00064BDC"/>
    <w:rsid w:val="00064BF0"/>
    <w:rsid w:val="00064D76"/>
    <w:rsid w:val="00064ECE"/>
    <w:rsid w:val="00064FC7"/>
    <w:rsid w:val="00065078"/>
    <w:rsid w:val="000650EF"/>
    <w:rsid w:val="000651D2"/>
    <w:rsid w:val="00065210"/>
    <w:rsid w:val="0006525D"/>
    <w:rsid w:val="0006525F"/>
    <w:rsid w:val="000652EF"/>
    <w:rsid w:val="00065300"/>
    <w:rsid w:val="00065327"/>
    <w:rsid w:val="000653D8"/>
    <w:rsid w:val="000653F1"/>
    <w:rsid w:val="0006545B"/>
    <w:rsid w:val="000654C8"/>
    <w:rsid w:val="000654CA"/>
    <w:rsid w:val="000654E4"/>
    <w:rsid w:val="000654EC"/>
    <w:rsid w:val="000654F8"/>
    <w:rsid w:val="00065519"/>
    <w:rsid w:val="00065609"/>
    <w:rsid w:val="00065784"/>
    <w:rsid w:val="000657A8"/>
    <w:rsid w:val="000657AB"/>
    <w:rsid w:val="000657D3"/>
    <w:rsid w:val="000658E1"/>
    <w:rsid w:val="000659AC"/>
    <w:rsid w:val="00065A1A"/>
    <w:rsid w:val="00065D05"/>
    <w:rsid w:val="00065D6D"/>
    <w:rsid w:val="00065DCC"/>
    <w:rsid w:val="00065E58"/>
    <w:rsid w:val="00065ECF"/>
    <w:rsid w:val="00065F4E"/>
    <w:rsid w:val="00065FCF"/>
    <w:rsid w:val="00066077"/>
    <w:rsid w:val="0006610D"/>
    <w:rsid w:val="00066136"/>
    <w:rsid w:val="00066215"/>
    <w:rsid w:val="00066286"/>
    <w:rsid w:val="000662A0"/>
    <w:rsid w:val="000662C2"/>
    <w:rsid w:val="00066374"/>
    <w:rsid w:val="000664B7"/>
    <w:rsid w:val="000664D9"/>
    <w:rsid w:val="0006658B"/>
    <w:rsid w:val="000665B5"/>
    <w:rsid w:val="000665FC"/>
    <w:rsid w:val="0006661F"/>
    <w:rsid w:val="00066684"/>
    <w:rsid w:val="000666C7"/>
    <w:rsid w:val="00066705"/>
    <w:rsid w:val="00066A83"/>
    <w:rsid w:val="00066AA6"/>
    <w:rsid w:val="00066AD3"/>
    <w:rsid w:val="00066B4E"/>
    <w:rsid w:val="00066D26"/>
    <w:rsid w:val="00066D57"/>
    <w:rsid w:val="00066E51"/>
    <w:rsid w:val="00066EA9"/>
    <w:rsid w:val="00066ED6"/>
    <w:rsid w:val="00066ED8"/>
    <w:rsid w:val="00066F03"/>
    <w:rsid w:val="00066FA2"/>
    <w:rsid w:val="00066FAA"/>
    <w:rsid w:val="00066FD6"/>
    <w:rsid w:val="00067025"/>
    <w:rsid w:val="000670C4"/>
    <w:rsid w:val="000670D7"/>
    <w:rsid w:val="000670E4"/>
    <w:rsid w:val="000670EA"/>
    <w:rsid w:val="0006729D"/>
    <w:rsid w:val="000672D9"/>
    <w:rsid w:val="00067385"/>
    <w:rsid w:val="000673ED"/>
    <w:rsid w:val="000673EF"/>
    <w:rsid w:val="00067429"/>
    <w:rsid w:val="00067483"/>
    <w:rsid w:val="0006756F"/>
    <w:rsid w:val="000675BD"/>
    <w:rsid w:val="000675CB"/>
    <w:rsid w:val="000675F6"/>
    <w:rsid w:val="000676B8"/>
    <w:rsid w:val="00067750"/>
    <w:rsid w:val="00067770"/>
    <w:rsid w:val="0006779E"/>
    <w:rsid w:val="000677DE"/>
    <w:rsid w:val="000677F9"/>
    <w:rsid w:val="0006787E"/>
    <w:rsid w:val="000678AF"/>
    <w:rsid w:val="000678E9"/>
    <w:rsid w:val="000678F1"/>
    <w:rsid w:val="000678FD"/>
    <w:rsid w:val="0006792F"/>
    <w:rsid w:val="000679F2"/>
    <w:rsid w:val="00067A85"/>
    <w:rsid w:val="00067C9F"/>
    <w:rsid w:val="00067CB7"/>
    <w:rsid w:val="00067D3A"/>
    <w:rsid w:val="00067D4D"/>
    <w:rsid w:val="00067DAA"/>
    <w:rsid w:val="00067E64"/>
    <w:rsid w:val="00067FA3"/>
    <w:rsid w:val="00070022"/>
    <w:rsid w:val="0007024E"/>
    <w:rsid w:val="0007028A"/>
    <w:rsid w:val="00070312"/>
    <w:rsid w:val="00070369"/>
    <w:rsid w:val="00070434"/>
    <w:rsid w:val="000704B6"/>
    <w:rsid w:val="000704E0"/>
    <w:rsid w:val="0007051A"/>
    <w:rsid w:val="00070578"/>
    <w:rsid w:val="00070591"/>
    <w:rsid w:val="000705BA"/>
    <w:rsid w:val="000705C0"/>
    <w:rsid w:val="000705EE"/>
    <w:rsid w:val="0007067A"/>
    <w:rsid w:val="0007067D"/>
    <w:rsid w:val="00070698"/>
    <w:rsid w:val="00070718"/>
    <w:rsid w:val="000707C1"/>
    <w:rsid w:val="0007080E"/>
    <w:rsid w:val="00070865"/>
    <w:rsid w:val="00070A09"/>
    <w:rsid w:val="00070AAA"/>
    <w:rsid w:val="00070B23"/>
    <w:rsid w:val="00070B49"/>
    <w:rsid w:val="00070B71"/>
    <w:rsid w:val="00070CF4"/>
    <w:rsid w:val="00070D38"/>
    <w:rsid w:val="00070DC2"/>
    <w:rsid w:val="00070E3C"/>
    <w:rsid w:val="00070F23"/>
    <w:rsid w:val="00070FA0"/>
    <w:rsid w:val="00070FF8"/>
    <w:rsid w:val="00071009"/>
    <w:rsid w:val="00071028"/>
    <w:rsid w:val="00071097"/>
    <w:rsid w:val="0007109E"/>
    <w:rsid w:val="000710B5"/>
    <w:rsid w:val="000710F6"/>
    <w:rsid w:val="00071200"/>
    <w:rsid w:val="00071202"/>
    <w:rsid w:val="0007122E"/>
    <w:rsid w:val="000712AB"/>
    <w:rsid w:val="00071314"/>
    <w:rsid w:val="0007134D"/>
    <w:rsid w:val="000713A7"/>
    <w:rsid w:val="000713D9"/>
    <w:rsid w:val="0007143B"/>
    <w:rsid w:val="000714FE"/>
    <w:rsid w:val="00071673"/>
    <w:rsid w:val="00071750"/>
    <w:rsid w:val="0007178E"/>
    <w:rsid w:val="00071849"/>
    <w:rsid w:val="000718E4"/>
    <w:rsid w:val="0007194B"/>
    <w:rsid w:val="000719BF"/>
    <w:rsid w:val="00071ACB"/>
    <w:rsid w:val="00071C1E"/>
    <w:rsid w:val="00071C3F"/>
    <w:rsid w:val="00071D23"/>
    <w:rsid w:val="00071D9C"/>
    <w:rsid w:val="00071DBA"/>
    <w:rsid w:val="00071DC4"/>
    <w:rsid w:val="00071DE5"/>
    <w:rsid w:val="00071E2A"/>
    <w:rsid w:val="00071EBC"/>
    <w:rsid w:val="00071FB0"/>
    <w:rsid w:val="00071FDD"/>
    <w:rsid w:val="00072033"/>
    <w:rsid w:val="000721F1"/>
    <w:rsid w:val="00072244"/>
    <w:rsid w:val="000722CB"/>
    <w:rsid w:val="000722D1"/>
    <w:rsid w:val="00072464"/>
    <w:rsid w:val="000724CC"/>
    <w:rsid w:val="000725D8"/>
    <w:rsid w:val="00072620"/>
    <w:rsid w:val="00072667"/>
    <w:rsid w:val="0007268B"/>
    <w:rsid w:val="000726F3"/>
    <w:rsid w:val="0007279B"/>
    <w:rsid w:val="00072806"/>
    <w:rsid w:val="00072852"/>
    <w:rsid w:val="00072875"/>
    <w:rsid w:val="000728EF"/>
    <w:rsid w:val="000729D4"/>
    <w:rsid w:val="000729E1"/>
    <w:rsid w:val="00072AC6"/>
    <w:rsid w:val="00072B26"/>
    <w:rsid w:val="00072B4F"/>
    <w:rsid w:val="00072B61"/>
    <w:rsid w:val="00072B7D"/>
    <w:rsid w:val="00072C97"/>
    <w:rsid w:val="00072CAE"/>
    <w:rsid w:val="00072CE5"/>
    <w:rsid w:val="00072D61"/>
    <w:rsid w:val="00072E78"/>
    <w:rsid w:val="00072EC1"/>
    <w:rsid w:val="00072F2C"/>
    <w:rsid w:val="00072F63"/>
    <w:rsid w:val="000730E6"/>
    <w:rsid w:val="0007311C"/>
    <w:rsid w:val="0007319B"/>
    <w:rsid w:val="000731DE"/>
    <w:rsid w:val="00073207"/>
    <w:rsid w:val="000732B3"/>
    <w:rsid w:val="000732CD"/>
    <w:rsid w:val="000733E7"/>
    <w:rsid w:val="0007346E"/>
    <w:rsid w:val="00073497"/>
    <w:rsid w:val="000734BB"/>
    <w:rsid w:val="000734C6"/>
    <w:rsid w:val="000734C8"/>
    <w:rsid w:val="00073578"/>
    <w:rsid w:val="0007357A"/>
    <w:rsid w:val="00073620"/>
    <w:rsid w:val="00073707"/>
    <w:rsid w:val="0007371F"/>
    <w:rsid w:val="00073736"/>
    <w:rsid w:val="0007377D"/>
    <w:rsid w:val="00073855"/>
    <w:rsid w:val="000738CE"/>
    <w:rsid w:val="00073A3C"/>
    <w:rsid w:val="00073B01"/>
    <w:rsid w:val="00073B30"/>
    <w:rsid w:val="00073B42"/>
    <w:rsid w:val="00073B5A"/>
    <w:rsid w:val="00073BB2"/>
    <w:rsid w:val="00073C16"/>
    <w:rsid w:val="00073C29"/>
    <w:rsid w:val="00073CEA"/>
    <w:rsid w:val="00073D35"/>
    <w:rsid w:val="00073DA1"/>
    <w:rsid w:val="00073DE9"/>
    <w:rsid w:val="00073DF9"/>
    <w:rsid w:val="00073E4F"/>
    <w:rsid w:val="00073E59"/>
    <w:rsid w:val="00073ECC"/>
    <w:rsid w:val="00073EDB"/>
    <w:rsid w:val="00073EDC"/>
    <w:rsid w:val="00073F5C"/>
    <w:rsid w:val="00073FA3"/>
    <w:rsid w:val="00073FE7"/>
    <w:rsid w:val="00073FE9"/>
    <w:rsid w:val="00074090"/>
    <w:rsid w:val="00074151"/>
    <w:rsid w:val="0007415B"/>
    <w:rsid w:val="00074303"/>
    <w:rsid w:val="0007442F"/>
    <w:rsid w:val="00074497"/>
    <w:rsid w:val="00074498"/>
    <w:rsid w:val="0007451F"/>
    <w:rsid w:val="000745BF"/>
    <w:rsid w:val="0007471B"/>
    <w:rsid w:val="00074769"/>
    <w:rsid w:val="00074774"/>
    <w:rsid w:val="000747C4"/>
    <w:rsid w:val="000747D8"/>
    <w:rsid w:val="00074831"/>
    <w:rsid w:val="00074895"/>
    <w:rsid w:val="000748CD"/>
    <w:rsid w:val="00074AE2"/>
    <w:rsid w:val="00074B1F"/>
    <w:rsid w:val="00074C2E"/>
    <w:rsid w:val="00074DBE"/>
    <w:rsid w:val="00074E10"/>
    <w:rsid w:val="00074EC7"/>
    <w:rsid w:val="000750B5"/>
    <w:rsid w:val="000750D9"/>
    <w:rsid w:val="000750F6"/>
    <w:rsid w:val="00075176"/>
    <w:rsid w:val="000752C6"/>
    <w:rsid w:val="00075310"/>
    <w:rsid w:val="00075341"/>
    <w:rsid w:val="0007539E"/>
    <w:rsid w:val="00075421"/>
    <w:rsid w:val="0007566E"/>
    <w:rsid w:val="000756CA"/>
    <w:rsid w:val="0007573A"/>
    <w:rsid w:val="00075823"/>
    <w:rsid w:val="00075838"/>
    <w:rsid w:val="00075863"/>
    <w:rsid w:val="000758B1"/>
    <w:rsid w:val="00075908"/>
    <w:rsid w:val="0007593E"/>
    <w:rsid w:val="0007599F"/>
    <w:rsid w:val="00075A13"/>
    <w:rsid w:val="00075AFD"/>
    <w:rsid w:val="00075B47"/>
    <w:rsid w:val="00075B4E"/>
    <w:rsid w:val="00075B6A"/>
    <w:rsid w:val="00075C27"/>
    <w:rsid w:val="00075C2E"/>
    <w:rsid w:val="00075CB9"/>
    <w:rsid w:val="00075CBE"/>
    <w:rsid w:val="00075D2C"/>
    <w:rsid w:val="00075D51"/>
    <w:rsid w:val="00075E8D"/>
    <w:rsid w:val="00075E99"/>
    <w:rsid w:val="00075EAA"/>
    <w:rsid w:val="00075F08"/>
    <w:rsid w:val="00075F18"/>
    <w:rsid w:val="00075F80"/>
    <w:rsid w:val="00075F9E"/>
    <w:rsid w:val="0007604E"/>
    <w:rsid w:val="000760BE"/>
    <w:rsid w:val="0007616F"/>
    <w:rsid w:val="00076260"/>
    <w:rsid w:val="00076290"/>
    <w:rsid w:val="00076344"/>
    <w:rsid w:val="0007639A"/>
    <w:rsid w:val="0007639F"/>
    <w:rsid w:val="0007645B"/>
    <w:rsid w:val="00076483"/>
    <w:rsid w:val="0007648B"/>
    <w:rsid w:val="000764B7"/>
    <w:rsid w:val="000764F1"/>
    <w:rsid w:val="0007651D"/>
    <w:rsid w:val="00076530"/>
    <w:rsid w:val="00076540"/>
    <w:rsid w:val="0007656E"/>
    <w:rsid w:val="000765B6"/>
    <w:rsid w:val="0007668D"/>
    <w:rsid w:val="000766D4"/>
    <w:rsid w:val="00076761"/>
    <w:rsid w:val="000767CB"/>
    <w:rsid w:val="0007684A"/>
    <w:rsid w:val="000768E1"/>
    <w:rsid w:val="00076939"/>
    <w:rsid w:val="000769A8"/>
    <w:rsid w:val="00076A59"/>
    <w:rsid w:val="00076A8A"/>
    <w:rsid w:val="00076C78"/>
    <w:rsid w:val="00076CD6"/>
    <w:rsid w:val="00076D3A"/>
    <w:rsid w:val="00076D85"/>
    <w:rsid w:val="00076E1E"/>
    <w:rsid w:val="00076E45"/>
    <w:rsid w:val="00076F0D"/>
    <w:rsid w:val="00076F95"/>
    <w:rsid w:val="00077019"/>
    <w:rsid w:val="000771BD"/>
    <w:rsid w:val="0007722D"/>
    <w:rsid w:val="000772AC"/>
    <w:rsid w:val="000773BA"/>
    <w:rsid w:val="000773F0"/>
    <w:rsid w:val="0007743B"/>
    <w:rsid w:val="00077446"/>
    <w:rsid w:val="00077454"/>
    <w:rsid w:val="000774CD"/>
    <w:rsid w:val="000774EA"/>
    <w:rsid w:val="000774FA"/>
    <w:rsid w:val="00077621"/>
    <w:rsid w:val="00077634"/>
    <w:rsid w:val="0007764B"/>
    <w:rsid w:val="00077656"/>
    <w:rsid w:val="00077676"/>
    <w:rsid w:val="0007771F"/>
    <w:rsid w:val="00077754"/>
    <w:rsid w:val="00077808"/>
    <w:rsid w:val="0007798C"/>
    <w:rsid w:val="000779CB"/>
    <w:rsid w:val="00077A18"/>
    <w:rsid w:val="00077A5E"/>
    <w:rsid w:val="00077A8C"/>
    <w:rsid w:val="00077AE4"/>
    <w:rsid w:val="00077AF6"/>
    <w:rsid w:val="00077B33"/>
    <w:rsid w:val="00077BCB"/>
    <w:rsid w:val="00077BD6"/>
    <w:rsid w:val="00077D76"/>
    <w:rsid w:val="00077DA7"/>
    <w:rsid w:val="00077EA4"/>
    <w:rsid w:val="00077EC5"/>
    <w:rsid w:val="00077EFF"/>
    <w:rsid w:val="00077F2E"/>
    <w:rsid w:val="00077F7A"/>
    <w:rsid w:val="00077FB5"/>
    <w:rsid w:val="0008004F"/>
    <w:rsid w:val="000800C9"/>
    <w:rsid w:val="000802C8"/>
    <w:rsid w:val="000803A5"/>
    <w:rsid w:val="000803DE"/>
    <w:rsid w:val="000803E1"/>
    <w:rsid w:val="000804B8"/>
    <w:rsid w:val="000804C6"/>
    <w:rsid w:val="0008057F"/>
    <w:rsid w:val="00080635"/>
    <w:rsid w:val="00080663"/>
    <w:rsid w:val="0008071E"/>
    <w:rsid w:val="0008071F"/>
    <w:rsid w:val="0008073E"/>
    <w:rsid w:val="00080753"/>
    <w:rsid w:val="000807CC"/>
    <w:rsid w:val="00080846"/>
    <w:rsid w:val="0008094C"/>
    <w:rsid w:val="00080A35"/>
    <w:rsid w:val="00080B10"/>
    <w:rsid w:val="00080B71"/>
    <w:rsid w:val="00080C1B"/>
    <w:rsid w:val="00080C5A"/>
    <w:rsid w:val="00080C81"/>
    <w:rsid w:val="00080CF6"/>
    <w:rsid w:val="00080D2B"/>
    <w:rsid w:val="00080D82"/>
    <w:rsid w:val="00080DF5"/>
    <w:rsid w:val="00080EAC"/>
    <w:rsid w:val="00080EAF"/>
    <w:rsid w:val="00080EEE"/>
    <w:rsid w:val="00080F0F"/>
    <w:rsid w:val="00080F61"/>
    <w:rsid w:val="00080F9B"/>
    <w:rsid w:val="0008101D"/>
    <w:rsid w:val="000810C4"/>
    <w:rsid w:val="0008119F"/>
    <w:rsid w:val="00081214"/>
    <w:rsid w:val="000812AE"/>
    <w:rsid w:val="00081312"/>
    <w:rsid w:val="00081327"/>
    <w:rsid w:val="0008133D"/>
    <w:rsid w:val="000814B0"/>
    <w:rsid w:val="00081562"/>
    <w:rsid w:val="00081594"/>
    <w:rsid w:val="00081596"/>
    <w:rsid w:val="0008165F"/>
    <w:rsid w:val="0008167E"/>
    <w:rsid w:val="0008177D"/>
    <w:rsid w:val="000817D3"/>
    <w:rsid w:val="00081819"/>
    <w:rsid w:val="0008190F"/>
    <w:rsid w:val="00081910"/>
    <w:rsid w:val="00081BB1"/>
    <w:rsid w:val="00081BC4"/>
    <w:rsid w:val="00081C41"/>
    <w:rsid w:val="00081DB6"/>
    <w:rsid w:val="00081E46"/>
    <w:rsid w:val="00081E53"/>
    <w:rsid w:val="00081E60"/>
    <w:rsid w:val="00081E73"/>
    <w:rsid w:val="00081ED9"/>
    <w:rsid w:val="00081EE6"/>
    <w:rsid w:val="00081EF6"/>
    <w:rsid w:val="00081F72"/>
    <w:rsid w:val="00081FFE"/>
    <w:rsid w:val="0008200D"/>
    <w:rsid w:val="0008205D"/>
    <w:rsid w:val="00082092"/>
    <w:rsid w:val="0008222C"/>
    <w:rsid w:val="0008225A"/>
    <w:rsid w:val="000822B3"/>
    <w:rsid w:val="0008233F"/>
    <w:rsid w:val="000823BB"/>
    <w:rsid w:val="000823BE"/>
    <w:rsid w:val="000823FE"/>
    <w:rsid w:val="00082464"/>
    <w:rsid w:val="000824A1"/>
    <w:rsid w:val="000824FB"/>
    <w:rsid w:val="00082500"/>
    <w:rsid w:val="0008254C"/>
    <w:rsid w:val="00082554"/>
    <w:rsid w:val="0008255A"/>
    <w:rsid w:val="0008261D"/>
    <w:rsid w:val="00082624"/>
    <w:rsid w:val="00082733"/>
    <w:rsid w:val="00082778"/>
    <w:rsid w:val="000827BC"/>
    <w:rsid w:val="000827C1"/>
    <w:rsid w:val="00082953"/>
    <w:rsid w:val="00082977"/>
    <w:rsid w:val="000829F4"/>
    <w:rsid w:val="00082A7D"/>
    <w:rsid w:val="00082B24"/>
    <w:rsid w:val="00082B3E"/>
    <w:rsid w:val="00082BC4"/>
    <w:rsid w:val="00082BE5"/>
    <w:rsid w:val="00082BE7"/>
    <w:rsid w:val="00082C38"/>
    <w:rsid w:val="00082CC6"/>
    <w:rsid w:val="00082CDE"/>
    <w:rsid w:val="00082CF9"/>
    <w:rsid w:val="00082DC4"/>
    <w:rsid w:val="00082EFA"/>
    <w:rsid w:val="00082F32"/>
    <w:rsid w:val="00082F6C"/>
    <w:rsid w:val="0008302A"/>
    <w:rsid w:val="00083091"/>
    <w:rsid w:val="000830E7"/>
    <w:rsid w:val="0008310F"/>
    <w:rsid w:val="00083396"/>
    <w:rsid w:val="0008350F"/>
    <w:rsid w:val="0008354B"/>
    <w:rsid w:val="000835FC"/>
    <w:rsid w:val="000836A3"/>
    <w:rsid w:val="000836D9"/>
    <w:rsid w:val="0008373D"/>
    <w:rsid w:val="00083744"/>
    <w:rsid w:val="00083817"/>
    <w:rsid w:val="00083892"/>
    <w:rsid w:val="00083AA4"/>
    <w:rsid w:val="00083AF3"/>
    <w:rsid w:val="00083B65"/>
    <w:rsid w:val="00083C0E"/>
    <w:rsid w:val="00083C10"/>
    <w:rsid w:val="00083C7E"/>
    <w:rsid w:val="00083E66"/>
    <w:rsid w:val="00083E83"/>
    <w:rsid w:val="00083F04"/>
    <w:rsid w:val="00083F54"/>
    <w:rsid w:val="00083F99"/>
    <w:rsid w:val="0008400D"/>
    <w:rsid w:val="0008401E"/>
    <w:rsid w:val="00084052"/>
    <w:rsid w:val="000840A0"/>
    <w:rsid w:val="000840AE"/>
    <w:rsid w:val="00084100"/>
    <w:rsid w:val="000841B6"/>
    <w:rsid w:val="000841B8"/>
    <w:rsid w:val="000841BE"/>
    <w:rsid w:val="000841C8"/>
    <w:rsid w:val="000841FD"/>
    <w:rsid w:val="00084217"/>
    <w:rsid w:val="000842FA"/>
    <w:rsid w:val="00084352"/>
    <w:rsid w:val="00084359"/>
    <w:rsid w:val="0008435E"/>
    <w:rsid w:val="00084408"/>
    <w:rsid w:val="000844B0"/>
    <w:rsid w:val="00084614"/>
    <w:rsid w:val="0008463A"/>
    <w:rsid w:val="0008473F"/>
    <w:rsid w:val="0008476A"/>
    <w:rsid w:val="000847BB"/>
    <w:rsid w:val="000847D7"/>
    <w:rsid w:val="0008483A"/>
    <w:rsid w:val="0008490C"/>
    <w:rsid w:val="0008491B"/>
    <w:rsid w:val="00084947"/>
    <w:rsid w:val="00084950"/>
    <w:rsid w:val="00084964"/>
    <w:rsid w:val="00084A5E"/>
    <w:rsid w:val="00084AD0"/>
    <w:rsid w:val="00084AE8"/>
    <w:rsid w:val="00084B7F"/>
    <w:rsid w:val="00084BA3"/>
    <w:rsid w:val="00084BC2"/>
    <w:rsid w:val="00084CA1"/>
    <w:rsid w:val="00084CCB"/>
    <w:rsid w:val="00084F42"/>
    <w:rsid w:val="00084F8B"/>
    <w:rsid w:val="00085078"/>
    <w:rsid w:val="000850FA"/>
    <w:rsid w:val="000851F1"/>
    <w:rsid w:val="00085343"/>
    <w:rsid w:val="0008536B"/>
    <w:rsid w:val="000853EF"/>
    <w:rsid w:val="0008543E"/>
    <w:rsid w:val="000854C7"/>
    <w:rsid w:val="00085568"/>
    <w:rsid w:val="0008557B"/>
    <w:rsid w:val="00085668"/>
    <w:rsid w:val="00085694"/>
    <w:rsid w:val="0008571D"/>
    <w:rsid w:val="0008582B"/>
    <w:rsid w:val="00085ACB"/>
    <w:rsid w:val="00085ADC"/>
    <w:rsid w:val="00085B44"/>
    <w:rsid w:val="00085C65"/>
    <w:rsid w:val="00085CF1"/>
    <w:rsid w:val="00085DE7"/>
    <w:rsid w:val="00085E8B"/>
    <w:rsid w:val="00085EDE"/>
    <w:rsid w:val="00085EE7"/>
    <w:rsid w:val="00085F9B"/>
    <w:rsid w:val="000861B8"/>
    <w:rsid w:val="000862BF"/>
    <w:rsid w:val="000862F7"/>
    <w:rsid w:val="00086322"/>
    <w:rsid w:val="000863C3"/>
    <w:rsid w:val="00086417"/>
    <w:rsid w:val="0008645D"/>
    <w:rsid w:val="000864E3"/>
    <w:rsid w:val="00086514"/>
    <w:rsid w:val="00086558"/>
    <w:rsid w:val="000865B7"/>
    <w:rsid w:val="000865F9"/>
    <w:rsid w:val="000867B1"/>
    <w:rsid w:val="0008683D"/>
    <w:rsid w:val="00086972"/>
    <w:rsid w:val="0008697D"/>
    <w:rsid w:val="0008699A"/>
    <w:rsid w:val="000869B4"/>
    <w:rsid w:val="00086A1E"/>
    <w:rsid w:val="00086A68"/>
    <w:rsid w:val="00086B04"/>
    <w:rsid w:val="00086CB7"/>
    <w:rsid w:val="00086CB9"/>
    <w:rsid w:val="00086D3A"/>
    <w:rsid w:val="00086D72"/>
    <w:rsid w:val="00086DD4"/>
    <w:rsid w:val="00086E8B"/>
    <w:rsid w:val="00086F63"/>
    <w:rsid w:val="00086F66"/>
    <w:rsid w:val="00086F8D"/>
    <w:rsid w:val="00086FB6"/>
    <w:rsid w:val="000870F4"/>
    <w:rsid w:val="00087189"/>
    <w:rsid w:val="0008718E"/>
    <w:rsid w:val="00087194"/>
    <w:rsid w:val="00087281"/>
    <w:rsid w:val="00087389"/>
    <w:rsid w:val="00087421"/>
    <w:rsid w:val="0008743D"/>
    <w:rsid w:val="0008743F"/>
    <w:rsid w:val="0008748B"/>
    <w:rsid w:val="0008749D"/>
    <w:rsid w:val="000874FE"/>
    <w:rsid w:val="00087564"/>
    <w:rsid w:val="00087666"/>
    <w:rsid w:val="00087674"/>
    <w:rsid w:val="0008768C"/>
    <w:rsid w:val="000876F6"/>
    <w:rsid w:val="00087889"/>
    <w:rsid w:val="0008788B"/>
    <w:rsid w:val="000878C9"/>
    <w:rsid w:val="000878E4"/>
    <w:rsid w:val="000879AD"/>
    <w:rsid w:val="00087A8C"/>
    <w:rsid w:val="00087B15"/>
    <w:rsid w:val="00087B9F"/>
    <w:rsid w:val="00087C63"/>
    <w:rsid w:val="00087C9F"/>
    <w:rsid w:val="00087D41"/>
    <w:rsid w:val="00087DA8"/>
    <w:rsid w:val="00087E17"/>
    <w:rsid w:val="00087E40"/>
    <w:rsid w:val="00087EC3"/>
    <w:rsid w:val="00087ED4"/>
    <w:rsid w:val="00087F4C"/>
    <w:rsid w:val="00087F8D"/>
    <w:rsid w:val="0009008C"/>
    <w:rsid w:val="000900BC"/>
    <w:rsid w:val="000900D0"/>
    <w:rsid w:val="000900E7"/>
    <w:rsid w:val="000900E8"/>
    <w:rsid w:val="00090137"/>
    <w:rsid w:val="0009014A"/>
    <w:rsid w:val="00090163"/>
    <w:rsid w:val="000901F8"/>
    <w:rsid w:val="000901FF"/>
    <w:rsid w:val="00090364"/>
    <w:rsid w:val="00090369"/>
    <w:rsid w:val="00090473"/>
    <w:rsid w:val="00090476"/>
    <w:rsid w:val="0009054F"/>
    <w:rsid w:val="00090552"/>
    <w:rsid w:val="00090596"/>
    <w:rsid w:val="00090619"/>
    <w:rsid w:val="0009067D"/>
    <w:rsid w:val="000906FB"/>
    <w:rsid w:val="0009095C"/>
    <w:rsid w:val="0009098E"/>
    <w:rsid w:val="00090998"/>
    <w:rsid w:val="00090A23"/>
    <w:rsid w:val="00090A6C"/>
    <w:rsid w:val="00090AFF"/>
    <w:rsid w:val="00090B2C"/>
    <w:rsid w:val="00090B69"/>
    <w:rsid w:val="00090BBF"/>
    <w:rsid w:val="00090CC4"/>
    <w:rsid w:val="00090CC7"/>
    <w:rsid w:val="00090CFC"/>
    <w:rsid w:val="00090D20"/>
    <w:rsid w:val="00090D5C"/>
    <w:rsid w:val="00090D79"/>
    <w:rsid w:val="00090DBB"/>
    <w:rsid w:val="00090E0F"/>
    <w:rsid w:val="00090E93"/>
    <w:rsid w:val="00090EB9"/>
    <w:rsid w:val="00090EBD"/>
    <w:rsid w:val="00090FC5"/>
    <w:rsid w:val="00090FCB"/>
    <w:rsid w:val="00090FDD"/>
    <w:rsid w:val="00090FE3"/>
    <w:rsid w:val="0009103C"/>
    <w:rsid w:val="00091055"/>
    <w:rsid w:val="00091059"/>
    <w:rsid w:val="0009109C"/>
    <w:rsid w:val="00091169"/>
    <w:rsid w:val="00091195"/>
    <w:rsid w:val="000911BE"/>
    <w:rsid w:val="0009121F"/>
    <w:rsid w:val="0009129C"/>
    <w:rsid w:val="0009141D"/>
    <w:rsid w:val="000914FA"/>
    <w:rsid w:val="00091551"/>
    <w:rsid w:val="0009156F"/>
    <w:rsid w:val="0009157D"/>
    <w:rsid w:val="0009159D"/>
    <w:rsid w:val="000915F3"/>
    <w:rsid w:val="0009167A"/>
    <w:rsid w:val="0009175B"/>
    <w:rsid w:val="000917C6"/>
    <w:rsid w:val="00091805"/>
    <w:rsid w:val="00091810"/>
    <w:rsid w:val="00091850"/>
    <w:rsid w:val="00091883"/>
    <w:rsid w:val="00091939"/>
    <w:rsid w:val="00091A5C"/>
    <w:rsid w:val="00091A6C"/>
    <w:rsid w:val="00091AFF"/>
    <w:rsid w:val="00091B62"/>
    <w:rsid w:val="00091B89"/>
    <w:rsid w:val="00091D55"/>
    <w:rsid w:val="00091D85"/>
    <w:rsid w:val="00091DE1"/>
    <w:rsid w:val="00091E41"/>
    <w:rsid w:val="00091E4B"/>
    <w:rsid w:val="00091EEF"/>
    <w:rsid w:val="00091FAE"/>
    <w:rsid w:val="000920CB"/>
    <w:rsid w:val="000921B3"/>
    <w:rsid w:val="000921B8"/>
    <w:rsid w:val="0009220A"/>
    <w:rsid w:val="0009222B"/>
    <w:rsid w:val="0009229F"/>
    <w:rsid w:val="000922DB"/>
    <w:rsid w:val="0009233C"/>
    <w:rsid w:val="0009236D"/>
    <w:rsid w:val="000923A2"/>
    <w:rsid w:val="000923B5"/>
    <w:rsid w:val="00092415"/>
    <w:rsid w:val="0009243F"/>
    <w:rsid w:val="00092496"/>
    <w:rsid w:val="000924BB"/>
    <w:rsid w:val="0009253F"/>
    <w:rsid w:val="000925AC"/>
    <w:rsid w:val="0009267A"/>
    <w:rsid w:val="00092680"/>
    <w:rsid w:val="00092704"/>
    <w:rsid w:val="0009275C"/>
    <w:rsid w:val="0009279E"/>
    <w:rsid w:val="00092809"/>
    <w:rsid w:val="0009282C"/>
    <w:rsid w:val="0009291F"/>
    <w:rsid w:val="00092A14"/>
    <w:rsid w:val="00092A7F"/>
    <w:rsid w:val="00092AA3"/>
    <w:rsid w:val="00092ADA"/>
    <w:rsid w:val="00092BB9"/>
    <w:rsid w:val="00092D97"/>
    <w:rsid w:val="00092DA7"/>
    <w:rsid w:val="00092DBB"/>
    <w:rsid w:val="00092DC2"/>
    <w:rsid w:val="00092DF4"/>
    <w:rsid w:val="00092F01"/>
    <w:rsid w:val="00092F10"/>
    <w:rsid w:val="00092F46"/>
    <w:rsid w:val="0009311F"/>
    <w:rsid w:val="00093124"/>
    <w:rsid w:val="000931AC"/>
    <w:rsid w:val="0009328D"/>
    <w:rsid w:val="00093339"/>
    <w:rsid w:val="00093381"/>
    <w:rsid w:val="00093467"/>
    <w:rsid w:val="000934D2"/>
    <w:rsid w:val="0009351E"/>
    <w:rsid w:val="000935D0"/>
    <w:rsid w:val="0009367F"/>
    <w:rsid w:val="0009370E"/>
    <w:rsid w:val="00093754"/>
    <w:rsid w:val="000937A9"/>
    <w:rsid w:val="000937E7"/>
    <w:rsid w:val="000938E1"/>
    <w:rsid w:val="00093925"/>
    <w:rsid w:val="000939EB"/>
    <w:rsid w:val="00093A5F"/>
    <w:rsid w:val="00093B16"/>
    <w:rsid w:val="00093CEC"/>
    <w:rsid w:val="00093D46"/>
    <w:rsid w:val="00093DF4"/>
    <w:rsid w:val="00093E5A"/>
    <w:rsid w:val="00093E6A"/>
    <w:rsid w:val="00093EA1"/>
    <w:rsid w:val="00093FEC"/>
    <w:rsid w:val="000940AA"/>
    <w:rsid w:val="000940DA"/>
    <w:rsid w:val="00094138"/>
    <w:rsid w:val="00094165"/>
    <w:rsid w:val="0009416B"/>
    <w:rsid w:val="0009422B"/>
    <w:rsid w:val="0009423D"/>
    <w:rsid w:val="00094316"/>
    <w:rsid w:val="00094346"/>
    <w:rsid w:val="00094355"/>
    <w:rsid w:val="00094384"/>
    <w:rsid w:val="0009440A"/>
    <w:rsid w:val="00094420"/>
    <w:rsid w:val="0009447D"/>
    <w:rsid w:val="000944A4"/>
    <w:rsid w:val="000944AA"/>
    <w:rsid w:val="000944BA"/>
    <w:rsid w:val="0009459D"/>
    <w:rsid w:val="000945BB"/>
    <w:rsid w:val="000945CA"/>
    <w:rsid w:val="00094646"/>
    <w:rsid w:val="000946AF"/>
    <w:rsid w:val="0009472D"/>
    <w:rsid w:val="00094797"/>
    <w:rsid w:val="0009491E"/>
    <w:rsid w:val="0009494E"/>
    <w:rsid w:val="000949B3"/>
    <w:rsid w:val="00094B31"/>
    <w:rsid w:val="00094B45"/>
    <w:rsid w:val="00094B6B"/>
    <w:rsid w:val="00094B6D"/>
    <w:rsid w:val="00094C04"/>
    <w:rsid w:val="00094C2A"/>
    <w:rsid w:val="00094C83"/>
    <w:rsid w:val="00094CBE"/>
    <w:rsid w:val="00094E29"/>
    <w:rsid w:val="00094E31"/>
    <w:rsid w:val="00094E9C"/>
    <w:rsid w:val="00094F14"/>
    <w:rsid w:val="00094F59"/>
    <w:rsid w:val="00095008"/>
    <w:rsid w:val="0009502A"/>
    <w:rsid w:val="00095057"/>
    <w:rsid w:val="0009508E"/>
    <w:rsid w:val="00095125"/>
    <w:rsid w:val="0009514B"/>
    <w:rsid w:val="00095205"/>
    <w:rsid w:val="0009521D"/>
    <w:rsid w:val="00095244"/>
    <w:rsid w:val="0009525B"/>
    <w:rsid w:val="000952D9"/>
    <w:rsid w:val="000953D7"/>
    <w:rsid w:val="000954F1"/>
    <w:rsid w:val="000955DB"/>
    <w:rsid w:val="00095658"/>
    <w:rsid w:val="000956EB"/>
    <w:rsid w:val="000956F0"/>
    <w:rsid w:val="00095719"/>
    <w:rsid w:val="000957AA"/>
    <w:rsid w:val="00095877"/>
    <w:rsid w:val="000958B7"/>
    <w:rsid w:val="00095935"/>
    <w:rsid w:val="00095953"/>
    <w:rsid w:val="000959B3"/>
    <w:rsid w:val="000959DF"/>
    <w:rsid w:val="00095A80"/>
    <w:rsid w:val="00095ADD"/>
    <w:rsid w:val="00095AFD"/>
    <w:rsid w:val="00095B01"/>
    <w:rsid w:val="00095B6B"/>
    <w:rsid w:val="00095BBC"/>
    <w:rsid w:val="00095BF2"/>
    <w:rsid w:val="00095BFA"/>
    <w:rsid w:val="00095C05"/>
    <w:rsid w:val="00095C33"/>
    <w:rsid w:val="00095C34"/>
    <w:rsid w:val="00095C7B"/>
    <w:rsid w:val="00095C83"/>
    <w:rsid w:val="00095D26"/>
    <w:rsid w:val="00095E95"/>
    <w:rsid w:val="00095EA3"/>
    <w:rsid w:val="00095EDD"/>
    <w:rsid w:val="00096039"/>
    <w:rsid w:val="00096052"/>
    <w:rsid w:val="00096082"/>
    <w:rsid w:val="00096097"/>
    <w:rsid w:val="00096169"/>
    <w:rsid w:val="00096271"/>
    <w:rsid w:val="000962B9"/>
    <w:rsid w:val="000962FC"/>
    <w:rsid w:val="0009643A"/>
    <w:rsid w:val="000964DF"/>
    <w:rsid w:val="000965F2"/>
    <w:rsid w:val="00096647"/>
    <w:rsid w:val="00096648"/>
    <w:rsid w:val="0009665B"/>
    <w:rsid w:val="0009668C"/>
    <w:rsid w:val="0009669F"/>
    <w:rsid w:val="00096743"/>
    <w:rsid w:val="000968B2"/>
    <w:rsid w:val="00096937"/>
    <w:rsid w:val="0009697D"/>
    <w:rsid w:val="00096983"/>
    <w:rsid w:val="000969F3"/>
    <w:rsid w:val="00096A50"/>
    <w:rsid w:val="00096BE5"/>
    <w:rsid w:val="00096D5F"/>
    <w:rsid w:val="00096D6D"/>
    <w:rsid w:val="00096DB3"/>
    <w:rsid w:val="00096DD6"/>
    <w:rsid w:val="00096F28"/>
    <w:rsid w:val="0009700C"/>
    <w:rsid w:val="00097090"/>
    <w:rsid w:val="0009718D"/>
    <w:rsid w:val="000971BA"/>
    <w:rsid w:val="00097254"/>
    <w:rsid w:val="00097268"/>
    <w:rsid w:val="000972C7"/>
    <w:rsid w:val="00097378"/>
    <w:rsid w:val="00097380"/>
    <w:rsid w:val="000973B4"/>
    <w:rsid w:val="000975A5"/>
    <w:rsid w:val="000975A7"/>
    <w:rsid w:val="000975ED"/>
    <w:rsid w:val="000975F5"/>
    <w:rsid w:val="0009765D"/>
    <w:rsid w:val="0009767C"/>
    <w:rsid w:val="000976E3"/>
    <w:rsid w:val="00097707"/>
    <w:rsid w:val="000978BD"/>
    <w:rsid w:val="0009791B"/>
    <w:rsid w:val="000979A1"/>
    <w:rsid w:val="00097A60"/>
    <w:rsid w:val="00097BCF"/>
    <w:rsid w:val="00097C54"/>
    <w:rsid w:val="00097C83"/>
    <w:rsid w:val="00097CAC"/>
    <w:rsid w:val="00097CBA"/>
    <w:rsid w:val="00097D2D"/>
    <w:rsid w:val="00097D58"/>
    <w:rsid w:val="00097D93"/>
    <w:rsid w:val="00097DD5"/>
    <w:rsid w:val="00097ECF"/>
    <w:rsid w:val="00097EF5"/>
    <w:rsid w:val="00097EFB"/>
    <w:rsid w:val="00097F34"/>
    <w:rsid w:val="000A0054"/>
    <w:rsid w:val="000A0079"/>
    <w:rsid w:val="000A026E"/>
    <w:rsid w:val="000A029E"/>
    <w:rsid w:val="000A036D"/>
    <w:rsid w:val="000A0488"/>
    <w:rsid w:val="000A049B"/>
    <w:rsid w:val="000A0531"/>
    <w:rsid w:val="000A0692"/>
    <w:rsid w:val="000A06A2"/>
    <w:rsid w:val="000A0707"/>
    <w:rsid w:val="000A074E"/>
    <w:rsid w:val="000A0813"/>
    <w:rsid w:val="000A0834"/>
    <w:rsid w:val="000A09C8"/>
    <w:rsid w:val="000A0A53"/>
    <w:rsid w:val="000A0A65"/>
    <w:rsid w:val="000A0B36"/>
    <w:rsid w:val="000A0C62"/>
    <w:rsid w:val="000A0E24"/>
    <w:rsid w:val="000A0E78"/>
    <w:rsid w:val="000A0E9F"/>
    <w:rsid w:val="000A0F1E"/>
    <w:rsid w:val="000A0FCA"/>
    <w:rsid w:val="000A1018"/>
    <w:rsid w:val="000A1075"/>
    <w:rsid w:val="000A10FF"/>
    <w:rsid w:val="000A11E2"/>
    <w:rsid w:val="000A12D4"/>
    <w:rsid w:val="000A12EE"/>
    <w:rsid w:val="000A1394"/>
    <w:rsid w:val="000A140E"/>
    <w:rsid w:val="000A1418"/>
    <w:rsid w:val="000A1422"/>
    <w:rsid w:val="000A1432"/>
    <w:rsid w:val="000A1456"/>
    <w:rsid w:val="000A14EB"/>
    <w:rsid w:val="000A1587"/>
    <w:rsid w:val="000A1624"/>
    <w:rsid w:val="000A169B"/>
    <w:rsid w:val="000A16D8"/>
    <w:rsid w:val="000A1741"/>
    <w:rsid w:val="000A18AD"/>
    <w:rsid w:val="000A1942"/>
    <w:rsid w:val="000A1ABD"/>
    <w:rsid w:val="000A1ABE"/>
    <w:rsid w:val="000A1ACA"/>
    <w:rsid w:val="000A1B48"/>
    <w:rsid w:val="000A1B4A"/>
    <w:rsid w:val="000A1B88"/>
    <w:rsid w:val="000A1C1B"/>
    <w:rsid w:val="000A1C39"/>
    <w:rsid w:val="000A1C8D"/>
    <w:rsid w:val="000A1CDA"/>
    <w:rsid w:val="000A1D7B"/>
    <w:rsid w:val="000A1DCC"/>
    <w:rsid w:val="000A1E66"/>
    <w:rsid w:val="000A1EBC"/>
    <w:rsid w:val="000A1EFA"/>
    <w:rsid w:val="000A1F00"/>
    <w:rsid w:val="000A1F46"/>
    <w:rsid w:val="000A1F59"/>
    <w:rsid w:val="000A1FA6"/>
    <w:rsid w:val="000A1FC0"/>
    <w:rsid w:val="000A2004"/>
    <w:rsid w:val="000A203C"/>
    <w:rsid w:val="000A20E6"/>
    <w:rsid w:val="000A210A"/>
    <w:rsid w:val="000A2154"/>
    <w:rsid w:val="000A21AE"/>
    <w:rsid w:val="000A2206"/>
    <w:rsid w:val="000A22D1"/>
    <w:rsid w:val="000A22DA"/>
    <w:rsid w:val="000A23F0"/>
    <w:rsid w:val="000A2440"/>
    <w:rsid w:val="000A24FD"/>
    <w:rsid w:val="000A254B"/>
    <w:rsid w:val="000A256E"/>
    <w:rsid w:val="000A25C8"/>
    <w:rsid w:val="000A26B2"/>
    <w:rsid w:val="000A26B5"/>
    <w:rsid w:val="000A26BE"/>
    <w:rsid w:val="000A26C6"/>
    <w:rsid w:val="000A26DB"/>
    <w:rsid w:val="000A26FF"/>
    <w:rsid w:val="000A2711"/>
    <w:rsid w:val="000A2754"/>
    <w:rsid w:val="000A2799"/>
    <w:rsid w:val="000A286C"/>
    <w:rsid w:val="000A286F"/>
    <w:rsid w:val="000A291F"/>
    <w:rsid w:val="000A2963"/>
    <w:rsid w:val="000A298B"/>
    <w:rsid w:val="000A29CA"/>
    <w:rsid w:val="000A29D0"/>
    <w:rsid w:val="000A29F3"/>
    <w:rsid w:val="000A2A1D"/>
    <w:rsid w:val="000A2A6C"/>
    <w:rsid w:val="000A2AB6"/>
    <w:rsid w:val="000A2ABA"/>
    <w:rsid w:val="000A2ACE"/>
    <w:rsid w:val="000A2ADD"/>
    <w:rsid w:val="000A2AE3"/>
    <w:rsid w:val="000A2B03"/>
    <w:rsid w:val="000A2B4E"/>
    <w:rsid w:val="000A2B53"/>
    <w:rsid w:val="000A2CD2"/>
    <w:rsid w:val="000A2CEE"/>
    <w:rsid w:val="000A2E34"/>
    <w:rsid w:val="000A2E36"/>
    <w:rsid w:val="000A2EA3"/>
    <w:rsid w:val="000A3012"/>
    <w:rsid w:val="000A30EF"/>
    <w:rsid w:val="000A3143"/>
    <w:rsid w:val="000A319A"/>
    <w:rsid w:val="000A3357"/>
    <w:rsid w:val="000A33B2"/>
    <w:rsid w:val="000A345B"/>
    <w:rsid w:val="000A3497"/>
    <w:rsid w:val="000A349A"/>
    <w:rsid w:val="000A349C"/>
    <w:rsid w:val="000A359A"/>
    <w:rsid w:val="000A35D1"/>
    <w:rsid w:val="000A3645"/>
    <w:rsid w:val="000A3655"/>
    <w:rsid w:val="000A368B"/>
    <w:rsid w:val="000A36D8"/>
    <w:rsid w:val="000A379A"/>
    <w:rsid w:val="000A3822"/>
    <w:rsid w:val="000A3904"/>
    <w:rsid w:val="000A39F9"/>
    <w:rsid w:val="000A3A72"/>
    <w:rsid w:val="000A3A83"/>
    <w:rsid w:val="000A3ABF"/>
    <w:rsid w:val="000A3AD4"/>
    <w:rsid w:val="000A3AF1"/>
    <w:rsid w:val="000A3B43"/>
    <w:rsid w:val="000A3B87"/>
    <w:rsid w:val="000A3BEE"/>
    <w:rsid w:val="000A3CA2"/>
    <w:rsid w:val="000A3E1B"/>
    <w:rsid w:val="000A3E2E"/>
    <w:rsid w:val="000A3E44"/>
    <w:rsid w:val="000A3E78"/>
    <w:rsid w:val="000A3E95"/>
    <w:rsid w:val="000A3F31"/>
    <w:rsid w:val="000A3F35"/>
    <w:rsid w:val="000A3F4B"/>
    <w:rsid w:val="000A40F3"/>
    <w:rsid w:val="000A4140"/>
    <w:rsid w:val="000A4300"/>
    <w:rsid w:val="000A4361"/>
    <w:rsid w:val="000A454C"/>
    <w:rsid w:val="000A45AB"/>
    <w:rsid w:val="000A46B4"/>
    <w:rsid w:val="000A4721"/>
    <w:rsid w:val="000A478C"/>
    <w:rsid w:val="000A4869"/>
    <w:rsid w:val="000A4936"/>
    <w:rsid w:val="000A499C"/>
    <w:rsid w:val="000A4A43"/>
    <w:rsid w:val="000A4CA8"/>
    <w:rsid w:val="000A4CB1"/>
    <w:rsid w:val="000A4DA5"/>
    <w:rsid w:val="000A4DFD"/>
    <w:rsid w:val="000A4E3B"/>
    <w:rsid w:val="000A4EC5"/>
    <w:rsid w:val="000A4F19"/>
    <w:rsid w:val="000A4F36"/>
    <w:rsid w:val="000A4F82"/>
    <w:rsid w:val="000A4F85"/>
    <w:rsid w:val="000A5049"/>
    <w:rsid w:val="000A504D"/>
    <w:rsid w:val="000A50B3"/>
    <w:rsid w:val="000A5116"/>
    <w:rsid w:val="000A51E6"/>
    <w:rsid w:val="000A51EF"/>
    <w:rsid w:val="000A5228"/>
    <w:rsid w:val="000A52E8"/>
    <w:rsid w:val="000A539F"/>
    <w:rsid w:val="000A53DE"/>
    <w:rsid w:val="000A5563"/>
    <w:rsid w:val="000A56CC"/>
    <w:rsid w:val="000A56FB"/>
    <w:rsid w:val="000A5721"/>
    <w:rsid w:val="000A57FE"/>
    <w:rsid w:val="000A589D"/>
    <w:rsid w:val="000A5953"/>
    <w:rsid w:val="000A5982"/>
    <w:rsid w:val="000A59C5"/>
    <w:rsid w:val="000A5A33"/>
    <w:rsid w:val="000A5A41"/>
    <w:rsid w:val="000A5DB6"/>
    <w:rsid w:val="000A5E15"/>
    <w:rsid w:val="000A5ECF"/>
    <w:rsid w:val="000A5ED9"/>
    <w:rsid w:val="000A5EDB"/>
    <w:rsid w:val="000A5F65"/>
    <w:rsid w:val="000A5F9A"/>
    <w:rsid w:val="000A5FAB"/>
    <w:rsid w:val="000A61E6"/>
    <w:rsid w:val="000A6265"/>
    <w:rsid w:val="000A6382"/>
    <w:rsid w:val="000A64D2"/>
    <w:rsid w:val="000A64EE"/>
    <w:rsid w:val="000A656B"/>
    <w:rsid w:val="000A659A"/>
    <w:rsid w:val="000A65CE"/>
    <w:rsid w:val="000A66CD"/>
    <w:rsid w:val="000A678A"/>
    <w:rsid w:val="000A6791"/>
    <w:rsid w:val="000A67F3"/>
    <w:rsid w:val="000A685A"/>
    <w:rsid w:val="000A6A57"/>
    <w:rsid w:val="000A6ACB"/>
    <w:rsid w:val="000A6AF5"/>
    <w:rsid w:val="000A6B90"/>
    <w:rsid w:val="000A6BBD"/>
    <w:rsid w:val="000A6C23"/>
    <w:rsid w:val="000A6CF8"/>
    <w:rsid w:val="000A6D7E"/>
    <w:rsid w:val="000A6E62"/>
    <w:rsid w:val="000A6E7E"/>
    <w:rsid w:val="000A6EB4"/>
    <w:rsid w:val="000A6F27"/>
    <w:rsid w:val="000A712C"/>
    <w:rsid w:val="000A712D"/>
    <w:rsid w:val="000A7157"/>
    <w:rsid w:val="000A7196"/>
    <w:rsid w:val="000A725B"/>
    <w:rsid w:val="000A7290"/>
    <w:rsid w:val="000A7349"/>
    <w:rsid w:val="000A7368"/>
    <w:rsid w:val="000A73C8"/>
    <w:rsid w:val="000A73FB"/>
    <w:rsid w:val="000A753B"/>
    <w:rsid w:val="000A76B9"/>
    <w:rsid w:val="000A778C"/>
    <w:rsid w:val="000A78ED"/>
    <w:rsid w:val="000A790D"/>
    <w:rsid w:val="000A795C"/>
    <w:rsid w:val="000A7973"/>
    <w:rsid w:val="000A7A6D"/>
    <w:rsid w:val="000A7A88"/>
    <w:rsid w:val="000A7AE3"/>
    <w:rsid w:val="000A7B10"/>
    <w:rsid w:val="000A7CDA"/>
    <w:rsid w:val="000A7D39"/>
    <w:rsid w:val="000A7D4E"/>
    <w:rsid w:val="000A7DF0"/>
    <w:rsid w:val="000A7E40"/>
    <w:rsid w:val="000A7E41"/>
    <w:rsid w:val="000A7E89"/>
    <w:rsid w:val="000A7EC8"/>
    <w:rsid w:val="000A7FB1"/>
    <w:rsid w:val="000B0039"/>
    <w:rsid w:val="000B0131"/>
    <w:rsid w:val="000B0142"/>
    <w:rsid w:val="000B0195"/>
    <w:rsid w:val="000B0212"/>
    <w:rsid w:val="000B025C"/>
    <w:rsid w:val="000B0368"/>
    <w:rsid w:val="000B040F"/>
    <w:rsid w:val="000B0466"/>
    <w:rsid w:val="000B0581"/>
    <w:rsid w:val="000B066D"/>
    <w:rsid w:val="000B06BB"/>
    <w:rsid w:val="000B0823"/>
    <w:rsid w:val="000B0859"/>
    <w:rsid w:val="000B0869"/>
    <w:rsid w:val="000B096B"/>
    <w:rsid w:val="000B09DF"/>
    <w:rsid w:val="000B0ADF"/>
    <w:rsid w:val="000B0B67"/>
    <w:rsid w:val="000B0BB5"/>
    <w:rsid w:val="000B0BBC"/>
    <w:rsid w:val="000B0C25"/>
    <w:rsid w:val="000B0C73"/>
    <w:rsid w:val="000B0C79"/>
    <w:rsid w:val="000B0D07"/>
    <w:rsid w:val="000B0DC4"/>
    <w:rsid w:val="000B0DCB"/>
    <w:rsid w:val="000B0DD1"/>
    <w:rsid w:val="000B0E1C"/>
    <w:rsid w:val="000B0F24"/>
    <w:rsid w:val="000B0FEE"/>
    <w:rsid w:val="000B1022"/>
    <w:rsid w:val="000B106C"/>
    <w:rsid w:val="000B10E8"/>
    <w:rsid w:val="000B1111"/>
    <w:rsid w:val="000B117E"/>
    <w:rsid w:val="000B11EE"/>
    <w:rsid w:val="000B12BA"/>
    <w:rsid w:val="000B13A1"/>
    <w:rsid w:val="000B13F9"/>
    <w:rsid w:val="000B13FD"/>
    <w:rsid w:val="000B1441"/>
    <w:rsid w:val="000B14F7"/>
    <w:rsid w:val="000B1502"/>
    <w:rsid w:val="000B1545"/>
    <w:rsid w:val="000B15D8"/>
    <w:rsid w:val="000B16AF"/>
    <w:rsid w:val="000B1707"/>
    <w:rsid w:val="000B1803"/>
    <w:rsid w:val="000B1870"/>
    <w:rsid w:val="000B1901"/>
    <w:rsid w:val="000B194C"/>
    <w:rsid w:val="000B19A1"/>
    <w:rsid w:val="000B19E4"/>
    <w:rsid w:val="000B19EE"/>
    <w:rsid w:val="000B1A2D"/>
    <w:rsid w:val="000B1AAB"/>
    <w:rsid w:val="000B1D9E"/>
    <w:rsid w:val="000B1DD8"/>
    <w:rsid w:val="000B1F1D"/>
    <w:rsid w:val="000B1F37"/>
    <w:rsid w:val="000B1F46"/>
    <w:rsid w:val="000B1F53"/>
    <w:rsid w:val="000B1F6D"/>
    <w:rsid w:val="000B205A"/>
    <w:rsid w:val="000B2088"/>
    <w:rsid w:val="000B2174"/>
    <w:rsid w:val="000B2191"/>
    <w:rsid w:val="000B21BD"/>
    <w:rsid w:val="000B233C"/>
    <w:rsid w:val="000B2349"/>
    <w:rsid w:val="000B23C7"/>
    <w:rsid w:val="000B2421"/>
    <w:rsid w:val="000B2487"/>
    <w:rsid w:val="000B2513"/>
    <w:rsid w:val="000B259B"/>
    <w:rsid w:val="000B2718"/>
    <w:rsid w:val="000B271E"/>
    <w:rsid w:val="000B27D3"/>
    <w:rsid w:val="000B2848"/>
    <w:rsid w:val="000B288D"/>
    <w:rsid w:val="000B28E5"/>
    <w:rsid w:val="000B2A21"/>
    <w:rsid w:val="000B2B15"/>
    <w:rsid w:val="000B2B19"/>
    <w:rsid w:val="000B2B55"/>
    <w:rsid w:val="000B2B62"/>
    <w:rsid w:val="000B2C02"/>
    <w:rsid w:val="000B2C42"/>
    <w:rsid w:val="000B2C74"/>
    <w:rsid w:val="000B2C93"/>
    <w:rsid w:val="000B2CAE"/>
    <w:rsid w:val="000B2D25"/>
    <w:rsid w:val="000B2D59"/>
    <w:rsid w:val="000B2D5C"/>
    <w:rsid w:val="000B2D74"/>
    <w:rsid w:val="000B2D93"/>
    <w:rsid w:val="000B2E0E"/>
    <w:rsid w:val="000B2E7A"/>
    <w:rsid w:val="000B2E90"/>
    <w:rsid w:val="000B2EA9"/>
    <w:rsid w:val="000B2EB1"/>
    <w:rsid w:val="000B2FA9"/>
    <w:rsid w:val="000B3039"/>
    <w:rsid w:val="000B303F"/>
    <w:rsid w:val="000B3051"/>
    <w:rsid w:val="000B30B6"/>
    <w:rsid w:val="000B317D"/>
    <w:rsid w:val="000B318C"/>
    <w:rsid w:val="000B31B6"/>
    <w:rsid w:val="000B31D2"/>
    <w:rsid w:val="000B3324"/>
    <w:rsid w:val="000B33D2"/>
    <w:rsid w:val="000B3409"/>
    <w:rsid w:val="000B342E"/>
    <w:rsid w:val="000B344E"/>
    <w:rsid w:val="000B3451"/>
    <w:rsid w:val="000B34BC"/>
    <w:rsid w:val="000B3503"/>
    <w:rsid w:val="000B3537"/>
    <w:rsid w:val="000B356C"/>
    <w:rsid w:val="000B3587"/>
    <w:rsid w:val="000B358A"/>
    <w:rsid w:val="000B3759"/>
    <w:rsid w:val="000B377F"/>
    <w:rsid w:val="000B37DA"/>
    <w:rsid w:val="000B380E"/>
    <w:rsid w:val="000B3834"/>
    <w:rsid w:val="000B38E5"/>
    <w:rsid w:val="000B3926"/>
    <w:rsid w:val="000B3945"/>
    <w:rsid w:val="000B3957"/>
    <w:rsid w:val="000B397E"/>
    <w:rsid w:val="000B39ED"/>
    <w:rsid w:val="000B3B6C"/>
    <w:rsid w:val="000B3C64"/>
    <w:rsid w:val="000B3DDD"/>
    <w:rsid w:val="000B3E1F"/>
    <w:rsid w:val="000B3E73"/>
    <w:rsid w:val="000B3F85"/>
    <w:rsid w:val="000B4015"/>
    <w:rsid w:val="000B405E"/>
    <w:rsid w:val="000B408A"/>
    <w:rsid w:val="000B414C"/>
    <w:rsid w:val="000B430B"/>
    <w:rsid w:val="000B4373"/>
    <w:rsid w:val="000B442F"/>
    <w:rsid w:val="000B4446"/>
    <w:rsid w:val="000B4487"/>
    <w:rsid w:val="000B44D0"/>
    <w:rsid w:val="000B4510"/>
    <w:rsid w:val="000B45CE"/>
    <w:rsid w:val="000B4613"/>
    <w:rsid w:val="000B46BF"/>
    <w:rsid w:val="000B46F6"/>
    <w:rsid w:val="000B47E9"/>
    <w:rsid w:val="000B4839"/>
    <w:rsid w:val="000B4925"/>
    <w:rsid w:val="000B49B6"/>
    <w:rsid w:val="000B4B28"/>
    <w:rsid w:val="000B4B56"/>
    <w:rsid w:val="000B4B74"/>
    <w:rsid w:val="000B4B82"/>
    <w:rsid w:val="000B4C34"/>
    <w:rsid w:val="000B4C3A"/>
    <w:rsid w:val="000B4C48"/>
    <w:rsid w:val="000B4CD0"/>
    <w:rsid w:val="000B4CD1"/>
    <w:rsid w:val="000B4D20"/>
    <w:rsid w:val="000B4D2B"/>
    <w:rsid w:val="000B4D74"/>
    <w:rsid w:val="000B4E09"/>
    <w:rsid w:val="000B4F0F"/>
    <w:rsid w:val="000B4F16"/>
    <w:rsid w:val="000B4F6E"/>
    <w:rsid w:val="000B4FC4"/>
    <w:rsid w:val="000B5008"/>
    <w:rsid w:val="000B5079"/>
    <w:rsid w:val="000B5101"/>
    <w:rsid w:val="000B5162"/>
    <w:rsid w:val="000B5169"/>
    <w:rsid w:val="000B520C"/>
    <w:rsid w:val="000B5539"/>
    <w:rsid w:val="000B558B"/>
    <w:rsid w:val="000B55AD"/>
    <w:rsid w:val="000B55B6"/>
    <w:rsid w:val="000B55C3"/>
    <w:rsid w:val="000B55C5"/>
    <w:rsid w:val="000B560A"/>
    <w:rsid w:val="000B5659"/>
    <w:rsid w:val="000B5692"/>
    <w:rsid w:val="000B5716"/>
    <w:rsid w:val="000B576C"/>
    <w:rsid w:val="000B5811"/>
    <w:rsid w:val="000B581B"/>
    <w:rsid w:val="000B584A"/>
    <w:rsid w:val="000B5865"/>
    <w:rsid w:val="000B594E"/>
    <w:rsid w:val="000B5964"/>
    <w:rsid w:val="000B5A00"/>
    <w:rsid w:val="000B5A8B"/>
    <w:rsid w:val="000B5AB6"/>
    <w:rsid w:val="000B5B70"/>
    <w:rsid w:val="000B5BDC"/>
    <w:rsid w:val="000B5C30"/>
    <w:rsid w:val="000B5CF9"/>
    <w:rsid w:val="000B5CFD"/>
    <w:rsid w:val="000B5D69"/>
    <w:rsid w:val="000B5DCB"/>
    <w:rsid w:val="000B5DEF"/>
    <w:rsid w:val="000B5E7C"/>
    <w:rsid w:val="000B5F76"/>
    <w:rsid w:val="000B5FC5"/>
    <w:rsid w:val="000B6070"/>
    <w:rsid w:val="000B60E9"/>
    <w:rsid w:val="000B610C"/>
    <w:rsid w:val="000B6272"/>
    <w:rsid w:val="000B62ED"/>
    <w:rsid w:val="000B647A"/>
    <w:rsid w:val="000B648A"/>
    <w:rsid w:val="000B6541"/>
    <w:rsid w:val="000B657D"/>
    <w:rsid w:val="000B65D5"/>
    <w:rsid w:val="000B663F"/>
    <w:rsid w:val="000B6725"/>
    <w:rsid w:val="000B6734"/>
    <w:rsid w:val="000B67EF"/>
    <w:rsid w:val="000B6851"/>
    <w:rsid w:val="000B6852"/>
    <w:rsid w:val="000B6874"/>
    <w:rsid w:val="000B69F9"/>
    <w:rsid w:val="000B6A06"/>
    <w:rsid w:val="000B6A24"/>
    <w:rsid w:val="000B6AE0"/>
    <w:rsid w:val="000B6B23"/>
    <w:rsid w:val="000B6B3A"/>
    <w:rsid w:val="000B6B3F"/>
    <w:rsid w:val="000B6B86"/>
    <w:rsid w:val="000B6B8C"/>
    <w:rsid w:val="000B6B8F"/>
    <w:rsid w:val="000B6BB1"/>
    <w:rsid w:val="000B6C1F"/>
    <w:rsid w:val="000B6C6D"/>
    <w:rsid w:val="000B6CBE"/>
    <w:rsid w:val="000B6CDC"/>
    <w:rsid w:val="000B6D5D"/>
    <w:rsid w:val="000B6D97"/>
    <w:rsid w:val="000B6DB3"/>
    <w:rsid w:val="000B6E1C"/>
    <w:rsid w:val="000B6E8F"/>
    <w:rsid w:val="000B6EB5"/>
    <w:rsid w:val="000B7052"/>
    <w:rsid w:val="000B705F"/>
    <w:rsid w:val="000B7069"/>
    <w:rsid w:val="000B7146"/>
    <w:rsid w:val="000B719A"/>
    <w:rsid w:val="000B72BC"/>
    <w:rsid w:val="000B7361"/>
    <w:rsid w:val="000B73C2"/>
    <w:rsid w:val="000B746A"/>
    <w:rsid w:val="000B7477"/>
    <w:rsid w:val="000B750D"/>
    <w:rsid w:val="000B75A3"/>
    <w:rsid w:val="000B75BB"/>
    <w:rsid w:val="000B75D1"/>
    <w:rsid w:val="000B7655"/>
    <w:rsid w:val="000B76C9"/>
    <w:rsid w:val="000B7724"/>
    <w:rsid w:val="000B7739"/>
    <w:rsid w:val="000B77B4"/>
    <w:rsid w:val="000B77E2"/>
    <w:rsid w:val="000B77FF"/>
    <w:rsid w:val="000B7850"/>
    <w:rsid w:val="000B7853"/>
    <w:rsid w:val="000B7A48"/>
    <w:rsid w:val="000B7AE8"/>
    <w:rsid w:val="000B7B32"/>
    <w:rsid w:val="000B7B56"/>
    <w:rsid w:val="000B7B72"/>
    <w:rsid w:val="000B7B87"/>
    <w:rsid w:val="000B7C53"/>
    <w:rsid w:val="000B7C58"/>
    <w:rsid w:val="000B7C5F"/>
    <w:rsid w:val="000B7CFE"/>
    <w:rsid w:val="000B7E33"/>
    <w:rsid w:val="000B7E43"/>
    <w:rsid w:val="000B7E6C"/>
    <w:rsid w:val="000B7F2D"/>
    <w:rsid w:val="000B7F9C"/>
    <w:rsid w:val="000C0034"/>
    <w:rsid w:val="000C008F"/>
    <w:rsid w:val="000C00B4"/>
    <w:rsid w:val="000C00EA"/>
    <w:rsid w:val="000C00FF"/>
    <w:rsid w:val="000C0182"/>
    <w:rsid w:val="000C02A8"/>
    <w:rsid w:val="000C02FE"/>
    <w:rsid w:val="000C0404"/>
    <w:rsid w:val="000C0464"/>
    <w:rsid w:val="000C054B"/>
    <w:rsid w:val="000C05A7"/>
    <w:rsid w:val="000C067F"/>
    <w:rsid w:val="000C06CE"/>
    <w:rsid w:val="000C0755"/>
    <w:rsid w:val="000C07B5"/>
    <w:rsid w:val="000C07C5"/>
    <w:rsid w:val="000C0847"/>
    <w:rsid w:val="000C088E"/>
    <w:rsid w:val="000C08CC"/>
    <w:rsid w:val="000C0A44"/>
    <w:rsid w:val="000C0A71"/>
    <w:rsid w:val="000C0AFC"/>
    <w:rsid w:val="000C0B9E"/>
    <w:rsid w:val="000C0CE7"/>
    <w:rsid w:val="000C0D44"/>
    <w:rsid w:val="000C0DFA"/>
    <w:rsid w:val="000C0E9A"/>
    <w:rsid w:val="000C0F85"/>
    <w:rsid w:val="000C0F86"/>
    <w:rsid w:val="000C1147"/>
    <w:rsid w:val="000C1198"/>
    <w:rsid w:val="000C1200"/>
    <w:rsid w:val="000C1259"/>
    <w:rsid w:val="000C12B0"/>
    <w:rsid w:val="000C131A"/>
    <w:rsid w:val="000C131D"/>
    <w:rsid w:val="000C1379"/>
    <w:rsid w:val="000C13C9"/>
    <w:rsid w:val="000C140F"/>
    <w:rsid w:val="000C141F"/>
    <w:rsid w:val="000C1488"/>
    <w:rsid w:val="000C1546"/>
    <w:rsid w:val="000C163C"/>
    <w:rsid w:val="000C16FC"/>
    <w:rsid w:val="000C1709"/>
    <w:rsid w:val="000C17EC"/>
    <w:rsid w:val="000C1822"/>
    <w:rsid w:val="000C182D"/>
    <w:rsid w:val="000C18BE"/>
    <w:rsid w:val="000C18E4"/>
    <w:rsid w:val="000C1913"/>
    <w:rsid w:val="000C1ADB"/>
    <w:rsid w:val="000C1AEE"/>
    <w:rsid w:val="000C1AF7"/>
    <w:rsid w:val="000C1BB1"/>
    <w:rsid w:val="000C1BBE"/>
    <w:rsid w:val="000C1CB0"/>
    <w:rsid w:val="000C1D55"/>
    <w:rsid w:val="000C1DFF"/>
    <w:rsid w:val="000C1E6F"/>
    <w:rsid w:val="000C1E90"/>
    <w:rsid w:val="000C1EC9"/>
    <w:rsid w:val="000C1F0F"/>
    <w:rsid w:val="000C1F7A"/>
    <w:rsid w:val="000C1F81"/>
    <w:rsid w:val="000C1FA8"/>
    <w:rsid w:val="000C1FB6"/>
    <w:rsid w:val="000C206C"/>
    <w:rsid w:val="000C209F"/>
    <w:rsid w:val="000C21B9"/>
    <w:rsid w:val="000C21DA"/>
    <w:rsid w:val="000C2207"/>
    <w:rsid w:val="000C2236"/>
    <w:rsid w:val="000C22C6"/>
    <w:rsid w:val="000C235F"/>
    <w:rsid w:val="000C243F"/>
    <w:rsid w:val="000C2454"/>
    <w:rsid w:val="000C2508"/>
    <w:rsid w:val="000C2603"/>
    <w:rsid w:val="000C269D"/>
    <w:rsid w:val="000C26CB"/>
    <w:rsid w:val="000C271A"/>
    <w:rsid w:val="000C27E9"/>
    <w:rsid w:val="000C2830"/>
    <w:rsid w:val="000C2896"/>
    <w:rsid w:val="000C2897"/>
    <w:rsid w:val="000C289B"/>
    <w:rsid w:val="000C28ED"/>
    <w:rsid w:val="000C291B"/>
    <w:rsid w:val="000C29B2"/>
    <w:rsid w:val="000C29FF"/>
    <w:rsid w:val="000C2AB2"/>
    <w:rsid w:val="000C2B93"/>
    <w:rsid w:val="000C2D5F"/>
    <w:rsid w:val="000C2DCE"/>
    <w:rsid w:val="000C2E8E"/>
    <w:rsid w:val="000C2F2D"/>
    <w:rsid w:val="000C2F62"/>
    <w:rsid w:val="000C2F65"/>
    <w:rsid w:val="000C2F90"/>
    <w:rsid w:val="000C2F9A"/>
    <w:rsid w:val="000C3067"/>
    <w:rsid w:val="000C3097"/>
    <w:rsid w:val="000C31E8"/>
    <w:rsid w:val="000C31FB"/>
    <w:rsid w:val="000C3214"/>
    <w:rsid w:val="000C3268"/>
    <w:rsid w:val="000C3269"/>
    <w:rsid w:val="000C3273"/>
    <w:rsid w:val="000C32D9"/>
    <w:rsid w:val="000C351F"/>
    <w:rsid w:val="000C354D"/>
    <w:rsid w:val="000C3557"/>
    <w:rsid w:val="000C3576"/>
    <w:rsid w:val="000C3595"/>
    <w:rsid w:val="000C35A3"/>
    <w:rsid w:val="000C3622"/>
    <w:rsid w:val="000C3670"/>
    <w:rsid w:val="000C367A"/>
    <w:rsid w:val="000C378C"/>
    <w:rsid w:val="000C3808"/>
    <w:rsid w:val="000C387D"/>
    <w:rsid w:val="000C39EF"/>
    <w:rsid w:val="000C3A81"/>
    <w:rsid w:val="000C3B98"/>
    <w:rsid w:val="000C3BDC"/>
    <w:rsid w:val="000C3C8C"/>
    <w:rsid w:val="000C3D06"/>
    <w:rsid w:val="000C3D51"/>
    <w:rsid w:val="000C3D71"/>
    <w:rsid w:val="000C3E11"/>
    <w:rsid w:val="000C3EA4"/>
    <w:rsid w:val="000C3EA6"/>
    <w:rsid w:val="000C3F90"/>
    <w:rsid w:val="000C3FC7"/>
    <w:rsid w:val="000C3FF9"/>
    <w:rsid w:val="000C404D"/>
    <w:rsid w:val="000C4188"/>
    <w:rsid w:val="000C424A"/>
    <w:rsid w:val="000C4362"/>
    <w:rsid w:val="000C437C"/>
    <w:rsid w:val="000C440D"/>
    <w:rsid w:val="000C44DA"/>
    <w:rsid w:val="000C44EC"/>
    <w:rsid w:val="000C45D6"/>
    <w:rsid w:val="000C4619"/>
    <w:rsid w:val="000C464A"/>
    <w:rsid w:val="000C4709"/>
    <w:rsid w:val="000C471B"/>
    <w:rsid w:val="000C4801"/>
    <w:rsid w:val="000C48F2"/>
    <w:rsid w:val="000C4904"/>
    <w:rsid w:val="000C491B"/>
    <w:rsid w:val="000C496C"/>
    <w:rsid w:val="000C49AF"/>
    <w:rsid w:val="000C4B3A"/>
    <w:rsid w:val="000C4B56"/>
    <w:rsid w:val="000C4B9A"/>
    <w:rsid w:val="000C4C14"/>
    <w:rsid w:val="000C4C6D"/>
    <w:rsid w:val="000C4CC3"/>
    <w:rsid w:val="000C4D7E"/>
    <w:rsid w:val="000C4E19"/>
    <w:rsid w:val="000C4E25"/>
    <w:rsid w:val="000C4F20"/>
    <w:rsid w:val="000C4FEB"/>
    <w:rsid w:val="000C4FF4"/>
    <w:rsid w:val="000C50B5"/>
    <w:rsid w:val="000C5123"/>
    <w:rsid w:val="000C5159"/>
    <w:rsid w:val="000C524B"/>
    <w:rsid w:val="000C52B1"/>
    <w:rsid w:val="000C52CE"/>
    <w:rsid w:val="000C52FA"/>
    <w:rsid w:val="000C53A6"/>
    <w:rsid w:val="000C544F"/>
    <w:rsid w:val="000C5532"/>
    <w:rsid w:val="000C5576"/>
    <w:rsid w:val="000C566A"/>
    <w:rsid w:val="000C5754"/>
    <w:rsid w:val="000C5827"/>
    <w:rsid w:val="000C58A2"/>
    <w:rsid w:val="000C597E"/>
    <w:rsid w:val="000C5987"/>
    <w:rsid w:val="000C59F8"/>
    <w:rsid w:val="000C5A59"/>
    <w:rsid w:val="000C5A7A"/>
    <w:rsid w:val="000C5A89"/>
    <w:rsid w:val="000C5AE8"/>
    <w:rsid w:val="000C5AEC"/>
    <w:rsid w:val="000C5B05"/>
    <w:rsid w:val="000C5B2B"/>
    <w:rsid w:val="000C5B48"/>
    <w:rsid w:val="000C5C43"/>
    <w:rsid w:val="000C5C5B"/>
    <w:rsid w:val="000C5EB6"/>
    <w:rsid w:val="000C5F09"/>
    <w:rsid w:val="000C5F9A"/>
    <w:rsid w:val="000C603D"/>
    <w:rsid w:val="000C6101"/>
    <w:rsid w:val="000C6157"/>
    <w:rsid w:val="000C61B2"/>
    <w:rsid w:val="000C61E1"/>
    <w:rsid w:val="000C61E5"/>
    <w:rsid w:val="000C6233"/>
    <w:rsid w:val="000C628B"/>
    <w:rsid w:val="000C62B8"/>
    <w:rsid w:val="000C6301"/>
    <w:rsid w:val="000C6325"/>
    <w:rsid w:val="000C636F"/>
    <w:rsid w:val="000C63AF"/>
    <w:rsid w:val="000C6443"/>
    <w:rsid w:val="000C6513"/>
    <w:rsid w:val="000C65C4"/>
    <w:rsid w:val="000C6680"/>
    <w:rsid w:val="000C668D"/>
    <w:rsid w:val="000C66AD"/>
    <w:rsid w:val="000C66ED"/>
    <w:rsid w:val="000C67C9"/>
    <w:rsid w:val="000C68E2"/>
    <w:rsid w:val="000C6908"/>
    <w:rsid w:val="000C697D"/>
    <w:rsid w:val="000C6991"/>
    <w:rsid w:val="000C6AD7"/>
    <w:rsid w:val="000C6B7A"/>
    <w:rsid w:val="000C6BBB"/>
    <w:rsid w:val="000C6BDF"/>
    <w:rsid w:val="000C6C41"/>
    <w:rsid w:val="000C6C4F"/>
    <w:rsid w:val="000C6C9D"/>
    <w:rsid w:val="000C6CA5"/>
    <w:rsid w:val="000C6CDF"/>
    <w:rsid w:val="000C6D16"/>
    <w:rsid w:val="000C6DA9"/>
    <w:rsid w:val="000C6DC6"/>
    <w:rsid w:val="000C6E86"/>
    <w:rsid w:val="000C6ECA"/>
    <w:rsid w:val="000C6F07"/>
    <w:rsid w:val="000C6F71"/>
    <w:rsid w:val="000C6F90"/>
    <w:rsid w:val="000C6FDC"/>
    <w:rsid w:val="000C6FF4"/>
    <w:rsid w:val="000C7031"/>
    <w:rsid w:val="000C7036"/>
    <w:rsid w:val="000C7112"/>
    <w:rsid w:val="000C7184"/>
    <w:rsid w:val="000C7193"/>
    <w:rsid w:val="000C71FD"/>
    <w:rsid w:val="000C7227"/>
    <w:rsid w:val="000C722B"/>
    <w:rsid w:val="000C722F"/>
    <w:rsid w:val="000C7271"/>
    <w:rsid w:val="000C733C"/>
    <w:rsid w:val="000C7355"/>
    <w:rsid w:val="000C737E"/>
    <w:rsid w:val="000C7450"/>
    <w:rsid w:val="000C74BF"/>
    <w:rsid w:val="000C74DA"/>
    <w:rsid w:val="000C750B"/>
    <w:rsid w:val="000C7654"/>
    <w:rsid w:val="000C781B"/>
    <w:rsid w:val="000C78F5"/>
    <w:rsid w:val="000C79EE"/>
    <w:rsid w:val="000C79F2"/>
    <w:rsid w:val="000C7A23"/>
    <w:rsid w:val="000C7A68"/>
    <w:rsid w:val="000C7AAF"/>
    <w:rsid w:val="000C7C75"/>
    <w:rsid w:val="000C7D0E"/>
    <w:rsid w:val="000C7D1D"/>
    <w:rsid w:val="000C7DCF"/>
    <w:rsid w:val="000C7E11"/>
    <w:rsid w:val="000C7E3C"/>
    <w:rsid w:val="000C7E5E"/>
    <w:rsid w:val="000C7EA5"/>
    <w:rsid w:val="000C7F21"/>
    <w:rsid w:val="000C7F42"/>
    <w:rsid w:val="000C7F51"/>
    <w:rsid w:val="000C7FBC"/>
    <w:rsid w:val="000C7FD1"/>
    <w:rsid w:val="000D0000"/>
    <w:rsid w:val="000D0043"/>
    <w:rsid w:val="000D007C"/>
    <w:rsid w:val="000D00A3"/>
    <w:rsid w:val="000D0267"/>
    <w:rsid w:val="000D026D"/>
    <w:rsid w:val="000D0278"/>
    <w:rsid w:val="000D0285"/>
    <w:rsid w:val="000D0384"/>
    <w:rsid w:val="000D03D8"/>
    <w:rsid w:val="000D0447"/>
    <w:rsid w:val="000D04AC"/>
    <w:rsid w:val="000D0551"/>
    <w:rsid w:val="000D055A"/>
    <w:rsid w:val="000D0606"/>
    <w:rsid w:val="000D060F"/>
    <w:rsid w:val="000D0693"/>
    <w:rsid w:val="000D08CC"/>
    <w:rsid w:val="000D0903"/>
    <w:rsid w:val="000D093E"/>
    <w:rsid w:val="000D09AC"/>
    <w:rsid w:val="000D09D3"/>
    <w:rsid w:val="000D09EF"/>
    <w:rsid w:val="000D09F6"/>
    <w:rsid w:val="000D0ADD"/>
    <w:rsid w:val="000D0B54"/>
    <w:rsid w:val="000D0B78"/>
    <w:rsid w:val="000D0B96"/>
    <w:rsid w:val="000D0BFD"/>
    <w:rsid w:val="000D0C1F"/>
    <w:rsid w:val="000D0CD2"/>
    <w:rsid w:val="000D0D19"/>
    <w:rsid w:val="000D0D72"/>
    <w:rsid w:val="000D0D90"/>
    <w:rsid w:val="000D0F2F"/>
    <w:rsid w:val="000D0FDE"/>
    <w:rsid w:val="000D0FEA"/>
    <w:rsid w:val="000D101C"/>
    <w:rsid w:val="000D1020"/>
    <w:rsid w:val="000D104C"/>
    <w:rsid w:val="000D1067"/>
    <w:rsid w:val="000D1076"/>
    <w:rsid w:val="000D107B"/>
    <w:rsid w:val="000D10C8"/>
    <w:rsid w:val="000D10E7"/>
    <w:rsid w:val="000D10EC"/>
    <w:rsid w:val="000D1112"/>
    <w:rsid w:val="000D1151"/>
    <w:rsid w:val="000D1152"/>
    <w:rsid w:val="000D1203"/>
    <w:rsid w:val="000D121D"/>
    <w:rsid w:val="000D1224"/>
    <w:rsid w:val="000D12E0"/>
    <w:rsid w:val="000D1344"/>
    <w:rsid w:val="000D137C"/>
    <w:rsid w:val="000D1395"/>
    <w:rsid w:val="000D140A"/>
    <w:rsid w:val="000D1429"/>
    <w:rsid w:val="000D145A"/>
    <w:rsid w:val="000D14E8"/>
    <w:rsid w:val="000D15C0"/>
    <w:rsid w:val="000D1626"/>
    <w:rsid w:val="000D1742"/>
    <w:rsid w:val="000D178F"/>
    <w:rsid w:val="000D179D"/>
    <w:rsid w:val="000D17C3"/>
    <w:rsid w:val="000D18BC"/>
    <w:rsid w:val="000D18E5"/>
    <w:rsid w:val="000D1988"/>
    <w:rsid w:val="000D198C"/>
    <w:rsid w:val="000D1AD2"/>
    <w:rsid w:val="000D1ADF"/>
    <w:rsid w:val="000D1B0A"/>
    <w:rsid w:val="000D1B31"/>
    <w:rsid w:val="000D1B9B"/>
    <w:rsid w:val="000D1BD3"/>
    <w:rsid w:val="000D1C33"/>
    <w:rsid w:val="000D1C68"/>
    <w:rsid w:val="000D1DB2"/>
    <w:rsid w:val="000D1E37"/>
    <w:rsid w:val="000D1F16"/>
    <w:rsid w:val="000D1F79"/>
    <w:rsid w:val="000D1F7C"/>
    <w:rsid w:val="000D1FA5"/>
    <w:rsid w:val="000D20C2"/>
    <w:rsid w:val="000D2157"/>
    <w:rsid w:val="000D2190"/>
    <w:rsid w:val="000D22E6"/>
    <w:rsid w:val="000D2317"/>
    <w:rsid w:val="000D235E"/>
    <w:rsid w:val="000D2376"/>
    <w:rsid w:val="000D238A"/>
    <w:rsid w:val="000D2417"/>
    <w:rsid w:val="000D2555"/>
    <w:rsid w:val="000D2635"/>
    <w:rsid w:val="000D2719"/>
    <w:rsid w:val="000D2726"/>
    <w:rsid w:val="000D272D"/>
    <w:rsid w:val="000D2737"/>
    <w:rsid w:val="000D275F"/>
    <w:rsid w:val="000D2766"/>
    <w:rsid w:val="000D2776"/>
    <w:rsid w:val="000D27B4"/>
    <w:rsid w:val="000D2823"/>
    <w:rsid w:val="000D2840"/>
    <w:rsid w:val="000D2906"/>
    <w:rsid w:val="000D298D"/>
    <w:rsid w:val="000D29C3"/>
    <w:rsid w:val="000D29D7"/>
    <w:rsid w:val="000D2ACE"/>
    <w:rsid w:val="000D2AEA"/>
    <w:rsid w:val="000D2B0D"/>
    <w:rsid w:val="000D2B27"/>
    <w:rsid w:val="000D2B48"/>
    <w:rsid w:val="000D2B62"/>
    <w:rsid w:val="000D2B7C"/>
    <w:rsid w:val="000D2CFB"/>
    <w:rsid w:val="000D2D53"/>
    <w:rsid w:val="000D2DA3"/>
    <w:rsid w:val="000D2DB4"/>
    <w:rsid w:val="000D2DCD"/>
    <w:rsid w:val="000D2E3C"/>
    <w:rsid w:val="000D2E59"/>
    <w:rsid w:val="000D2E65"/>
    <w:rsid w:val="000D2EF6"/>
    <w:rsid w:val="000D304E"/>
    <w:rsid w:val="000D3066"/>
    <w:rsid w:val="000D3069"/>
    <w:rsid w:val="000D30E9"/>
    <w:rsid w:val="000D313C"/>
    <w:rsid w:val="000D3169"/>
    <w:rsid w:val="000D320D"/>
    <w:rsid w:val="000D3250"/>
    <w:rsid w:val="000D33BB"/>
    <w:rsid w:val="000D33FB"/>
    <w:rsid w:val="000D353D"/>
    <w:rsid w:val="000D3591"/>
    <w:rsid w:val="000D35F5"/>
    <w:rsid w:val="000D365C"/>
    <w:rsid w:val="000D3686"/>
    <w:rsid w:val="000D3750"/>
    <w:rsid w:val="000D375A"/>
    <w:rsid w:val="000D3788"/>
    <w:rsid w:val="000D381D"/>
    <w:rsid w:val="000D38E1"/>
    <w:rsid w:val="000D390D"/>
    <w:rsid w:val="000D390F"/>
    <w:rsid w:val="000D3923"/>
    <w:rsid w:val="000D39A3"/>
    <w:rsid w:val="000D3A02"/>
    <w:rsid w:val="000D3A13"/>
    <w:rsid w:val="000D3A74"/>
    <w:rsid w:val="000D3A8D"/>
    <w:rsid w:val="000D3B24"/>
    <w:rsid w:val="000D3BB1"/>
    <w:rsid w:val="000D3C70"/>
    <w:rsid w:val="000D3DE0"/>
    <w:rsid w:val="000D3EE7"/>
    <w:rsid w:val="000D3F05"/>
    <w:rsid w:val="000D3F19"/>
    <w:rsid w:val="000D3F7F"/>
    <w:rsid w:val="000D3FEF"/>
    <w:rsid w:val="000D4039"/>
    <w:rsid w:val="000D404E"/>
    <w:rsid w:val="000D406D"/>
    <w:rsid w:val="000D415A"/>
    <w:rsid w:val="000D41A0"/>
    <w:rsid w:val="000D4337"/>
    <w:rsid w:val="000D448B"/>
    <w:rsid w:val="000D460E"/>
    <w:rsid w:val="000D4658"/>
    <w:rsid w:val="000D467A"/>
    <w:rsid w:val="000D46DB"/>
    <w:rsid w:val="000D4707"/>
    <w:rsid w:val="000D4818"/>
    <w:rsid w:val="000D4867"/>
    <w:rsid w:val="000D4978"/>
    <w:rsid w:val="000D4B12"/>
    <w:rsid w:val="000D4B62"/>
    <w:rsid w:val="000D4B7E"/>
    <w:rsid w:val="000D4C73"/>
    <w:rsid w:val="000D4CD2"/>
    <w:rsid w:val="000D4D06"/>
    <w:rsid w:val="000D4D08"/>
    <w:rsid w:val="000D4D1A"/>
    <w:rsid w:val="000D4D51"/>
    <w:rsid w:val="000D4D67"/>
    <w:rsid w:val="000D4D6C"/>
    <w:rsid w:val="000D4E75"/>
    <w:rsid w:val="000D5047"/>
    <w:rsid w:val="000D508E"/>
    <w:rsid w:val="000D50D4"/>
    <w:rsid w:val="000D527C"/>
    <w:rsid w:val="000D55BA"/>
    <w:rsid w:val="000D561E"/>
    <w:rsid w:val="000D5632"/>
    <w:rsid w:val="000D563A"/>
    <w:rsid w:val="000D5732"/>
    <w:rsid w:val="000D57B4"/>
    <w:rsid w:val="000D57CA"/>
    <w:rsid w:val="000D57E8"/>
    <w:rsid w:val="000D5886"/>
    <w:rsid w:val="000D59AA"/>
    <w:rsid w:val="000D59B8"/>
    <w:rsid w:val="000D5AC9"/>
    <w:rsid w:val="000D5B01"/>
    <w:rsid w:val="000D5B54"/>
    <w:rsid w:val="000D5BA7"/>
    <w:rsid w:val="000D5C2D"/>
    <w:rsid w:val="000D5D8D"/>
    <w:rsid w:val="000D5DC5"/>
    <w:rsid w:val="000D5E1B"/>
    <w:rsid w:val="000D5E72"/>
    <w:rsid w:val="000D5E81"/>
    <w:rsid w:val="000D5EF7"/>
    <w:rsid w:val="000D5F1C"/>
    <w:rsid w:val="000D5F62"/>
    <w:rsid w:val="000D6111"/>
    <w:rsid w:val="000D61AF"/>
    <w:rsid w:val="000D6236"/>
    <w:rsid w:val="000D6284"/>
    <w:rsid w:val="000D62BA"/>
    <w:rsid w:val="000D62F3"/>
    <w:rsid w:val="000D6357"/>
    <w:rsid w:val="000D64A2"/>
    <w:rsid w:val="000D64BA"/>
    <w:rsid w:val="000D659E"/>
    <w:rsid w:val="000D65A0"/>
    <w:rsid w:val="000D6607"/>
    <w:rsid w:val="000D662B"/>
    <w:rsid w:val="000D6647"/>
    <w:rsid w:val="000D67A8"/>
    <w:rsid w:val="000D67BC"/>
    <w:rsid w:val="000D67DD"/>
    <w:rsid w:val="000D6809"/>
    <w:rsid w:val="000D6879"/>
    <w:rsid w:val="000D68D0"/>
    <w:rsid w:val="000D6975"/>
    <w:rsid w:val="000D6992"/>
    <w:rsid w:val="000D69E3"/>
    <w:rsid w:val="000D69E7"/>
    <w:rsid w:val="000D6ADA"/>
    <w:rsid w:val="000D6B41"/>
    <w:rsid w:val="000D6B90"/>
    <w:rsid w:val="000D6BC7"/>
    <w:rsid w:val="000D6C59"/>
    <w:rsid w:val="000D6DC6"/>
    <w:rsid w:val="000D6DC7"/>
    <w:rsid w:val="000D6E0B"/>
    <w:rsid w:val="000D6E68"/>
    <w:rsid w:val="000D6E86"/>
    <w:rsid w:val="000D6EAE"/>
    <w:rsid w:val="000D6EEE"/>
    <w:rsid w:val="000D6F68"/>
    <w:rsid w:val="000D70AD"/>
    <w:rsid w:val="000D7103"/>
    <w:rsid w:val="000D7136"/>
    <w:rsid w:val="000D71A8"/>
    <w:rsid w:val="000D71BB"/>
    <w:rsid w:val="000D71D1"/>
    <w:rsid w:val="000D71DC"/>
    <w:rsid w:val="000D71F4"/>
    <w:rsid w:val="000D7223"/>
    <w:rsid w:val="000D7230"/>
    <w:rsid w:val="000D7247"/>
    <w:rsid w:val="000D735C"/>
    <w:rsid w:val="000D7386"/>
    <w:rsid w:val="000D7429"/>
    <w:rsid w:val="000D749D"/>
    <w:rsid w:val="000D75A3"/>
    <w:rsid w:val="000D75E0"/>
    <w:rsid w:val="000D7694"/>
    <w:rsid w:val="000D7696"/>
    <w:rsid w:val="000D7701"/>
    <w:rsid w:val="000D776D"/>
    <w:rsid w:val="000D7790"/>
    <w:rsid w:val="000D77BF"/>
    <w:rsid w:val="000D788A"/>
    <w:rsid w:val="000D78A5"/>
    <w:rsid w:val="000D78C1"/>
    <w:rsid w:val="000D7961"/>
    <w:rsid w:val="000D7A15"/>
    <w:rsid w:val="000D7A6F"/>
    <w:rsid w:val="000D7A8A"/>
    <w:rsid w:val="000D7AAA"/>
    <w:rsid w:val="000D7ADD"/>
    <w:rsid w:val="000D7B3E"/>
    <w:rsid w:val="000D7B99"/>
    <w:rsid w:val="000D7B9B"/>
    <w:rsid w:val="000D7B9D"/>
    <w:rsid w:val="000D7BF6"/>
    <w:rsid w:val="000D7C1B"/>
    <w:rsid w:val="000D7C4B"/>
    <w:rsid w:val="000D7CA8"/>
    <w:rsid w:val="000D7D2E"/>
    <w:rsid w:val="000D7D40"/>
    <w:rsid w:val="000D7D8B"/>
    <w:rsid w:val="000D7E2C"/>
    <w:rsid w:val="000D7E62"/>
    <w:rsid w:val="000D7E65"/>
    <w:rsid w:val="000D7E80"/>
    <w:rsid w:val="000D7ECC"/>
    <w:rsid w:val="000D7F76"/>
    <w:rsid w:val="000D7FBE"/>
    <w:rsid w:val="000E0087"/>
    <w:rsid w:val="000E0089"/>
    <w:rsid w:val="000E010A"/>
    <w:rsid w:val="000E0112"/>
    <w:rsid w:val="000E013F"/>
    <w:rsid w:val="000E0236"/>
    <w:rsid w:val="000E02E8"/>
    <w:rsid w:val="000E035F"/>
    <w:rsid w:val="000E03CC"/>
    <w:rsid w:val="000E03DF"/>
    <w:rsid w:val="000E04E1"/>
    <w:rsid w:val="000E04E4"/>
    <w:rsid w:val="000E04FC"/>
    <w:rsid w:val="000E05B1"/>
    <w:rsid w:val="000E05EF"/>
    <w:rsid w:val="000E0622"/>
    <w:rsid w:val="000E0689"/>
    <w:rsid w:val="000E0729"/>
    <w:rsid w:val="000E0790"/>
    <w:rsid w:val="000E08B4"/>
    <w:rsid w:val="000E091D"/>
    <w:rsid w:val="000E0A33"/>
    <w:rsid w:val="000E0A50"/>
    <w:rsid w:val="000E0A9A"/>
    <w:rsid w:val="000E0B28"/>
    <w:rsid w:val="000E0B2A"/>
    <w:rsid w:val="000E0B56"/>
    <w:rsid w:val="000E0B7A"/>
    <w:rsid w:val="000E0BA7"/>
    <w:rsid w:val="000E0C44"/>
    <w:rsid w:val="000E0CCB"/>
    <w:rsid w:val="000E0D04"/>
    <w:rsid w:val="000E0D49"/>
    <w:rsid w:val="000E0D93"/>
    <w:rsid w:val="000E0E57"/>
    <w:rsid w:val="000E0F14"/>
    <w:rsid w:val="000E0F60"/>
    <w:rsid w:val="000E0F8D"/>
    <w:rsid w:val="000E0FC9"/>
    <w:rsid w:val="000E1006"/>
    <w:rsid w:val="000E1066"/>
    <w:rsid w:val="000E108E"/>
    <w:rsid w:val="000E10D2"/>
    <w:rsid w:val="000E10FF"/>
    <w:rsid w:val="000E115B"/>
    <w:rsid w:val="000E11A9"/>
    <w:rsid w:val="000E12E4"/>
    <w:rsid w:val="000E12F6"/>
    <w:rsid w:val="000E1313"/>
    <w:rsid w:val="000E1340"/>
    <w:rsid w:val="000E13B0"/>
    <w:rsid w:val="000E13BA"/>
    <w:rsid w:val="000E1408"/>
    <w:rsid w:val="000E16A5"/>
    <w:rsid w:val="000E16DF"/>
    <w:rsid w:val="000E17A2"/>
    <w:rsid w:val="000E17CD"/>
    <w:rsid w:val="000E182D"/>
    <w:rsid w:val="000E196B"/>
    <w:rsid w:val="000E1A02"/>
    <w:rsid w:val="000E1A74"/>
    <w:rsid w:val="000E1A81"/>
    <w:rsid w:val="000E1B33"/>
    <w:rsid w:val="000E1BAF"/>
    <w:rsid w:val="000E1BCE"/>
    <w:rsid w:val="000E1C1A"/>
    <w:rsid w:val="000E1DD9"/>
    <w:rsid w:val="000E1E7C"/>
    <w:rsid w:val="000E1E85"/>
    <w:rsid w:val="000E1EC7"/>
    <w:rsid w:val="000E1F09"/>
    <w:rsid w:val="000E1F20"/>
    <w:rsid w:val="000E1F53"/>
    <w:rsid w:val="000E1F65"/>
    <w:rsid w:val="000E1F9D"/>
    <w:rsid w:val="000E1FF4"/>
    <w:rsid w:val="000E210C"/>
    <w:rsid w:val="000E220D"/>
    <w:rsid w:val="000E2245"/>
    <w:rsid w:val="000E2267"/>
    <w:rsid w:val="000E2287"/>
    <w:rsid w:val="000E22C9"/>
    <w:rsid w:val="000E241D"/>
    <w:rsid w:val="000E2445"/>
    <w:rsid w:val="000E246D"/>
    <w:rsid w:val="000E24A3"/>
    <w:rsid w:val="000E25C8"/>
    <w:rsid w:val="000E261F"/>
    <w:rsid w:val="000E2681"/>
    <w:rsid w:val="000E26A3"/>
    <w:rsid w:val="000E26D9"/>
    <w:rsid w:val="000E2709"/>
    <w:rsid w:val="000E2900"/>
    <w:rsid w:val="000E2906"/>
    <w:rsid w:val="000E2A29"/>
    <w:rsid w:val="000E2AE1"/>
    <w:rsid w:val="000E2AF3"/>
    <w:rsid w:val="000E2B23"/>
    <w:rsid w:val="000E2C19"/>
    <w:rsid w:val="000E2C9C"/>
    <w:rsid w:val="000E2CAF"/>
    <w:rsid w:val="000E2D19"/>
    <w:rsid w:val="000E2D32"/>
    <w:rsid w:val="000E2D56"/>
    <w:rsid w:val="000E2D7B"/>
    <w:rsid w:val="000E2DBA"/>
    <w:rsid w:val="000E2DF1"/>
    <w:rsid w:val="000E2EDC"/>
    <w:rsid w:val="000E2F93"/>
    <w:rsid w:val="000E2F9B"/>
    <w:rsid w:val="000E2FF5"/>
    <w:rsid w:val="000E3063"/>
    <w:rsid w:val="000E3079"/>
    <w:rsid w:val="000E31C0"/>
    <w:rsid w:val="000E3255"/>
    <w:rsid w:val="000E3410"/>
    <w:rsid w:val="000E343A"/>
    <w:rsid w:val="000E35B2"/>
    <w:rsid w:val="000E35C5"/>
    <w:rsid w:val="000E368B"/>
    <w:rsid w:val="000E36EE"/>
    <w:rsid w:val="000E37DA"/>
    <w:rsid w:val="000E3929"/>
    <w:rsid w:val="000E3975"/>
    <w:rsid w:val="000E3977"/>
    <w:rsid w:val="000E3996"/>
    <w:rsid w:val="000E3A43"/>
    <w:rsid w:val="000E3A99"/>
    <w:rsid w:val="000E3AA6"/>
    <w:rsid w:val="000E3ACF"/>
    <w:rsid w:val="000E3B0D"/>
    <w:rsid w:val="000E3B16"/>
    <w:rsid w:val="000E3B19"/>
    <w:rsid w:val="000E3BCE"/>
    <w:rsid w:val="000E3BD5"/>
    <w:rsid w:val="000E3C34"/>
    <w:rsid w:val="000E3DFE"/>
    <w:rsid w:val="000E3E1E"/>
    <w:rsid w:val="000E3E40"/>
    <w:rsid w:val="000E3EE6"/>
    <w:rsid w:val="000E3EE7"/>
    <w:rsid w:val="000E4075"/>
    <w:rsid w:val="000E408A"/>
    <w:rsid w:val="000E40C2"/>
    <w:rsid w:val="000E431E"/>
    <w:rsid w:val="000E4332"/>
    <w:rsid w:val="000E43E0"/>
    <w:rsid w:val="000E4456"/>
    <w:rsid w:val="000E44F4"/>
    <w:rsid w:val="000E45A4"/>
    <w:rsid w:val="000E45DB"/>
    <w:rsid w:val="000E4611"/>
    <w:rsid w:val="000E4770"/>
    <w:rsid w:val="000E47BB"/>
    <w:rsid w:val="000E47EB"/>
    <w:rsid w:val="000E4968"/>
    <w:rsid w:val="000E4A1C"/>
    <w:rsid w:val="000E4A7B"/>
    <w:rsid w:val="000E4AF9"/>
    <w:rsid w:val="000E4BAA"/>
    <w:rsid w:val="000E4BFC"/>
    <w:rsid w:val="000E4D76"/>
    <w:rsid w:val="000E4DD3"/>
    <w:rsid w:val="000E4F34"/>
    <w:rsid w:val="000E4FF1"/>
    <w:rsid w:val="000E5008"/>
    <w:rsid w:val="000E5061"/>
    <w:rsid w:val="000E5147"/>
    <w:rsid w:val="000E5198"/>
    <w:rsid w:val="000E51D6"/>
    <w:rsid w:val="000E520C"/>
    <w:rsid w:val="000E5225"/>
    <w:rsid w:val="000E525E"/>
    <w:rsid w:val="000E53B6"/>
    <w:rsid w:val="000E5466"/>
    <w:rsid w:val="000E554B"/>
    <w:rsid w:val="000E55A1"/>
    <w:rsid w:val="000E5607"/>
    <w:rsid w:val="000E5617"/>
    <w:rsid w:val="000E5624"/>
    <w:rsid w:val="000E563D"/>
    <w:rsid w:val="000E5655"/>
    <w:rsid w:val="000E5671"/>
    <w:rsid w:val="000E5707"/>
    <w:rsid w:val="000E577C"/>
    <w:rsid w:val="000E57BA"/>
    <w:rsid w:val="000E58B4"/>
    <w:rsid w:val="000E58E8"/>
    <w:rsid w:val="000E590C"/>
    <w:rsid w:val="000E5A93"/>
    <w:rsid w:val="000E5AA9"/>
    <w:rsid w:val="000E5B2D"/>
    <w:rsid w:val="000E5BC9"/>
    <w:rsid w:val="000E5C52"/>
    <w:rsid w:val="000E5C7E"/>
    <w:rsid w:val="000E5D81"/>
    <w:rsid w:val="000E5D86"/>
    <w:rsid w:val="000E5D98"/>
    <w:rsid w:val="000E5DF0"/>
    <w:rsid w:val="000E5E00"/>
    <w:rsid w:val="000E5E55"/>
    <w:rsid w:val="000E5E8C"/>
    <w:rsid w:val="000E5F28"/>
    <w:rsid w:val="000E5FA1"/>
    <w:rsid w:val="000E6078"/>
    <w:rsid w:val="000E607A"/>
    <w:rsid w:val="000E6216"/>
    <w:rsid w:val="000E621F"/>
    <w:rsid w:val="000E624B"/>
    <w:rsid w:val="000E62D2"/>
    <w:rsid w:val="000E63A0"/>
    <w:rsid w:val="000E63E4"/>
    <w:rsid w:val="000E6426"/>
    <w:rsid w:val="000E6463"/>
    <w:rsid w:val="000E6475"/>
    <w:rsid w:val="000E6490"/>
    <w:rsid w:val="000E64B5"/>
    <w:rsid w:val="000E64EB"/>
    <w:rsid w:val="000E65E0"/>
    <w:rsid w:val="000E6645"/>
    <w:rsid w:val="000E664B"/>
    <w:rsid w:val="000E66BB"/>
    <w:rsid w:val="000E66C4"/>
    <w:rsid w:val="000E66E7"/>
    <w:rsid w:val="000E66FE"/>
    <w:rsid w:val="000E6710"/>
    <w:rsid w:val="000E676F"/>
    <w:rsid w:val="000E67EF"/>
    <w:rsid w:val="000E6862"/>
    <w:rsid w:val="000E6918"/>
    <w:rsid w:val="000E69D7"/>
    <w:rsid w:val="000E6A8B"/>
    <w:rsid w:val="000E6ABD"/>
    <w:rsid w:val="000E6AE1"/>
    <w:rsid w:val="000E6B9F"/>
    <w:rsid w:val="000E6D06"/>
    <w:rsid w:val="000E6D7F"/>
    <w:rsid w:val="000E6DAB"/>
    <w:rsid w:val="000E6DE0"/>
    <w:rsid w:val="000E6F20"/>
    <w:rsid w:val="000E7009"/>
    <w:rsid w:val="000E7012"/>
    <w:rsid w:val="000E710A"/>
    <w:rsid w:val="000E718F"/>
    <w:rsid w:val="000E71E6"/>
    <w:rsid w:val="000E7230"/>
    <w:rsid w:val="000E731B"/>
    <w:rsid w:val="000E7390"/>
    <w:rsid w:val="000E73B8"/>
    <w:rsid w:val="000E73CC"/>
    <w:rsid w:val="000E73D1"/>
    <w:rsid w:val="000E7513"/>
    <w:rsid w:val="000E7620"/>
    <w:rsid w:val="000E764C"/>
    <w:rsid w:val="000E7673"/>
    <w:rsid w:val="000E76DD"/>
    <w:rsid w:val="000E76F3"/>
    <w:rsid w:val="000E7712"/>
    <w:rsid w:val="000E772C"/>
    <w:rsid w:val="000E77A7"/>
    <w:rsid w:val="000E77D7"/>
    <w:rsid w:val="000E7A0B"/>
    <w:rsid w:val="000E7B5D"/>
    <w:rsid w:val="000E7B67"/>
    <w:rsid w:val="000E7B7A"/>
    <w:rsid w:val="000E7BE9"/>
    <w:rsid w:val="000E7C23"/>
    <w:rsid w:val="000E7C79"/>
    <w:rsid w:val="000E7C95"/>
    <w:rsid w:val="000E7CB1"/>
    <w:rsid w:val="000E7E5E"/>
    <w:rsid w:val="000E7E9F"/>
    <w:rsid w:val="000E7ECF"/>
    <w:rsid w:val="000E7F12"/>
    <w:rsid w:val="000E7F74"/>
    <w:rsid w:val="000F00E7"/>
    <w:rsid w:val="000F01A8"/>
    <w:rsid w:val="000F027E"/>
    <w:rsid w:val="000F0286"/>
    <w:rsid w:val="000F028B"/>
    <w:rsid w:val="000F02E1"/>
    <w:rsid w:val="000F0301"/>
    <w:rsid w:val="000F0318"/>
    <w:rsid w:val="000F035E"/>
    <w:rsid w:val="000F03B4"/>
    <w:rsid w:val="000F03CD"/>
    <w:rsid w:val="000F03CE"/>
    <w:rsid w:val="000F0433"/>
    <w:rsid w:val="000F045E"/>
    <w:rsid w:val="000F04BF"/>
    <w:rsid w:val="000F05D5"/>
    <w:rsid w:val="000F0665"/>
    <w:rsid w:val="000F069C"/>
    <w:rsid w:val="000F0735"/>
    <w:rsid w:val="000F0890"/>
    <w:rsid w:val="000F090B"/>
    <w:rsid w:val="000F0987"/>
    <w:rsid w:val="000F0A5C"/>
    <w:rsid w:val="000F0AEB"/>
    <w:rsid w:val="000F0B7D"/>
    <w:rsid w:val="000F0BB8"/>
    <w:rsid w:val="000F0BBF"/>
    <w:rsid w:val="000F0C23"/>
    <w:rsid w:val="000F0C3E"/>
    <w:rsid w:val="000F0C67"/>
    <w:rsid w:val="000F0CAE"/>
    <w:rsid w:val="000F0CD5"/>
    <w:rsid w:val="000F0D5B"/>
    <w:rsid w:val="000F0D9F"/>
    <w:rsid w:val="000F0E11"/>
    <w:rsid w:val="000F0E79"/>
    <w:rsid w:val="000F0EDD"/>
    <w:rsid w:val="000F0EF5"/>
    <w:rsid w:val="000F0F71"/>
    <w:rsid w:val="000F0FC0"/>
    <w:rsid w:val="000F0FCF"/>
    <w:rsid w:val="000F0FFE"/>
    <w:rsid w:val="000F104C"/>
    <w:rsid w:val="000F116C"/>
    <w:rsid w:val="000F118E"/>
    <w:rsid w:val="000F11B9"/>
    <w:rsid w:val="000F1273"/>
    <w:rsid w:val="000F1296"/>
    <w:rsid w:val="000F13DC"/>
    <w:rsid w:val="000F14F9"/>
    <w:rsid w:val="000F15E1"/>
    <w:rsid w:val="000F15F8"/>
    <w:rsid w:val="000F16AC"/>
    <w:rsid w:val="000F179F"/>
    <w:rsid w:val="000F17E5"/>
    <w:rsid w:val="000F19EF"/>
    <w:rsid w:val="000F1AB3"/>
    <w:rsid w:val="000F1B1A"/>
    <w:rsid w:val="000F1BBA"/>
    <w:rsid w:val="000F1C39"/>
    <w:rsid w:val="000F1C56"/>
    <w:rsid w:val="000F1C74"/>
    <w:rsid w:val="000F1C7D"/>
    <w:rsid w:val="000F1D0E"/>
    <w:rsid w:val="000F1D5F"/>
    <w:rsid w:val="000F1D7C"/>
    <w:rsid w:val="000F1E0A"/>
    <w:rsid w:val="000F1E2E"/>
    <w:rsid w:val="000F1F44"/>
    <w:rsid w:val="000F1F71"/>
    <w:rsid w:val="000F1F85"/>
    <w:rsid w:val="000F1F97"/>
    <w:rsid w:val="000F2097"/>
    <w:rsid w:val="000F212A"/>
    <w:rsid w:val="000F225D"/>
    <w:rsid w:val="000F22AB"/>
    <w:rsid w:val="000F23DA"/>
    <w:rsid w:val="000F251D"/>
    <w:rsid w:val="000F2608"/>
    <w:rsid w:val="000F2637"/>
    <w:rsid w:val="000F2648"/>
    <w:rsid w:val="000F2690"/>
    <w:rsid w:val="000F276F"/>
    <w:rsid w:val="000F27F0"/>
    <w:rsid w:val="000F280F"/>
    <w:rsid w:val="000F2AD4"/>
    <w:rsid w:val="000F2B1F"/>
    <w:rsid w:val="000F2C20"/>
    <w:rsid w:val="000F2C7B"/>
    <w:rsid w:val="000F2DC2"/>
    <w:rsid w:val="000F2E8F"/>
    <w:rsid w:val="000F2EEB"/>
    <w:rsid w:val="000F2FB6"/>
    <w:rsid w:val="000F2FC0"/>
    <w:rsid w:val="000F301F"/>
    <w:rsid w:val="000F3023"/>
    <w:rsid w:val="000F3079"/>
    <w:rsid w:val="000F316D"/>
    <w:rsid w:val="000F32C2"/>
    <w:rsid w:val="000F32F5"/>
    <w:rsid w:val="000F33C7"/>
    <w:rsid w:val="000F340E"/>
    <w:rsid w:val="000F3467"/>
    <w:rsid w:val="000F35A9"/>
    <w:rsid w:val="000F3658"/>
    <w:rsid w:val="000F3660"/>
    <w:rsid w:val="000F3669"/>
    <w:rsid w:val="000F36AC"/>
    <w:rsid w:val="000F3704"/>
    <w:rsid w:val="000F37AD"/>
    <w:rsid w:val="000F37B0"/>
    <w:rsid w:val="000F38BA"/>
    <w:rsid w:val="000F394D"/>
    <w:rsid w:val="000F3993"/>
    <w:rsid w:val="000F39AB"/>
    <w:rsid w:val="000F39B7"/>
    <w:rsid w:val="000F3BAB"/>
    <w:rsid w:val="000F3D20"/>
    <w:rsid w:val="000F3DF2"/>
    <w:rsid w:val="000F3E39"/>
    <w:rsid w:val="000F3F69"/>
    <w:rsid w:val="000F3F72"/>
    <w:rsid w:val="000F3F88"/>
    <w:rsid w:val="000F3FA2"/>
    <w:rsid w:val="000F4072"/>
    <w:rsid w:val="000F4105"/>
    <w:rsid w:val="000F4146"/>
    <w:rsid w:val="000F4181"/>
    <w:rsid w:val="000F41E3"/>
    <w:rsid w:val="000F41E4"/>
    <w:rsid w:val="000F422A"/>
    <w:rsid w:val="000F4234"/>
    <w:rsid w:val="000F42F0"/>
    <w:rsid w:val="000F4314"/>
    <w:rsid w:val="000F4340"/>
    <w:rsid w:val="000F4349"/>
    <w:rsid w:val="000F43A1"/>
    <w:rsid w:val="000F43A2"/>
    <w:rsid w:val="000F44B2"/>
    <w:rsid w:val="000F4503"/>
    <w:rsid w:val="000F452E"/>
    <w:rsid w:val="000F4535"/>
    <w:rsid w:val="000F457C"/>
    <w:rsid w:val="000F4651"/>
    <w:rsid w:val="000F46B3"/>
    <w:rsid w:val="000F46E2"/>
    <w:rsid w:val="000F477A"/>
    <w:rsid w:val="000F47C7"/>
    <w:rsid w:val="000F493A"/>
    <w:rsid w:val="000F496E"/>
    <w:rsid w:val="000F497F"/>
    <w:rsid w:val="000F49BF"/>
    <w:rsid w:val="000F4AB5"/>
    <w:rsid w:val="000F4B32"/>
    <w:rsid w:val="000F4B88"/>
    <w:rsid w:val="000F4BAF"/>
    <w:rsid w:val="000F4D7A"/>
    <w:rsid w:val="000F4E2D"/>
    <w:rsid w:val="000F4F8F"/>
    <w:rsid w:val="000F5070"/>
    <w:rsid w:val="000F508D"/>
    <w:rsid w:val="000F50C6"/>
    <w:rsid w:val="000F5183"/>
    <w:rsid w:val="000F51CA"/>
    <w:rsid w:val="000F52AD"/>
    <w:rsid w:val="000F52D3"/>
    <w:rsid w:val="000F52F7"/>
    <w:rsid w:val="000F5339"/>
    <w:rsid w:val="000F536D"/>
    <w:rsid w:val="000F5392"/>
    <w:rsid w:val="000F53AA"/>
    <w:rsid w:val="000F5452"/>
    <w:rsid w:val="000F54E7"/>
    <w:rsid w:val="000F5531"/>
    <w:rsid w:val="000F5679"/>
    <w:rsid w:val="000F5721"/>
    <w:rsid w:val="000F5802"/>
    <w:rsid w:val="000F58D8"/>
    <w:rsid w:val="000F58E5"/>
    <w:rsid w:val="000F5902"/>
    <w:rsid w:val="000F5A4E"/>
    <w:rsid w:val="000F5A51"/>
    <w:rsid w:val="000F5A89"/>
    <w:rsid w:val="000F5BC3"/>
    <w:rsid w:val="000F5BCB"/>
    <w:rsid w:val="000F5CF0"/>
    <w:rsid w:val="000F5CFA"/>
    <w:rsid w:val="000F5D0C"/>
    <w:rsid w:val="000F5D12"/>
    <w:rsid w:val="000F5EAF"/>
    <w:rsid w:val="000F5F02"/>
    <w:rsid w:val="000F5F06"/>
    <w:rsid w:val="000F6062"/>
    <w:rsid w:val="000F61FA"/>
    <w:rsid w:val="000F6211"/>
    <w:rsid w:val="000F62BF"/>
    <w:rsid w:val="000F634E"/>
    <w:rsid w:val="000F63A5"/>
    <w:rsid w:val="000F644C"/>
    <w:rsid w:val="000F645F"/>
    <w:rsid w:val="000F646E"/>
    <w:rsid w:val="000F6489"/>
    <w:rsid w:val="000F649F"/>
    <w:rsid w:val="000F651F"/>
    <w:rsid w:val="000F653B"/>
    <w:rsid w:val="000F658F"/>
    <w:rsid w:val="000F65A0"/>
    <w:rsid w:val="000F65A5"/>
    <w:rsid w:val="000F6620"/>
    <w:rsid w:val="000F667C"/>
    <w:rsid w:val="000F6707"/>
    <w:rsid w:val="000F6729"/>
    <w:rsid w:val="000F6815"/>
    <w:rsid w:val="000F681A"/>
    <w:rsid w:val="000F688B"/>
    <w:rsid w:val="000F6895"/>
    <w:rsid w:val="000F690A"/>
    <w:rsid w:val="000F690F"/>
    <w:rsid w:val="000F692E"/>
    <w:rsid w:val="000F6A87"/>
    <w:rsid w:val="000F6ABA"/>
    <w:rsid w:val="000F6AC5"/>
    <w:rsid w:val="000F6B11"/>
    <w:rsid w:val="000F6B30"/>
    <w:rsid w:val="000F6B88"/>
    <w:rsid w:val="000F6B8F"/>
    <w:rsid w:val="000F6D57"/>
    <w:rsid w:val="000F6DE4"/>
    <w:rsid w:val="000F6E4D"/>
    <w:rsid w:val="000F6F2B"/>
    <w:rsid w:val="000F6F33"/>
    <w:rsid w:val="000F6F80"/>
    <w:rsid w:val="000F6FBF"/>
    <w:rsid w:val="000F6FFF"/>
    <w:rsid w:val="000F70F1"/>
    <w:rsid w:val="000F711A"/>
    <w:rsid w:val="000F713D"/>
    <w:rsid w:val="000F7195"/>
    <w:rsid w:val="000F726E"/>
    <w:rsid w:val="000F7282"/>
    <w:rsid w:val="000F72B0"/>
    <w:rsid w:val="000F72C6"/>
    <w:rsid w:val="000F7346"/>
    <w:rsid w:val="000F7398"/>
    <w:rsid w:val="000F7442"/>
    <w:rsid w:val="000F74C0"/>
    <w:rsid w:val="000F74ED"/>
    <w:rsid w:val="000F7535"/>
    <w:rsid w:val="000F7636"/>
    <w:rsid w:val="000F764E"/>
    <w:rsid w:val="000F76F5"/>
    <w:rsid w:val="000F7788"/>
    <w:rsid w:val="000F79BB"/>
    <w:rsid w:val="000F79FC"/>
    <w:rsid w:val="000F7A1C"/>
    <w:rsid w:val="000F7B0C"/>
    <w:rsid w:val="000F7BC6"/>
    <w:rsid w:val="000F7C6A"/>
    <w:rsid w:val="000F7C7C"/>
    <w:rsid w:val="000F7CBF"/>
    <w:rsid w:val="000F7D2D"/>
    <w:rsid w:val="000F7D9F"/>
    <w:rsid w:val="000F7DEC"/>
    <w:rsid w:val="000F7E09"/>
    <w:rsid w:val="000F7E17"/>
    <w:rsid w:val="000F7E22"/>
    <w:rsid w:val="000F7EC6"/>
    <w:rsid w:val="00100004"/>
    <w:rsid w:val="00100061"/>
    <w:rsid w:val="001000AD"/>
    <w:rsid w:val="001002D2"/>
    <w:rsid w:val="001002E0"/>
    <w:rsid w:val="00100308"/>
    <w:rsid w:val="001003D2"/>
    <w:rsid w:val="0010047A"/>
    <w:rsid w:val="00100533"/>
    <w:rsid w:val="00100639"/>
    <w:rsid w:val="00100646"/>
    <w:rsid w:val="0010065C"/>
    <w:rsid w:val="001006A1"/>
    <w:rsid w:val="001007A0"/>
    <w:rsid w:val="001007E8"/>
    <w:rsid w:val="00100831"/>
    <w:rsid w:val="0010083D"/>
    <w:rsid w:val="00100880"/>
    <w:rsid w:val="0010099A"/>
    <w:rsid w:val="00100B85"/>
    <w:rsid w:val="00100C30"/>
    <w:rsid w:val="00100C3C"/>
    <w:rsid w:val="00100CD9"/>
    <w:rsid w:val="00100CFE"/>
    <w:rsid w:val="00100D34"/>
    <w:rsid w:val="00100DB0"/>
    <w:rsid w:val="00100DB4"/>
    <w:rsid w:val="00100DF4"/>
    <w:rsid w:val="00100E44"/>
    <w:rsid w:val="00100E45"/>
    <w:rsid w:val="00100EA6"/>
    <w:rsid w:val="00100EC1"/>
    <w:rsid w:val="00100FC6"/>
    <w:rsid w:val="00101068"/>
    <w:rsid w:val="001010BB"/>
    <w:rsid w:val="00101135"/>
    <w:rsid w:val="0010116E"/>
    <w:rsid w:val="001011A0"/>
    <w:rsid w:val="001011E5"/>
    <w:rsid w:val="00101281"/>
    <w:rsid w:val="00101299"/>
    <w:rsid w:val="001012B0"/>
    <w:rsid w:val="0010133B"/>
    <w:rsid w:val="00101368"/>
    <w:rsid w:val="001013A3"/>
    <w:rsid w:val="001013C6"/>
    <w:rsid w:val="001015E4"/>
    <w:rsid w:val="0010160B"/>
    <w:rsid w:val="0010163E"/>
    <w:rsid w:val="001016B4"/>
    <w:rsid w:val="001016F8"/>
    <w:rsid w:val="00101716"/>
    <w:rsid w:val="00101743"/>
    <w:rsid w:val="00101754"/>
    <w:rsid w:val="001017F7"/>
    <w:rsid w:val="0010185E"/>
    <w:rsid w:val="0010193D"/>
    <w:rsid w:val="0010198A"/>
    <w:rsid w:val="001019B8"/>
    <w:rsid w:val="00101A2E"/>
    <w:rsid w:val="00101A3C"/>
    <w:rsid w:val="00101AD5"/>
    <w:rsid w:val="00101AE6"/>
    <w:rsid w:val="00101B1C"/>
    <w:rsid w:val="00101BC9"/>
    <w:rsid w:val="00101BF6"/>
    <w:rsid w:val="00101C4C"/>
    <w:rsid w:val="00101D32"/>
    <w:rsid w:val="00101D59"/>
    <w:rsid w:val="00101D9D"/>
    <w:rsid w:val="00101EC5"/>
    <w:rsid w:val="00101EF0"/>
    <w:rsid w:val="00101FA9"/>
    <w:rsid w:val="00101FC1"/>
    <w:rsid w:val="00102251"/>
    <w:rsid w:val="001022A9"/>
    <w:rsid w:val="001023A6"/>
    <w:rsid w:val="0010242F"/>
    <w:rsid w:val="00102443"/>
    <w:rsid w:val="001024F8"/>
    <w:rsid w:val="0010265B"/>
    <w:rsid w:val="001027FD"/>
    <w:rsid w:val="0010280F"/>
    <w:rsid w:val="00102838"/>
    <w:rsid w:val="00102839"/>
    <w:rsid w:val="00102970"/>
    <w:rsid w:val="00102989"/>
    <w:rsid w:val="001029BE"/>
    <w:rsid w:val="00102A5F"/>
    <w:rsid w:val="00102B0D"/>
    <w:rsid w:val="00102B60"/>
    <w:rsid w:val="00102C26"/>
    <w:rsid w:val="00102C47"/>
    <w:rsid w:val="00102CD2"/>
    <w:rsid w:val="00102CFE"/>
    <w:rsid w:val="00102D03"/>
    <w:rsid w:val="00102D56"/>
    <w:rsid w:val="00102DC2"/>
    <w:rsid w:val="00102E4F"/>
    <w:rsid w:val="00102E57"/>
    <w:rsid w:val="00102F19"/>
    <w:rsid w:val="00102F9F"/>
    <w:rsid w:val="00103003"/>
    <w:rsid w:val="001031D3"/>
    <w:rsid w:val="0010329A"/>
    <w:rsid w:val="00103357"/>
    <w:rsid w:val="001033B2"/>
    <w:rsid w:val="00103458"/>
    <w:rsid w:val="0010349D"/>
    <w:rsid w:val="001034ED"/>
    <w:rsid w:val="0010357A"/>
    <w:rsid w:val="00103599"/>
    <w:rsid w:val="001035BD"/>
    <w:rsid w:val="00103644"/>
    <w:rsid w:val="00103714"/>
    <w:rsid w:val="00103722"/>
    <w:rsid w:val="001037E9"/>
    <w:rsid w:val="0010383A"/>
    <w:rsid w:val="0010389C"/>
    <w:rsid w:val="00103913"/>
    <w:rsid w:val="00103996"/>
    <w:rsid w:val="001039A8"/>
    <w:rsid w:val="001039F1"/>
    <w:rsid w:val="00103A0E"/>
    <w:rsid w:val="00103A58"/>
    <w:rsid w:val="00103AD1"/>
    <w:rsid w:val="00103B11"/>
    <w:rsid w:val="00103B49"/>
    <w:rsid w:val="00103B5B"/>
    <w:rsid w:val="00103BA9"/>
    <w:rsid w:val="00103BE1"/>
    <w:rsid w:val="00103BEE"/>
    <w:rsid w:val="00103C03"/>
    <w:rsid w:val="00103C61"/>
    <w:rsid w:val="00103D4C"/>
    <w:rsid w:val="00103D82"/>
    <w:rsid w:val="00103DC0"/>
    <w:rsid w:val="00103DF0"/>
    <w:rsid w:val="00104018"/>
    <w:rsid w:val="001040B4"/>
    <w:rsid w:val="0010422F"/>
    <w:rsid w:val="00104254"/>
    <w:rsid w:val="00104335"/>
    <w:rsid w:val="00104383"/>
    <w:rsid w:val="001043A7"/>
    <w:rsid w:val="0010446D"/>
    <w:rsid w:val="001044C6"/>
    <w:rsid w:val="001044CC"/>
    <w:rsid w:val="00104557"/>
    <w:rsid w:val="001045C0"/>
    <w:rsid w:val="00104616"/>
    <w:rsid w:val="00104623"/>
    <w:rsid w:val="0010463B"/>
    <w:rsid w:val="00104725"/>
    <w:rsid w:val="00104831"/>
    <w:rsid w:val="00104868"/>
    <w:rsid w:val="0010488E"/>
    <w:rsid w:val="00104AA9"/>
    <w:rsid w:val="00104AE7"/>
    <w:rsid w:val="00104B3A"/>
    <w:rsid w:val="00104B60"/>
    <w:rsid w:val="00104C6A"/>
    <w:rsid w:val="00104C93"/>
    <w:rsid w:val="00104C9A"/>
    <w:rsid w:val="00104CB4"/>
    <w:rsid w:val="00104CD3"/>
    <w:rsid w:val="00104D8B"/>
    <w:rsid w:val="00104EBD"/>
    <w:rsid w:val="00104F0E"/>
    <w:rsid w:val="00105049"/>
    <w:rsid w:val="00105076"/>
    <w:rsid w:val="0010509C"/>
    <w:rsid w:val="001050FF"/>
    <w:rsid w:val="0010519E"/>
    <w:rsid w:val="00105209"/>
    <w:rsid w:val="00105431"/>
    <w:rsid w:val="0010552A"/>
    <w:rsid w:val="0010555B"/>
    <w:rsid w:val="00105586"/>
    <w:rsid w:val="00105622"/>
    <w:rsid w:val="001056F2"/>
    <w:rsid w:val="001056F6"/>
    <w:rsid w:val="0010577B"/>
    <w:rsid w:val="0010590D"/>
    <w:rsid w:val="001059B2"/>
    <w:rsid w:val="00105A67"/>
    <w:rsid w:val="00105B54"/>
    <w:rsid w:val="00105BBC"/>
    <w:rsid w:val="00105BE8"/>
    <w:rsid w:val="00105C2E"/>
    <w:rsid w:val="00105C36"/>
    <w:rsid w:val="00105D04"/>
    <w:rsid w:val="00105D5A"/>
    <w:rsid w:val="00105D67"/>
    <w:rsid w:val="00105DA9"/>
    <w:rsid w:val="00105E2C"/>
    <w:rsid w:val="00105E39"/>
    <w:rsid w:val="00105F59"/>
    <w:rsid w:val="00105FEF"/>
    <w:rsid w:val="0010605F"/>
    <w:rsid w:val="00106114"/>
    <w:rsid w:val="00106168"/>
    <w:rsid w:val="0010620D"/>
    <w:rsid w:val="00106250"/>
    <w:rsid w:val="00106387"/>
    <w:rsid w:val="001063F7"/>
    <w:rsid w:val="001064B5"/>
    <w:rsid w:val="00106514"/>
    <w:rsid w:val="0010653A"/>
    <w:rsid w:val="0010658D"/>
    <w:rsid w:val="001065AB"/>
    <w:rsid w:val="001065CA"/>
    <w:rsid w:val="00106629"/>
    <w:rsid w:val="00106704"/>
    <w:rsid w:val="00106771"/>
    <w:rsid w:val="001067E8"/>
    <w:rsid w:val="00106805"/>
    <w:rsid w:val="0010682C"/>
    <w:rsid w:val="00106837"/>
    <w:rsid w:val="00106941"/>
    <w:rsid w:val="0010694C"/>
    <w:rsid w:val="00106A2E"/>
    <w:rsid w:val="00106BCE"/>
    <w:rsid w:val="00106BD9"/>
    <w:rsid w:val="00106C15"/>
    <w:rsid w:val="00106D5D"/>
    <w:rsid w:val="00106E40"/>
    <w:rsid w:val="00106E75"/>
    <w:rsid w:val="00106ECE"/>
    <w:rsid w:val="00106EEA"/>
    <w:rsid w:val="00106EF7"/>
    <w:rsid w:val="00106F4B"/>
    <w:rsid w:val="00107081"/>
    <w:rsid w:val="0010713C"/>
    <w:rsid w:val="00107260"/>
    <w:rsid w:val="00107298"/>
    <w:rsid w:val="001073F5"/>
    <w:rsid w:val="001074E6"/>
    <w:rsid w:val="00107515"/>
    <w:rsid w:val="00107563"/>
    <w:rsid w:val="00107567"/>
    <w:rsid w:val="0010756B"/>
    <w:rsid w:val="0010756D"/>
    <w:rsid w:val="00107573"/>
    <w:rsid w:val="0010757B"/>
    <w:rsid w:val="001075A5"/>
    <w:rsid w:val="001075EE"/>
    <w:rsid w:val="00107673"/>
    <w:rsid w:val="00107826"/>
    <w:rsid w:val="001078D3"/>
    <w:rsid w:val="001078D6"/>
    <w:rsid w:val="00107909"/>
    <w:rsid w:val="001079AB"/>
    <w:rsid w:val="00107A13"/>
    <w:rsid w:val="00107A23"/>
    <w:rsid w:val="00107AC9"/>
    <w:rsid w:val="00107B17"/>
    <w:rsid w:val="00107B55"/>
    <w:rsid w:val="00107CAF"/>
    <w:rsid w:val="00107CD4"/>
    <w:rsid w:val="00107CEB"/>
    <w:rsid w:val="00107D2E"/>
    <w:rsid w:val="00107D9B"/>
    <w:rsid w:val="00107E13"/>
    <w:rsid w:val="00107E1A"/>
    <w:rsid w:val="00107E1C"/>
    <w:rsid w:val="00107E37"/>
    <w:rsid w:val="00107E4F"/>
    <w:rsid w:val="00107F0A"/>
    <w:rsid w:val="00107F37"/>
    <w:rsid w:val="00107F48"/>
    <w:rsid w:val="00107F49"/>
    <w:rsid w:val="00107F4E"/>
    <w:rsid w:val="00107F53"/>
    <w:rsid w:val="00107F6F"/>
    <w:rsid w:val="00110036"/>
    <w:rsid w:val="00110061"/>
    <w:rsid w:val="00110130"/>
    <w:rsid w:val="00110138"/>
    <w:rsid w:val="001101F3"/>
    <w:rsid w:val="00110311"/>
    <w:rsid w:val="00110386"/>
    <w:rsid w:val="00110419"/>
    <w:rsid w:val="0011041F"/>
    <w:rsid w:val="0011060E"/>
    <w:rsid w:val="00110614"/>
    <w:rsid w:val="00110623"/>
    <w:rsid w:val="00110632"/>
    <w:rsid w:val="00110654"/>
    <w:rsid w:val="0011066C"/>
    <w:rsid w:val="00110688"/>
    <w:rsid w:val="001107AB"/>
    <w:rsid w:val="001108BE"/>
    <w:rsid w:val="00110BA8"/>
    <w:rsid w:val="00110BAD"/>
    <w:rsid w:val="00110C0B"/>
    <w:rsid w:val="00110C48"/>
    <w:rsid w:val="00110C62"/>
    <w:rsid w:val="00110C85"/>
    <w:rsid w:val="00110CB7"/>
    <w:rsid w:val="00110D69"/>
    <w:rsid w:val="00110DAA"/>
    <w:rsid w:val="00110E2D"/>
    <w:rsid w:val="00110F06"/>
    <w:rsid w:val="00110FC6"/>
    <w:rsid w:val="00111026"/>
    <w:rsid w:val="00111027"/>
    <w:rsid w:val="0011105B"/>
    <w:rsid w:val="00111067"/>
    <w:rsid w:val="00111073"/>
    <w:rsid w:val="00111075"/>
    <w:rsid w:val="0011114C"/>
    <w:rsid w:val="001111A0"/>
    <w:rsid w:val="001111D9"/>
    <w:rsid w:val="00111256"/>
    <w:rsid w:val="00111319"/>
    <w:rsid w:val="00111367"/>
    <w:rsid w:val="0011139C"/>
    <w:rsid w:val="001113B4"/>
    <w:rsid w:val="001113D5"/>
    <w:rsid w:val="0011145B"/>
    <w:rsid w:val="0011150C"/>
    <w:rsid w:val="0011154B"/>
    <w:rsid w:val="0011158C"/>
    <w:rsid w:val="00111599"/>
    <w:rsid w:val="001115EB"/>
    <w:rsid w:val="00111600"/>
    <w:rsid w:val="001116CF"/>
    <w:rsid w:val="0011179A"/>
    <w:rsid w:val="00111839"/>
    <w:rsid w:val="0011188D"/>
    <w:rsid w:val="001118A8"/>
    <w:rsid w:val="001118F3"/>
    <w:rsid w:val="001119AD"/>
    <w:rsid w:val="00111A0E"/>
    <w:rsid w:val="00111A5C"/>
    <w:rsid w:val="00111A72"/>
    <w:rsid w:val="00111AAB"/>
    <w:rsid w:val="00111AD9"/>
    <w:rsid w:val="00111BE7"/>
    <w:rsid w:val="00111C26"/>
    <w:rsid w:val="00111C9E"/>
    <w:rsid w:val="00111CD1"/>
    <w:rsid w:val="00111D43"/>
    <w:rsid w:val="00111D73"/>
    <w:rsid w:val="00111D9D"/>
    <w:rsid w:val="00111DA7"/>
    <w:rsid w:val="00111DCF"/>
    <w:rsid w:val="00111EBA"/>
    <w:rsid w:val="00111ED2"/>
    <w:rsid w:val="00111EDD"/>
    <w:rsid w:val="00111F43"/>
    <w:rsid w:val="00111F7C"/>
    <w:rsid w:val="00112072"/>
    <w:rsid w:val="00112119"/>
    <w:rsid w:val="0011216E"/>
    <w:rsid w:val="00112230"/>
    <w:rsid w:val="00112325"/>
    <w:rsid w:val="00112381"/>
    <w:rsid w:val="001123B6"/>
    <w:rsid w:val="001123C1"/>
    <w:rsid w:val="00112440"/>
    <w:rsid w:val="00112473"/>
    <w:rsid w:val="001124E1"/>
    <w:rsid w:val="001124EA"/>
    <w:rsid w:val="00112505"/>
    <w:rsid w:val="0011260C"/>
    <w:rsid w:val="0011266B"/>
    <w:rsid w:val="001126EE"/>
    <w:rsid w:val="00112710"/>
    <w:rsid w:val="00112722"/>
    <w:rsid w:val="001127DC"/>
    <w:rsid w:val="00112808"/>
    <w:rsid w:val="0011281A"/>
    <w:rsid w:val="00112842"/>
    <w:rsid w:val="00112886"/>
    <w:rsid w:val="001128BA"/>
    <w:rsid w:val="001128EF"/>
    <w:rsid w:val="0011296C"/>
    <w:rsid w:val="001129C8"/>
    <w:rsid w:val="00112A20"/>
    <w:rsid w:val="00112A24"/>
    <w:rsid w:val="00112B24"/>
    <w:rsid w:val="00112B2A"/>
    <w:rsid w:val="00112B42"/>
    <w:rsid w:val="00112BD7"/>
    <w:rsid w:val="00112D4A"/>
    <w:rsid w:val="00112D66"/>
    <w:rsid w:val="00112D99"/>
    <w:rsid w:val="00112DA3"/>
    <w:rsid w:val="00112E77"/>
    <w:rsid w:val="00112ED7"/>
    <w:rsid w:val="00113027"/>
    <w:rsid w:val="00113075"/>
    <w:rsid w:val="0011307C"/>
    <w:rsid w:val="0011313F"/>
    <w:rsid w:val="001131CC"/>
    <w:rsid w:val="00113226"/>
    <w:rsid w:val="0011325A"/>
    <w:rsid w:val="0011327E"/>
    <w:rsid w:val="00113343"/>
    <w:rsid w:val="001133EE"/>
    <w:rsid w:val="00113409"/>
    <w:rsid w:val="00113458"/>
    <w:rsid w:val="0011357C"/>
    <w:rsid w:val="001135CA"/>
    <w:rsid w:val="001135D2"/>
    <w:rsid w:val="001135E7"/>
    <w:rsid w:val="0011368C"/>
    <w:rsid w:val="00113725"/>
    <w:rsid w:val="0011375F"/>
    <w:rsid w:val="0011376A"/>
    <w:rsid w:val="001137B9"/>
    <w:rsid w:val="001137D6"/>
    <w:rsid w:val="001138D4"/>
    <w:rsid w:val="001138D5"/>
    <w:rsid w:val="001139DD"/>
    <w:rsid w:val="00113A1F"/>
    <w:rsid w:val="00113A74"/>
    <w:rsid w:val="00113AD0"/>
    <w:rsid w:val="00113B6C"/>
    <w:rsid w:val="00113C03"/>
    <w:rsid w:val="00113C82"/>
    <w:rsid w:val="00113D3F"/>
    <w:rsid w:val="00113D87"/>
    <w:rsid w:val="00113DEB"/>
    <w:rsid w:val="00113E44"/>
    <w:rsid w:val="00113F0E"/>
    <w:rsid w:val="00113F90"/>
    <w:rsid w:val="00114046"/>
    <w:rsid w:val="0011408D"/>
    <w:rsid w:val="00114174"/>
    <w:rsid w:val="00114281"/>
    <w:rsid w:val="00114284"/>
    <w:rsid w:val="00114320"/>
    <w:rsid w:val="00114372"/>
    <w:rsid w:val="0011439D"/>
    <w:rsid w:val="00114435"/>
    <w:rsid w:val="0011445C"/>
    <w:rsid w:val="001145AE"/>
    <w:rsid w:val="00114646"/>
    <w:rsid w:val="0011465C"/>
    <w:rsid w:val="001147A3"/>
    <w:rsid w:val="0011485C"/>
    <w:rsid w:val="00114872"/>
    <w:rsid w:val="001148F0"/>
    <w:rsid w:val="00114907"/>
    <w:rsid w:val="0011494C"/>
    <w:rsid w:val="0011495D"/>
    <w:rsid w:val="00114987"/>
    <w:rsid w:val="001149CB"/>
    <w:rsid w:val="001149F3"/>
    <w:rsid w:val="00114B5C"/>
    <w:rsid w:val="00114CC9"/>
    <w:rsid w:val="00114CE9"/>
    <w:rsid w:val="00114D47"/>
    <w:rsid w:val="00114E02"/>
    <w:rsid w:val="00115038"/>
    <w:rsid w:val="00115040"/>
    <w:rsid w:val="00115047"/>
    <w:rsid w:val="001150F6"/>
    <w:rsid w:val="00115193"/>
    <w:rsid w:val="00115279"/>
    <w:rsid w:val="00115343"/>
    <w:rsid w:val="001153A2"/>
    <w:rsid w:val="001153D7"/>
    <w:rsid w:val="001154EF"/>
    <w:rsid w:val="001155A5"/>
    <w:rsid w:val="00115617"/>
    <w:rsid w:val="001157DA"/>
    <w:rsid w:val="001158C3"/>
    <w:rsid w:val="00115915"/>
    <w:rsid w:val="00115924"/>
    <w:rsid w:val="00115A8D"/>
    <w:rsid w:val="00115ADA"/>
    <w:rsid w:val="00115B40"/>
    <w:rsid w:val="00115BB3"/>
    <w:rsid w:val="00115C18"/>
    <w:rsid w:val="00115D0E"/>
    <w:rsid w:val="00115DD7"/>
    <w:rsid w:val="00115DE4"/>
    <w:rsid w:val="00115EBF"/>
    <w:rsid w:val="00115EF4"/>
    <w:rsid w:val="00115F67"/>
    <w:rsid w:val="00115F6D"/>
    <w:rsid w:val="00115FCA"/>
    <w:rsid w:val="0011603B"/>
    <w:rsid w:val="00116142"/>
    <w:rsid w:val="001161B9"/>
    <w:rsid w:val="001161C9"/>
    <w:rsid w:val="0011624C"/>
    <w:rsid w:val="001162D1"/>
    <w:rsid w:val="00116315"/>
    <w:rsid w:val="001163AF"/>
    <w:rsid w:val="001163D7"/>
    <w:rsid w:val="001163D8"/>
    <w:rsid w:val="001163E4"/>
    <w:rsid w:val="001163E6"/>
    <w:rsid w:val="00116417"/>
    <w:rsid w:val="001164A1"/>
    <w:rsid w:val="001164A3"/>
    <w:rsid w:val="0011651A"/>
    <w:rsid w:val="0011651B"/>
    <w:rsid w:val="0011653A"/>
    <w:rsid w:val="0011654D"/>
    <w:rsid w:val="0011658F"/>
    <w:rsid w:val="001165B5"/>
    <w:rsid w:val="00116661"/>
    <w:rsid w:val="0011671C"/>
    <w:rsid w:val="0011679E"/>
    <w:rsid w:val="00116823"/>
    <w:rsid w:val="00116839"/>
    <w:rsid w:val="0011688B"/>
    <w:rsid w:val="0011698D"/>
    <w:rsid w:val="001169AA"/>
    <w:rsid w:val="001169BD"/>
    <w:rsid w:val="001169F1"/>
    <w:rsid w:val="00116A2C"/>
    <w:rsid w:val="00116B64"/>
    <w:rsid w:val="00116B66"/>
    <w:rsid w:val="00116BC1"/>
    <w:rsid w:val="00116C79"/>
    <w:rsid w:val="00116C8F"/>
    <w:rsid w:val="00116D3C"/>
    <w:rsid w:val="00116DC2"/>
    <w:rsid w:val="00116E18"/>
    <w:rsid w:val="00116FBF"/>
    <w:rsid w:val="00117008"/>
    <w:rsid w:val="00117013"/>
    <w:rsid w:val="00117087"/>
    <w:rsid w:val="001170B8"/>
    <w:rsid w:val="0011711F"/>
    <w:rsid w:val="0011713E"/>
    <w:rsid w:val="00117159"/>
    <w:rsid w:val="001171F5"/>
    <w:rsid w:val="0011722A"/>
    <w:rsid w:val="001174F7"/>
    <w:rsid w:val="00117514"/>
    <w:rsid w:val="0011752F"/>
    <w:rsid w:val="001175D6"/>
    <w:rsid w:val="001175E3"/>
    <w:rsid w:val="0011760E"/>
    <w:rsid w:val="00117636"/>
    <w:rsid w:val="001177CA"/>
    <w:rsid w:val="0011784C"/>
    <w:rsid w:val="001178A6"/>
    <w:rsid w:val="00117913"/>
    <w:rsid w:val="001179FD"/>
    <w:rsid w:val="00117A4A"/>
    <w:rsid w:val="00117A5E"/>
    <w:rsid w:val="00117AEC"/>
    <w:rsid w:val="00117B4A"/>
    <w:rsid w:val="00117CA1"/>
    <w:rsid w:val="00117DBA"/>
    <w:rsid w:val="00117E26"/>
    <w:rsid w:val="00117E3D"/>
    <w:rsid w:val="00117E90"/>
    <w:rsid w:val="00117EA5"/>
    <w:rsid w:val="00117EF0"/>
    <w:rsid w:val="00117F05"/>
    <w:rsid w:val="00117FD5"/>
    <w:rsid w:val="00117FF0"/>
    <w:rsid w:val="0012002D"/>
    <w:rsid w:val="0012006F"/>
    <w:rsid w:val="001200BA"/>
    <w:rsid w:val="001200E4"/>
    <w:rsid w:val="00120132"/>
    <w:rsid w:val="0012018A"/>
    <w:rsid w:val="001201BE"/>
    <w:rsid w:val="001201F0"/>
    <w:rsid w:val="00120296"/>
    <w:rsid w:val="0012031A"/>
    <w:rsid w:val="00120369"/>
    <w:rsid w:val="00120374"/>
    <w:rsid w:val="001203A5"/>
    <w:rsid w:val="001203E0"/>
    <w:rsid w:val="001204E8"/>
    <w:rsid w:val="0012055E"/>
    <w:rsid w:val="001205C3"/>
    <w:rsid w:val="0012064A"/>
    <w:rsid w:val="00120651"/>
    <w:rsid w:val="00120660"/>
    <w:rsid w:val="0012068F"/>
    <w:rsid w:val="001206DC"/>
    <w:rsid w:val="0012073A"/>
    <w:rsid w:val="001207A2"/>
    <w:rsid w:val="001207B3"/>
    <w:rsid w:val="00120915"/>
    <w:rsid w:val="00120922"/>
    <w:rsid w:val="001209EE"/>
    <w:rsid w:val="00120A04"/>
    <w:rsid w:val="00120AF0"/>
    <w:rsid w:val="00120BFA"/>
    <w:rsid w:val="00120C79"/>
    <w:rsid w:val="00120CDC"/>
    <w:rsid w:val="00120E7E"/>
    <w:rsid w:val="00120F87"/>
    <w:rsid w:val="00121007"/>
    <w:rsid w:val="00121019"/>
    <w:rsid w:val="0012104C"/>
    <w:rsid w:val="00121098"/>
    <w:rsid w:val="001210E2"/>
    <w:rsid w:val="00121139"/>
    <w:rsid w:val="00121287"/>
    <w:rsid w:val="0012136C"/>
    <w:rsid w:val="001214FC"/>
    <w:rsid w:val="0012153E"/>
    <w:rsid w:val="00121555"/>
    <w:rsid w:val="00121653"/>
    <w:rsid w:val="00121666"/>
    <w:rsid w:val="00121676"/>
    <w:rsid w:val="001216BF"/>
    <w:rsid w:val="001216E2"/>
    <w:rsid w:val="00121755"/>
    <w:rsid w:val="0012178A"/>
    <w:rsid w:val="001218A7"/>
    <w:rsid w:val="001218B2"/>
    <w:rsid w:val="00121956"/>
    <w:rsid w:val="00121967"/>
    <w:rsid w:val="001219A4"/>
    <w:rsid w:val="001219C3"/>
    <w:rsid w:val="001219FB"/>
    <w:rsid w:val="00121A75"/>
    <w:rsid w:val="00121A97"/>
    <w:rsid w:val="00121BF2"/>
    <w:rsid w:val="00121C9F"/>
    <w:rsid w:val="00121CAE"/>
    <w:rsid w:val="00121CC4"/>
    <w:rsid w:val="00121D45"/>
    <w:rsid w:val="00121DD1"/>
    <w:rsid w:val="00121F73"/>
    <w:rsid w:val="00121F83"/>
    <w:rsid w:val="00121FE7"/>
    <w:rsid w:val="00121FEB"/>
    <w:rsid w:val="0012210C"/>
    <w:rsid w:val="001221E2"/>
    <w:rsid w:val="00122571"/>
    <w:rsid w:val="001225C8"/>
    <w:rsid w:val="001225DB"/>
    <w:rsid w:val="001225F5"/>
    <w:rsid w:val="0012268B"/>
    <w:rsid w:val="001226A0"/>
    <w:rsid w:val="0012270C"/>
    <w:rsid w:val="00122735"/>
    <w:rsid w:val="00122777"/>
    <w:rsid w:val="001228E6"/>
    <w:rsid w:val="00122A00"/>
    <w:rsid w:val="00122A2F"/>
    <w:rsid w:val="00122A9A"/>
    <w:rsid w:val="00122AE9"/>
    <w:rsid w:val="00122B26"/>
    <w:rsid w:val="00122B51"/>
    <w:rsid w:val="00122C3C"/>
    <w:rsid w:val="00122D06"/>
    <w:rsid w:val="00122D44"/>
    <w:rsid w:val="00122D48"/>
    <w:rsid w:val="00122D8D"/>
    <w:rsid w:val="00122DC2"/>
    <w:rsid w:val="00122E03"/>
    <w:rsid w:val="00122E1F"/>
    <w:rsid w:val="00122E69"/>
    <w:rsid w:val="00122E77"/>
    <w:rsid w:val="00122F03"/>
    <w:rsid w:val="00122F1D"/>
    <w:rsid w:val="00122FA4"/>
    <w:rsid w:val="0012304C"/>
    <w:rsid w:val="00123097"/>
    <w:rsid w:val="001231AE"/>
    <w:rsid w:val="001232EE"/>
    <w:rsid w:val="00123304"/>
    <w:rsid w:val="00123351"/>
    <w:rsid w:val="0012344B"/>
    <w:rsid w:val="00123463"/>
    <w:rsid w:val="001234C3"/>
    <w:rsid w:val="001234D2"/>
    <w:rsid w:val="00123516"/>
    <w:rsid w:val="00123584"/>
    <w:rsid w:val="0012361D"/>
    <w:rsid w:val="00123639"/>
    <w:rsid w:val="0012364A"/>
    <w:rsid w:val="0012366A"/>
    <w:rsid w:val="001236B8"/>
    <w:rsid w:val="001236F8"/>
    <w:rsid w:val="0012372A"/>
    <w:rsid w:val="0012372F"/>
    <w:rsid w:val="001237A3"/>
    <w:rsid w:val="00123836"/>
    <w:rsid w:val="00123868"/>
    <w:rsid w:val="001238E2"/>
    <w:rsid w:val="00123976"/>
    <w:rsid w:val="001239CA"/>
    <w:rsid w:val="001239E0"/>
    <w:rsid w:val="001239EE"/>
    <w:rsid w:val="00123A09"/>
    <w:rsid w:val="00123AC3"/>
    <w:rsid w:val="00123ADB"/>
    <w:rsid w:val="00123BE5"/>
    <w:rsid w:val="00123C20"/>
    <w:rsid w:val="00123C9C"/>
    <w:rsid w:val="00123CA4"/>
    <w:rsid w:val="00123D19"/>
    <w:rsid w:val="00123D78"/>
    <w:rsid w:val="00123D94"/>
    <w:rsid w:val="00123E01"/>
    <w:rsid w:val="00123E7C"/>
    <w:rsid w:val="00123F01"/>
    <w:rsid w:val="00123F9D"/>
    <w:rsid w:val="00123FA9"/>
    <w:rsid w:val="0012403E"/>
    <w:rsid w:val="0012409A"/>
    <w:rsid w:val="001240D7"/>
    <w:rsid w:val="00124121"/>
    <w:rsid w:val="0012412D"/>
    <w:rsid w:val="001241F4"/>
    <w:rsid w:val="00124244"/>
    <w:rsid w:val="0012435F"/>
    <w:rsid w:val="0012436D"/>
    <w:rsid w:val="0012440F"/>
    <w:rsid w:val="0012452B"/>
    <w:rsid w:val="00124564"/>
    <w:rsid w:val="001245DB"/>
    <w:rsid w:val="00124651"/>
    <w:rsid w:val="001246CE"/>
    <w:rsid w:val="00124761"/>
    <w:rsid w:val="0012477A"/>
    <w:rsid w:val="001247F8"/>
    <w:rsid w:val="0012482C"/>
    <w:rsid w:val="0012485A"/>
    <w:rsid w:val="0012496E"/>
    <w:rsid w:val="001249E1"/>
    <w:rsid w:val="00124B0A"/>
    <w:rsid w:val="00124C56"/>
    <w:rsid w:val="00124CC1"/>
    <w:rsid w:val="00124CD2"/>
    <w:rsid w:val="00124DD2"/>
    <w:rsid w:val="00124DDF"/>
    <w:rsid w:val="00124DFB"/>
    <w:rsid w:val="00124E17"/>
    <w:rsid w:val="00124E3A"/>
    <w:rsid w:val="00124EC2"/>
    <w:rsid w:val="00124ED4"/>
    <w:rsid w:val="00124F7D"/>
    <w:rsid w:val="00124F8B"/>
    <w:rsid w:val="00124FF7"/>
    <w:rsid w:val="00124FF8"/>
    <w:rsid w:val="00125002"/>
    <w:rsid w:val="0012504C"/>
    <w:rsid w:val="0012505C"/>
    <w:rsid w:val="00125068"/>
    <w:rsid w:val="001250D0"/>
    <w:rsid w:val="001250EE"/>
    <w:rsid w:val="00125122"/>
    <w:rsid w:val="00125192"/>
    <w:rsid w:val="0012521F"/>
    <w:rsid w:val="00125368"/>
    <w:rsid w:val="001253A7"/>
    <w:rsid w:val="001253BC"/>
    <w:rsid w:val="001253CC"/>
    <w:rsid w:val="001254B3"/>
    <w:rsid w:val="0012555C"/>
    <w:rsid w:val="001255A4"/>
    <w:rsid w:val="001255E5"/>
    <w:rsid w:val="00125641"/>
    <w:rsid w:val="00125651"/>
    <w:rsid w:val="00125699"/>
    <w:rsid w:val="001258E9"/>
    <w:rsid w:val="0012594B"/>
    <w:rsid w:val="0012599C"/>
    <w:rsid w:val="001259A4"/>
    <w:rsid w:val="00125A9D"/>
    <w:rsid w:val="00125AAE"/>
    <w:rsid w:val="00125B66"/>
    <w:rsid w:val="00125C13"/>
    <w:rsid w:val="00125C2E"/>
    <w:rsid w:val="00125C96"/>
    <w:rsid w:val="00125CBB"/>
    <w:rsid w:val="00125CFA"/>
    <w:rsid w:val="00125D08"/>
    <w:rsid w:val="00125DA6"/>
    <w:rsid w:val="00125DF0"/>
    <w:rsid w:val="00125ECF"/>
    <w:rsid w:val="0012602D"/>
    <w:rsid w:val="00126089"/>
    <w:rsid w:val="00126132"/>
    <w:rsid w:val="001262A0"/>
    <w:rsid w:val="001262E6"/>
    <w:rsid w:val="0012630E"/>
    <w:rsid w:val="0012642C"/>
    <w:rsid w:val="0012647A"/>
    <w:rsid w:val="0012649C"/>
    <w:rsid w:val="001264BF"/>
    <w:rsid w:val="001264C5"/>
    <w:rsid w:val="001264ED"/>
    <w:rsid w:val="00126501"/>
    <w:rsid w:val="00126516"/>
    <w:rsid w:val="00126527"/>
    <w:rsid w:val="001265EE"/>
    <w:rsid w:val="00126651"/>
    <w:rsid w:val="00126669"/>
    <w:rsid w:val="001266FB"/>
    <w:rsid w:val="00126750"/>
    <w:rsid w:val="0012678F"/>
    <w:rsid w:val="001268D5"/>
    <w:rsid w:val="001269B6"/>
    <w:rsid w:val="00126AA1"/>
    <w:rsid w:val="00126B60"/>
    <w:rsid w:val="00126B9D"/>
    <w:rsid w:val="00126C15"/>
    <w:rsid w:val="00126C68"/>
    <w:rsid w:val="00126C87"/>
    <w:rsid w:val="00126E64"/>
    <w:rsid w:val="00126EA4"/>
    <w:rsid w:val="00126FF5"/>
    <w:rsid w:val="00127044"/>
    <w:rsid w:val="0012709F"/>
    <w:rsid w:val="001270FD"/>
    <w:rsid w:val="00127193"/>
    <w:rsid w:val="001272D4"/>
    <w:rsid w:val="0012730C"/>
    <w:rsid w:val="00127376"/>
    <w:rsid w:val="00127436"/>
    <w:rsid w:val="00127451"/>
    <w:rsid w:val="00127474"/>
    <w:rsid w:val="001275E0"/>
    <w:rsid w:val="001277DF"/>
    <w:rsid w:val="00127822"/>
    <w:rsid w:val="0012785B"/>
    <w:rsid w:val="00127A01"/>
    <w:rsid w:val="00127A86"/>
    <w:rsid w:val="00127B0B"/>
    <w:rsid w:val="00127B52"/>
    <w:rsid w:val="00127B64"/>
    <w:rsid w:val="00127BFF"/>
    <w:rsid w:val="00127CC5"/>
    <w:rsid w:val="00127CC9"/>
    <w:rsid w:val="00127D04"/>
    <w:rsid w:val="00127D1D"/>
    <w:rsid w:val="00127D31"/>
    <w:rsid w:val="00127D59"/>
    <w:rsid w:val="00127DAD"/>
    <w:rsid w:val="00127E4B"/>
    <w:rsid w:val="00127EA7"/>
    <w:rsid w:val="00127F92"/>
    <w:rsid w:val="00127F99"/>
    <w:rsid w:val="00127FA1"/>
    <w:rsid w:val="0013003A"/>
    <w:rsid w:val="001300F3"/>
    <w:rsid w:val="00130146"/>
    <w:rsid w:val="0013015C"/>
    <w:rsid w:val="001301AF"/>
    <w:rsid w:val="00130223"/>
    <w:rsid w:val="0013024F"/>
    <w:rsid w:val="001302D6"/>
    <w:rsid w:val="00130428"/>
    <w:rsid w:val="00130432"/>
    <w:rsid w:val="00130450"/>
    <w:rsid w:val="0013058F"/>
    <w:rsid w:val="001305D1"/>
    <w:rsid w:val="00130606"/>
    <w:rsid w:val="00130721"/>
    <w:rsid w:val="00130727"/>
    <w:rsid w:val="0013085E"/>
    <w:rsid w:val="0013087F"/>
    <w:rsid w:val="0013089E"/>
    <w:rsid w:val="001308CA"/>
    <w:rsid w:val="001308FE"/>
    <w:rsid w:val="00130949"/>
    <w:rsid w:val="00130AB9"/>
    <w:rsid w:val="00130BBF"/>
    <w:rsid w:val="00130BC2"/>
    <w:rsid w:val="00130BF7"/>
    <w:rsid w:val="00130C71"/>
    <w:rsid w:val="00130D64"/>
    <w:rsid w:val="00130D8A"/>
    <w:rsid w:val="00130DD4"/>
    <w:rsid w:val="00130EF2"/>
    <w:rsid w:val="00130F3F"/>
    <w:rsid w:val="00130F4A"/>
    <w:rsid w:val="00130F5E"/>
    <w:rsid w:val="00130FE5"/>
    <w:rsid w:val="001310D5"/>
    <w:rsid w:val="001311F6"/>
    <w:rsid w:val="001312D9"/>
    <w:rsid w:val="001312E1"/>
    <w:rsid w:val="0013134A"/>
    <w:rsid w:val="0013135D"/>
    <w:rsid w:val="00131364"/>
    <w:rsid w:val="00131491"/>
    <w:rsid w:val="001314BB"/>
    <w:rsid w:val="001314BF"/>
    <w:rsid w:val="001314C7"/>
    <w:rsid w:val="00131541"/>
    <w:rsid w:val="001315F3"/>
    <w:rsid w:val="001315F7"/>
    <w:rsid w:val="00131676"/>
    <w:rsid w:val="00131694"/>
    <w:rsid w:val="001316BE"/>
    <w:rsid w:val="00131710"/>
    <w:rsid w:val="00131781"/>
    <w:rsid w:val="0013178E"/>
    <w:rsid w:val="0013187E"/>
    <w:rsid w:val="0013189E"/>
    <w:rsid w:val="001318D8"/>
    <w:rsid w:val="00131943"/>
    <w:rsid w:val="001319D2"/>
    <w:rsid w:val="001319DF"/>
    <w:rsid w:val="00131B16"/>
    <w:rsid w:val="00131B7E"/>
    <w:rsid w:val="00131B9B"/>
    <w:rsid w:val="00131C51"/>
    <w:rsid w:val="00131C80"/>
    <w:rsid w:val="00131CC8"/>
    <w:rsid w:val="00131D43"/>
    <w:rsid w:val="00131F51"/>
    <w:rsid w:val="00131F68"/>
    <w:rsid w:val="00131FAF"/>
    <w:rsid w:val="001320FA"/>
    <w:rsid w:val="0013215C"/>
    <w:rsid w:val="0013222D"/>
    <w:rsid w:val="00132273"/>
    <w:rsid w:val="00132294"/>
    <w:rsid w:val="00132373"/>
    <w:rsid w:val="001323C3"/>
    <w:rsid w:val="00132402"/>
    <w:rsid w:val="0013246B"/>
    <w:rsid w:val="001324D3"/>
    <w:rsid w:val="001324E3"/>
    <w:rsid w:val="001325D1"/>
    <w:rsid w:val="0013261B"/>
    <w:rsid w:val="00132640"/>
    <w:rsid w:val="00132668"/>
    <w:rsid w:val="00132717"/>
    <w:rsid w:val="00132718"/>
    <w:rsid w:val="00132815"/>
    <w:rsid w:val="0013281D"/>
    <w:rsid w:val="00132842"/>
    <w:rsid w:val="0013286C"/>
    <w:rsid w:val="00132980"/>
    <w:rsid w:val="001329D5"/>
    <w:rsid w:val="001329EC"/>
    <w:rsid w:val="00132A90"/>
    <w:rsid w:val="00132C18"/>
    <w:rsid w:val="00132E2F"/>
    <w:rsid w:val="00132E31"/>
    <w:rsid w:val="00132EB5"/>
    <w:rsid w:val="00132F03"/>
    <w:rsid w:val="00132F1E"/>
    <w:rsid w:val="00132F5F"/>
    <w:rsid w:val="00132F7A"/>
    <w:rsid w:val="00133072"/>
    <w:rsid w:val="001330DA"/>
    <w:rsid w:val="001330FF"/>
    <w:rsid w:val="00133181"/>
    <w:rsid w:val="0013320E"/>
    <w:rsid w:val="001333D3"/>
    <w:rsid w:val="001333D9"/>
    <w:rsid w:val="00133454"/>
    <w:rsid w:val="00133461"/>
    <w:rsid w:val="001334C1"/>
    <w:rsid w:val="001334CA"/>
    <w:rsid w:val="0013357F"/>
    <w:rsid w:val="001335C5"/>
    <w:rsid w:val="001336C9"/>
    <w:rsid w:val="00133748"/>
    <w:rsid w:val="00133793"/>
    <w:rsid w:val="001337DA"/>
    <w:rsid w:val="00133827"/>
    <w:rsid w:val="001338B9"/>
    <w:rsid w:val="001338D4"/>
    <w:rsid w:val="00133953"/>
    <w:rsid w:val="00133990"/>
    <w:rsid w:val="001339CB"/>
    <w:rsid w:val="001339E9"/>
    <w:rsid w:val="00133A03"/>
    <w:rsid w:val="00133C28"/>
    <w:rsid w:val="00133C52"/>
    <w:rsid w:val="00133DB7"/>
    <w:rsid w:val="00133E09"/>
    <w:rsid w:val="00133E4F"/>
    <w:rsid w:val="00133FC7"/>
    <w:rsid w:val="00133FCF"/>
    <w:rsid w:val="00133FD1"/>
    <w:rsid w:val="00134012"/>
    <w:rsid w:val="00134024"/>
    <w:rsid w:val="00134031"/>
    <w:rsid w:val="0013406B"/>
    <w:rsid w:val="001340B0"/>
    <w:rsid w:val="00134124"/>
    <w:rsid w:val="0013419F"/>
    <w:rsid w:val="001341F0"/>
    <w:rsid w:val="00134227"/>
    <w:rsid w:val="00134318"/>
    <w:rsid w:val="00134345"/>
    <w:rsid w:val="00134379"/>
    <w:rsid w:val="00134450"/>
    <w:rsid w:val="001344FA"/>
    <w:rsid w:val="00134577"/>
    <w:rsid w:val="0013459B"/>
    <w:rsid w:val="00134623"/>
    <w:rsid w:val="00134632"/>
    <w:rsid w:val="001347DE"/>
    <w:rsid w:val="00134923"/>
    <w:rsid w:val="0013499E"/>
    <w:rsid w:val="001349A4"/>
    <w:rsid w:val="001349F5"/>
    <w:rsid w:val="00134AE4"/>
    <w:rsid w:val="00134BE3"/>
    <w:rsid w:val="00134C77"/>
    <w:rsid w:val="00134CDD"/>
    <w:rsid w:val="00134D03"/>
    <w:rsid w:val="00134D1D"/>
    <w:rsid w:val="00134D43"/>
    <w:rsid w:val="00134EE4"/>
    <w:rsid w:val="00134F57"/>
    <w:rsid w:val="00134F6D"/>
    <w:rsid w:val="0013501D"/>
    <w:rsid w:val="00135115"/>
    <w:rsid w:val="00135146"/>
    <w:rsid w:val="0013515D"/>
    <w:rsid w:val="001351F9"/>
    <w:rsid w:val="00135203"/>
    <w:rsid w:val="00135259"/>
    <w:rsid w:val="001352C9"/>
    <w:rsid w:val="001352F9"/>
    <w:rsid w:val="00135340"/>
    <w:rsid w:val="00135372"/>
    <w:rsid w:val="001353E1"/>
    <w:rsid w:val="001353F1"/>
    <w:rsid w:val="001353FA"/>
    <w:rsid w:val="00135453"/>
    <w:rsid w:val="0013549E"/>
    <w:rsid w:val="0013549F"/>
    <w:rsid w:val="001354A2"/>
    <w:rsid w:val="001354F2"/>
    <w:rsid w:val="001355D0"/>
    <w:rsid w:val="00135619"/>
    <w:rsid w:val="00135650"/>
    <w:rsid w:val="00135655"/>
    <w:rsid w:val="001356CB"/>
    <w:rsid w:val="001356EB"/>
    <w:rsid w:val="0013581E"/>
    <w:rsid w:val="00135872"/>
    <w:rsid w:val="00135913"/>
    <w:rsid w:val="001359B4"/>
    <w:rsid w:val="001359E8"/>
    <w:rsid w:val="00135A06"/>
    <w:rsid w:val="00135A1A"/>
    <w:rsid w:val="00135AFE"/>
    <w:rsid w:val="00135B04"/>
    <w:rsid w:val="00135B08"/>
    <w:rsid w:val="00135B74"/>
    <w:rsid w:val="00135BC2"/>
    <w:rsid w:val="00135DBB"/>
    <w:rsid w:val="00135DEF"/>
    <w:rsid w:val="00135E99"/>
    <w:rsid w:val="00135EE5"/>
    <w:rsid w:val="00135EF2"/>
    <w:rsid w:val="00135F14"/>
    <w:rsid w:val="00135F7C"/>
    <w:rsid w:val="00135FFB"/>
    <w:rsid w:val="00136140"/>
    <w:rsid w:val="001361E0"/>
    <w:rsid w:val="0013625E"/>
    <w:rsid w:val="001363B0"/>
    <w:rsid w:val="0013654A"/>
    <w:rsid w:val="00136556"/>
    <w:rsid w:val="0013658A"/>
    <w:rsid w:val="001365F8"/>
    <w:rsid w:val="001366A6"/>
    <w:rsid w:val="001366A8"/>
    <w:rsid w:val="0013676B"/>
    <w:rsid w:val="0013678F"/>
    <w:rsid w:val="001367EE"/>
    <w:rsid w:val="00136832"/>
    <w:rsid w:val="00136836"/>
    <w:rsid w:val="0013683F"/>
    <w:rsid w:val="00136842"/>
    <w:rsid w:val="0013685B"/>
    <w:rsid w:val="0013686D"/>
    <w:rsid w:val="001368C9"/>
    <w:rsid w:val="001368DF"/>
    <w:rsid w:val="00136917"/>
    <w:rsid w:val="00136921"/>
    <w:rsid w:val="00136A9D"/>
    <w:rsid w:val="00136B47"/>
    <w:rsid w:val="00136BBC"/>
    <w:rsid w:val="00136BFC"/>
    <w:rsid w:val="00136C64"/>
    <w:rsid w:val="00136E9F"/>
    <w:rsid w:val="00136EAB"/>
    <w:rsid w:val="00136EF6"/>
    <w:rsid w:val="00136EFE"/>
    <w:rsid w:val="00136FB8"/>
    <w:rsid w:val="00136FBC"/>
    <w:rsid w:val="0013700C"/>
    <w:rsid w:val="00137084"/>
    <w:rsid w:val="001370E5"/>
    <w:rsid w:val="001371A1"/>
    <w:rsid w:val="001371A8"/>
    <w:rsid w:val="001371F9"/>
    <w:rsid w:val="00137358"/>
    <w:rsid w:val="001373AA"/>
    <w:rsid w:val="00137404"/>
    <w:rsid w:val="0013758E"/>
    <w:rsid w:val="001375CE"/>
    <w:rsid w:val="00137615"/>
    <w:rsid w:val="00137629"/>
    <w:rsid w:val="00137690"/>
    <w:rsid w:val="00137748"/>
    <w:rsid w:val="00137758"/>
    <w:rsid w:val="001377DE"/>
    <w:rsid w:val="001377FF"/>
    <w:rsid w:val="001378BF"/>
    <w:rsid w:val="001378C2"/>
    <w:rsid w:val="001378FB"/>
    <w:rsid w:val="00137905"/>
    <w:rsid w:val="00137908"/>
    <w:rsid w:val="001379A2"/>
    <w:rsid w:val="001379B1"/>
    <w:rsid w:val="001379C4"/>
    <w:rsid w:val="001379CB"/>
    <w:rsid w:val="00137AED"/>
    <w:rsid w:val="00137AF4"/>
    <w:rsid w:val="00137B2B"/>
    <w:rsid w:val="00137B73"/>
    <w:rsid w:val="00137B7C"/>
    <w:rsid w:val="00137BAC"/>
    <w:rsid w:val="00137C68"/>
    <w:rsid w:val="00137D8C"/>
    <w:rsid w:val="00137DB6"/>
    <w:rsid w:val="00137DE2"/>
    <w:rsid w:val="00137E95"/>
    <w:rsid w:val="00137EAE"/>
    <w:rsid w:val="00137F21"/>
    <w:rsid w:val="00137F60"/>
    <w:rsid w:val="00137FFD"/>
    <w:rsid w:val="0014000B"/>
    <w:rsid w:val="00140066"/>
    <w:rsid w:val="0014014C"/>
    <w:rsid w:val="00140187"/>
    <w:rsid w:val="001402C6"/>
    <w:rsid w:val="0014043E"/>
    <w:rsid w:val="00140461"/>
    <w:rsid w:val="00140489"/>
    <w:rsid w:val="001404B8"/>
    <w:rsid w:val="00140558"/>
    <w:rsid w:val="0014061F"/>
    <w:rsid w:val="00140699"/>
    <w:rsid w:val="00140757"/>
    <w:rsid w:val="00140811"/>
    <w:rsid w:val="0014082C"/>
    <w:rsid w:val="001408BB"/>
    <w:rsid w:val="00140A97"/>
    <w:rsid w:val="00140AEB"/>
    <w:rsid w:val="00140B10"/>
    <w:rsid w:val="00140C6F"/>
    <w:rsid w:val="00140CDD"/>
    <w:rsid w:val="00140D8E"/>
    <w:rsid w:val="00140D95"/>
    <w:rsid w:val="00140DBA"/>
    <w:rsid w:val="00140DD6"/>
    <w:rsid w:val="00140DE9"/>
    <w:rsid w:val="00140E2B"/>
    <w:rsid w:val="00140EA8"/>
    <w:rsid w:val="00140F1C"/>
    <w:rsid w:val="00140F94"/>
    <w:rsid w:val="0014102B"/>
    <w:rsid w:val="00141139"/>
    <w:rsid w:val="00141160"/>
    <w:rsid w:val="0014117F"/>
    <w:rsid w:val="00141199"/>
    <w:rsid w:val="001411EA"/>
    <w:rsid w:val="0014125B"/>
    <w:rsid w:val="001412E8"/>
    <w:rsid w:val="001412FE"/>
    <w:rsid w:val="00141383"/>
    <w:rsid w:val="0014138F"/>
    <w:rsid w:val="001413B2"/>
    <w:rsid w:val="001413D9"/>
    <w:rsid w:val="001415A1"/>
    <w:rsid w:val="001415B1"/>
    <w:rsid w:val="00141628"/>
    <w:rsid w:val="00141794"/>
    <w:rsid w:val="00141849"/>
    <w:rsid w:val="001418D0"/>
    <w:rsid w:val="00141926"/>
    <w:rsid w:val="001419FC"/>
    <w:rsid w:val="001419FE"/>
    <w:rsid w:val="00141A20"/>
    <w:rsid w:val="00141A48"/>
    <w:rsid w:val="00141B79"/>
    <w:rsid w:val="00141BEF"/>
    <w:rsid w:val="00141C3F"/>
    <w:rsid w:val="00141CCD"/>
    <w:rsid w:val="00141D52"/>
    <w:rsid w:val="00141D9A"/>
    <w:rsid w:val="00141E45"/>
    <w:rsid w:val="00141E83"/>
    <w:rsid w:val="00141F2D"/>
    <w:rsid w:val="00141F3F"/>
    <w:rsid w:val="001420AE"/>
    <w:rsid w:val="001420C6"/>
    <w:rsid w:val="001420E8"/>
    <w:rsid w:val="00142112"/>
    <w:rsid w:val="00142147"/>
    <w:rsid w:val="001421C0"/>
    <w:rsid w:val="001421F2"/>
    <w:rsid w:val="0014221C"/>
    <w:rsid w:val="00142416"/>
    <w:rsid w:val="00142506"/>
    <w:rsid w:val="00142687"/>
    <w:rsid w:val="001426FC"/>
    <w:rsid w:val="0014270B"/>
    <w:rsid w:val="00142783"/>
    <w:rsid w:val="00142785"/>
    <w:rsid w:val="00142796"/>
    <w:rsid w:val="00142798"/>
    <w:rsid w:val="001428BC"/>
    <w:rsid w:val="001428BD"/>
    <w:rsid w:val="00142931"/>
    <w:rsid w:val="00142A29"/>
    <w:rsid w:val="00142A63"/>
    <w:rsid w:val="00142A8C"/>
    <w:rsid w:val="00142B14"/>
    <w:rsid w:val="00142BCD"/>
    <w:rsid w:val="00142BE3"/>
    <w:rsid w:val="00142BFD"/>
    <w:rsid w:val="00142D91"/>
    <w:rsid w:val="00142D96"/>
    <w:rsid w:val="00142DE4"/>
    <w:rsid w:val="00143000"/>
    <w:rsid w:val="00143088"/>
    <w:rsid w:val="001431C2"/>
    <w:rsid w:val="00143324"/>
    <w:rsid w:val="0014335E"/>
    <w:rsid w:val="00143399"/>
    <w:rsid w:val="0014350A"/>
    <w:rsid w:val="00143539"/>
    <w:rsid w:val="00143599"/>
    <w:rsid w:val="001435D4"/>
    <w:rsid w:val="001436D6"/>
    <w:rsid w:val="00143777"/>
    <w:rsid w:val="00143784"/>
    <w:rsid w:val="00143795"/>
    <w:rsid w:val="001437F3"/>
    <w:rsid w:val="00143851"/>
    <w:rsid w:val="001438AB"/>
    <w:rsid w:val="0014392B"/>
    <w:rsid w:val="00143942"/>
    <w:rsid w:val="00143946"/>
    <w:rsid w:val="0014397C"/>
    <w:rsid w:val="001439E1"/>
    <w:rsid w:val="001439FC"/>
    <w:rsid w:val="00143A9A"/>
    <w:rsid w:val="00143B07"/>
    <w:rsid w:val="00143B0C"/>
    <w:rsid w:val="00143B71"/>
    <w:rsid w:val="00143BC2"/>
    <w:rsid w:val="00143BC8"/>
    <w:rsid w:val="00143C80"/>
    <w:rsid w:val="00143CAD"/>
    <w:rsid w:val="00143CDE"/>
    <w:rsid w:val="00143CF9"/>
    <w:rsid w:val="00143D19"/>
    <w:rsid w:val="00143D2C"/>
    <w:rsid w:val="00143D89"/>
    <w:rsid w:val="00143F17"/>
    <w:rsid w:val="00143F34"/>
    <w:rsid w:val="001440AE"/>
    <w:rsid w:val="00144294"/>
    <w:rsid w:val="001442F5"/>
    <w:rsid w:val="0014432F"/>
    <w:rsid w:val="00144330"/>
    <w:rsid w:val="00144403"/>
    <w:rsid w:val="00144521"/>
    <w:rsid w:val="00144536"/>
    <w:rsid w:val="001445AB"/>
    <w:rsid w:val="001445D0"/>
    <w:rsid w:val="001445D3"/>
    <w:rsid w:val="00144602"/>
    <w:rsid w:val="0014460B"/>
    <w:rsid w:val="00144637"/>
    <w:rsid w:val="001446C2"/>
    <w:rsid w:val="0014470D"/>
    <w:rsid w:val="0014471A"/>
    <w:rsid w:val="0014472D"/>
    <w:rsid w:val="00144738"/>
    <w:rsid w:val="0014487E"/>
    <w:rsid w:val="001448D5"/>
    <w:rsid w:val="001449B9"/>
    <w:rsid w:val="001449E7"/>
    <w:rsid w:val="00144A0F"/>
    <w:rsid w:val="00144AB6"/>
    <w:rsid w:val="00144B33"/>
    <w:rsid w:val="00144B9F"/>
    <w:rsid w:val="00144BEF"/>
    <w:rsid w:val="00144C86"/>
    <w:rsid w:val="00144D15"/>
    <w:rsid w:val="00144D23"/>
    <w:rsid w:val="00144E06"/>
    <w:rsid w:val="00144E2A"/>
    <w:rsid w:val="00144E45"/>
    <w:rsid w:val="00144EBA"/>
    <w:rsid w:val="00144F3E"/>
    <w:rsid w:val="00144F88"/>
    <w:rsid w:val="0014502E"/>
    <w:rsid w:val="0014506C"/>
    <w:rsid w:val="00145071"/>
    <w:rsid w:val="0014514F"/>
    <w:rsid w:val="00145174"/>
    <w:rsid w:val="0014519B"/>
    <w:rsid w:val="00145213"/>
    <w:rsid w:val="00145226"/>
    <w:rsid w:val="00145300"/>
    <w:rsid w:val="001453BF"/>
    <w:rsid w:val="00145504"/>
    <w:rsid w:val="001455B6"/>
    <w:rsid w:val="00145768"/>
    <w:rsid w:val="00145803"/>
    <w:rsid w:val="00145831"/>
    <w:rsid w:val="00145841"/>
    <w:rsid w:val="0014586C"/>
    <w:rsid w:val="0014587F"/>
    <w:rsid w:val="00145A3E"/>
    <w:rsid w:val="00145AC8"/>
    <w:rsid w:val="00145CA6"/>
    <w:rsid w:val="00145CD6"/>
    <w:rsid w:val="00145D26"/>
    <w:rsid w:val="00145D46"/>
    <w:rsid w:val="00145D5E"/>
    <w:rsid w:val="00145E00"/>
    <w:rsid w:val="00145E16"/>
    <w:rsid w:val="00145EFA"/>
    <w:rsid w:val="00145F40"/>
    <w:rsid w:val="00145F59"/>
    <w:rsid w:val="00145FF0"/>
    <w:rsid w:val="00146077"/>
    <w:rsid w:val="001460E2"/>
    <w:rsid w:val="00146116"/>
    <w:rsid w:val="0014613F"/>
    <w:rsid w:val="0014615A"/>
    <w:rsid w:val="00146179"/>
    <w:rsid w:val="00146268"/>
    <w:rsid w:val="00146295"/>
    <w:rsid w:val="00146328"/>
    <w:rsid w:val="001463B0"/>
    <w:rsid w:val="001463D1"/>
    <w:rsid w:val="001463E5"/>
    <w:rsid w:val="001464A9"/>
    <w:rsid w:val="001464D6"/>
    <w:rsid w:val="00146562"/>
    <w:rsid w:val="00146594"/>
    <w:rsid w:val="0014685C"/>
    <w:rsid w:val="001468D6"/>
    <w:rsid w:val="00146944"/>
    <w:rsid w:val="00146984"/>
    <w:rsid w:val="00146A30"/>
    <w:rsid w:val="00146BFA"/>
    <w:rsid w:val="00146C53"/>
    <w:rsid w:val="00146C6B"/>
    <w:rsid w:val="00146C7E"/>
    <w:rsid w:val="00146CD0"/>
    <w:rsid w:val="00146CE2"/>
    <w:rsid w:val="00146D97"/>
    <w:rsid w:val="00146E54"/>
    <w:rsid w:val="00146E83"/>
    <w:rsid w:val="00146E94"/>
    <w:rsid w:val="00146EB6"/>
    <w:rsid w:val="00146F7E"/>
    <w:rsid w:val="00147032"/>
    <w:rsid w:val="001470AC"/>
    <w:rsid w:val="001470D2"/>
    <w:rsid w:val="0014714A"/>
    <w:rsid w:val="0014724A"/>
    <w:rsid w:val="00147254"/>
    <w:rsid w:val="00147297"/>
    <w:rsid w:val="001474A7"/>
    <w:rsid w:val="001474B6"/>
    <w:rsid w:val="001474FE"/>
    <w:rsid w:val="00147562"/>
    <w:rsid w:val="00147654"/>
    <w:rsid w:val="001476D1"/>
    <w:rsid w:val="001476ED"/>
    <w:rsid w:val="00147709"/>
    <w:rsid w:val="00147789"/>
    <w:rsid w:val="0014787E"/>
    <w:rsid w:val="00147887"/>
    <w:rsid w:val="001478C3"/>
    <w:rsid w:val="00147978"/>
    <w:rsid w:val="00147982"/>
    <w:rsid w:val="00147998"/>
    <w:rsid w:val="00147A40"/>
    <w:rsid w:val="00147A73"/>
    <w:rsid w:val="00147C72"/>
    <w:rsid w:val="00147D56"/>
    <w:rsid w:val="00147D86"/>
    <w:rsid w:val="00147DD3"/>
    <w:rsid w:val="00147E97"/>
    <w:rsid w:val="00147EFE"/>
    <w:rsid w:val="00147F29"/>
    <w:rsid w:val="00147F77"/>
    <w:rsid w:val="0015009F"/>
    <w:rsid w:val="001500AD"/>
    <w:rsid w:val="001500B9"/>
    <w:rsid w:val="001500C8"/>
    <w:rsid w:val="0015012A"/>
    <w:rsid w:val="001501AC"/>
    <w:rsid w:val="001501C0"/>
    <w:rsid w:val="001501F8"/>
    <w:rsid w:val="00150208"/>
    <w:rsid w:val="0015028C"/>
    <w:rsid w:val="001503A3"/>
    <w:rsid w:val="001503C1"/>
    <w:rsid w:val="00150486"/>
    <w:rsid w:val="001504D6"/>
    <w:rsid w:val="001504ED"/>
    <w:rsid w:val="001504F4"/>
    <w:rsid w:val="00150531"/>
    <w:rsid w:val="0015056F"/>
    <w:rsid w:val="00150610"/>
    <w:rsid w:val="0015061D"/>
    <w:rsid w:val="0015066A"/>
    <w:rsid w:val="00150690"/>
    <w:rsid w:val="0015069E"/>
    <w:rsid w:val="001506DD"/>
    <w:rsid w:val="001506EA"/>
    <w:rsid w:val="00150741"/>
    <w:rsid w:val="0015078A"/>
    <w:rsid w:val="001507C3"/>
    <w:rsid w:val="0015080B"/>
    <w:rsid w:val="0015084E"/>
    <w:rsid w:val="0015093D"/>
    <w:rsid w:val="00150950"/>
    <w:rsid w:val="0015099D"/>
    <w:rsid w:val="001509B6"/>
    <w:rsid w:val="001509DA"/>
    <w:rsid w:val="00150C03"/>
    <w:rsid w:val="00150C24"/>
    <w:rsid w:val="00150C31"/>
    <w:rsid w:val="00150C97"/>
    <w:rsid w:val="00150C99"/>
    <w:rsid w:val="00150CB5"/>
    <w:rsid w:val="00150CBB"/>
    <w:rsid w:val="00150CDB"/>
    <w:rsid w:val="00150CEF"/>
    <w:rsid w:val="00150D52"/>
    <w:rsid w:val="00150D7A"/>
    <w:rsid w:val="00150DA3"/>
    <w:rsid w:val="00150E0B"/>
    <w:rsid w:val="00150E1C"/>
    <w:rsid w:val="00150E55"/>
    <w:rsid w:val="00150E8E"/>
    <w:rsid w:val="00150EE4"/>
    <w:rsid w:val="00150FA1"/>
    <w:rsid w:val="00150FB1"/>
    <w:rsid w:val="00151004"/>
    <w:rsid w:val="001510F8"/>
    <w:rsid w:val="001511CB"/>
    <w:rsid w:val="00151272"/>
    <w:rsid w:val="00151296"/>
    <w:rsid w:val="00151306"/>
    <w:rsid w:val="00151369"/>
    <w:rsid w:val="0015145E"/>
    <w:rsid w:val="0015149C"/>
    <w:rsid w:val="001514A9"/>
    <w:rsid w:val="001514DF"/>
    <w:rsid w:val="001514ED"/>
    <w:rsid w:val="00151543"/>
    <w:rsid w:val="001515A1"/>
    <w:rsid w:val="001515BC"/>
    <w:rsid w:val="00151623"/>
    <w:rsid w:val="0015176A"/>
    <w:rsid w:val="0015176C"/>
    <w:rsid w:val="001517B0"/>
    <w:rsid w:val="001517D8"/>
    <w:rsid w:val="00151886"/>
    <w:rsid w:val="0015196A"/>
    <w:rsid w:val="00151A5D"/>
    <w:rsid w:val="00151A86"/>
    <w:rsid w:val="00151ADB"/>
    <w:rsid w:val="00151B0C"/>
    <w:rsid w:val="00151B85"/>
    <w:rsid w:val="00151C5C"/>
    <w:rsid w:val="00151C7F"/>
    <w:rsid w:val="00151CCE"/>
    <w:rsid w:val="00151D24"/>
    <w:rsid w:val="00151D27"/>
    <w:rsid w:val="00151DB6"/>
    <w:rsid w:val="00151DC3"/>
    <w:rsid w:val="00151DDE"/>
    <w:rsid w:val="00151E3F"/>
    <w:rsid w:val="0015209B"/>
    <w:rsid w:val="001520B2"/>
    <w:rsid w:val="00152169"/>
    <w:rsid w:val="001521EF"/>
    <w:rsid w:val="00152283"/>
    <w:rsid w:val="00152319"/>
    <w:rsid w:val="0015231D"/>
    <w:rsid w:val="00152331"/>
    <w:rsid w:val="00152451"/>
    <w:rsid w:val="00152482"/>
    <w:rsid w:val="00152537"/>
    <w:rsid w:val="0015261C"/>
    <w:rsid w:val="00152673"/>
    <w:rsid w:val="001526B5"/>
    <w:rsid w:val="00152800"/>
    <w:rsid w:val="0015287E"/>
    <w:rsid w:val="001528B7"/>
    <w:rsid w:val="001528FC"/>
    <w:rsid w:val="00152952"/>
    <w:rsid w:val="00152957"/>
    <w:rsid w:val="00152995"/>
    <w:rsid w:val="00152A07"/>
    <w:rsid w:val="00152B51"/>
    <w:rsid w:val="00152B9C"/>
    <w:rsid w:val="00152C2A"/>
    <w:rsid w:val="00152C39"/>
    <w:rsid w:val="00152C50"/>
    <w:rsid w:val="00152C67"/>
    <w:rsid w:val="00152C73"/>
    <w:rsid w:val="00152C85"/>
    <w:rsid w:val="00152D2A"/>
    <w:rsid w:val="00152DF3"/>
    <w:rsid w:val="00152E13"/>
    <w:rsid w:val="00152E7A"/>
    <w:rsid w:val="00152F1B"/>
    <w:rsid w:val="00152FA3"/>
    <w:rsid w:val="0015306C"/>
    <w:rsid w:val="0015310E"/>
    <w:rsid w:val="001532A0"/>
    <w:rsid w:val="001532CD"/>
    <w:rsid w:val="0015330B"/>
    <w:rsid w:val="00153337"/>
    <w:rsid w:val="00153383"/>
    <w:rsid w:val="001535A1"/>
    <w:rsid w:val="001536F2"/>
    <w:rsid w:val="00153704"/>
    <w:rsid w:val="00153784"/>
    <w:rsid w:val="001538F2"/>
    <w:rsid w:val="0015390B"/>
    <w:rsid w:val="001539AB"/>
    <w:rsid w:val="00153A2B"/>
    <w:rsid w:val="00153A35"/>
    <w:rsid w:val="00153ABC"/>
    <w:rsid w:val="00153ACF"/>
    <w:rsid w:val="00153B4C"/>
    <w:rsid w:val="00153B8C"/>
    <w:rsid w:val="00153B8E"/>
    <w:rsid w:val="00153BE6"/>
    <w:rsid w:val="00153BE7"/>
    <w:rsid w:val="00153C77"/>
    <w:rsid w:val="00153C89"/>
    <w:rsid w:val="00153CF8"/>
    <w:rsid w:val="00153D68"/>
    <w:rsid w:val="00153DA1"/>
    <w:rsid w:val="00153E05"/>
    <w:rsid w:val="00153E89"/>
    <w:rsid w:val="00153FC8"/>
    <w:rsid w:val="001540D1"/>
    <w:rsid w:val="00154237"/>
    <w:rsid w:val="0015428E"/>
    <w:rsid w:val="001542C8"/>
    <w:rsid w:val="001542CB"/>
    <w:rsid w:val="001542F2"/>
    <w:rsid w:val="0015437D"/>
    <w:rsid w:val="0015438B"/>
    <w:rsid w:val="0015439B"/>
    <w:rsid w:val="00154462"/>
    <w:rsid w:val="001544F0"/>
    <w:rsid w:val="001545AB"/>
    <w:rsid w:val="001545C0"/>
    <w:rsid w:val="001545C6"/>
    <w:rsid w:val="001545FE"/>
    <w:rsid w:val="00154646"/>
    <w:rsid w:val="0015476E"/>
    <w:rsid w:val="001547A4"/>
    <w:rsid w:val="001547F7"/>
    <w:rsid w:val="001548C2"/>
    <w:rsid w:val="00154939"/>
    <w:rsid w:val="0015493B"/>
    <w:rsid w:val="00154958"/>
    <w:rsid w:val="001549AC"/>
    <w:rsid w:val="001549AF"/>
    <w:rsid w:val="00154BB1"/>
    <w:rsid w:val="00154C63"/>
    <w:rsid w:val="00154D13"/>
    <w:rsid w:val="00154DB5"/>
    <w:rsid w:val="00154E3D"/>
    <w:rsid w:val="00154EAB"/>
    <w:rsid w:val="00154EAC"/>
    <w:rsid w:val="00154F65"/>
    <w:rsid w:val="0015505C"/>
    <w:rsid w:val="0015506C"/>
    <w:rsid w:val="001550A8"/>
    <w:rsid w:val="001550D1"/>
    <w:rsid w:val="001550DB"/>
    <w:rsid w:val="00155100"/>
    <w:rsid w:val="00155105"/>
    <w:rsid w:val="00155139"/>
    <w:rsid w:val="001551B8"/>
    <w:rsid w:val="0015520D"/>
    <w:rsid w:val="0015522A"/>
    <w:rsid w:val="001552B1"/>
    <w:rsid w:val="00155324"/>
    <w:rsid w:val="0015532F"/>
    <w:rsid w:val="001553A6"/>
    <w:rsid w:val="00155433"/>
    <w:rsid w:val="001554B4"/>
    <w:rsid w:val="001554B9"/>
    <w:rsid w:val="001554EF"/>
    <w:rsid w:val="00155507"/>
    <w:rsid w:val="0015551B"/>
    <w:rsid w:val="001555F2"/>
    <w:rsid w:val="00155619"/>
    <w:rsid w:val="0015562F"/>
    <w:rsid w:val="00155660"/>
    <w:rsid w:val="00155799"/>
    <w:rsid w:val="001557C7"/>
    <w:rsid w:val="00155982"/>
    <w:rsid w:val="001559BA"/>
    <w:rsid w:val="001559CD"/>
    <w:rsid w:val="00155ABC"/>
    <w:rsid w:val="00155B2E"/>
    <w:rsid w:val="00155B8A"/>
    <w:rsid w:val="00155BDA"/>
    <w:rsid w:val="00155BE2"/>
    <w:rsid w:val="00155C4D"/>
    <w:rsid w:val="00155C82"/>
    <w:rsid w:val="00155D54"/>
    <w:rsid w:val="00155DA7"/>
    <w:rsid w:val="00155DBA"/>
    <w:rsid w:val="00155E0D"/>
    <w:rsid w:val="00155E12"/>
    <w:rsid w:val="00155E1F"/>
    <w:rsid w:val="00155F09"/>
    <w:rsid w:val="00155F3A"/>
    <w:rsid w:val="00155F45"/>
    <w:rsid w:val="00155FEC"/>
    <w:rsid w:val="001560AA"/>
    <w:rsid w:val="001560DF"/>
    <w:rsid w:val="00156371"/>
    <w:rsid w:val="001563FE"/>
    <w:rsid w:val="00156515"/>
    <w:rsid w:val="0015657C"/>
    <w:rsid w:val="0015659C"/>
    <w:rsid w:val="001565DF"/>
    <w:rsid w:val="00156632"/>
    <w:rsid w:val="00156654"/>
    <w:rsid w:val="00156692"/>
    <w:rsid w:val="001566FA"/>
    <w:rsid w:val="0015675A"/>
    <w:rsid w:val="0015678C"/>
    <w:rsid w:val="001567AC"/>
    <w:rsid w:val="001568C2"/>
    <w:rsid w:val="001568E4"/>
    <w:rsid w:val="0015695D"/>
    <w:rsid w:val="0015695F"/>
    <w:rsid w:val="00156A95"/>
    <w:rsid w:val="00156BD0"/>
    <w:rsid w:val="00156C15"/>
    <w:rsid w:val="00156D1F"/>
    <w:rsid w:val="00156D44"/>
    <w:rsid w:val="00156F82"/>
    <w:rsid w:val="00157014"/>
    <w:rsid w:val="001570E5"/>
    <w:rsid w:val="001571AB"/>
    <w:rsid w:val="0015730F"/>
    <w:rsid w:val="00157359"/>
    <w:rsid w:val="001573B0"/>
    <w:rsid w:val="001573B1"/>
    <w:rsid w:val="001574A7"/>
    <w:rsid w:val="001574E6"/>
    <w:rsid w:val="0015751D"/>
    <w:rsid w:val="001575B5"/>
    <w:rsid w:val="00157675"/>
    <w:rsid w:val="0015768D"/>
    <w:rsid w:val="001577C5"/>
    <w:rsid w:val="00157812"/>
    <w:rsid w:val="00157886"/>
    <w:rsid w:val="00157A66"/>
    <w:rsid w:val="00157B13"/>
    <w:rsid w:val="00157B85"/>
    <w:rsid w:val="00157CC2"/>
    <w:rsid w:val="00157D09"/>
    <w:rsid w:val="00157D41"/>
    <w:rsid w:val="00157E58"/>
    <w:rsid w:val="00157E79"/>
    <w:rsid w:val="00160022"/>
    <w:rsid w:val="00160066"/>
    <w:rsid w:val="0016006C"/>
    <w:rsid w:val="0016011A"/>
    <w:rsid w:val="001601CC"/>
    <w:rsid w:val="00160205"/>
    <w:rsid w:val="00160226"/>
    <w:rsid w:val="00160279"/>
    <w:rsid w:val="001602BC"/>
    <w:rsid w:val="00160311"/>
    <w:rsid w:val="001603D8"/>
    <w:rsid w:val="0016048B"/>
    <w:rsid w:val="0016048D"/>
    <w:rsid w:val="001604A2"/>
    <w:rsid w:val="00160556"/>
    <w:rsid w:val="001605E1"/>
    <w:rsid w:val="00160646"/>
    <w:rsid w:val="00160676"/>
    <w:rsid w:val="00160688"/>
    <w:rsid w:val="0016069A"/>
    <w:rsid w:val="00160701"/>
    <w:rsid w:val="001607E6"/>
    <w:rsid w:val="00160829"/>
    <w:rsid w:val="00160903"/>
    <w:rsid w:val="0016094E"/>
    <w:rsid w:val="001609BD"/>
    <w:rsid w:val="001609DE"/>
    <w:rsid w:val="00160A55"/>
    <w:rsid w:val="00160A71"/>
    <w:rsid w:val="00160C24"/>
    <w:rsid w:val="00160C51"/>
    <w:rsid w:val="00160CB9"/>
    <w:rsid w:val="00160CD6"/>
    <w:rsid w:val="00160CD8"/>
    <w:rsid w:val="00160D03"/>
    <w:rsid w:val="00160D9E"/>
    <w:rsid w:val="00160EA4"/>
    <w:rsid w:val="00160F49"/>
    <w:rsid w:val="00160F5C"/>
    <w:rsid w:val="00160F77"/>
    <w:rsid w:val="00160FD2"/>
    <w:rsid w:val="0016100F"/>
    <w:rsid w:val="001610B9"/>
    <w:rsid w:val="00161136"/>
    <w:rsid w:val="0016119E"/>
    <w:rsid w:val="001611A0"/>
    <w:rsid w:val="001611B6"/>
    <w:rsid w:val="001611D1"/>
    <w:rsid w:val="00161207"/>
    <w:rsid w:val="001612A1"/>
    <w:rsid w:val="0016137E"/>
    <w:rsid w:val="0016139E"/>
    <w:rsid w:val="001613E1"/>
    <w:rsid w:val="0016141A"/>
    <w:rsid w:val="0016158E"/>
    <w:rsid w:val="00161612"/>
    <w:rsid w:val="00161633"/>
    <w:rsid w:val="001616D2"/>
    <w:rsid w:val="00161705"/>
    <w:rsid w:val="00161719"/>
    <w:rsid w:val="0016172C"/>
    <w:rsid w:val="00161734"/>
    <w:rsid w:val="0016176D"/>
    <w:rsid w:val="001617A4"/>
    <w:rsid w:val="0016184F"/>
    <w:rsid w:val="0016199A"/>
    <w:rsid w:val="00161A53"/>
    <w:rsid w:val="00161A9F"/>
    <w:rsid w:val="00161B3F"/>
    <w:rsid w:val="00161B61"/>
    <w:rsid w:val="00161B84"/>
    <w:rsid w:val="00161BBD"/>
    <w:rsid w:val="00161EBC"/>
    <w:rsid w:val="00162015"/>
    <w:rsid w:val="0016203D"/>
    <w:rsid w:val="0016208A"/>
    <w:rsid w:val="001620D4"/>
    <w:rsid w:val="00162100"/>
    <w:rsid w:val="001621AF"/>
    <w:rsid w:val="001621BF"/>
    <w:rsid w:val="001621C1"/>
    <w:rsid w:val="001621DB"/>
    <w:rsid w:val="00162236"/>
    <w:rsid w:val="001622CD"/>
    <w:rsid w:val="001623BE"/>
    <w:rsid w:val="001623D2"/>
    <w:rsid w:val="00162432"/>
    <w:rsid w:val="0016257D"/>
    <w:rsid w:val="00162645"/>
    <w:rsid w:val="00162774"/>
    <w:rsid w:val="001627EC"/>
    <w:rsid w:val="001628BD"/>
    <w:rsid w:val="001628E8"/>
    <w:rsid w:val="00162912"/>
    <w:rsid w:val="001629B1"/>
    <w:rsid w:val="001629C8"/>
    <w:rsid w:val="00162ABC"/>
    <w:rsid w:val="00162B8E"/>
    <w:rsid w:val="00162C35"/>
    <w:rsid w:val="00162C57"/>
    <w:rsid w:val="00162C7B"/>
    <w:rsid w:val="00162C96"/>
    <w:rsid w:val="00162D58"/>
    <w:rsid w:val="00162D6C"/>
    <w:rsid w:val="00162D9D"/>
    <w:rsid w:val="00162EA1"/>
    <w:rsid w:val="00162F06"/>
    <w:rsid w:val="00162F6E"/>
    <w:rsid w:val="00163076"/>
    <w:rsid w:val="0016338A"/>
    <w:rsid w:val="00163615"/>
    <w:rsid w:val="00163638"/>
    <w:rsid w:val="00163649"/>
    <w:rsid w:val="00163652"/>
    <w:rsid w:val="001636DE"/>
    <w:rsid w:val="0016375C"/>
    <w:rsid w:val="00163791"/>
    <w:rsid w:val="001637BC"/>
    <w:rsid w:val="0016382B"/>
    <w:rsid w:val="001638F6"/>
    <w:rsid w:val="0016393F"/>
    <w:rsid w:val="00163955"/>
    <w:rsid w:val="001639B6"/>
    <w:rsid w:val="001639C7"/>
    <w:rsid w:val="001639EA"/>
    <w:rsid w:val="001639FC"/>
    <w:rsid w:val="00163A80"/>
    <w:rsid w:val="00163AB1"/>
    <w:rsid w:val="00163B25"/>
    <w:rsid w:val="00163B81"/>
    <w:rsid w:val="00163BE9"/>
    <w:rsid w:val="00163DEE"/>
    <w:rsid w:val="00163E88"/>
    <w:rsid w:val="00163E9B"/>
    <w:rsid w:val="00163F0D"/>
    <w:rsid w:val="00163F42"/>
    <w:rsid w:val="001640D2"/>
    <w:rsid w:val="0016412F"/>
    <w:rsid w:val="001642A1"/>
    <w:rsid w:val="00164496"/>
    <w:rsid w:val="001644DF"/>
    <w:rsid w:val="0016457B"/>
    <w:rsid w:val="001645CB"/>
    <w:rsid w:val="001645CE"/>
    <w:rsid w:val="00164619"/>
    <w:rsid w:val="00164720"/>
    <w:rsid w:val="0016473A"/>
    <w:rsid w:val="0016474A"/>
    <w:rsid w:val="001647A5"/>
    <w:rsid w:val="0016487B"/>
    <w:rsid w:val="001648CF"/>
    <w:rsid w:val="00164936"/>
    <w:rsid w:val="00164978"/>
    <w:rsid w:val="001649A1"/>
    <w:rsid w:val="00164A17"/>
    <w:rsid w:val="00164A19"/>
    <w:rsid w:val="00164A2D"/>
    <w:rsid w:val="00164B2B"/>
    <w:rsid w:val="00164B5D"/>
    <w:rsid w:val="00164BCD"/>
    <w:rsid w:val="00164D68"/>
    <w:rsid w:val="00164E26"/>
    <w:rsid w:val="00164E32"/>
    <w:rsid w:val="00164E4F"/>
    <w:rsid w:val="00164E84"/>
    <w:rsid w:val="00164E86"/>
    <w:rsid w:val="00164EC4"/>
    <w:rsid w:val="00164EDB"/>
    <w:rsid w:val="00164FCD"/>
    <w:rsid w:val="00164FDA"/>
    <w:rsid w:val="00165172"/>
    <w:rsid w:val="0016517A"/>
    <w:rsid w:val="0016518F"/>
    <w:rsid w:val="001651B9"/>
    <w:rsid w:val="001651BC"/>
    <w:rsid w:val="001651CF"/>
    <w:rsid w:val="0016526D"/>
    <w:rsid w:val="001652AE"/>
    <w:rsid w:val="00165355"/>
    <w:rsid w:val="0016535A"/>
    <w:rsid w:val="00165473"/>
    <w:rsid w:val="00165487"/>
    <w:rsid w:val="001654EE"/>
    <w:rsid w:val="00165507"/>
    <w:rsid w:val="001655FE"/>
    <w:rsid w:val="0016569C"/>
    <w:rsid w:val="001656A0"/>
    <w:rsid w:val="00165770"/>
    <w:rsid w:val="00165783"/>
    <w:rsid w:val="0016578D"/>
    <w:rsid w:val="001657DE"/>
    <w:rsid w:val="0016581D"/>
    <w:rsid w:val="001658DB"/>
    <w:rsid w:val="0016597D"/>
    <w:rsid w:val="001659E8"/>
    <w:rsid w:val="00165A87"/>
    <w:rsid w:val="00165A9E"/>
    <w:rsid w:val="00165B20"/>
    <w:rsid w:val="00165B3F"/>
    <w:rsid w:val="00165B5F"/>
    <w:rsid w:val="00165B60"/>
    <w:rsid w:val="00165BB1"/>
    <w:rsid w:val="00165D83"/>
    <w:rsid w:val="00165E33"/>
    <w:rsid w:val="00165E41"/>
    <w:rsid w:val="00165E5D"/>
    <w:rsid w:val="00165E9B"/>
    <w:rsid w:val="00165EAA"/>
    <w:rsid w:val="00165EC0"/>
    <w:rsid w:val="00165EE8"/>
    <w:rsid w:val="00165F46"/>
    <w:rsid w:val="00165F72"/>
    <w:rsid w:val="00166088"/>
    <w:rsid w:val="00166096"/>
    <w:rsid w:val="001660AE"/>
    <w:rsid w:val="0016614A"/>
    <w:rsid w:val="0016614E"/>
    <w:rsid w:val="0016616B"/>
    <w:rsid w:val="001661A5"/>
    <w:rsid w:val="0016627E"/>
    <w:rsid w:val="001662D1"/>
    <w:rsid w:val="001662D5"/>
    <w:rsid w:val="00166341"/>
    <w:rsid w:val="00166401"/>
    <w:rsid w:val="0016640A"/>
    <w:rsid w:val="0016643D"/>
    <w:rsid w:val="00166498"/>
    <w:rsid w:val="001665A0"/>
    <w:rsid w:val="0016669F"/>
    <w:rsid w:val="001666E2"/>
    <w:rsid w:val="00166750"/>
    <w:rsid w:val="001668D5"/>
    <w:rsid w:val="001668FF"/>
    <w:rsid w:val="001669E2"/>
    <w:rsid w:val="00166A04"/>
    <w:rsid w:val="00166A68"/>
    <w:rsid w:val="00166A8B"/>
    <w:rsid w:val="00166AC5"/>
    <w:rsid w:val="00166ACE"/>
    <w:rsid w:val="00166ACF"/>
    <w:rsid w:val="00166B1B"/>
    <w:rsid w:val="00166B4C"/>
    <w:rsid w:val="00166B60"/>
    <w:rsid w:val="00166B6D"/>
    <w:rsid w:val="00166BD7"/>
    <w:rsid w:val="00166C73"/>
    <w:rsid w:val="00166D28"/>
    <w:rsid w:val="00166D44"/>
    <w:rsid w:val="00166DCA"/>
    <w:rsid w:val="00166E03"/>
    <w:rsid w:val="00166E24"/>
    <w:rsid w:val="00166EE2"/>
    <w:rsid w:val="00166F75"/>
    <w:rsid w:val="0016702D"/>
    <w:rsid w:val="00167035"/>
    <w:rsid w:val="00167045"/>
    <w:rsid w:val="001670B2"/>
    <w:rsid w:val="001670F3"/>
    <w:rsid w:val="00167146"/>
    <w:rsid w:val="0016715C"/>
    <w:rsid w:val="001671F7"/>
    <w:rsid w:val="0016732B"/>
    <w:rsid w:val="00167331"/>
    <w:rsid w:val="0016740C"/>
    <w:rsid w:val="00167489"/>
    <w:rsid w:val="001674E3"/>
    <w:rsid w:val="001674FF"/>
    <w:rsid w:val="00167539"/>
    <w:rsid w:val="0016755E"/>
    <w:rsid w:val="00167579"/>
    <w:rsid w:val="00167643"/>
    <w:rsid w:val="001676A7"/>
    <w:rsid w:val="0016777F"/>
    <w:rsid w:val="00167781"/>
    <w:rsid w:val="001677AA"/>
    <w:rsid w:val="001677DA"/>
    <w:rsid w:val="001677FE"/>
    <w:rsid w:val="00167844"/>
    <w:rsid w:val="00167845"/>
    <w:rsid w:val="0016786F"/>
    <w:rsid w:val="001679B7"/>
    <w:rsid w:val="001679BE"/>
    <w:rsid w:val="001679E8"/>
    <w:rsid w:val="00167A0F"/>
    <w:rsid w:val="00167A52"/>
    <w:rsid w:val="00167A64"/>
    <w:rsid w:val="00167B7D"/>
    <w:rsid w:val="00167C01"/>
    <w:rsid w:val="00167C5B"/>
    <w:rsid w:val="00167E1A"/>
    <w:rsid w:val="00167E30"/>
    <w:rsid w:val="00167E9B"/>
    <w:rsid w:val="00167EC9"/>
    <w:rsid w:val="00167F22"/>
    <w:rsid w:val="00167FDE"/>
    <w:rsid w:val="0017000F"/>
    <w:rsid w:val="00170037"/>
    <w:rsid w:val="001700BA"/>
    <w:rsid w:val="00170132"/>
    <w:rsid w:val="0017013C"/>
    <w:rsid w:val="0017016A"/>
    <w:rsid w:val="001702FC"/>
    <w:rsid w:val="00170309"/>
    <w:rsid w:val="00170365"/>
    <w:rsid w:val="00170418"/>
    <w:rsid w:val="0017045F"/>
    <w:rsid w:val="00170494"/>
    <w:rsid w:val="001704A0"/>
    <w:rsid w:val="001705A0"/>
    <w:rsid w:val="001705C0"/>
    <w:rsid w:val="001706CE"/>
    <w:rsid w:val="00170717"/>
    <w:rsid w:val="00170733"/>
    <w:rsid w:val="001707A0"/>
    <w:rsid w:val="00170822"/>
    <w:rsid w:val="00170929"/>
    <w:rsid w:val="00170964"/>
    <w:rsid w:val="00170A38"/>
    <w:rsid w:val="00170A40"/>
    <w:rsid w:val="00170AA7"/>
    <w:rsid w:val="00170AC9"/>
    <w:rsid w:val="00170ACD"/>
    <w:rsid w:val="00170AFE"/>
    <w:rsid w:val="00170B33"/>
    <w:rsid w:val="00170B88"/>
    <w:rsid w:val="00170C85"/>
    <w:rsid w:val="00170C8E"/>
    <w:rsid w:val="00170C97"/>
    <w:rsid w:val="00170CAC"/>
    <w:rsid w:val="00170CC5"/>
    <w:rsid w:val="00170E67"/>
    <w:rsid w:val="00170E79"/>
    <w:rsid w:val="00170EAE"/>
    <w:rsid w:val="00170ED6"/>
    <w:rsid w:val="00170F6B"/>
    <w:rsid w:val="00170F85"/>
    <w:rsid w:val="00170FCD"/>
    <w:rsid w:val="00171008"/>
    <w:rsid w:val="0017102E"/>
    <w:rsid w:val="001710C5"/>
    <w:rsid w:val="00171198"/>
    <w:rsid w:val="001711D5"/>
    <w:rsid w:val="001711F9"/>
    <w:rsid w:val="0017121F"/>
    <w:rsid w:val="001712B2"/>
    <w:rsid w:val="0017131B"/>
    <w:rsid w:val="001713AC"/>
    <w:rsid w:val="001713E0"/>
    <w:rsid w:val="001713E9"/>
    <w:rsid w:val="0017141C"/>
    <w:rsid w:val="00171453"/>
    <w:rsid w:val="001715CA"/>
    <w:rsid w:val="0017173A"/>
    <w:rsid w:val="001717A2"/>
    <w:rsid w:val="001717E5"/>
    <w:rsid w:val="001718CC"/>
    <w:rsid w:val="00171948"/>
    <w:rsid w:val="00171AC3"/>
    <w:rsid w:val="00171B1E"/>
    <w:rsid w:val="00171B31"/>
    <w:rsid w:val="00171B8D"/>
    <w:rsid w:val="00171D6D"/>
    <w:rsid w:val="00171DFD"/>
    <w:rsid w:val="00171E12"/>
    <w:rsid w:val="00171FD4"/>
    <w:rsid w:val="0017204C"/>
    <w:rsid w:val="00172081"/>
    <w:rsid w:val="00172091"/>
    <w:rsid w:val="001720AD"/>
    <w:rsid w:val="001720F6"/>
    <w:rsid w:val="00172139"/>
    <w:rsid w:val="0017215A"/>
    <w:rsid w:val="001721E3"/>
    <w:rsid w:val="0017220C"/>
    <w:rsid w:val="00172214"/>
    <w:rsid w:val="00172222"/>
    <w:rsid w:val="001722CF"/>
    <w:rsid w:val="0017231F"/>
    <w:rsid w:val="00172388"/>
    <w:rsid w:val="001723E5"/>
    <w:rsid w:val="001724B3"/>
    <w:rsid w:val="00172536"/>
    <w:rsid w:val="001725E9"/>
    <w:rsid w:val="001725EC"/>
    <w:rsid w:val="00172653"/>
    <w:rsid w:val="001726C8"/>
    <w:rsid w:val="00172746"/>
    <w:rsid w:val="001727DF"/>
    <w:rsid w:val="00172867"/>
    <w:rsid w:val="0017288B"/>
    <w:rsid w:val="00172901"/>
    <w:rsid w:val="00172A16"/>
    <w:rsid w:val="00172A4E"/>
    <w:rsid w:val="00172A7C"/>
    <w:rsid w:val="00172AD1"/>
    <w:rsid w:val="00172B8F"/>
    <w:rsid w:val="00172C94"/>
    <w:rsid w:val="00172D5F"/>
    <w:rsid w:val="00172E76"/>
    <w:rsid w:val="00172F3A"/>
    <w:rsid w:val="00172F3B"/>
    <w:rsid w:val="00172FBD"/>
    <w:rsid w:val="001730C4"/>
    <w:rsid w:val="0017312A"/>
    <w:rsid w:val="0017316B"/>
    <w:rsid w:val="001732D2"/>
    <w:rsid w:val="0017333B"/>
    <w:rsid w:val="001733EF"/>
    <w:rsid w:val="001733FD"/>
    <w:rsid w:val="00173418"/>
    <w:rsid w:val="001734A3"/>
    <w:rsid w:val="001735C7"/>
    <w:rsid w:val="0017368F"/>
    <w:rsid w:val="00173691"/>
    <w:rsid w:val="00173780"/>
    <w:rsid w:val="0017381D"/>
    <w:rsid w:val="0017383C"/>
    <w:rsid w:val="0017384B"/>
    <w:rsid w:val="00173874"/>
    <w:rsid w:val="001738CE"/>
    <w:rsid w:val="001738DF"/>
    <w:rsid w:val="00173913"/>
    <w:rsid w:val="00173A84"/>
    <w:rsid w:val="00173A9C"/>
    <w:rsid w:val="00173BE8"/>
    <w:rsid w:val="00173CF9"/>
    <w:rsid w:val="00173D10"/>
    <w:rsid w:val="00173DC9"/>
    <w:rsid w:val="00173E7B"/>
    <w:rsid w:val="0017408B"/>
    <w:rsid w:val="00174133"/>
    <w:rsid w:val="00174140"/>
    <w:rsid w:val="001741CE"/>
    <w:rsid w:val="00174309"/>
    <w:rsid w:val="0017432B"/>
    <w:rsid w:val="00174357"/>
    <w:rsid w:val="001743B9"/>
    <w:rsid w:val="001743C2"/>
    <w:rsid w:val="00174550"/>
    <w:rsid w:val="001745AD"/>
    <w:rsid w:val="001745D7"/>
    <w:rsid w:val="001747FB"/>
    <w:rsid w:val="0017480F"/>
    <w:rsid w:val="00174857"/>
    <w:rsid w:val="001748A8"/>
    <w:rsid w:val="001748B7"/>
    <w:rsid w:val="00174965"/>
    <w:rsid w:val="0017497B"/>
    <w:rsid w:val="001749CB"/>
    <w:rsid w:val="001749F2"/>
    <w:rsid w:val="00174A09"/>
    <w:rsid w:val="00174A4C"/>
    <w:rsid w:val="00174AF1"/>
    <w:rsid w:val="00174B35"/>
    <w:rsid w:val="00174BA8"/>
    <w:rsid w:val="00174C8D"/>
    <w:rsid w:val="00174CE0"/>
    <w:rsid w:val="00174CE2"/>
    <w:rsid w:val="00174CE7"/>
    <w:rsid w:val="00174D3F"/>
    <w:rsid w:val="00174DFA"/>
    <w:rsid w:val="00174E61"/>
    <w:rsid w:val="00174E92"/>
    <w:rsid w:val="00174EBF"/>
    <w:rsid w:val="00174ED8"/>
    <w:rsid w:val="00174EE8"/>
    <w:rsid w:val="00174EF4"/>
    <w:rsid w:val="00174FDD"/>
    <w:rsid w:val="0017503C"/>
    <w:rsid w:val="0017505B"/>
    <w:rsid w:val="001750CB"/>
    <w:rsid w:val="0017511B"/>
    <w:rsid w:val="001753F4"/>
    <w:rsid w:val="00175493"/>
    <w:rsid w:val="00175568"/>
    <w:rsid w:val="0017558A"/>
    <w:rsid w:val="0017562F"/>
    <w:rsid w:val="0017575B"/>
    <w:rsid w:val="00175785"/>
    <w:rsid w:val="001757CB"/>
    <w:rsid w:val="001757F9"/>
    <w:rsid w:val="00175897"/>
    <w:rsid w:val="00175966"/>
    <w:rsid w:val="001759D3"/>
    <w:rsid w:val="00175A38"/>
    <w:rsid w:val="00175A44"/>
    <w:rsid w:val="00175ACB"/>
    <w:rsid w:val="00175AED"/>
    <w:rsid w:val="00175BF6"/>
    <w:rsid w:val="00175CD5"/>
    <w:rsid w:val="00175D02"/>
    <w:rsid w:val="00175D51"/>
    <w:rsid w:val="00175D6A"/>
    <w:rsid w:val="00175D74"/>
    <w:rsid w:val="00175DA0"/>
    <w:rsid w:val="00175DE8"/>
    <w:rsid w:val="00175F13"/>
    <w:rsid w:val="00175F3A"/>
    <w:rsid w:val="00176063"/>
    <w:rsid w:val="001760D9"/>
    <w:rsid w:val="0017630F"/>
    <w:rsid w:val="00176358"/>
    <w:rsid w:val="001763B0"/>
    <w:rsid w:val="001763B8"/>
    <w:rsid w:val="00176445"/>
    <w:rsid w:val="00176481"/>
    <w:rsid w:val="00176748"/>
    <w:rsid w:val="0017684E"/>
    <w:rsid w:val="0017689A"/>
    <w:rsid w:val="001768DA"/>
    <w:rsid w:val="00176910"/>
    <w:rsid w:val="00176917"/>
    <w:rsid w:val="0017695F"/>
    <w:rsid w:val="00176B5D"/>
    <w:rsid w:val="00176BA1"/>
    <w:rsid w:val="00176BF8"/>
    <w:rsid w:val="00176C17"/>
    <w:rsid w:val="00176CFB"/>
    <w:rsid w:val="00176D3F"/>
    <w:rsid w:val="00176D7B"/>
    <w:rsid w:val="00176DAC"/>
    <w:rsid w:val="00176E85"/>
    <w:rsid w:val="00176E96"/>
    <w:rsid w:val="00176F27"/>
    <w:rsid w:val="00176FB7"/>
    <w:rsid w:val="00177033"/>
    <w:rsid w:val="00177095"/>
    <w:rsid w:val="001771C8"/>
    <w:rsid w:val="001772DC"/>
    <w:rsid w:val="00177327"/>
    <w:rsid w:val="00177376"/>
    <w:rsid w:val="00177421"/>
    <w:rsid w:val="00177482"/>
    <w:rsid w:val="00177495"/>
    <w:rsid w:val="00177517"/>
    <w:rsid w:val="0017756E"/>
    <w:rsid w:val="001775BC"/>
    <w:rsid w:val="001775D2"/>
    <w:rsid w:val="001776C2"/>
    <w:rsid w:val="001776DC"/>
    <w:rsid w:val="001777D4"/>
    <w:rsid w:val="00177835"/>
    <w:rsid w:val="00177836"/>
    <w:rsid w:val="00177855"/>
    <w:rsid w:val="00177875"/>
    <w:rsid w:val="001778DC"/>
    <w:rsid w:val="001778E3"/>
    <w:rsid w:val="001778E6"/>
    <w:rsid w:val="00177958"/>
    <w:rsid w:val="00177A98"/>
    <w:rsid w:val="00177AE6"/>
    <w:rsid w:val="00177B19"/>
    <w:rsid w:val="00177B97"/>
    <w:rsid w:val="00177C25"/>
    <w:rsid w:val="00177C62"/>
    <w:rsid w:val="00177D01"/>
    <w:rsid w:val="00177D26"/>
    <w:rsid w:val="00177D3A"/>
    <w:rsid w:val="00177DB2"/>
    <w:rsid w:val="00177E30"/>
    <w:rsid w:val="00177E72"/>
    <w:rsid w:val="00177E7D"/>
    <w:rsid w:val="00177F25"/>
    <w:rsid w:val="00180032"/>
    <w:rsid w:val="001800D1"/>
    <w:rsid w:val="00180161"/>
    <w:rsid w:val="001801CD"/>
    <w:rsid w:val="00180377"/>
    <w:rsid w:val="001803C5"/>
    <w:rsid w:val="001803E2"/>
    <w:rsid w:val="001803E3"/>
    <w:rsid w:val="001804AF"/>
    <w:rsid w:val="0018056A"/>
    <w:rsid w:val="001806C7"/>
    <w:rsid w:val="0018076D"/>
    <w:rsid w:val="001807E7"/>
    <w:rsid w:val="0018099B"/>
    <w:rsid w:val="00180A33"/>
    <w:rsid w:val="00180AD1"/>
    <w:rsid w:val="00180AE3"/>
    <w:rsid w:val="00180B29"/>
    <w:rsid w:val="00180B6F"/>
    <w:rsid w:val="00180B77"/>
    <w:rsid w:val="00180C1C"/>
    <w:rsid w:val="00180CAE"/>
    <w:rsid w:val="00180D11"/>
    <w:rsid w:val="00180D47"/>
    <w:rsid w:val="00180E6E"/>
    <w:rsid w:val="00180EB0"/>
    <w:rsid w:val="00180FAC"/>
    <w:rsid w:val="0018104A"/>
    <w:rsid w:val="0018109C"/>
    <w:rsid w:val="001810C4"/>
    <w:rsid w:val="001810F9"/>
    <w:rsid w:val="00181203"/>
    <w:rsid w:val="00181249"/>
    <w:rsid w:val="00181253"/>
    <w:rsid w:val="0018131D"/>
    <w:rsid w:val="00181355"/>
    <w:rsid w:val="00181364"/>
    <w:rsid w:val="001813E9"/>
    <w:rsid w:val="00181438"/>
    <w:rsid w:val="00181440"/>
    <w:rsid w:val="001815F2"/>
    <w:rsid w:val="00181620"/>
    <w:rsid w:val="00181664"/>
    <w:rsid w:val="0018172E"/>
    <w:rsid w:val="0018178B"/>
    <w:rsid w:val="00181890"/>
    <w:rsid w:val="00181934"/>
    <w:rsid w:val="001819DD"/>
    <w:rsid w:val="001819F1"/>
    <w:rsid w:val="00181ABC"/>
    <w:rsid w:val="00181AC2"/>
    <w:rsid w:val="00181B1C"/>
    <w:rsid w:val="00181B42"/>
    <w:rsid w:val="00181BA5"/>
    <w:rsid w:val="00181C41"/>
    <w:rsid w:val="00181C65"/>
    <w:rsid w:val="00181C9B"/>
    <w:rsid w:val="00181CE4"/>
    <w:rsid w:val="00181D48"/>
    <w:rsid w:val="00181E14"/>
    <w:rsid w:val="0018202A"/>
    <w:rsid w:val="0018202D"/>
    <w:rsid w:val="0018219D"/>
    <w:rsid w:val="001821C6"/>
    <w:rsid w:val="0018220B"/>
    <w:rsid w:val="001822A1"/>
    <w:rsid w:val="0018230C"/>
    <w:rsid w:val="0018230D"/>
    <w:rsid w:val="0018234B"/>
    <w:rsid w:val="001824B4"/>
    <w:rsid w:val="001824CD"/>
    <w:rsid w:val="001824D5"/>
    <w:rsid w:val="0018262D"/>
    <w:rsid w:val="00182734"/>
    <w:rsid w:val="00182740"/>
    <w:rsid w:val="0018279A"/>
    <w:rsid w:val="00182879"/>
    <w:rsid w:val="0018293A"/>
    <w:rsid w:val="00182945"/>
    <w:rsid w:val="001829EF"/>
    <w:rsid w:val="00182A74"/>
    <w:rsid w:val="00182AA3"/>
    <w:rsid w:val="00182C2B"/>
    <w:rsid w:val="00182CA3"/>
    <w:rsid w:val="00182D0D"/>
    <w:rsid w:val="00182DE7"/>
    <w:rsid w:val="00182DF9"/>
    <w:rsid w:val="00182E23"/>
    <w:rsid w:val="00182E45"/>
    <w:rsid w:val="00182E5C"/>
    <w:rsid w:val="00182F03"/>
    <w:rsid w:val="00182F44"/>
    <w:rsid w:val="00182FE8"/>
    <w:rsid w:val="00183059"/>
    <w:rsid w:val="001830A8"/>
    <w:rsid w:val="001830B5"/>
    <w:rsid w:val="001830EE"/>
    <w:rsid w:val="00183249"/>
    <w:rsid w:val="0018331E"/>
    <w:rsid w:val="00183337"/>
    <w:rsid w:val="00183361"/>
    <w:rsid w:val="00183374"/>
    <w:rsid w:val="00183375"/>
    <w:rsid w:val="001833E0"/>
    <w:rsid w:val="0018357B"/>
    <w:rsid w:val="001835C1"/>
    <w:rsid w:val="00183622"/>
    <w:rsid w:val="00183673"/>
    <w:rsid w:val="001836BF"/>
    <w:rsid w:val="0018370C"/>
    <w:rsid w:val="0018371D"/>
    <w:rsid w:val="0018378D"/>
    <w:rsid w:val="001837AC"/>
    <w:rsid w:val="001837AD"/>
    <w:rsid w:val="0018389D"/>
    <w:rsid w:val="001838F8"/>
    <w:rsid w:val="00183915"/>
    <w:rsid w:val="00183918"/>
    <w:rsid w:val="00183965"/>
    <w:rsid w:val="00183B0D"/>
    <w:rsid w:val="00183B5A"/>
    <w:rsid w:val="00183C54"/>
    <w:rsid w:val="00183D99"/>
    <w:rsid w:val="00183F18"/>
    <w:rsid w:val="00183F2C"/>
    <w:rsid w:val="00183F5C"/>
    <w:rsid w:val="00183F94"/>
    <w:rsid w:val="00184063"/>
    <w:rsid w:val="0018418A"/>
    <w:rsid w:val="00184229"/>
    <w:rsid w:val="0018426A"/>
    <w:rsid w:val="001842AF"/>
    <w:rsid w:val="001842FB"/>
    <w:rsid w:val="00184399"/>
    <w:rsid w:val="001843C6"/>
    <w:rsid w:val="0018446D"/>
    <w:rsid w:val="001844DF"/>
    <w:rsid w:val="0018450D"/>
    <w:rsid w:val="00184531"/>
    <w:rsid w:val="00184588"/>
    <w:rsid w:val="00184661"/>
    <w:rsid w:val="00184713"/>
    <w:rsid w:val="001847C6"/>
    <w:rsid w:val="00184817"/>
    <w:rsid w:val="00184829"/>
    <w:rsid w:val="0018482D"/>
    <w:rsid w:val="00184856"/>
    <w:rsid w:val="001848AF"/>
    <w:rsid w:val="001848F6"/>
    <w:rsid w:val="00184999"/>
    <w:rsid w:val="00184AC2"/>
    <w:rsid w:val="00184CA2"/>
    <w:rsid w:val="00184CF6"/>
    <w:rsid w:val="00184D3A"/>
    <w:rsid w:val="00184D47"/>
    <w:rsid w:val="00184D79"/>
    <w:rsid w:val="00184D80"/>
    <w:rsid w:val="00184DBD"/>
    <w:rsid w:val="0018501A"/>
    <w:rsid w:val="0018513F"/>
    <w:rsid w:val="00185183"/>
    <w:rsid w:val="00185282"/>
    <w:rsid w:val="001852F3"/>
    <w:rsid w:val="0018533F"/>
    <w:rsid w:val="00185364"/>
    <w:rsid w:val="00185477"/>
    <w:rsid w:val="0018547B"/>
    <w:rsid w:val="00185616"/>
    <w:rsid w:val="00185688"/>
    <w:rsid w:val="0018576E"/>
    <w:rsid w:val="0018577A"/>
    <w:rsid w:val="00185795"/>
    <w:rsid w:val="001857E2"/>
    <w:rsid w:val="001858B5"/>
    <w:rsid w:val="00185961"/>
    <w:rsid w:val="00185A1D"/>
    <w:rsid w:val="00185A91"/>
    <w:rsid w:val="00185AE3"/>
    <w:rsid w:val="00185B05"/>
    <w:rsid w:val="00185B39"/>
    <w:rsid w:val="00185B47"/>
    <w:rsid w:val="00185B7A"/>
    <w:rsid w:val="00185C30"/>
    <w:rsid w:val="00185D5E"/>
    <w:rsid w:val="00185E1F"/>
    <w:rsid w:val="00185E27"/>
    <w:rsid w:val="00185E85"/>
    <w:rsid w:val="00185F58"/>
    <w:rsid w:val="00185F89"/>
    <w:rsid w:val="00185F97"/>
    <w:rsid w:val="00185FC2"/>
    <w:rsid w:val="001860F4"/>
    <w:rsid w:val="001862B5"/>
    <w:rsid w:val="001862D1"/>
    <w:rsid w:val="001862F8"/>
    <w:rsid w:val="00186328"/>
    <w:rsid w:val="00186340"/>
    <w:rsid w:val="00186366"/>
    <w:rsid w:val="00186441"/>
    <w:rsid w:val="00186598"/>
    <w:rsid w:val="0018673E"/>
    <w:rsid w:val="00186746"/>
    <w:rsid w:val="00186748"/>
    <w:rsid w:val="001867E9"/>
    <w:rsid w:val="00186849"/>
    <w:rsid w:val="00186962"/>
    <w:rsid w:val="0018696E"/>
    <w:rsid w:val="00186A16"/>
    <w:rsid w:val="00186A23"/>
    <w:rsid w:val="00186B29"/>
    <w:rsid w:val="00186B40"/>
    <w:rsid w:val="00186B95"/>
    <w:rsid w:val="00186BA5"/>
    <w:rsid w:val="00186C62"/>
    <w:rsid w:val="00186CFF"/>
    <w:rsid w:val="00186DD2"/>
    <w:rsid w:val="00186E29"/>
    <w:rsid w:val="00186ED8"/>
    <w:rsid w:val="00186F18"/>
    <w:rsid w:val="00186FEE"/>
    <w:rsid w:val="00187006"/>
    <w:rsid w:val="00187035"/>
    <w:rsid w:val="0018703D"/>
    <w:rsid w:val="00187072"/>
    <w:rsid w:val="0018708B"/>
    <w:rsid w:val="00187177"/>
    <w:rsid w:val="00187184"/>
    <w:rsid w:val="001871A5"/>
    <w:rsid w:val="001871CB"/>
    <w:rsid w:val="0018725F"/>
    <w:rsid w:val="001872A4"/>
    <w:rsid w:val="001872C3"/>
    <w:rsid w:val="001872C9"/>
    <w:rsid w:val="00187334"/>
    <w:rsid w:val="0018733B"/>
    <w:rsid w:val="001873CE"/>
    <w:rsid w:val="001873DC"/>
    <w:rsid w:val="00187423"/>
    <w:rsid w:val="0018752C"/>
    <w:rsid w:val="0018759B"/>
    <w:rsid w:val="0018760B"/>
    <w:rsid w:val="00187621"/>
    <w:rsid w:val="0018765B"/>
    <w:rsid w:val="0018771A"/>
    <w:rsid w:val="00187838"/>
    <w:rsid w:val="0018785F"/>
    <w:rsid w:val="00187879"/>
    <w:rsid w:val="00187896"/>
    <w:rsid w:val="0018797F"/>
    <w:rsid w:val="001879A0"/>
    <w:rsid w:val="001879D9"/>
    <w:rsid w:val="00187A6D"/>
    <w:rsid w:val="00187AEA"/>
    <w:rsid w:val="00187B28"/>
    <w:rsid w:val="00187B5D"/>
    <w:rsid w:val="00187B6E"/>
    <w:rsid w:val="00187BB1"/>
    <w:rsid w:val="00187CBD"/>
    <w:rsid w:val="00187CC2"/>
    <w:rsid w:val="00187D89"/>
    <w:rsid w:val="00187E1A"/>
    <w:rsid w:val="00187E45"/>
    <w:rsid w:val="00187E7A"/>
    <w:rsid w:val="00187F30"/>
    <w:rsid w:val="00190045"/>
    <w:rsid w:val="00190057"/>
    <w:rsid w:val="00190103"/>
    <w:rsid w:val="00190120"/>
    <w:rsid w:val="00190325"/>
    <w:rsid w:val="0019038E"/>
    <w:rsid w:val="00190390"/>
    <w:rsid w:val="001903C7"/>
    <w:rsid w:val="0019043F"/>
    <w:rsid w:val="00190477"/>
    <w:rsid w:val="0019049C"/>
    <w:rsid w:val="001905D6"/>
    <w:rsid w:val="00190678"/>
    <w:rsid w:val="00190695"/>
    <w:rsid w:val="001906C2"/>
    <w:rsid w:val="00190704"/>
    <w:rsid w:val="00190729"/>
    <w:rsid w:val="00190857"/>
    <w:rsid w:val="00190977"/>
    <w:rsid w:val="0019098C"/>
    <w:rsid w:val="001909C5"/>
    <w:rsid w:val="001909C9"/>
    <w:rsid w:val="001909D2"/>
    <w:rsid w:val="001909D4"/>
    <w:rsid w:val="00190AB8"/>
    <w:rsid w:val="00190AF3"/>
    <w:rsid w:val="00190B0F"/>
    <w:rsid w:val="00190B11"/>
    <w:rsid w:val="00190B1B"/>
    <w:rsid w:val="00190B35"/>
    <w:rsid w:val="00190C67"/>
    <w:rsid w:val="00190C91"/>
    <w:rsid w:val="00190D5C"/>
    <w:rsid w:val="00190D6F"/>
    <w:rsid w:val="00190DD3"/>
    <w:rsid w:val="00190E2A"/>
    <w:rsid w:val="00190E5E"/>
    <w:rsid w:val="00190E60"/>
    <w:rsid w:val="00190FEA"/>
    <w:rsid w:val="00191011"/>
    <w:rsid w:val="00191081"/>
    <w:rsid w:val="00191115"/>
    <w:rsid w:val="00191213"/>
    <w:rsid w:val="001912B4"/>
    <w:rsid w:val="001912BC"/>
    <w:rsid w:val="001912F7"/>
    <w:rsid w:val="0019150D"/>
    <w:rsid w:val="00191533"/>
    <w:rsid w:val="001915D4"/>
    <w:rsid w:val="00191620"/>
    <w:rsid w:val="001916A5"/>
    <w:rsid w:val="001916C1"/>
    <w:rsid w:val="00191739"/>
    <w:rsid w:val="001917A2"/>
    <w:rsid w:val="00191934"/>
    <w:rsid w:val="00191A8F"/>
    <w:rsid w:val="00191AC8"/>
    <w:rsid w:val="00191B54"/>
    <w:rsid w:val="00191C41"/>
    <w:rsid w:val="00191C86"/>
    <w:rsid w:val="00191CAB"/>
    <w:rsid w:val="00191CAC"/>
    <w:rsid w:val="00191DF3"/>
    <w:rsid w:val="00191E44"/>
    <w:rsid w:val="00191E66"/>
    <w:rsid w:val="00191F79"/>
    <w:rsid w:val="00192007"/>
    <w:rsid w:val="00192058"/>
    <w:rsid w:val="00192127"/>
    <w:rsid w:val="00192220"/>
    <w:rsid w:val="00192223"/>
    <w:rsid w:val="001922D6"/>
    <w:rsid w:val="001923A7"/>
    <w:rsid w:val="001923B7"/>
    <w:rsid w:val="00192423"/>
    <w:rsid w:val="00192602"/>
    <w:rsid w:val="00192609"/>
    <w:rsid w:val="00192624"/>
    <w:rsid w:val="0019262B"/>
    <w:rsid w:val="00192631"/>
    <w:rsid w:val="0019263C"/>
    <w:rsid w:val="001927D1"/>
    <w:rsid w:val="0019294E"/>
    <w:rsid w:val="0019298F"/>
    <w:rsid w:val="001929B7"/>
    <w:rsid w:val="001929FA"/>
    <w:rsid w:val="00192A58"/>
    <w:rsid w:val="00192AC6"/>
    <w:rsid w:val="00192B67"/>
    <w:rsid w:val="00192BFF"/>
    <w:rsid w:val="00192C19"/>
    <w:rsid w:val="00192C85"/>
    <w:rsid w:val="00192E2F"/>
    <w:rsid w:val="00192E66"/>
    <w:rsid w:val="00192F4E"/>
    <w:rsid w:val="00192FB0"/>
    <w:rsid w:val="00193076"/>
    <w:rsid w:val="001930BD"/>
    <w:rsid w:val="001930E6"/>
    <w:rsid w:val="00193118"/>
    <w:rsid w:val="0019316A"/>
    <w:rsid w:val="0019327E"/>
    <w:rsid w:val="00193288"/>
    <w:rsid w:val="001932D7"/>
    <w:rsid w:val="00193565"/>
    <w:rsid w:val="001935AC"/>
    <w:rsid w:val="0019364C"/>
    <w:rsid w:val="00193654"/>
    <w:rsid w:val="0019367E"/>
    <w:rsid w:val="001936DE"/>
    <w:rsid w:val="00193895"/>
    <w:rsid w:val="001938D4"/>
    <w:rsid w:val="00193928"/>
    <w:rsid w:val="001939B6"/>
    <w:rsid w:val="001939E7"/>
    <w:rsid w:val="00193A12"/>
    <w:rsid w:val="00193A17"/>
    <w:rsid w:val="00193A8D"/>
    <w:rsid w:val="00193ABF"/>
    <w:rsid w:val="00193B37"/>
    <w:rsid w:val="00193B5C"/>
    <w:rsid w:val="00193BE1"/>
    <w:rsid w:val="00193BEA"/>
    <w:rsid w:val="00193C0A"/>
    <w:rsid w:val="00193C35"/>
    <w:rsid w:val="00193C78"/>
    <w:rsid w:val="00193CBC"/>
    <w:rsid w:val="00193D65"/>
    <w:rsid w:val="00193EEF"/>
    <w:rsid w:val="00193F16"/>
    <w:rsid w:val="00193F43"/>
    <w:rsid w:val="00194069"/>
    <w:rsid w:val="0019416B"/>
    <w:rsid w:val="00194197"/>
    <w:rsid w:val="001941D0"/>
    <w:rsid w:val="0019420F"/>
    <w:rsid w:val="0019421C"/>
    <w:rsid w:val="001942C6"/>
    <w:rsid w:val="001942E6"/>
    <w:rsid w:val="00194369"/>
    <w:rsid w:val="00194401"/>
    <w:rsid w:val="001944D3"/>
    <w:rsid w:val="001944EF"/>
    <w:rsid w:val="0019451C"/>
    <w:rsid w:val="00194617"/>
    <w:rsid w:val="0019461B"/>
    <w:rsid w:val="0019462C"/>
    <w:rsid w:val="00194753"/>
    <w:rsid w:val="001947D5"/>
    <w:rsid w:val="001947E3"/>
    <w:rsid w:val="00194832"/>
    <w:rsid w:val="0019484A"/>
    <w:rsid w:val="00194901"/>
    <w:rsid w:val="00194991"/>
    <w:rsid w:val="00194AB9"/>
    <w:rsid w:val="00194AD1"/>
    <w:rsid w:val="00194ADB"/>
    <w:rsid w:val="00194B8A"/>
    <w:rsid w:val="00194B94"/>
    <w:rsid w:val="00194BE6"/>
    <w:rsid w:val="00194C28"/>
    <w:rsid w:val="00194C62"/>
    <w:rsid w:val="00194C8B"/>
    <w:rsid w:val="00194C9B"/>
    <w:rsid w:val="00194CCB"/>
    <w:rsid w:val="00194CEE"/>
    <w:rsid w:val="00194D58"/>
    <w:rsid w:val="00194E89"/>
    <w:rsid w:val="00194EB0"/>
    <w:rsid w:val="00194ED3"/>
    <w:rsid w:val="00194EFB"/>
    <w:rsid w:val="00194F44"/>
    <w:rsid w:val="00194F58"/>
    <w:rsid w:val="00194F70"/>
    <w:rsid w:val="00194FB2"/>
    <w:rsid w:val="00194FBB"/>
    <w:rsid w:val="00194FCD"/>
    <w:rsid w:val="00195052"/>
    <w:rsid w:val="001950DE"/>
    <w:rsid w:val="00195221"/>
    <w:rsid w:val="001952B9"/>
    <w:rsid w:val="00195366"/>
    <w:rsid w:val="00195388"/>
    <w:rsid w:val="001953FB"/>
    <w:rsid w:val="0019543E"/>
    <w:rsid w:val="00195492"/>
    <w:rsid w:val="001954AA"/>
    <w:rsid w:val="00195572"/>
    <w:rsid w:val="001955A4"/>
    <w:rsid w:val="001955AB"/>
    <w:rsid w:val="001956BE"/>
    <w:rsid w:val="001957CF"/>
    <w:rsid w:val="00195846"/>
    <w:rsid w:val="001958C8"/>
    <w:rsid w:val="00195934"/>
    <w:rsid w:val="0019596A"/>
    <w:rsid w:val="00195A13"/>
    <w:rsid w:val="00195A5B"/>
    <w:rsid w:val="00195AAC"/>
    <w:rsid w:val="00195B38"/>
    <w:rsid w:val="00195B95"/>
    <w:rsid w:val="00195BE6"/>
    <w:rsid w:val="00195BEA"/>
    <w:rsid w:val="00195C6F"/>
    <w:rsid w:val="00195D57"/>
    <w:rsid w:val="00195D5C"/>
    <w:rsid w:val="00195DA2"/>
    <w:rsid w:val="00195DD2"/>
    <w:rsid w:val="00195EC2"/>
    <w:rsid w:val="00195FEB"/>
    <w:rsid w:val="00195FEF"/>
    <w:rsid w:val="0019604A"/>
    <w:rsid w:val="00196147"/>
    <w:rsid w:val="001961A4"/>
    <w:rsid w:val="00196244"/>
    <w:rsid w:val="00196313"/>
    <w:rsid w:val="0019637D"/>
    <w:rsid w:val="00196387"/>
    <w:rsid w:val="001963F5"/>
    <w:rsid w:val="0019644F"/>
    <w:rsid w:val="0019645D"/>
    <w:rsid w:val="001964C0"/>
    <w:rsid w:val="001964F3"/>
    <w:rsid w:val="00196515"/>
    <w:rsid w:val="001965A7"/>
    <w:rsid w:val="00196642"/>
    <w:rsid w:val="00196673"/>
    <w:rsid w:val="00196674"/>
    <w:rsid w:val="0019670E"/>
    <w:rsid w:val="00196778"/>
    <w:rsid w:val="001967BC"/>
    <w:rsid w:val="001967E7"/>
    <w:rsid w:val="00196823"/>
    <w:rsid w:val="00196856"/>
    <w:rsid w:val="0019690C"/>
    <w:rsid w:val="00196916"/>
    <w:rsid w:val="001969BE"/>
    <w:rsid w:val="00196A67"/>
    <w:rsid w:val="00196AC0"/>
    <w:rsid w:val="00196B10"/>
    <w:rsid w:val="00196B2B"/>
    <w:rsid w:val="00196C07"/>
    <w:rsid w:val="00196C18"/>
    <w:rsid w:val="00196D15"/>
    <w:rsid w:val="00196D37"/>
    <w:rsid w:val="00196D4A"/>
    <w:rsid w:val="00196E01"/>
    <w:rsid w:val="00196EB0"/>
    <w:rsid w:val="00196EFD"/>
    <w:rsid w:val="00196F3B"/>
    <w:rsid w:val="00196FEE"/>
    <w:rsid w:val="00196FFB"/>
    <w:rsid w:val="001970C7"/>
    <w:rsid w:val="00197145"/>
    <w:rsid w:val="00197192"/>
    <w:rsid w:val="00197232"/>
    <w:rsid w:val="0019723E"/>
    <w:rsid w:val="001972BE"/>
    <w:rsid w:val="00197400"/>
    <w:rsid w:val="0019748E"/>
    <w:rsid w:val="001975AE"/>
    <w:rsid w:val="001977E6"/>
    <w:rsid w:val="00197849"/>
    <w:rsid w:val="001978A7"/>
    <w:rsid w:val="001978CD"/>
    <w:rsid w:val="001978EE"/>
    <w:rsid w:val="00197960"/>
    <w:rsid w:val="0019799B"/>
    <w:rsid w:val="00197A1A"/>
    <w:rsid w:val="00197A2A"/>
    <w:rsid w:val="00197A70"/>
    <w:rsid w:val="00197B13"/>
    <w:rsid w:val="00197B27"/>
    <w:rsid w:val="00197C01"/>
    <w:rsid w:val="00197C8F"/>
    <w:rsid w:val="00197CA3"/>
    <w:rsid w:val="00197D16"/>
    <w:rsid w:val="00197DFC"/>
    <w:rsid w:val="00197E26"/>
    <w:rsid w:val="00197E2F"/>
    <w:rsid w:val="00197EC0"/>
    <w:rsid w:val="00197F03"/>
    <w:rsid w:val="00197F05"/>
    <w:rsid w:val="00197FB8"/>
    <w:rsid w:val="0019C3CF"/>
    <w:rsid w:val="001A004E"/>
    <w:rsid w:val="001A007C"/>
    <w:rsid w:val="001A0197"/>
    <w:rsid w:val="001A01A0"/>
    <w:rsid w:val="001A02E8"/>
    <w:rsid w:val="001A038E"/>
    <w:rsid w:val="001A042A"/>
    <w:rsid w:val="001A0434"/>
    <w:rsid w:val="001A04B4"/>
    <w:rsid w:val="001A04CE"/>
    <w:rsid w:val="001A054C"/>
    <w:rsid w:val="001A05D7"/>
    <w:rsid w:val="001A064E"/>
    <w:rsid w:val="001A0660"/>
    <w:rsid w:val="001A06A7"/>
    <w:rsid w:val="001A06FB"/>
    <w:rsid w:val="001A07E7"/>
    <w:rsid w:val="001A0811"/>
    <w:rsid w:val="001A081A"/>
    <w:rsid w:val="001A08CC"/>
    <w:rsid w:val="001A0970"/>
    <w:rsid w:val="001A0995"/>
    <w:rsid w:val="001A09AA"/>
    <w:rsid w:val="001A09DF"/>
    <w:rsid w:val="001A0A98"/>
    <w:rsid w:val="001A0B9F"/>
    <w:rsid w:val="001A0C12"/>
    <w:rsid w:val="001A0C64"/>
    <w:rsid w:val="001A0C87"/>
    <w:rsid w:val="001A0C92"/>
    <w:rsid w:val="001A0CC4"/>
    <w:rsid w:val="001A0CEE"/>
    <w:rsid w:val="001A0D49"/>
    <w:rsid w:val="001A0E1B"/>
    <w:rsid w:val="001A0EC8"/>
    <w:rsid w:val="001A0F00"/>
    <w:rsid w:val="001A0F03"/>
    <w:rsid w:val="001A0F7B"/>
    <w:rsid w:val="001A0FD9"/>
    <w:rsid w:val="001A0FFF"/>
    <w:rsid w:val="001A1063"/>
    <w:rsid w:val="001A108E"/>
    <w:rsid w:val="001A10A8"/>
    <w:rsid w:val="001A1183"/>
    <w:rsid w:val="001A12D0"/>
    <w:rsid w:val="001A12D5"/>
    <w:rsid w:val="001A12DE"/>
    <w:rsid w:val="001A131E"/>
    <w:rsid w:val="001A133E"/>
    <w:rsid w:val="001A1368"/>
    <w:rsid w:val="001A145D"/>
    <w:rsid w:val="001A14B0"/>
    <w:rsid w:val="001A14F5"/>
    <w:rsid w:val="001A1519"/>
    <w:rsid w:val="001A15D5"/>
    <w:rsid w:val="001A166C"/>
    <w:rsid w:val="001A173A"/>
    <w:rsid w:val="001A1844"/>
    <w:rsid w:val="001A194D"/>
    <w:rsid w:val="001A198A"/>
    <w:rsid w:val="001A199C"/>
    <w:rsid w:val="001A19C5"/>
    <w:rsid w:val="001A1A61"/>
    <w:rsid w:val="001A1AB4"/>
    <w:rsid w:val="001A1B94"/>
    <w:rsid w:val="001A1BC4"/>
    <w:rsid w:val="001A1BCD"/>
    <w:rsid w:val="001A1C29"/>
    <w:rsid w:val="001A1CBD"/>
    <w:rsid w:val="001A1CC3"/>
    <w:rsid w:val="001A1E11"/>
    <w:rsid w:val="001A1E25"/>
    <w:rsid w:val="001A1E45"/>
    <w:rsid w:val="001A1EBD"/>
    <w:rsid w:val="001A1EDE"/>
    <w:rsid w:val="001A1F6A"/>
    <w:rsid w:val="001A1FB7"/>
    <w:rsid w:val="001A1FF0"/>
    <w:rsid w:val="001A2042"/>
    <w:rsid w:val="001A20A6"/>
    <w:rsid w:val="001A2134"/>
    <w:rsid w:val="001A2369"/>
    <w:rsid w:val="001A253F"/>
    <w:rsid w:val="001A2591"/>
    <w:rsid w:val="001A25C4"/>
    <w:rsid w:val="001A26EE"/>
    <w:rsid w:val="001A2771"/>
    <w:rsid w:val="001A2799"/>
    <w:rsid w:val="001A27A6"/>
    <w:rsid w:val="001A2850"/>
    <w:rsid w:val="001A285C"/>
    <w:rsid w:val="001A2995"/>
    <w:rsid w:val="001A29E6"/>
    <w:rsid w:val="001A2A26"/>
    <w:rsid w:val="001A2A72"/>
    <w:rsid w:val="001A2BBF"/>
    <w:rsid w:val="001A2BC6"/>
    <w:rsid w:val="001A2C22"/>
    <w:rsid w:val="001A2CBE"/>
    <w:rsid w:val="001A2D46"/>
    <w:rsid w:val="001A2DDB"/>
    <w:rsid w:val="001A2DFF"/>
    <w:rsid w:val="001A2E15"/>
    <w:rsid w:val="001A2E38"/>
    <w:rsid w:val="001A2E4D"/>
    <w:rsid w:val="001A2E70"/>
    <w:rsid w:val="001A2ECE"/>
    <w:rsid w:val="001A2EF7"/>
    <w:rsid w:val="001A2F7D"/>
    <w:rsid w:val="001A2F81"/>
    <w:rsid w:val="001A307E"/>
    <w:rsid w:val="001A30F3"/>
    <w:rsid w:val="001A31AA"/>
    <w:rsid w:val="001A31EA"/>
    <w:rsid w:val="001A3278"/>
    <w:rsid w:val="001A335C"/>
    <w:rsid w:val="001A338B"/>
    <w:rsid w:val="001A3467"/>
    <w:rsid w:val="001A348A"/>
    <w:rsid w:val="001A34F9"/>
    <w:rsid w:val="001A3500"/>
    <w:rsid w:val="001A352D"/>
    <w:rsid w:val="001A35A0"/>
    <w:rsid w:val="001A36B5"/>
    <w:rsid w:val="001A371B"/>
    <w:rsid w:val="001A372C"/>
    <w:rsid w:val="001A374D"/>
    <w:rsid w:val="001A3881"/>
    <w:rsid w:val="001A389B"/>
    <w:rsid w:val="001A3958"/>
    <w:rsid w:val="001A396F"/>
    <w:rsid w:val="001A3971"/>
    <w:rsid w:val="001A3973"/>
    <w:rsid w:val="001A39CC"/>
    <w:rsid w:val="001A3A59"/>
    <w:rsid w:val="001A3B32"/>
    <w:rsid w:val="001A3B46"/>
    <w:rsid w:val="001A3BA6"/>
    <w:rsid w:val="001A3C2B"/>
    <w:rsid w:val="001A3C64"/>
    <w:rsid w:val="001A3CB7"/>
    <w:rsid w:val="001A3D5B"/>
    <w:rsid w:val="001A3E69"/>
    <w:rsid w:val="001A3E86"/>
    <w:rsid w:val="001A3ECA"/>
    <w:rsid w:val="001A3F5F"/>
    <w:rsid w:val="001A3F7D"/>
    <w:rsid w:val="001A4030"/>
    <w:rsid w:val="001A405E"/>
    <w:rsid w:val="001A4096"/>
    <w:rsid w:val="001A40BC"/>
    <w:rsid w:val="001A40BD"/>
    <w:rsid w:val="001A40F5"/>
    <w:rsid w:val="001A412E"/>
    <w:rsid w:val="001A413C"/>
    <w:rsid w:val="001A4211"/>
    <w:rsid w:val="001A42AD"/>
    <w:rsid w:val="001A42BE"/>
    <w:rsid w:val="001A435C"/>
    <w:rsid w:val="001A4439"/>
    <w:rsid w:val="001A4462"/>
    <w:rsid w:val="001A4488"/>
    <w:rsid w:val="001A456B"/>
    <w:rsid w:val="001A4593"/>
    <w:rsid w:val="001A462E"/>
    <w:rsid w:val="001A463F"/>
    <w:rsid w:val="001A4750"/>
    <w:rsid w:val="001A475B"/>
    <w:rsid w:val="001A4767"/>
    <w:rsid w:val="001A4794"/>
    <w:rsid w:val="001A47E6"/>
    <w:rsid w:val="001A481B"/>
    <w:rsid w:val="001A4976"/>
    <w:rsid w:val="001A499A"/>
    <w:rsid w:val="001A4A28"/>
    <w:rsid w:val="001A4B52"/>
    <w:rsid w:val="001A4C3E"/>
    <w:rsid w:val="001A4C43"/>
    <w:rsid w:val="001A4E1B"/>
    <w:rsid w:val="001A4EA0"/>
    <w:rsid w:val="001A4F10"/>
    <w:rsid w:val="001A4F36"/>
    <w:rsid w:val="001A50D9"/>
    <w:rsid w:val="001A5118"/>
    <w:rsid w:val="001A514A"/>
    <w:rsid w:val="001A5159"/>
    <w:rsid w:val="001A5189"/>
    <w:rsid w:val="001A51C4"/>
    <w:rsid w:val="001A51F2"/>
    <w:rsid w:val="001A5208"/>
    <w:rsid w:val="001A527E"/>
    <w:rsid w:val="001A528C"/>
    <w:rsid w:val="001A5298"/>
    <w:rsid w:val="001A52E9"/>
    <w:rsid w:val="001A537B"/>
    <w:rsid w:val="001A53AF"/>
    <w:rsid w:val="001A53B4"/>
    <w:rsid w:val="001A53C5"/>
    <w:rsid w:val="001A5458"/>
    <w:rsid w:val="001A54D5"/>
    <w:rsid w:val="001A54EA"/>
    <w:rsid w:val="001A54ED"/>
    <w:rsid w:val="001A5576"/>
    <w:rsid w:val="001A566A"/>
    <w:rsid w:val="001A567C"/>
    <w:rsid w:val="001A5681"/>
    <w:rsid w:val="001A56A1"/>
    <w:rsid w:val="001A5714"/>
    <w:rsid w:val="001A5762"/>
    <w:rsid w:val="001A577D"/>
    <w:rsid w:val="001A57A6"/>
    <w:rsid w:val="001A57C5"/>
    <w:rsid w:val="001A57D2"/>
    <w:rsid w:val="001A585B"/>
    <w:rsid w:val="001A587C"/>
    <w:rsid w:val="001A5925"/>
    <w:rsid w:val="001A5929"/>
    <w:rsid w:val="001A5960"/>
    <w:rsid w:val="001A59EE"/>
    <w:rsid w:val="001A5A17"/>
    <w:rsid w:val="001A5A44"/>
    <w:rsid w:val="001A5A60"/>
    <w:rsid w:val="001A5A86"/>
    <w:rsid w:val="001A5AA5"/>
    <w:rsid w:val="001A5B1D"/>
    <w:rsid w:val="001A5B4C"/>
    <w:rsid w:val="001A5BAB"/>
    <w:rsid w:val="001A5BFF"/>
    <w:rsid w:val="001A5C18"/>
    <w:rsid w:val="001A5C62"/>
    <w:rsid w:val="001A5C69"/>
    <w:rsid w:val="001A5CC1"/>
    <w:rsid w:val="001A5CC6"/>
    <w:rsid w:val="001A5D09"/>
    <w:rsid w:val="001A5D4A"/>
    <w:rsid w:val="001A5D4E"/>
    <w:rsid w:val="001A5D5A"/>
    <w:rsid w:val="001A5EE5"/>
    <w:rsid w:val="001A5F09"/>
    <w:rsid w:val="001A5FCC"/>
    <w:rsid w:val="001A6001"/>
    <w:rsid w:val="001A60C1"/>
    <w:rsid w:val="001A6128"/>
    <w:rsid w:val="001A6135"/>
    <w:rsid w:val="001A6137"/>
    <w:rsid w:val="001A6155"/>
    <w:rsid w:val="001A6168"/>
    <w:rsid w:val="001A61C3"/>
    <w:rsid w:val="001A623C"/>
    <w:rsid w:val="001A62E7"/>
    <w:rsid w:val="001A62F5"/>
    <w:rsid w:val="001A63A4"/>
    <w:rsid w:val="001A6463"/>
    <w:rsid w:val="001A654F"/>
    <w:rsid w:val="001A6671"/>
    <w:rsid w:val="001A66E2"/>
    <w:rsid w:val="001A676D"/>
    <w:rsid w:val="001A6795"/>
    <w:rsid w:val="001A683F"/>
    <w:rsid w:val="001A6884"/>
    <w:rsid w:val="001A6A18"/>
    <w:rsid w:val="001A6A57"/>
    <w:rsid w:val="001A6AD7"/>
    <w:rsid w:val="001A6B53"/>
    <w:rsid w:val="001A6D83"/>
    <w:rsid w:val="001A6DFA"/>
    <w:rsid w:val="001A6F19"/>
    <w:rsid w:val="001A6F36"/>
    <w:rsid w:val="001A6F7D"/>
    <w:rsid w:val="001A6FB6"/>
    <w:rsid w:val="001A6FCC"/>
    <w:rsid w:val="001A6FD4"/>
    <w:rsid w:val="001A6FDB"/>
    <w:rsid w:val="001A7075"/>
    <w:rsid w:val="001A71A7"/>
    <w:rsid w:val="001A7248"/>
    <w:rsid w:val="001A7281"/>
    <w:rsid w:val="001A72B4"/>
    <w:rsid w:val="001A72C8"/>
    <w:rsid w:val="001A7401"/>
    <w:rsid w:val="001A7404"/>
    <w:rsid w:val="001A74C0"/>
    <w:rsid w:val="001A751B"/>
    <w:rsid w:val="001A75E9"/>
    <w:rsid w:val="001A7657"/>
    <w:rsid w:val="001A77F1"/>
    <w:rsid w:val="001A781A"/>
    <w:rsid w:val="001A781F"/>
    <w:rsid w:val="001A78C5"/>
    <w:rsid w:val="001A7996"/>
    <w:rsid w:val="001A79BF"/>
    <w:rsid w:val="001A7A35"/>
    <w:rsid w:val="001A7A67"/>
    <w:rsid w:val="001A7A78"/>
    <w:rsid w:val="001A7A95"/>
    <w:rsid w:val="001A7A9E"/>
    <w:rsid w:val="001A7AB5"/>
    <w:rsid w:val="001A7AB9"/>
    <w:rsid w:val="001A7AC1"/>
    <w:rsid w:val="001A7B34"/>
    <w:rsid w:val="001A7B67"/>
    <w:rsid w:val="001A7B8A"/>
    <w:rsid w:val="001A7BDE"/>
    <w:rsid w:val="001A7BF7"/>
    <w:rsid w:val="001A7C61"/>
    <w:rsid w:val="001A7CB8"/>
    <w:rsid w:val="001A7CE5"/>
    <w:rsid w:val="001A7DD7"/>
    <w:rsid w:val="001A7E1A"/>
    <w:rsid w:val="001A7F09"/>
    <w:rsid w:val="001A7F6B"/>
    <w:rsid w:val="001B004F"/>
    <w:rsid w:val="001B00B8"/>
    <w:rsid w:val="001B019C"/>
    <w:rsid w:val="001B02F7"/>
    <w:rsid w:val="001B0343"/>
    <w:rsid w:val="001B034E"/>
    <w:rsid w:val="001B0351"/>
    <w:rsid w:val="001B0394"/>
    <w:rsid w:val="001B03C2"/>
    <w:rsid w:val="001B03C7"/>
    <w:rsid w:val="001B047E"/>
    <w:rsid w:val="001B04A8"/>
    <w:rsid w:val="001B04F5"/>
    <w:rsid w:val="001B052F"/>
    <w:rsid w:val="001B0546"/>
    <w:rsid w:val="001B0548"/>
    <w:rsid w:val="001B059E"/>
    <w:rsid w:val="001B05ED"/>
    <w:rsid w:val="001B0617"/>
    <w:rsid w:val="001B0707"/>
    <w:rsid w:val="001B07B1"/>
    <w:rsid w:val="001B07D1"/>
    <w:rsid w:val="001B08A3"/>
    <w:rsid w:val="001B0918"/>
    <w:rsid w:val="001B0A71"/>
    <w:rsid w:val="001B0B13"/>
    <w:rsid w:val="001B0C0E"/>
    <w:rsid w:val="001B0C1A"/>
    <w:rsid w:val="001B0DE7"/>
    <w:rsid w:val="001B0E2A"/>
    <w:rsid w:val="001B0F63"/>
    <w:rsid w:val="001B0F99"/>
    <w:rsid w:val="001B0FC9"/>
    <w:rsid w:val="001B106D"/>
    <w:rsid w:val="001B1074"/>
    <w:rsid w:val="001B10A8"/>
    <w:rsid w:val="001B10BA"/>
    <w:rsid w:val="001B10C1"/>
    <w:rsid w:val="001B10DF"/>
    <w:rsid w:val="001B10EE"/>
    <w:rsid w:val="001B1251"/>
    <w:rsid w:val="001B13AC"/>
    <w:rsid w:val="001B144F"/>
    <w:rsid w:val="001B1501"/>
    <w:rsid w:val="001B1551"/>
    <w:rsid w:val="001B1740"/>
    <w:rsid w:val="001B1761"/>
    <w:rsid w:val="001B1848"/>
    <w:rsid w:val="001B1861"/>
    <w:rsid w:val="001B1893"/>
    <w:rsid w:val="001B18ED"/>
    <w:rsid w:val="001B1914"/>
    <w:rsid w:val="001B199A"/>
    <w:rsid w:val="001B19AA"/>
    <w:rsid w:val="001B1B04"/>
    <w:rsid w:val="001B1B20"/>
    <w:rsid w:val="001B1B43"/>
    <w:rsid w:val="001B1C3A"/>
    <w:rsid w:val="001B1C57"/>
    <w:rsid w:val="001B1C8F"/>
    <w:rsid w:val="001B1CF2"/>
    <w:rsid w:val="001B1DF5"/>
    <w:rsid w:val="001B1EAE"/>
    <w:rsid w:val="001B1F34"/>
    <w:rsid w:val="001B1F58"/>
    <w:rsid w:val="001B1FBB"/>
    <w:rsid w:val="001B1FDA"/>
    <w:rsid w:val="001B1FFD"/>
    <w:rsid w:val="001B203E"/>
    <w:rsid w:val="001B2063"/>
    <w:rsid w:val="001B213D"/>
    <w:rsid w:val="001B21E9"/>
    <w:rsid w:val="001B2220"/>
    <w:rsid w:val="001B2261"/>
    <w:rsid w:val="001B2265"/>
    <w:rsid w:val="001B227C"/>
    <w:rsid w:val="001B2311"/>
    <w:rsid w:val="001B23AE"/>
    <w:rsid w:val="001B23DF"/>
    <w:rsid w:val="001B2457"/>
    <w:rsid w:val="001B24CF"/>
    <w:rsid w:val="001B2577"/>
    <w:rsid w:val="001B2622"/>
    <w:rsid w:val="001B2636"/>
    <w:rsid w:val="001B263F"/>
    <w:rsid w:val="001B2672"/>
    <w:rsid w:val="001B273B"/>
    <w:rsid w:val="001B278D"/>
    <w:rsid w:val="001B2947"/>
    <w:rsid w:val="001B2960"/>
    <w:rsid w:val="001B296A"/>
    <w:rsid w:val="001B298A"/>
    <w:rsid w:val="001B2A1C"/>
    <w:rsid w:val="001B2A62"/>
    <w:rsid w:val="001B2AA4"/>
    <w:rsid w:val="001B2B7A"/>
    <w:rsid w:val="001B2C70"/>
    <w:rsid w:val="001B2CDC"/>
    <w:rsid w:val="001B2D3E"/>
    <w:rsid w:val="001B2D8D"/>
    <w:rsid w:val="001B2DB3"/>
    <w:rsid w:val="001B2DED"/>
    <w:rsid w:val="001B2EB8"/>
    <w:rsid w:val="001B2EB9"/>
    <w:rsid w:val="001B2ECB"/>
    <w:rsid w:val="001B300B"/>
    <w:rsid w:val="001B30C8"/>
    <w:rsid w:val="001B3103"/>
    <w:rsid w:val="001B3165"/>
    <w:rsid w:val="001B31D5"/>
    <w:rsid w:val="001B3294"/>
    <w:rsid w:val="001B329E"/>
    <w:rsid w:val="001B3304"/>
    <w:rsid w:val="001B33EA"/>
    <w:rsid w:val="001B3424"/>
    <w:rsid w:val="001B3451"/>
    <w:rsid w:val="001B3625"/>
    <w:rsid w:val="001B3700"/>
    <w:rsid w:val="001B3725"/>
    <w:rsid w:val="001B37C4"/>
    <w:rsid w:val="001B37DD"/>
    <w:rsid w:val="001B37E7"/>
    <w:rsid w:val="001B38C9"/>
    <w:rsid w:val="001B3918"/>
    <w:rsid w:val="001B391E"/>
    <w:rsid w:val="001B3987"/>
    <w:rsid w:val="001B39C6"/>
    <w:rsid w:val="001B3A9E"/>
    <w:rsid w:val="001B3AF0"/>
    <w:rsid w:val="001B3BBB"/>
    <w:rsid w:val="001B3BCE"/>
    <w:rsid w:val="001B3C32"/>
    <w:rsid w:val="001B3C90"/>
    <w:rsid w:val="001B3D80"/>
    <w:rsid w:val="001B3DB4"/>
    <w:rsid w:val="001B3DC6"/>
    <w:rsid w:val="001B3EF1"/>
    <w:rsid w:val="001B3EF3"/>
    <w:rsid w:val="001B3FAA"/>
    <w:rsid w:val="001B40E4"/>
    <w:rsid w:val="001B41F7"/>
    <w:rsid w:val="001B4278"/>
    <w:rsid w:val="001B4290"/>
    <w:rsid w:val="001B429B"/>
    <w:rsid w:val="001B429F"/>
    <w:rsid w:val="001B42E1"/>
    <w:rsid w:val="001B4354"/>
    <w:rsid w:val="001B435F"/>
    <w:rsid w:val="001B43D8"/>
    <w:rsid w:val="001B43E4"/>
    <w:rsid w:val="001B443B"/>
    <w:rsid w:val="001B445D"/>
    <w:rsid w:val="001B446B"/>
    <w:rsid w:val="001B453F"/>
    <w:rsid w:val="001B4543"/>
    <w:rsid w:val="001B4597"/>
    <w:rsid w:val="001B474D"/>
    <w:rsid w:val="001B4758"/>
    <w:rsid w:val="001B47C1"/>
    <w:rsid w:val="001B47C8"/>
    <w:rsid w:val="001B47E5"/>
    <w:rsid w:val="001B4859"/>
    <w:rsid w:val="001B48D2"/>
    <w:rsid w:val="001B496D"/>
    <w:rsid w:val="001B4A68"/>
    <w:rsid w:val="001B4B5D"/>
    <w:rsid w:val="001B4DAC"/>
    <w:rsid w:val="001B4DEA"/>
    <w:rsid w:val="001B4DF8"/>
    <w:rsid w:val="001B4E3B"/>
    <w:rsid w:val="001B4EA4"/>
    <w:rsid w:val="001B4EBC"/>
    <w:rsid w:val="001B4EE1"/>
    <w:rsid w:val="001B4F6A"/>
    <w:rsid w:val="001B4FA5"/>
    <w:rsid w:val="001B50B2"/>
    <w:rsid w:val="001B50C6"/>
    <w:rsid w:val="001B5154"/>
    <w:rsid w:val="001B526E"/>
    <w:rsid w:val="001B531D"/>
    <w:rsid w:val="001B532E"/>
    <w:rsid w:val="001B533F"/>
    <w:rsid w:val="001B537F"/>
    <w:rsid w:val="001B53B9"/>
    <w:rsid w:val="001B5402"/>
    <w:rsid w:val="001B5414"/>
    <w:rsid w:val="001B55F7"/>
    <w:rsid w:val="001B5648"/>
    <w:rsid w:val="001B5666"/>
    <w:rsid w:val="001B56BE"/>
    <w:rsid w:val="001B5745"/>
    <w:rsid w:val="001B5746"/>
    <w:rsid w:val="001B5769"/>
    <w:rsid w:val="001B5776"/>
    <w:rsid w:val="001B579B"/>
    <w:rsid w:val="001B5869"/>
    <w:rsid w:val="001B595E"/>
    <w:rsid w:val="001B5AC8"/>
    <w:rsid w:val="001B5AEE"/>
    <w:rsid w:val="001B5B10"/>
    <w:rsid w:val="001B5B88"/>
    <w:rsid w:val="001B5D41"/>
    <w:rsid w:val="001B5D93"/>
    <w:rsid w:val="001B5E31"/>
    <w:rsid w:val="001B5E42"/>
    <w:rsid w:val="001B5E5D"/>
    <w:rsid w:val="001B5EF6"/>
    <w:rsid w:val="001B5FD1"/>
    <w:rsid w:val="001B6091"/>
    <w:rsid w:val="001B60B6"/>
    <w:rsid w:val="001B6169"/>
    <w:rsid w:val="001B62E1"/>
    <w:rsid w:val="001B62E4"/>
    <w:rsid w:val="001B62F8"/>
    <w:rsid w:val="001B62FD"/>
    <w:rsid w:val="001B62FF"/>
    <w:rsid w:val="001B6364"/>
    <w:rsid w:val="001B63C0"/>
    <w:rsid w:val="001B63C8"/>
    <w:rsid w:val="001B6431"/>
    <w:rsid w:val="001B6447"/>
    <w:rsid w:val="001B64D0"/>
    <w:rsid w:val="001B65E3"/>
    <w:rsid w:val="001B65E9"/>
    <w:rsid w:val="001B65EB"/>
    <w:rsid w:val="001B66E4"/>
    <w:rsid w:val="001B673E"/>
    <w:rsid w:val="001B677E"/>
    <w:rsid w:val="001B67B8"/>
    <w:rsid w:val="001B6850"/>
    <w:rsid w:val="001B6884"/>
    <w:rsid w:val="001B693A"/>
    <w:rsid w:val="001B6A7B"/>
    <w:rsid w:val="001B6B0B"/>
    <w:rsid w:val="001B6B81"/>
    <w:rsid w:val="001B6C3E"/>
    <w:rsid w:val="001B6D00"/>
    <w:rsid w:val="001B6D35"/>
    <w:rsid w:val="001B6D9F"/>
    <w:rsid w:val="001B6E24"/>
    <w:rsid w:val="001B6F05"/>
    <w:rsid w:val="001B6F35"/>
    <w:rsid w:val="001B6F7B"/>
    <w:rsid w:val="001B7055"/>
    <w:rsid w:val="001B7062"/>
    <w:rsid w:val="001B70AD"/>
    <w:rsid w:val="001B70E4"/>
    <w:rsid w:val="001B710E"/>
    <w:rsid w:val="001B71F9"/>
    <w:rsid w:val="001B7328"/>
    <w:rsid w:val="001B7333"/>
    <w:rsid w:val="001B7345"/>
    <w:rsid w:val="001B738F"/>
    <w:rsid w:val="001B7412"/>
    <w:rsid w:val="001B7441"/>
    <w:rsid w:val="001B761D"/>
    <w:rsid w:val="001B76E6"/>
    <w:rsid w:val="001B7710"/>
    <w:rsid w:val="001B7744"/>
    <w:rsid w:val="001B7813"/>
    <w:rsid w:val="001B7821"/>
    <w:rsid w:val="001B78C7"/>
    <w:rsid w:val="001B791A"/>
    <w:rsid w:val="001B791B"/>
    <w:rsid w:val="001B7A1E"/>
    <w:rsid w:val="001B7ACB"/>
    <w:rsid w:val="001B7B03"/>
    <w:rsid w:val="001B7B9B"/>
    <w:rsid w:val="001B7C52"/>
    <w:rsid w:val="001B7CD2"/>
    <w:rsid w:val="001B7D35"/>
    <w:rsid w:val="001B7D74"/>
    <w:rsid w:val="001B7D77"/>
    <w:rsid w:val="001B7D98"/>
    <w:rsid w:val="001B7E34"/>
    <w:rsid w:val="001B7E7A"/>
    <w:rsid w:val="001B7F65"/>
    <w:rsid w:val="001C0038"/>
    <w:rsid w:val="001C00C9"/>
    <w:rsid w:val="001C0130"/>
    <w:rsid w:val="001C0147"/>
    <w:rsid w:val="001C01A9"/>
    <w:rsid w:val="001C01AC"/>
    <w:rsid w:val="001C0209"/>
    <w:rsid w:val="001C023A"/>
    <w:rsid w:val="001C034E"/>
    <w:rsid w:val="001C0364"/>
    <w:rsid w:val="001C0370"/>
    <w:rsid w:val="001C0497"/>
    <w:rsid w:val="001C04B1"/>
    <w:rsid w:val="001C0520"/>
    <w:rsid w:val="001C06C0"/>
    <w:rsid w:val="001C0738"/>
    <w:rsid w:val="001C0779"/>
    <w:rsid w:val="001C07CB"/>
    <w:rsid w:val="001C08B2"/>
    <w:rsid w:val="001C08E6"/>
    <w:rsid w:val="001C0914"/>
    <w:rsid w:val="001C0922"/>
    <w:rsid w:val="001C094E"/>
    <w:rsid w:val="001C097D"/>
    <w:rsid w:val="001C0AF3"/>
    <w:rsid w:val="001C0B1B"/>
    <w:rsid w:val="001C0B35"/>
    <w:rsid w:val="001C0BB2"/>
    <w:rsid w:val="001C0BC0"/>
    <w:rsid w:val="001C0C55"/>
    <w:rsid w:val="001C0D0A"/>
    <w:rsid w:val="001C0D0B"/>
    <w:rsid w:val="001C0D1F"/>
    <w:rsid w:val="001C0D27"/>
    <w:rsid w:val="001C0D87"/>
    <w:rsid w:val="001C0E07"/>
    <w:rsid w:val="001C0E14"/>
    <w:rsid w:val="001C0E16"/>
    <w:rsid w:val="001C0E3D"/>
    <w:rsid w:val="001C0F62"/>
    <w:rsid w:val="001C106D"/>
    <w:rsid w:val="001C1098"/>
    <w:rsid w:val="001C1143"/>
    <w:rsid w:val="001C11A3"/>
    <w:rsid w:val="001C11AD"/>
    <w:rsid w:val="001C127E"/>
    <w:rsid w:val="001C12EA"/>
    <w:rsid w:val="001C12F5"/>
    <w:rsid w:val="001C1382"/>
    <w:rsid w:val="001C13A1"/>
    <w:rsid w:val="001C13F4"/>
    <w:rsid w:val="001C141F"/>
    <w:rsid w:val="001C1494"/>
    <w:rsid w:val="001C14AA"/>
    <w:rsid w:val="001C14CA"/>
    <w:rsid w:val="001C14CB"/>
    <w:rsid w:val="001C15B0"/>
    <w:rsid w:val="001C15C2"/>
    <w:rsid w:val="001C15F0"/>
    <w:rsid w:val="001C15F4"/>
    <w:rsid w:val="001C163A"/>
    <w:rsid w:val="001C1760"/>
    <w:rsid w:val="001C1795"/>
    <w:rsid w:val="001C17A9"/>
    <w:rsid w:val="001C180E"/>
    <w:rsid w:val="001C18C6"/>
    <w:rsid w:val="001C18F8"/>
    <w:rsid w:val="001C1973"/>
    <w:rsid w:val="001C19B7"/>
    <w:rsid w:val="001C19C8"/>
    <w:rsid w:val="001C1A5A"/>
    <w:rsid w:val="001C1AB8"/>
    <w:rsid w:val="001C1AE3"/>
    <w:rsid w:val="001C1B37"/>
    <w:rsid w:val="001C1B65"/>
    <w:rsid w:val="001C1B78"/>
    <w:rsid w:val="001C1C50"/>
    <w:rsid w:val="001C1C85"/>
    <w:rsid w:val="001C1D03"/>
    <w:rsid w:val="001C1DC6"/>
    <w:rsid w:val="001C1DDF"/>
    <w:rsid w:val="001C1DFD"/>
    <w:rsid w:val="001C1E59"/>
    <w:rsid w:val="001C1F73"/>
    <w:rsid w:val="001C1F83"/>
    <w:rsid w:val="001C1FDC"/>
    <w:rsid w:val="001C203F"/>
    <w:rsid w:val="001C2164"/>
    <w:rsid w:val="001C2195"/>
    <w:rsid w:val="001C21CE"/>
    <w:rsid w:val="001C225D"/>
    <w:rsid w:val="001C2260"/>
    <w:rsid w:val="001C2274"/>
    <w:rsid w:val="001C22C5"/>
    <w:rsid w:val="001C22C9"/>
    <w:rsid w:val="001C22D5"/>
    <w:rsid w:val="001C239D"/>
    <w:rsid w:val="001C23B3"/>
    <w:rsid w:val="001C253E"/>
    <w:rsid w:val="001C2546"/>
    <w:rsid w:val="001C2549"/>
    <w:rsid w:val="001C25D9"/>
    <w:rsid w:val="001C2608"/>
    <w:rsid w:val="001C260B"/>
    <w:rsid w:val="001C2667"/>
    <w:rsid w:val="001C276A"/>
    <w:rsid w:val="001C278B"/>
    <w:rsid w:val="001C28EC"/>
    <w:rsid w:val="001C2975"/>
    <w:rsid w:val="001C2980"/>
    <w:rsid w:val="001C2A25"/>
    <w:rsid w:val="001C2A4F"/>
    <w:rsid w:val="001C2A63"/>
    <w:rsid w:val="001C2AB2"/>
    <w:rsid w:val="001C2C6C"/>
    <w:rsid w:val="001C2C8F"/>
    <w:rsid w:val="001C2CD3"/>
    <w:rsid w:val="001C2CFB"/>
    <w:rsid w:val="001C2D0C"/>
    <w:rsid w:val="001C2E25"/>
    <w:rsid w:val="001C2F95"/>
    <w:rsid w:val="001C2F9B"/>
    <w:rsid w:val="001C300B"/>
    <w:rsid w:val="001C30AF"/>
    <w:rsid w:val="001C30B5"/>
    <w:rsid w:val="001C30D8"/>
    <w:rsid w:val="001C312E"/>
    <w:rsid w:val="001C316F"/>
    <w:rsid w:val="001C320A"/>
    <w:rsid w:val="001C3244"/>
    <w:rsid w:val="001C3269"/>
    <w:rsid w:val="001C3277"/>
    <w:rsid w:val="001C3331"/>
    <w:rsid w:val="001C33A0"/>
    <w:rsid w:val="001C3407"/>
    <w:rsid w:val="001C34E8"/>
    <w:rsid w:val="001C3540"/>
    <w:rsid w:val="001C358E"/>
    <w:rsid w:val="001C364D"/>
    <w:rsid w:val="001C364E"/>
    <w:rsid w:val="001C37AF"/>
    <w:rsid w:val="001C3869"/>
    <w:rsid w:val="001C38D6"/>
    <w:rsid w:val="001C3AFD"/>
    <w:rsid w:val="001C3D41"/>
    <w:rsid w:val="001C3E2F"/>
    <w:rsid w:val="001C3EBA"/>
    <w:rsid w:val="001C3EF1"/>
    <w:rsid w:val="001C4026"/>
    <w:rsid w:val="001C4128"/>
    <w:rsid w:val="001C4176"/>
    <w:rsid w:val="001C42E2"/>
    <w:rsid w:val="001C430A"/>
    <w:rsid w:val="001C4334"/>
    <w:rsid w:val="001C441E"/>
    <w:rsid w:val="001C444A"/>
    <w:rsid w:val="001C4475"/>
    <w:rsid w:val="001C458E"/>
    <w:rsid w:val="001C45D6"/>
    <w:rsid w:val="001C4625"/>
    <w:rsid w:val="001C4636"/>
    <w:rsid w:val="001C4637"/>
    <w:rsid w:val="001C4655"/>
    <w:rsid w:val="001C4683"/>
    <w:rsid w:val="001C46B8"/>
    <w:rsid w:val="001C46D8"/>
    <w:rsid w:val="001C4739"/>
    <w:rsid w:val="001C4758"/>
    <w:rsid w:val="001C479C"/>
    <w:rsid w:val="001C47A6"/>
    <w:rsid w:val="001C484A"/>
    <w:rsid w:val="001C492D"/>
    <w:rsid w:val="001C495B"/>
    <w:rsid w:val="001C49C2"/>
    <w:rsid w:val="001C4A2A"/>
    <w:rsid w:val="001C4B77"/>
    <w:rsid w:val="001C4BCF"/>
    <w:rsid w:val="001C4CB8"/>
    <w:rsid w:val="001C4DA1"/>
    <w:rsid w:val="001C4E4A"/>
    <w:rsid w:val="001C4F2E"/>
    <w:rsid w:val="001C4F7E"/>
    <w:rsid w:val="001C4FD2"/>
    <w:rsid w:val="001C4FF6"/>
    <w:rsid w:val="001C5035"/>
    <w:rsid w:val="001C5058"/>
    <w:rsid w:val="001C518B"/>
    <w:rsid w:val="001C5204"/>
    <w:rsid w:val="001C5291"/>
    <w:rsid w:val="001C5301"/>
    <w:rsid w:val="001C535A"/>
    <w:rsid w:val="001C53F3"/>
    <w:rsid w:val="001C5432"/>
    <w:rsid w:val="001C54AE"/>
    <w:rsid w:val="001C54DC"/>
    <w:rsid w:val="001C554C"/>
    <w:rsid w:val="001C55AF"/>
    <w:rsid w:val="001C55CB"/>
    <w:rsid w:val="001C565E"/>
    <w:rsid w:val="001C56A0"/>
    <w:rsid w:val="001C57FD"/>
    <w:rsid w:val="001C582A"/>
    <w:rsid w:val="001C5838"/>
    <w:rsid w:val="001C59A3"/>
    <w:rsid w:val="001C5B21"/>
    <w:rsid w:val="001C5B49"/>
    <w:rsid w:val="001C5BDB"/>
    <w:rsid w:val="001C5BE3"/>
    <w:rsid w:val="001C5C22"/>
    <w:rsid w:val="001C5CEB"/>
    <w:rsid w:val="001C5E80"/>
    <w:rsid w:val="001C5E83"/>
    <w:rsid w:val="001C5EBE"/>
    <w:rsid w:val="001C5ECB"/>
    <w:rsid w:val="001C5ED8"/>
    <w:rsid w:val="001C5F13"/>
    <w:rsid w:val="001C60A3"/>
    <w:rsid w:val="001C60CA"/>
    <w:rsid w:val="001C60D0"/>
    <w:rsid w:val="001C616C"/>
    <w:rsid w:val="001C61B7"/>
    <w:rsid w:val="001C61BA"/>
    <w:rsid w:val="001C61C7"/>
    <w:rsid w:val="001C6215"/>
    <w:rsid w:val="001C6396"/>
    <w:rsid w:val="001C63C9"/>
    <w:rsid w:val="001C63D5"/>
    <w:rsid w:val="001C64CA"/>
    <w:rsid w:val="001C6574"/>
    <w:rsid w:val="001C65EB"/>
    <w:rsid w:val="001C662D"/>
    <w:rsid w:val="001C66C5"/>
    <w:rsid w:val="001C66EB"/>
    <w:rsid w:val="001C685A"/>
    <w:rsid w:val="001C68A5"/>
    <w:rsid w:val="001C68AA"/>
    <w:rsid w:val="001C68BC"/>
    <w:rsid w:val="001C68C0"/>
    <w:rsid w:val="001C698B"/>
    <w:rsid w:val="001C69AC"/>
    <w:rsid w:val="001C6A3E"/>
    <w:rsid w:val="001C6AAA"/>
    <w:rsid w:val="001C6B73"/>
    <w:rsid w:val="001C6BA7"/>
    <w:rsid w:val="001C6C25"/>
    <w:rsid w:val="001C6C2E"/>
    <w:rsid w:val="001C6C40"/>
    <w:rsid w:val="001C6CB8"/>
    <w:rsid w:val="001C6CFF"/>
    <w:rsid w:val="001C6D01"/>
    <w:rsid w:val="001C6DF9"/>
    <w:rsid w:val="001C6F1E"/>
    <w:rsid w:val="001C7007"/>
    <w:rsid w:val="001C70AB"/>
    <w:rsid w:val="001C7100"/>
    <w:rsid w:val="001C7120"/>
    <w:rsid w:val="001C71AB"/>
    <w:rsid w:val="001C71E0"/>
    <w:rsid w:val="001C71E2"/>
    <w:rsid w:val="001C7235"/>
    <w:rsid w:val="001C72B5"/>
    <w:rsid w:val="001C736D"/>
    <w:rsid w:val="001C7395"/>
    <w:rsid w:val="001C73B8"/>
    <w:rsid w:val="001C7497"/>
    <w:rsid w:val="001C74A0"/>
    <w:rsid w:val="001C74BA"/>
    <w:rsid w:val="001C757E"/>
    <w:rsid w:val="001C768B"/>
    <w:rsid w:val="001C76FC"/>
    <w:rsid w:val="001C7717"/>
    <w:rsid w:val="001C77A5"/>
    <w:rsid w:val="001C793B"/>
    <w:rsid w:val="001C7943"/>
    <w:rsid w:val="001C79F4"/>
    <w:rsid w:val="001C79FF"/>
    <w:rsid w:val="001C7A53"/>
    <w:rsid w:val="001C7C4E"/>
    <w:rsid w:val="001C7C69"/>
    <w:rsid w:val="001C7CF7"/>
    <w:rsid w:val="001C7E46"/>
    <w:rsid w:val="001C7E51"/>
    <w:rsid w:val="001C7FC4"/>
    <w:rsid w:val="001D0005"/>
    <w:rsid w:val="001D0091"/>
    <w:rsid w:val="001D0106"/>
    <w:rsid w:val="001D01B6"/>
    <w:rsid w:val="001D025B"/>
    <w:rsid w:val="001D0326"/>
    <w:rsid w:val="001D0426"/>
    <w:rsid w:val="001D0481"/>
    <w:rsid w:val="001D0489"/>
    <w:rsid w:val="001D0525"/>
    <w:rsid w:val="001D055E"/>
    <w:rsid w:val="001D058A"/>
    <w:rsid w:val="001D060C"/>
    <w:rsid w:val="001D06F0"/>
    <w:rsid w:val="001D072D"/>
    <w:rsid w:val="001D0754"/>
    <w:rsid w:val="001D0770"/>
    <w:rsid w:val="001D07B4"/>
    <w:rsid w:val="001D0824"/>
    <w:rsid w:val="001D0888"/>
    <w:rsid w:val="001D088F"/>
    <w:rsid w:val="001D08BE"/>
    <w:rsid w:val="001D08C2"/>
    <w:rsid w:val="001D08FD"/>
    <w:rsid w:val="001D0911"/>
    <w:rsid w:val="001D093C"/>
    <w:rsid w:val="001D09EC"/>
    <w:rsid w:val="001D0A1E"/>
    <w:rsid w:val="001D0A1F"/>
    <w:rsid w:val="001D0B67"/>
    <w:rsid w:val="001D0B72"/>
    <w:rsid w:val="001D0C34"/>
    <w:rsid w:val="001D0CB7"/>
    <w:rsid w:val="001D0D71"/>
    <w:rsid w:val="001D0E2E"/>
    <w:rsid w:val="001D0F3B"/>
    <w:rsid w:val="001D0F65"/>
    <w:rsid w:val="001D0FFE"/>
    <w:rsid w:val="001D108C"/>
    <w:rsid w:val="001D10F0"/>
    <w:rsid w:val="001D11DD"/>
    <w:rsid w:val="001D11DF"/>
    <w:rsid w:val="001D122F"/>
    <w:rsid w:val="001D129A"/>
    <w:rsid w:val="001D1305"/>
    <w:rsid w:val="001D1334"/>
    <w:rsid w:val="001D1374"/>
    <w:rsid w:val="001D14BB"/>
    <w:rsid w:val="001D150C"/>
    <w:rsid w:val="001D153C"/>
    <w:rsid w:val="001D1585"/>
    <w:rsid w:val="001D1593"/>
    <w:rsid w:val="001D15E1"/>
    <w:rsid w:val="001D15F6"/>
    <w:rsid w:val="001D165E"/>
    <w:rsid w:val="001D168C"/>
    <w:rsid w:val="001D1785"/>
    <w:rsid w:val="001D193E"/>
    <w:rsid w:val="001D19DC"/>
    <w:rsid w:val="001D1A50"/>
    <w:rsid w:val="001D1A97"/>
    <w:rsid w:val="001D1AE9"/>
    <w:rsid w:val="001D1C2C"/>
    <w:rsid w:val="001D1C91"/>
    <w:rsid w:val="001D1CBB"/>
    <w:rsid w:val="001D1DC2"/>
    <w:rsid w:val="001D1EC7"/>
    <w:rsid w:val="001D1ED0"/>
    <w:rsid w:val="001D1F89"/>
    <w:rsid w:val="001D1F8F"/>
    <w:rsid w:val="001D1FF1"/>
    <w:rsid w:val="001D210E"/>
    <w:rsid w:val="001D2158"/>
    <w:rsid w:val="001D2205"/>
    <w:rsid w:val="001D2217"/>
    <w:rsid w:val="001D225D"/>
    <w:rsid w:val="001D22A9"/>
    <w:rsid w:val="001D23A1"/>
    <w:rsid w:val="001D23B2"/>
    <w:rsid w:val="001D23EC"/>
    <w:rsid w:val="001D23F6"/>
    <w:rsid w:val="001D247E"/>
    <w:rsid w:val="001D2513"/>
    <w:rsid w:val="001D254E"/>
    <w:rsid w:val="001D2795"/>
    <w:rsid w:val="001D2985"/>
    <w:rsid w:val="001D2A1E"/>
    <w:rsid w:val="001D2A43"/>
    <w:rsid w:val="001D2AA2"/>
    <w:rsid w:val="001D2AB2"/>
    <w:rsid w:val="001D2B68"/>
    <w:rsid w:val="001D2B9E"/>
    <w:rsid w:val="001D2BF3"/>
    <w:rsid w:val="001D2C3A"/>
    <w:rsid w:val="001D2C64"/>
    <w:rsid w:val="001D2DD8"/>
    <w:rsid w:val="001D2DED"/>
    <w:rsid w:val="001D2E03"/>
    <w:rsid w:val="001D2EBB"/>
    <w:rsid w:val="001D2ECC"/>
    <w:rsid w:val="001D2F59"/>
    <w:rsid w:val="001D2FF8"/>
    <w:rsid w:val="001D3132"/>
    <w:rsid w:val="001D31F2"/>
    <w:rsid w:val="001D3255"/>
    <w:rsid w:val="001D3315"/>
    <w:rsid w:val="001D3417"/>
    <w:rsid w:val="001D34DB"/>
    <w:rsid w:val="001D3502"/>
    <w:rsid w:val="001D358A"/>
    <w:rsid w:val="001D368A"/>
    <w:rsid w:val="001D368D"/>
    <w:rsid w:val="001D36C2"/>
    <w:rsid w:val="001D39C2"/>
    <w:rsid w:val="001D3A19"/>
    <w:rsid w:val="001D3C1F"/>
    <w:rsid w:val="001D3C6C"/>
    <w:rsid w:val="001D3C74"/>
    <w:rsid w:val="001D3E19"/>
    <w:rsid w:val="001D3E6C"/>
    <w:rsid w:val="001D3EDC"/>
    <w:rsid w:val="001D3F3A"/>
    <w:rsid w:val="001D3FB9"/>
    <w:rsid w:val="001D4042"/>
    <w:rsid w:val="001D4143"/>
    <w:rsid w:val="001D4228"/>
    <w:rsid w:val="001D42B5"/>
    <w:rsid w:val="001D44AD"/>
    <w:rsid w:val="001D44DC"/>
    <w:rsid w:val="001D4571"/>
    <w:rsid w:val="001D45BD"/>
    <w:rsid w:val="001D45FA"/>
    <w:rsid w:val="001D45FB"/>
    <w:rsid w:val="001D4632"/>
    <w:rsid w:val="001D468F"/>
    <w:rsid w:val="001D46FD"/>
    <w:rsid w:val="001D474D"/>
    <w:rsid w:val="001D4765"/>
    <w:rsid w:val="001D47B5"/>
    <w:rsid w:val="001D48F4"/>
    <w:rsid w:val="001D491C"/>
    <w:rsid w:val="001D4A62"/>
    <w:rsid w:val="001D4B95"/>
    <w:rsid w:val="001D4BA6"/>
    <w:rsid w:val="001D4BAA"/>
    <w:rsid w:val="001D4C34"/>
    <w:rsid w:val="001D4CA7"/>
    <w:rsid w:val="001D4D46"/>
    <w:rsid w:val="001D4DE2"/>
    <w:rsid w:val="001D4DE3"/>
    <w:rsid w:val="001D4DF4"/>
    <w:rsid w:val="001D4E5B"/>
    <w:rsid w:val="001D4F93"/>
    <w:rsid w:val="001D504B"/>
    <w:rsid w:val="001D50D1"/>
    <w:rsid w:val="001D5172"/>
    <w:rsid w:val="001D517E"/>
    <w:rsid w:val="001D52D8"/>
    <w:rsid w:val="001D52EB"/>
    <w:rsid w:val="001D52F1"/>
    <w:rsid w:val="001D535C"/>
    <w:rsid w:val="001D5375"/>
    <w:rsid w:val="001D53D4"/>
    <w:rsid w:val="001D541B"/>
    <w:rsid w:val="001D546A"/>
    <w:rsid w:val="001D54B7"/>
    <w:rsid w:val="001D54F1"/>
    <w:rsid w:val="001D5609"/>
    <w:rsid w:val="001D5634"/>
    <w:rsid w:val="001D5642"/>
    <w:rsid w:val="001D5664"/>
    <w:rsid w:val="001D56D0"/>
    <w:rsid w:val="001D5725"/>
    <w:rsid w:val="001D580E"/>
    <w:rsid w:val="001D5854"/>
    <w:rsid w:val="001D5896"/>
    <w:rsid w:val="001D58C2"/>
    <w:rsid w:val="001D58CE"/>
    <w:rsid w:val="001D5A54"/>
    <w:rsid w:val="001D5ACE"/>
    <w:rsid w:val="001D5B03"/>
    <w:rsid w:val="001D5B43"/>
    <w:rsid w:val="001D5BF0"/>
    <w:rsid w:val="001D5C4C"/>
    <w:rsid w:val="001D5C9A"/>
    <w:rsid w:val="001D5CAB"/>
    <w:rsid w:val="001D5D0F"/>
    <w:rsid w:val="001D5D7F"/>
    <w:rsid w:val="001D5DDF"/>
    <w:rsid w:val="001D5E18"/>
    <w:rsid w:val="001D5ED3"/>
    <w:rsid w:val="001D5F5E"/>
    <w:rsid w:val="001D5FA3"/>
    <w:rsid w:val="001D5FDC"/>
    <w:rsid w:val="001D602A"/>
    <w:rsid w:val="001D6094"/>
    <w:rsid w:val="001D60BC"/>
    <w:rsid w:val="001D615D"/>
    <w:rsid w:val="001D616F"/>
    <w:rsid w:val="001D61A5"/>
    <w:rsid w:val="001D61AC"/>
    <w:rsid w:val="001D61C1"/>
    <w:rsid w:val="001D628F"/>
    <w:rsid w:val="001D62A8"/>
    <w:rsid w:val="001D62B2"/>
    <w:rsid w:val="001D635D"/>
    <w:rsid w:val="001D635E"/>
    <w:rsid w:val="001D639B"/>
    <w:rsid w:val="001D63A2"/>
    <w:rsid w:val="001D63C7"/>
    <w:rsid w:val="001D63FB"/>
    <w:rsid w:val="001D64FE"/>
    <w:rsid w:val="001D6521"/>
    <w:rsid w:val="001D6531"/>
    <w:rsid w:val="001D6672"/>
    <w:rsid w:val="001D66F2"/>
    <w:rsid w:val="001D6704"/>
    <w:rsid w:val="001D6795"/>
    <w:rsid w:val="001D6924"/>
    <w:rsid w:val="001D6933"/>
    <w:rsid w:val="001D696B"/>
    <w:rsid w:val="001D6A7F"/>
    <w:rsid w:val="001D6B0E"/>
    <w:rsid w:val="001D6BA9"/>
    <w:rsid w:val="001D6C27"/>
    <w:rsid w:val="001D6D13"/>
    <w:rsid w:val="001D6DEF"/>
    <w:rsid w:val="001D6E66"/>
    <w:rsid w:val="001D6EDA"/>
    <w:rsid w:val="001D7011"/>
    <w:rsid w:val="001D7029"/>
    <w:rsid w:val="001D702B"/>
    <w:rsid w:val="001D7072"/>
    <w:rsid w:val="001D7176"/>
    <w:rsid w:val="001D718E"/>
    <w:rsid w:val="001D7190"/>
    <w:rsid w:val="001D722D"/>
    <w:rsid w:val="001D7289"/>
    <w:rsid w:val="001D72D0"/>
    <w:rsid w:val="001D731D"/>
    <w:rsid w:val="001D734A"/>
    <w:rsid w:val="001D7383"/>
    <w:rsid w:val="001D73C0"/>
    <w:rsid w:val="001D73E5"/>
    <w:rsid w:val="001D740D"/>
    <w:rsid w:val="001D7432"/>
    <w:rsid w:val="001D74EC"/>
    <w:rsid w:val="001D7507"/>
    <w:rsid w:val="001D750B"/>
    <w:rsid w:val="001D751D"/>
    <w:rsid w:val="001D7560"/>
    <w:rsid w:val="001D75D6"/>
    <w:rsid w:val="001D75E4"/>
    <w:rsid w:val="001D763B"/>
    <w:rsid w:val="001D7652"/>
    <w:rsid w:val="001D76EA"/>
    <w:rsid w:val="001D773F"/>
    <w:rsid w:val="001D7783"/>
    <w:rsid w:val="001D77CC"/>
    <w:rsid w:val="001D7819"/>
    <w:rsid w:val="001D7845"/>
    <w:rsid w:val="001D789E"/>
    <w:rsid w:val="001D797E"/>
    <w:rsid w:val="001D7A74"/>
    <w:rsid w:val="001D7AF8"/>
    <w:rsid w:val="001D7BAE"/>
    <w:rsid w:val="001D7BE0"/>
    <w:rsid w:val="001D7C71"/>
    <w:rsid w:val="001D7CEA"/>
    <w:rsid w:val="001D7DEF"/>
    <w:rsid w:val="001D7E67"/>
    <w:rsid w:val="001D7E87"/>
    <w:rsid w:val="001D7F67"/>
    <w:rsid w:val="001D7F78"/>
    <w:rsid w:val="001D7FB4"/>
    <w:rsid w:val="001D7FB7"/>
    <w:rsid w:val="001D7FBA"/>
    <w:rsid w:val="001E0029"/>
    <w:rsid w:val="001E008C"/>
    <w:rsid w:val="001E008E"/>
    <w:rsid w:val="001E00AF"/>
    <w:rsid w:val="001E00BD"/>
    <w:rsid w:val="001E00EE"/>
    <w:rsid w:val="001E0146"/>
    <w:rsid w:val="001E016A"/>
    <w:rsid w:val="001E03CF"/>
    <w:rsid w:val="001E03F6"/>
    <w:rsid w:val="001E0420"/>
    <w:rsid w:val="001E043F"/>
    <w:rsid w:val="001E0501"/>
    <w:rsid w:val="001E0522"/>
    <w:rsid w:val="001E060E"/>
    <w:rsid w:val="001E0636"/>
    <w:rsid w:val="001E064D"/>
    <w:rsid w:val="001E06AD"/>
    <w:rsid w:val="001E0705"/>
    <w:rsid w:val="001E078B"/>
    <w:rsid w:val="001E07D9"/>
    <w:rsid w:val="001E080B"/>
    <w:rsid w:val="001E0898"/>
    <w:rsid w:val="001E09B9"/>
    <w:rsid w:val="001E09E3"/>
    <w:rsid w:val="001E0AE6"/>
    <w:rsid w:val="001E0B98"/>
    <w:rsid w:val="001E0BA4"/>
    <w:rsid w:val="001E0BB0"/>
    <w:rsid w:val="001E0BB8"/>
    <w:rsid w:val="001E0CB1"/>
    <w:rsid w:val="001E0CC6"/>
    <w:rsid w:val="001E0CD4"/>
    <w:rsid w:val="001E0D12"/>
    <w:rsid w:val="001E0DC6"/>
    <w:rsid w:val="001E0E03"/>
    <w:rsid w:val="001E0E12"/>
    <w:rsid w:val="001E0EB1"/>
    <w:rsid w:val="001E0F27"/>
    <w:rsid w:val="001E0F8D"/>
    <w:rsid w:val="001E0FA8"/>
    <w:rsid w:val="001E0FCC"/>
    <w:rsid w:val="001E1004"/>
    <w:rsid w:val="001E1032"/>
    <w:rsid w:val="001E11C0"/>
    <w:rsid w:val="001E12D0"/>
    <w:rsid w:val="001E1390"/>
    <w:rsid w:val="001E13C8"/>
    <w:rsid w:val="001E1414"/>
    <w:rsid w:val="001E173E"/>
    <w:rsid w:val="001E17D2"/>
    <w:rsid w:val="001E1A62"/>
    <w:rsid w:val="001E1B3C"/>
    <w:rsid w:val="001E1B97"/>
    <w:rsid w:val="001E1B99"/>
    <w:rsid w:val="001E1C07"/>
    <w:rsid w:val="001E1C2B"/>
    <w:rsid w:val="001E1CCB"/>
    <w:rsid w:val="001E1DB0"/>
    <w:rsid w:val="001E1DC9"/>
    <w:rsid w:val="001E207F"/>
    <w:rsid w:val="001E2083"/>
    <w:rsid w:val="001E2153"/>
    <w:rsid w:val="001E2186"/>
    <w:rsid w:val="001E21B6"/>
    <w:rsid w:val="001E224B"/>
    <w:rsid w:val="001E23C0"/>
    <w:rsid w:val="001E23C4"/>
    <w:rsid w:val="001E23D3"/>
    <w:rsid w:val="001E23F8"/>
    <w:rsid w:val="001E24C6"/>
    <w:rsid w:val="001E24F9"/>
    <w:rsid w:val="001E254C"/>
    <w:rsid w:val="001E2553"/>
    <w:rsid w:val="001E25A7"/>
    <w:rsid w:val="001E25B6"/>
    <w:rsid w:val="001E26A8"/>
    <w:rsid w:val="001E26B0"/>
    <w:rsid w:val="001E273B"/>
    <w:rsid w:val="001E27FD"/>
    <w:rsid w:val="001E281B"/>
    <w:rsid w:val="001E2897"/>
    <w:rsid w:val="001E2925"/>
    <w:rsid w:val="001E2928"/>
    <w:rsid w:val="001E292A"/>
    <w:rsid w:val="001E2940"/>
    <w:rsid w:val="001E2980"/>
    <w:rsid w:val="001E298B"/>
    <w:rsid w:val="001E2B56"/>
    <w:rsid w:val="001E2C53"/>
    <w:rsid w:val="001E2CB0"/>
    <w:rsid w:val="001E2CF4"/>
    <w:rsid w:val="001E2D34"/>
    <w:rsid w:val="001E2E0F"/>
    <w:rsid w:val="001E2EA0"/>
    <w:rsid w:val="001E2EC8"/>
    <w:rsid w:val="001E2ED3"/>
    <w:rsid w:val="001E2EE9"/>
    <w:rsid w:val="001E2F27"/>
    <w:rsid w:val="001E2FBE"/>
    <w:rsid w:val="001E2FFB"/>
    <w:rsid w:val="001E3063"/>
    <w:rsid w:val="001E311C"/>
    <w:rsid w:val="001E3207"/>
    <w:rsid w:val="001E3253"/>
    <w:rsid w:val="001E3280"/>
    <w:rsid w:val="001E3474"/>
    <w:rsid w:val="001E351B"/>
    <w:rsid w:val="001E353B"/>
    <w:rsid w:val="001E35D4"/>
    <w:rsid w:val="001E36AC"/>
    <w:rsid w:val="001E37F2"/>
    <w:rsid w:val="001E3855"/>
    <w:rsid w:val="001E3867"/>
    <w:rsid w:val="001E394F"/>
    <w:rsid w:val="001E3971"/>
    <w:rsid w:val="001E39B7"/>
    <w:rsid w:val="001E39CF"/>
    <w:rsid w:val="001E3B1B"/>
    <w:rsid w:val="001E3C24"/>
    <w:rsid w:val="001E3EF0"/>
    <w:rsid w:val="001E3F31"/>
    <w:rsid w:val="001E3FCF"/>
    <w:rsid w:val="001E3FE5"/>
    <w:rsid w:val="001E3FF2"/>
    <w:rsid w:val="001E40DB"/>
    <w:rsid w:val="001E41AF"/>
    <w:rsid w:val="001E41B0"/>
    <w:rsid w:val="001E41BA"/>
    <w:rsid w:val="001E434C"/>
    <w:rsid w:val="001E4350"/>
    <w:rsid w:val="001E437A"/>
    <w:rsid w:val="001E43A7"/>
    <w:rsid w:val="001E43FB"/>
    <w:rsid w:val="001E450C"/>
    <w:rsid w:val="001E4542"/>
    <w:rsid w:val="001E4544"/>
    <w:rsid w:val="001E4545"/>
    <w:rsid w:val="001E456B"/>
    <w:rsid w:val="001E458B"/>
    <w:rsid w:val="001E45D2"/>
    <w:rsid w:val="001E45D9"/>
    <w:rsid w:val="001E4651"/>
    <w:rsid w:val="001E4674"/>
    <w:rsid w:val="001E4846"/>
    <w:rsid w:val="001E4868"/>
    <w:rsid w:val="001E496C"/>
    <w:rsid w:val="001E4979"/>
    <w:rsid w:val="001E49A0"/>
    <w:rsid w:val="001E49D4"/>
    <w:rsid w:val="001E4A8A"/>
    <w:rsid w:val="001E4AF5"/>
    <w:rsid w:val="001E4B2E"/>
    <w:rsid w:val="001E4B39"/>
    <w:rsid w:val="001E4B4E"/>
    <w:rsid w:val="001E4BC5"/>
    <w:rsid w:val="001E4BEA"/>
    <w:rsid w:val="001E4BEC"/>
    <w:rsid w:val="001E4BF1"/>
    <w:rsid w:val="001E4D44"/>
    <w:rsid w:val="001E4D5A"/>
    <w:rsid w:val="001E4DC2"/>
    <w:rsid w:val="001E4DE1"/>
    <w:rsid w:val="001E4EA1"/>
    <w:rsid w:val="001E4EDC"/>
    <w:rsid w:val="001E4FA6"/>
    <w:rsid w:val="001E5111"/>
    <w:rsid w:val="001E51C7"/>
    <w:rsid w:val="001E51CC"/>
    <w:rsid w:val="001E51FC"/>
    <w:rsid w:val="001E5267"/>
    <w:rsid w:val="001E52A9"/>
    <w:rsid w:val="001E52B3"/>
    <w:rsid w:val="001E530D"/>
    <w:rsid w:val="001E5326"/>
    <w:rsid w:val="001E53D6"/>
    <w:rsid w:val="001E5448"/>
    <w:rsid w:val="001E544E"/>
    <w:rsid w:val="001E5470"/>
    <w:rsid w:val="001E54AC"/>
    <w:rsid w:val="001E5538"/>
    <w:rsid w:val="001E554D"/>
    <w:rsid w:val="001E5589"/>
    <w:rsid w:val="001E5596"/>
    <w:rsid w:val="001E5599"/>
    <w:rsid w:val="001E55AD"/>
    <w:rsid w:val="001E5630"/>
    <w:rsid w:val="001E5639"/>
    <w:rsid w:val="001E567C"/>
    <w:rsid w:val="001E5793"/>
    <w:rsid w:val="001E58F7"/>
    <w:rsid w:val="001E5946"/>
    <w:rsid w:val="001E5AF0"/>
    <w:rsid w:val="001E5B47"/>
    <w:rsid w:val="001E5B76"/>
    <w:rsid w:val="001E5BFD"/>
    <w:rsid w:val="001E5C56"/>
    <w:rsid w:val="001E5C66"/>
    <w:rsid w:val="001E5CF8"/>
    <w:rsid w:val="001E5DAE"/>
    <w:rsid w:val="001E5EBF"/>
    <w:rsid w:val="001E5EE0"/>
    <w:rsid w:val="001E5F43"/>
    <w:rsid w:val="001E60B1"/>
    <w:rsid w:val="001E60E3"/>
    <w:rsid w:val="001E6194"/>
    <w:rsid w:val="001E6199"/>
    <w:rsid w:val="001E61F6"/>
    <w:rsid w:val="001E6208"/>
    <w:rsid w:val="001E620D"/>
    <w:rsid w:val="001E6356"/>
    <w:rsid w:val="001E637F"/>
    <w:rsid w:val="001E648A"/>
    <w:rsid w:val="001E6501"/>
    <w:rsid w:val="001E6553"/>
    <w:rsid w:val="001E65F0"/>
    <w:rsid w:val="001E6828"/>
    <w:rsid w:val="001E68E5"/>
    <w:rsid w:val="001E68EC"/>
    <w:rsid w:val="001E68FC"/>
    <w:rsid w:val="001E6915"/>
    <w:rsid w:val="001E6944"/>
    <w:rsid w:val="001E695F"/>
    <w:rsid w:val="001E6A4F"/>
    <w:rsid w:val="001E6A5E"/>
    <w:rsid w:val="001E6ADF"/>
    <w:rsid w:val="001E6AFE"/>
    <w:rsid w:val="001E6BC1"/>
    <w:rsid w:val="001E6E30"/>
    <w:rsid w:val="001E6E55"/>
    <w:rsid w:val="001E6F7F"/>
    <w:rsid w:val="001E70B6"/>
    <w:rsid w:val="001E70F5"/>
    <w:rsid w:val="001E7204"/>
    <w:rsid w:val="001E7207"/>
    <w:rsid w:val="001E7228"/>
    <w:rsid w:val="001E73D4"/>
    <w:rsid w:val="001E74E1"/>
    <w:rsid w:val="001E75AB"/>
    <w:rsid w:val="001E7639"/>
    <w:rsid w:val="001E7702"/>
    <w:rsid w:val="001E7763"/>
    <w:rsid w:val="001E777F"/>
    <w:rsid w:val="001E7784"/>
    <w:rsid w:val="001E7907"/>
    <w:rsid w:val="001E79C9"/>
    <w:rsid w:val="001E79FE"/>
    <w:rsid w:val="001E7ABD"/>
    <w:rsid w:val="001E7ADA"/>
    <w:rsid w:val="001E7BE4"/>
    <w:rsid w:val="001E7D46"/>
    <w:rsid w:val="001E7D55"/>
    <w:rsid w:val="001E7DEE"/>
    <w:rsid w:val="001E7E2E"/>
    <w:rsid w:val="001E7E3D"/>
    <w:rsid w:val="001E7E66"/>
    <w:rsid w:val="001E7EC2"/>
    <w:rsid w:val="001F00FF"/>
    <w:rsid w:val="001F02CF"/>
    <w:rsid w:val="001F030B"/>
    <w:rsid w:val="001F0324"/>
    <w:rsid w:val="001F0363"/>
    <w:rsid w:val="001F0365"/>
    <w:rsid w:val="001F03BF"/>
    <w:rsid w:val="001F0432"/>
    <w:rsid w:val="001F0454"/>
    <w:rsid w:val="001F0473"/>
    <w:rsid w:val="001F04CF"/>
    <w:rsid w:val="001F053F"/>
    <w:rsid w:val="001F058F"/>
    <w:rsid w:val="001F05AC"/>
    <w:rsid w:val="001F05D0"/>
    <w:rsid w:val="001F05D1"/>
    <w:rsid w:val="001F0630"/>
    <w:rsid w:val="001F0636"/>
    <w:rsid w:val="001F0666"/>
    <w:rsid w:val="001F0672"/>
    <w:rsid w:val="001F067F"/>
    <w:rsid w:val="001F06A3"/>
    <w:rsid w:val="001F06D7"/>
    <w:rsid w:val="001F0713"/>
    <w:rsid w:val="001F082F"/>
    <w:rsid w:val="001F0855"/>
    <w:rsid w:val="001F0897"/>
    <w:rsid w:val="001F08A3"/>
    <w:rsid w:val="001F090A"/>
    <w:rsid w:val="001F0955"/>
    <w:rsid w:val="001F09FB"/>
    <w:rsid w:val="001F0A91"/>
    <w:rsid w:val="001F0AF1"/>
    <w:rsid w:val="001F0B2E"/>
    <w:rsid w:val="001F0B92"/>
    <w:rsid w:val="001F0BB4"/>
    <w:rsid w:val="001F0BCE"/>
    <w:rsid w:val="001F0C97"/>
    <w:rsid w:val="001F0DD6"/>
    <w:rsid w:val="001F0DE9"/>
    <w:rsid w:val="001F0E3A"/>
    <w:rsid w:val="001F0E6D"/>
    <w:rsid w:val="001F0E93"/>
    <w:rsid w:val="001F0EB7"/>
    <w:rsid w:val="001F0F31"/>
    <w:rsid w:val="001F0F5A"/>
    <w:rsid w:val="001F0F78"/>
    <w:rsid w:val="001F0F96"/>
    <w:rsid w:val="001F0F9B"/>
    <w:rsid w:val="001F103F"/>
    <w:rsid w:val="001F1049"/>
    <w:rsid w:val="001F105D"/>
    <w:rsid w:val="001F1074"/>
    <w:rsid w:val="001F1081"/>
    <w:rsid w:val="001F10F2"/>
    <w:rsid w:val="001F111A"/>
    <w:rsid w:val="001F1177"/>
    <w:rsid w:val="001F11F0"/>
    <w:rsid w:val="001F1265"/>
    <w:rsid w:val="001F132A"/>
    <w:rsid w:val="001F13F3"/>
    <w:rsid w:val="001F1413"/>
    <w:rsid w:val="001F1480"/>
    <w:rsid w:val="001F1541"/>
    <w:rsid w:val="001F158E"/>
    <w:rsid w:val="001F15B2"/>
    <w:rsid w:val="001F15B9"/>
    <w:rsid w:val="001F1605"/>
    <w:rsid w:val="001F16CF"/>
    <w:rsid w:val="001F1703"/>
    <w:rsid w:val="001F171B"/>
    <w:rsid w:val="001F17CC"/>
    <w:rsid w:val="001F1888"/>
    <w:rsid w:val="001F18A1"/>
    <w:rsid w:val="001F18C7"/>
    <w:rsid w:val="001F1972"/>
    <w:rsid w:val="001F19C4"/>
    <w:rsid w:val="001F1AA1"/>
    <w:rsid w:val="001F1ADD"/>
    <w:rsid w:val="001F1B29"/>
    <w:rsid w:val="001F1CF4"/>
    <w:rsid w:val="001F1D78"/>
    <w:rsid w:val="001F1DCA"/>
    <w:rsid w:val="001F1EB7"/>
    <w:rsid w:val="001F1ECD"/>
    <w:rsid w:val="001F1F0A"/>
    <w:rsid w:val="001F1F4B"/>
    <w:rsid w:val="001F1FD7"/>
    <w:rsid w:val="001F20A3"/>
    <w:rsid w:val="001F2186"/>
    <w:rsid w:val="001F21BC"/>
    <w:rsid w:val="001F2213"/>
    <w:rsid w:val="001F222B"/>
    <w:rsid w:val="001F22D8"/>
    <w:rsid w:val="001F2327"/>
    <w:rsid w:val="001F2437"/>
    <w:rsid w:val="001F2446"/>
    <w:rsid w:val="001F248B"/>
    <w:rsid w:val="001F25CC"/>
    <w:rsid w:val="001F2672"/>
    <w:rsid w:val="001F2927"/>
    <w:rsid w:val="001F2965"/>
    <w:rsid w:val="001F29D6"/>
    <w:rsid w:val="001F29FF"/>
    <w:rsid w:val="001F2A5A"/>
    <w:rsid w:val="001F2B0E"/>
    <w:rsid w:val="001F2B80"/>
    <w:rsid w:val="001F2B88"/>
    <w:rsid w:val="001F2BBD"/>
    <w:rsid w:val="001F2BF9"/>
    <w:rsid w:val="001F2C4A"/>
    <w:rsid w:val="001F2C64"/>
    <w:rsid w:val="001F2CDF"/>
    <w:rsid w:val="001F2D2A"/>
    <w:rsid w:val="001F2D64"/>
    <w:rsid w:val="001F2EA2"/>
    <w:rsid w:val="001F2EA5"/>
    <w:rsid w:val="001F2FD1"/>
    <w:rsid w:val="001F3024"/>
    <w:rsid w:val="001F30AD"/>
    <w:rsid w:val="001F30C0"/>
    <w:rsid w:val="001F3174"/>
    <w:rsid w:val="001F3320"/>
    <w:rsid w:val="001F3381"/>
    <w:rsid w:val="001F3391"/>
    <w:rsid w:val="001F3420"/>
    <w:rsid w:val="001F3460"/>
    <w:rsid w:val="001F3486"/>
    <w:rsid w:val="001F34B4"/>
    <w:rsid w:val="001F3523"/>
    <w:rsid w:val="001F3548"/>
    <w:rsid w:val="001F356B"/>
    <w:rsid w:val="001F35E7"/>
    <w:rsid w:val="001F3640"/>
    <w:rsid w:val="001F3642"/>
    <w:rsid w:val="001F3660"/>
    <w:rsid w:val="001F36A3"/>
    <w:rsid w:val="001F37D0"/>
    <w:rsid w:val="001F38A1"/>
    <w:rsid w:val="001F394C"/>
    <w:rsid w:val="001F39A7"/>
    <w:rsid w:val="001F39BC"/>
    <w:rsid w:val="001F3A04"/>
    <w:rsid w:val="001F3A60"/>
    <w:rsid w:val="001F3B3D"/>
    <w:rsid w:val="001F3BD3"/>
    <w:rsid w:val="001F3BE0"/>
    <w:rsid w:val="001F3BF6"/>
    <w:rsid w:val="001F3C42"/>
    <w:rsid w:val="001F3C9B"/>
    <w:rsid w:val="001F3CE9"/>
    <w:rsid w:val="001F3E00"/>
    <w:rsid w:val="001F3EC8"/>
    <w:rsid w:val="001F3F89"/>
    <w:rsid w:val="001F3FA2"/>
    <w:rsid w:val="001F3FB2"/>
    <w:rsid w:val="001F4031"/>
    <w:rsid w:val="001F4033"/>
    <w:rsid w:val="001F403B"/>
    <w:rsid w:val="001F4044"/>
    <w:rsid w:val="001F4077"/>
    <w:rsid w:val="001F417A"/>
    <w:rsid w:val="001F4267"/>
    <w:rsid w:val="001F4306"/>
    <w:rsid w:val="001F434F"/>
    <w:rsid w:val="001F4353"/>
    <w:rsid w:val="001F4493"/>
    <w:rsid w:val="001F4517"/>
    <w:rsid w:val="001F4543"/>
    <w:rsid w:val="001F4622"/>
    <w:rsid w:val="001F4703"/>
    <w:rsid w:val="001F477D"/>
    <w:rsid w:val="001F4798"/>
    <w:rsid w:val="001F480E"/>
    <w:rsid w:val="001F497F"/>
    <w:rsid w:val="001F4A43"/>
    <w:rsid w:val="001F4BD7"/>
    <w:rsid w:val="001F4C25"/>
    <w:rsid w:val="001F4C28"/>
    <w:rsid w:val="001F4C2D"/>
    <w:rsid w:val="001F4DAE"/>
    <w:rsid w:val="001F4DCF"/>
    <w:rsid w:val="001F4F08"/>
    <w:rsid w:val="001F5055"/>
    <w:rsid w:val="001F50F5"/>
    <w:rsid w:val="001F5149"/>
    <w:rsid w:val="001F5247"/>
    <w:rsid w:val="001F5253"/>
    <w:rsid w:val="001F52AD"/>
    <w:rsid w:val="001F52E0"/>
    <w:rsid w:val="001F5322"/>
    <w:rsid w:val="001F53EC"/>
    <w:rsid w:val="001F54E1"/>
    <w:rsid w:val="001F5592"/>
    <w:rsid w:val="001F55A8"/>
    <w:rsid w:val="001F56A3"/>
    <w:rsid w:val="001F56B0"/>
    <w:rsid w:val="001F5741"/>
    <w:rsid w:val="001F57A4"/>
    <w:rsid w:val="001F57B2"/>
    <w:rsid w:val="001F57C6"/>
    <w:rsid w:val="001F5808"/>
    <w:rsid w:val="001F5936"/>
    <w:rsid w:val="001F5A12"/>
    <w:rsid w:val="001F5A5C"/>
    <w:rsid w:val="001F5AA1"/>
    <w:rsid w:val="001F5C0E"/>
    <w:rsid w:val="001F5C70"/>
    <w:rsid w:val="001F5CD8"/>
    <w:rsid w:val="001F5D01"/>
    <w:rsid w:val="001F5D9A"/>
    <w:rsid w:val="001F5DE5"/>
    <w:rsid w:val="001F5E66"/>
    <w:rsid w:val="001F5E83"/>
    <w:rsid w:val="001F5E91"/>
    <w:rsid w:val="001F5EB7"/>
    <w:rsid w:val="001F5F16"/>
    <w:rsid w:val="001F5FD9"/>
    <w:rsid w:val="001F633F"/>
    <w:rsid w:val="001F640F"/>
    <w:rsid w:val="001F6487"/>
    <w:rsid w:val="001F64C4"/>
    <w:rsid w:val="001F6628"/>
    <w:rsid w:val="001F672C"/>
    <w:rsid w:val="001F673F"/>
    <w:rsid w:val="001F6786"/>
    <w:rsid w:val="001F67BD"/>
    <w:rsid w:val="001F67E0"/>
    <w:rsid w:val="001F6807"/>
    <w:rsid w:val="001F686E"/>
    <w:rsid w:val="001F68D5"/>
    <w:rsid w:val="001F691C"/>
    <w:rsid w:val="001F692B"/>
    <w:rsid w:val="001F6993"/>
    <w:rsid w:val="001F69C4"/>
    <w:rsid w:val="001F6A36"/>
    <w:rsid w:val="001F6A44"/>
    <w:rsid w:val="001F6B0B"/>
    <w:rsid w:val="001F6B8A"/>
    <w:rsid w:val="001F6C78"/>
    <w:rsid w:val="001F6E10"/>
    <w:rsid w:val="001F6E5C"/>
    <w:rsid w:val="001F6E9C"/>
    <w:rsid w:val="001F6F83"/>
    <w:rsid w:val="001F70DE"/>
    <w:rsid w:val="001F711D"/>
    <w:rsid w:val="001F720C"/>
    <w:rsid w:val="001F720F"/>
    <w:rsid w:val="001F7392"/>
    <w:rsid w:val="001F73BE"/>
    <w:rsid w:val="001F73D1"/>
    <w:rsid w:val="001F746E"/>
    <w:rsid w:val="001F746F"/>
    <w:rsid w:val="001F74C8"/>
    <w:rsid w:val="001F7525"/>
    <w:rsid w:val="001F75D0"/>
    <w:rsid w:val="001F75FE"/>
    <w:rsid w:val="001F767C"/>
    <w:rsid w:val="001F786A"/>
    <w:rsid w:val="001F78FD"/>
    <w:rsid w:val="001F7962"/>
    <w:rsid w:val="001F797B"/>
    <w:rsid w:val="001F797E"/>
    <w:rsid w:val="001F79AD"/>
    <w:rsid w:val="001F7A65"/>
    <w:rsid w:val="001F7BDC"/>
    <w:rsid w:val="001F7CD7"/>
    <w:rsid w:val="001F7DEC"/>
    <w:rsid w:val="001F7E0D"/>
    <w:rsid w:val="001F7E16"/>
    <w:rsid w:val="001F7E65"/>
    <w:rsid w:val="001F7FA4"/>
    <w:rsid w:val="001F7FC1"/>
    <w:rsid w:val="001F7FD5"/>
    <w:rsid w:val="001F7FDA"/>
    <w:rsid w:val="001F7FF0"/>
    <w:rsid w:val="001F8584"/>
    <w:rsid w:val="0020004C"/>
    <w:rsid w:val="00200074"/>
    <w:rsid w:val="0020008F"/>
    <w:rsid w:val="00200136"/>
    <w:rsid w:val="00200287"/>
    <w:rsid w:val="0020031F"/>
    <w:rsid w:val="00200322"/>
    <w:rsid w:val="00200392"/>
    <w:rsid w:val="0020049E"/>
    <w:rsid w:val="00200569"/>
    <w:rsid w:val="0020057E"/>
    <w:rsid w:val="00200625"/>
    <w:rsid w:val="0020064D"/>
    <w:rsid w:val="0020067B"/>
    <w:rsid w:val="00200686"/>
    <w:rsid w:val="002006B2"/>
    <w:rsid w:val="002006D2"/>
    <w:rsid w:val="00200748"/>
    <w:rsid w:val="00200767"/>
    <w:rsid w:val="00200786"/>
    <w:rsid w:val="002007E6"/>
    <w:rsid w:val="00200938"/>
    <w:rsid w:val="00200994"/>
    <w:rsid w:val="002009AA"/>
    <w:rsid w:val="002009C5"/>
    <w:rsid w:val="002009D3"/>
    <w:rsid w:val="00200AF8"/>
    <w:rsid w:val="00200B22"/>
    <w:rsid w:val="00200C31"/>
    <w:rsid w:val="00200C46"/>
    <w:rsid w:val="00200CD8"/>
    <w:rsid w:val="00200D01"/>
    <w:rsid w:val="00200D7B"/>
    <w:rsid w:val="00200E9C"/>
    <w:rsid w:val="00200F1D"/>
    <w:rsid w:val="00200F74"/>
    <w:rsid w:val="00200FC0"/>
    <w:rsid w:val="00200FFA"/>
    <w:rsid w:val="0020101D"/>
    <w:rsid w:val="0020109B"/>
    <w:rsid w:val="0020113D"/>
    <w:rsid w:val="002011E1"/>
    <w:rsid w:val="00201275"/>
    <w:rsid w:val="002012A0"/>
    <w:rsid w:val="002013F1"/>
    <w:rsid w:val="00201414"/>
    <w:rsid w:val="00201435"/>
    <w:rsid w:val="0020146A"/>
    <w:rsid w:val="002015D8"/>
    <w:rsid w:val="002015DB"/>
    <w:rsid w:val="0020172B"/>
    <w:rsid w:val="0020188F"/>
    <w:rsid w:val="00201895"/>
    <w:rsid w:val="00201943"/>
    <w:rsid w:val="00201A15"/>
    <w:rsid w:val="00201A35"/>
    <w:rsid w:val="00201ABD"/>
    <w:rsid w:val="00201AE9"/>
    <w:rsid w:val="00201B8D"/>
    <w:rsid w:val="00201BD0"/>
    <w:rsid w:val="00201C26"/>
    <w:rsid w:val="00201C3F"/>
    <w:rsid w:val="00201CFD"/>
    <w:rsid w:val="00201D12"/>
    <w:rsid w:val="00201DB2"/>
    <w:rsid w:val="00201EBA"/>
    <w:rsid w:val="00201EFF"/>
    <w:rsid w:val="00201FC4"/>
    <w:rsid w:val="00201FC5"/>
    <w:rsid w:val="002020D5"/>
    <w:rsid w:val="00202117"/>
    <w:rsid w:val="002021C0"/>
    <w:rsid w:val="002021EA"/>
    <w:rsid w:val="002022BF"/>
    <w:rsid w:val="0020237D"/>
    <w:rsid w:val="002023C4"/>
    <w:rsid w:val="00202490"/>
    <w:rsid w:val="0020249B"/>
    <w:rsid w:val="002024E6"/>
    <w:rsid w:val="00202581"/>
    <w:rsid w:val="002025AE"/>
    <w:rsid w:val="002025E2"/>
    <w:rsid w:val="002025E8"/>
    <w:rsid w:val="00202608"/>
    <w:rsid w:val="002028DE"/>
    <w:rsid w:val="00202964"/>
    <w:rsid w:val="00202A3C"/>
    <w:rsid w:val="00202A82"/>
    <w:rsid w:val="00202AAB"/>
    <w:rsid w:val="00202ACC"/>
    <w:rsid w:val="00202ACF"/>
    <w:rsid w:val="00202AEE"/>
    <w:rsid w:val="00202B17"/>
    <w:rsid w:val="00202C3E"/>
    <w:rsid w:val="00202F1B"/>
    <w:rsid w:val="00202F24"/>
    <w:rsid w:val="00202FDA"/>
    <w:rsid w:val="002031C9"/>
    <w:rsid w:val="002031F7"/>
    <w:rsid w:val="0020321B"/>
    <w:rsid w:val="0020334A"/>
    <w:rsid w:val="00203378"/>
    <w:rsid w:val="00203471"/>
    <w:rsid w:val="002034C6"/>
    <w:rsid w:val="002034DD"/>
    <w:rsid w:val="0020375F"/>
    <w:rsid w:val="00203829"/>
    <w:rsid w:val="0020382C"/>
    <w:rsid w:val="00203878"/>
    <w:rsid w:val="002038C0"/>
    <w:rsid w:val="00203931"/>
    <w:rsid w:val="00203A77"/>
    <w:rsid w:val="00203B07"/>
    <w:rsid w:val="00203B9C"/>
    <w:rsid w:val="00203BB0"/>
    <w:rsid w:val="00203C87"/>
    <w:rsid w:val="00203CD7"/>
    <w:rsid w:val="00203CE8"/>
    <w:rsid w:val="00203D15"/>
    <w:rsid w:val="00203DE2"/>
    <w:rsid w:val="00203F49"/>
    <w:rsid w:val="00203F9D"/>
    <w:rsid w:val="00203FF3"/>
    <w:rsid w:val="00204031"/>
    <w:rsid w:val="00204152"/>
    <w:rsid w:val="00204170"/>
    <w:rsid w:val="00204225"/>
    <w:rsid w:val="00204262"/>
    <w:rsid w:val="00204268"/>
    <w:rsid w:val="0020426C"/>
    <w:rsid w:val="002042C2"/>
    <w:rsid w:val="002042E2"/>
    <w:rsid w:val="002043D7"/>
    <w:rsid w:val="0020449F"/>
    <w:rsid w:val="0020456C"/>
    <w:rsid w:val="0020457A"/>
    <w:rsid w:val="0020458C"/>
    <w:rsid w:val="002045B3"/>
    <w:rsid w:val="002045D1"/>
    <w:rsid w:val="002046CB"/>
    <w:rsid w:val="002046D4"/>
    <w:rsid w:val="002046E4"/>
    <w:rsid w:val="0020473A"/>
    <w:rsid w:val="00204779"/>
    <w:rsid w:val="00204782"/>
    <w:rsid w:val="0020481E"/>
    <w:rsid w:val="0020482B"/>
    <w:rsid w:val="00204853"/>
    <w:rsid w:val="0020491C"/>
    <w:rsid w:val="0020497C"/>
    <w:rsid w:val="00204A27"/>
    <w:rsid w:val="00204A65"/>
    <w:rsid w:val="00204B2E"/>
    <w:rsid w:val="00204B76"/>
    <w:rsid w:val="00204D8F"/>
    <w:rsid w:val="00204DF0"/>
    <w:rsid w:val="00204E68"/>
    <w:rsid w:val="00204F0C"/>
    <w:rsid w:val="00204F19"/>
    <w:rsid w:val="00204F59"/>
    <w:rsid w:val="00205020"/>
    <w:rsid w:val="00205038"/>
    <w:rsid w:val="0020505B"/>
    <w:rsid w:val="0020523D"/>
    <w:rsid w:val="0020524F"/>
    <w:rsid w:val="0020526D"/>
    <w:rsid w:val="00205296"/>
    <w:rsid w:val="00205316"/>
    <w:rsid w:val="0020539D"/>
    <w:rsid w:val="002053A5"/>
    <w:rsid w:val="0020546C"/>
    <w:rsid w:val="0020549C"/>
    <w:rsid w:val="00205582"/>
    <w:rsid w:val="002055AD"/>
    <w:rsid w:val="002056B6"/>
    <w:rsid w:val="002056C4"/>
    <w:rsid w:val="00205709"/>
    <w:rsid w:val="0020572E"/>
    <w:rsid w:val="0020577D"/>
    <w:rsid w:val="002057EE"/>
    <w:rsid w:val="0020589C"/>
    <w:rsid w:val="002058BD"/>
    <w:rsid w:val="0020596C"/>
    <w:rsid w:val="0020599E"/>
    <w:rsid w:val="00205A55"/>
    <w:rsid w:val="00205BB8"/>
    <w:rsid w:val="00205BC9"/>
    <w:rsid w:val="00205C70"/>
    <w:rsid w:val="00205C73"/>
    <w:rsid w:val="00205CE4"/>
    <w:rsid w:val="00205D5B"/>
    <w:rsid w:val="00205D70"/>
    <w:rsid w:val="00205DDE"/>
    <w:rsid w:val="00205E60"/>
    <w:rsid w:val="00205E6D"/>
    <w:rsid w:val="00205F66"/>
    <w:rsid w:val="00205F68"/>
    <w:rsid w:val="00206020"/>
    <w:rsid w:val="00206072"/>
    <w:rsid w:val="0020607F"/>
    <w:rsid w:val="00206147"/>
    <w:rsid w:val="002061A3"/>
    <w:rsid w:val="002061D6"/>
    <w:rsid w:val="002061F1"/>
    <w:rsid w:val="002061FE"/>
    <w:rsid w:val="0020620D"/>
    <w:rsid w:val="00206232"/>
    <w:rsid w:val="002062EE"/>
    <w:rsid w:val="002062F4"/>
    <w:rsid w:val="00206398"/>
    <w:rsid w:val="00206404"/>
    <w:rsid w:val="0020659A"/>
    <w:rsid w:val="0020659F"/>
    <w:rsid w:val="0020662D"/>
    <w:rsid w:val="00206672"/>
    <w:rsid w:val="00206702"/>
    <w:rsid w:val="00206769"/>
    <w:rsid w:val="00206818"/>
    <w:rsid w:val="00206870"/>
    <w:rsid w:val="002068A9"/>
    <w:rsid w:val="002068BF"/>
    <w:rsid w:val="002068DA"/>
    <w:rsid w:val="002068F3"/>
    <w:rsid w:val="0020693E"/>
    <w:rsid w:val="00206994"/>
    <w:rsid w:val="002069FE"/>
    <w:rsid w:val="00206A52"/>
    <w:rsid w:val="00206AF3"/>
    <w:rsid w:val="00206B6F"/>
    <w:rsid w:val="00206C62"/>
    <w:rsid w:val="00206D22"/>
    <w:rsid w:val="00206D44"/>
    <w:rsid w:val="00206D4B"/>
    <w:rsid w:val="00206E45"/>
    <w:rsid w:val="00206E7D"/>
    <w:rsid w:val="00206E8B"/>
    <w:rsid w:val="00206E9C"/>
    <w:rsid w:val="00206EC7"/>
    <w:rsid w:val="00206EEB"/>
    <w:rsid w:val="00206F05"/>
    <w:rsid w:val="00206F3A"/>
    <w:rsid w:val="0020723E"/>
    <w:rsid w:val="0020725F"/>
    <w:rsid w:val="0020735C"/>
    <w:rsid w:val="002073B5"/>
    <w:rsid w:val="002073CD"/>
    <w:rsid w:val="00207709"/>
    <w:rsid w:val="0020773A"/>
    <w:rsid w:val="00207793"/>
    <w:rsid w:val="00207894"/>
    <w:rsid w:val="002078BE"/>
    <w:rsid w:val="00207A76"/>
    <w:rsid w:val="00207AD3"/>
    <w:rsid w:val="00207BDB"/>
    <w:rsid w:val="00207C81"/>
    <w:rsid w:val="00207CDC"/>
    <w:rsid w:val="00207FB5"/>
    <w:rsid w:val="00207FCE"/>
    <w:rsid w:val="0021005E"/>
    <w:rsid w:val="002101E6"/>
    <w:rsid w:val="00210226"/>
    <w:rsid w:val="00210262"/>
    <w:rsid w:val="00210493"/>
    <w:rsid w:val="002104C5"/>
    <w:rsid w:val="00210538"/>
    <w:rsid w:val="0021059E"/>
    <w:rsid w:val="0021065F"/>
    <w:rsid w:val="0021068B"/>
    <w:rsid w:val="002106BB"/>
    <w:rsid w:val="00210725"/>
    <w:rsid w:val="00210783"/>
    <w:rsid w:val="002107A2"/>
    <w:rsid w:val="002107DE"/>
    <w:rsid w:val="002107F0"/>
    <w:rsid w:val="00210975"/>
    <w:rsid w:val="00210A15"/>
    <w:rsid w:val="00210AF0"/>
    <w:rsid w:val="00210AF3"/>
    <w:rsid w:val="00210C02"/>
    <w:rsid w:val="00210C09"/>
    <w:rsid w:val="00210D54"/>
    <w:rsid w:val="00210E6B"/>
    <w:rsid w:val="00210EA4"/>
    <w:rsid w:val="00210EBC"/>
    <w:rsid w:val="00210EC1"/>
    <w:rsid w:val="00211026"/>
    <w:rsid w:val="00211093"/>
    <w:rsid w:val="00211165"/>
    <w:rsid w:val="002111A1"/>
    <w:rsid w:val="002111DD"/>
    <w:rsid w:val="00211209"/>
    <w:rsid w:val="002112AE"/>
    <w:rsid w:val="00211315"/>
    <w:rsid w:val="0021136D"/>
    <w:rsid w:val="0021146A"/>
    <w:rsid w:val="002114A1"/>
    <w:rsid w:val="002114D4"/>
    <w:rsid w:val="0021151E"/>
    <w:rsid w:val="0021161D"/>
    <w:rsid w:val="00211816"/>
    <w:rsid w:val="00211832"/>
    <w:rsid w:val="00211882"/>
    <w:rsid w:val="002118D4"/>
    <w:rsid w:val="002119AE"/>
    <w:rsid w:val="002119C5"/>
    <w:rsid w:val="002119CC"/>
    <w:rsid w:val="002119DC"/>
    <w:rsid w:val="00211ABD"/>
    <w:rsid w:val="00211BF8"/>
    <w:rsid w:val="00211C5D"/>
    <w:rsid w:val="00211CA0"/>
    <w:rsid w:val="00211CC9"/>
    <w:rsid w:val="00211D1E"/>
    <w:rsid w:val="00211D44"/>
    <w:rsid w:val="00211D62"/>
    <w:rsid w:val="00211E2E"/>
    <w:rsid w:val="00211E84"/>
    <w:rsid w:val="00211EE1"/>
    <w:rsid w:val="00211F47"/>
    <w:rsid w:val="00212017"/>
    <w:rsid w:val="002120DD"/>
    <w:rsid w:val="00212125"/>
    <w:rsid w:val="00212153"/>
    <w:rsid w:val="00212183"/>
    <w:rsid w:val="002121C5"/>
    <w:rsid w:val="002121C8"/>
    <w:rsid w:val="002121FF"/>
    <w:rsid w:val="00212299"/>
    <w:rsid w:val="002122D9"/>
    <w:rsid w:val="002122FA"/>
    <w:rsid w:val="002125D1"/>
    <w:rsid w:val="002125FD"/>
    <w:rsid w:val="00212616"/>
    <w:rsid w:val="0021269D"/>
    <w:rsid w:val="002126E5"/>
    <w:rsid w:val="00212836"/>
    <w:rsid w:val="00212897"/>
    <w:rsid w:val="0021289D"/>
    <w:rsid w:val="002128B6"/>
    <w:rsid w:val="0021295E"/>
    <w:rsid w:val="002129D8"/>
    <w:rsid w:val="002129F3"/>
    <w:rsid w:val="00212B0B"/>
    <w:rsid w:val="00212B47"/>
    <w:rsid w:val="00212B55"/>
    <w:rsid w:val="00212B5A"/>
    <w:rsid w:val="00212B63"/>
    <w:rsid w:val="00212B84"/>
    <w:rsid w:val="00212BD0"/>
    <w:rsid w:val="00212BE1"/>
    <w:rsid w:val="00212BF5"/>
    <w:rsid w:val="00212C9E"/>
    <w:rsid w:val="00212CD2"/>
    <w:rsid w:val="00212D63"/>
    <w:rsid w:val="00212D9C"/>
    <w:rsid w:val="00212DE4"/>
    <w:rsid w:val="00212EAC"/>
    <w:rsid w:val="00212FBC"/>
    <w:rsid w:val="00212FE4"/>
    <w:rsid w:val="00213161"/>
    <w:rsid w:val="0021318F"/>
    <w:rsid w:val="00213290"/>
    <w:rsid w:val="002132F6"/>
    <w:rsid w:val="00213390"/>
    <w:rsid w:val="002133E4"/>
    <w:rsid w:val="00213451"/>
    <w:rsid w:val="002134B7"/>
    <w:rsid w:val="002134C8"/>
    <w:rsid w:val="002134D9"/>
    <w:rsid w:val="00213501"/>
    <w:rsid w:val="0021359B"/>
    <w:rsid w:val="002135BD"/>
    <w:rsid w:val="00213699"/>
    <w:rsid w:val="00213753"/>
    <w:rsid w:val="00213783"/>
    <w:rsid w:val="00213809"/>
    <w:rsid w:val="002139F4"/>
    <w:rsid w:val="002139FA"/>
    <w:rsid w:val="00213AEC"/>
    <w:rsid w:val="00213AF0"/>
    <w:rsid w:val="00213B99"/>
    <w:rsid w:val="00213BA4"/>
    <w:rsid w:val="00213BEA"/>
    <w:rsid w:val="00213D01"/>
    <w:rsid w:val="00213DB4"/>
    <w:rsid w:val="00213DBA"/>
    <w:rsid w:val="00213E16"/>
    <w:rsid w:val="00213E40"/>
    <w:rsid w:val="00213E54"/>
    <w:rsid w:val="00213EAB"/>
    <w:rsid w:val="00213EB2"/>
    <w:rsid w:val="00213ED1"/>
    <w:rsid w:val="00213F65"/>
    <w:rsid w:val="00214002"/>
    <w:rsid w:val="00214097"/>
    <w:rsid w:val="002140EE"/>
    <w:rsid w:val="002140F1"/>
    <w:rsid w:val="002141A0"/>
    <w:rsid w:val="0021424C"/>
    <w:rsid w:val="00214409"/>
    <w:rsid w:val="00214422"/>
    <w:rsid w:val="002144A0"/>
    <w:rsid w:val="002144B7"/>
    <w:rsid w:val="002144EF"/>
    <w:rsid w:val="00214501"/>
    <w:rsid w:val="002145C5"/>
    <w:rsid w:val="00214695"/>
    <w:rsid w:val="0021469D"/>
    <w:rsid w:val="002146B8"/>
    <w:rsid w:val="00214755"/>
    <w:rsid w:val="0021484C"/>
    <w:rsid w:val="00214880"/>
    <w:rsid w:val="002148C7"/>
    <w:rsid w:val="0021491F"/>
    <w:rsid w:val="0021495F"/>
    <w:rsid w:val="00214985"/>
    <w:rsid w:val="00214AD9"/>
    <w:rsid w:val="00214B30"/>
    <w:rsid w:val="00214BC5"/>
    <w:rsid w:val="00214C7F"/>
    <w:rsid w:val="00214D0A"/>
    <w:rsid w:val="00214E72"/>
    <w:rsid w:val="00214FC8"/>
    <w:rsid w:val="0021507B"/>
    <w:rsid w:val="002150B2"/>
    <w:rsid w:val="0021517E"/>
    <w:rsid w:val="0021518A"/>
    <w:rsid w:val="00215236"/>
    <w:rsid w:val="00215256"/>
    <w:rsid w:val="00215302"/>
    <w:rsid w:val="00215369"/>
    <w:rsid w:val="002153DC"/>
    <w:rsid w:val="00215414"/>
    <w:rsid w:val="00215492"/>
    <w:rsid w:val="002154D5"/>
    <w:rsid w:val="0021550A"/>
    <w:rsid w:val="002155A3"/>
    <w:rsid w:val="0021567F"/>
    <w:rsid w:val="002156E1"/>
    <w:rsid w:val="00215743"/>
    <w:rsid w:val="00215758"/>
    <w:rsid w:val="002157AA"/>
    <w:rsid w:val="0021580C"/>
    <w:rsid w:val="00215870"/>
    <w:rsid w:val="002158C5"/>
    <w:rsid w:val="00215947"/>
    <w:rsid w:val="00215953"/>
    <w:rsid w:val="0021596B"/>
    <w:rsid w:val="0021599F"/>
    <w:rsid w:val="002159D5"/>
    <w:rsid w:val="002159EF"/>
    <w:rsid w:val="00215A41"/>
    <w:rsid w:val="00215AEF"/>
    <w:rsid w:val="00215DEA"/>
    <w:rsid w:val="00215EFC"/>
    <w:rsid w:val="00215F82"/>
    <w:rsid w:val="00216026"/>
    <w:rsid w:val="0021611D"/>
    <w:rsid w:val="00216156"/>
    <w:rsid w:val="00216243"/>
    <w:rsid w:val="00216263"/>
    <w:rsid w:val="002162C2"/>
    <w:rsid w:val="002162E2"/>
    <w:rsid w:val="00216444"/>
    <w:rsid w:val="00216482"/>
    <w:rsid w:val="00216516"/>
    <w:rsid w:val="0021658D"/>
    <w:rsid w:val="002165CE"/>
    <w:rsid w:val="00216618"/>
    <w:rsid w:val="0021665D"/>
    <w:rsid w:val="002166A3"/>
    <w:rsid w:val="00216775"/>
    <w:rsid w:val="002167B9"/>
    <w:rsid w:val="00216814"/>
    <w:rsid w:val="00216822"/>
    <w:rsid w:val="002168C4"/>
    <w:rsid w:val="002168D3"/>
    <w:rsid w:val="0021695B"/>
    <w:rsid w:val="00216961"/>
    <w:rsid w:val="00216978"/>
    <w:rsid w:val="00216990"/>
    <w:rsid w:val="002169B8"/>
    <w:rsid w:val="00216A8A"/>
    <w:rsid w:val="00216B7E"/>
    <w:rsid w:val="00216CB8"/>
    <w:rsid w:val="00216D1D"/>
    <w:rsid w:val="00216EDF"/>
    <w:rsid w:val="00216F1D"/>
    <w:rsid w:val="00216FFF"/>
    <w:rsid w:val="0021701A"/>
    <w:rsid w:val="00217026"/>
    <w:rsid w:val="00217050"/>
    <w:rsid w:val="00217096"/>
    <w:rsid w:val="002170BC"/>
    <w:rsid w:val="0021714C"/>
    <w:rsid w:val="00217153"/>
    <w:rsid w:val="00217178"/>
    <w:rsid w:val="002171D3"/>
    <w:rsid w:val="0021724E"/>
    <w:rsid w:val="002172A2"/>
    <w:rsid w:val="002172AF"/>
    <w:rsid w:val="002172C3"/>
    <w:rsid w:val="0021733A"/>
    <w:rsid w:val="0021735D"/>
    <w:rsid w:val="0021738B"/>
    <w:rsid w:val="002174B2"/>
    <w:rsid w:val="002174CD"/>
    <w:rsid w:val="002174D9"/>
    <w:rsid w:val="0021757C"/>
    <w:rsid w:val="00217591"/>
    <w:rsid w:val="002175D2"/>
    <w:rsid w:val="0021770E"/>
    <w:rsid w:val="00217749"/>
    <w:rsid w:val="002177AF"/>
    <w:rsid w:val="00217823"/>
    <w:rsid w:val="0021785F"/>
    <w:rsid w:val="0021789C"/>
    <w:rsid w:val="00217903"/>
    <w:rsid w:val="00217970"/>
    <w:rsid w:val="00217986"/>
    <w:rsid w:val="00217990"/>
    <w:rsid w:val="002179CE"/>
    <w:rsid w:val="002179E2"/>
    <w:rsid w:val="00217A61"/>
    <w:rsid w:val="00217B18"/>
    <w:rsid w:val="00217D2B"/>
    <w:rsid w:val="00217D84"/>
    <w:rsid w:val="00217DDF"/>
    <w:rsid w:val="00217E2C"/>
    <w:rsid w:val="00217E47"/>
    <w:rsid w:val="00217F2F"/>
    <w:rsid w:val="00217F5A"/>
    <w:rsid w:val="00217F84"/>
    <w:rsid w:val="00217FAD"/>
    <w:rsid w:val="00217FB5"/>
    <w:rsid w:val="00217FDE"/>
    <w:rsid w:val="00220023"/>
    <w:rsid w:val="00220037"/>
    <w:rsid w:val="00220181"/>
    <w:rsid w:val="00220381"/>
    <w:rsid w:val="002203F7"/>
    <w:rsid w:val="002203FD"/>
    <w:rsid w:val="00220427"/>
    <w:rsid w:val="00220436"/>
    <w:rsid w:val="0022052C"/>
    <w:rsid w:val="00220535"/>
    <w:rsid w:val="002205ED"/>
    <w:rsid w:val="002205F1"/>
    <w:rsid w:val="00220694"/>
    <w:rsid w:val="002206B5"/>
    <w:rsid w:val="002206ED"/>
    <w:rsid w:val="00220717"/>
    <w:rsid w:val="00220799"/>
    <w:rsid w:val="0022083E"/>
    <w:rsid w:val="002208E3"/>
    <w:rsid w:val="002208FA"/>
    <w:rsid w:val="0022094C"/>
    <w:rsid w:val="00220974"/>
    <w:rsid w:val="0022099A"/>
    <w:rsid w:val="00220A54"/>
    <w:rsid w:val="00220A9A"/>
    <w:rsid w:val="00220B20"/>
    <w:rsid w:val="00220BAC"/>
    <w:rsid w:val="00220CA9"/>
    <w:rsid w:val="00220DB3"/>
    <w:rsid w:val="00220E1B"/>
    <w:rsid w:val="00220EBA"/>
    <w:rsid w:val="00220EDA"/>
    <w:rsid w:val="00220EF9"/>
    <w:rsid w:val="00220F5C"/>
    <w:rsid w:val="00220F73"/>
    <w:rsid w:val="00220FEE"/>
    <w:rsid w:val="002210AE"/>
    <w:rsid w:val="00221107"/>
    <w:rsid w:val="0022119C"/>
    <w:rsid w:val="0022137A"/>
    <w:rsid w:val="002213B6"/>
    <w:rsid w:val="00221476"/>
    <w:rsid w:val="00221479"/>
    <w:rsid w:val="002216D6"/>
    <w:rsid w:val="00221701"/>
    <w:rsid w:val="0022174A"/>
    <w:rsid w:val="00221774"/>
    <w:rsid w:val="002217AF"/>
    <w:rsid w:val="00221807"/>
    <w:rsid w:val="00221818"/>
    <w:rsid w:val="00221895"/>
    <w:rsid w:val="00221900"/>
    <w:rsid w:val="002219AD"/>
    <w:rsid w:val="00221AB8"/>
    <w:rsid w:val="00221B70"/>
    <w:rsid w:val="00221BC8"/>
    <w:rsid w:val="00221C79"/>
    <w:rsid w:val="00221C8E"/>
    <w:rsid w:val="00221D14"/>
    <w:rsid w:val="00221D7C"/>
    <w:rsid w:val="00221DD7"/>
    <w:rsid w:val="00221E06"/>
    <w:rsid w:val="00221E7F"/>
    <w:rsid w:val="00221E8A"/>
    <w:rsid w:val="00221E95"/>
    <w:rsid w:val="00221E9D"/>
    <w:rsid w:val="00221F33"/>
    <w:rsid w:val="00222034"/>
    <w:rsid w:val="002220CD"/>
    <w:rsid w:val="00222146"/>
    <w:rsid w:val="00222154"/>
    <w:rsid w:val="0022215E"/>
    <w:rsid w:val="00222173"/>
    <w:rsid w:val="002221A7"/>
    <w:rsid w:val="0022234A"/>
    <w:rsid w:val="002223C8"/>
    <w:rsid w:val="002223E1"/>
    <w:rsid w:val="00222431"/>
    <w:rsid w:val="002224B0"/>
    <w:rsid w:val="00222524"/>
    <w:rsid w:val="00222542"/>
    <w:rsid w:val="002225CB"/>
    <w:rsid w:val="0022276E"/>
    <w:rsid w:val="002228D1"/>
    <w:rsid w:val="0022292D"/>
    <w:rsid w:val="002229C8"/>
    <w:rsid w:val="002229F5"/>
    <w:rsid w:val="00222AC7"/>
    <w:rsid w:val="00222B90"/>
    <w:rsid w:val="00222CA4"/>
    <w:rsid w:val="00222CFD"/>
    <w:rsid w:val="00222DA3"/>
    <w:rsid w:val="00222DC0"/>
    <w:rsid w:val="00222DF3"/>
    <w:rsid w:val="00222E87"/>
    <w:rsid w:val="00222EFF"/>
    <w:rsid w:val="00222FF2"/>
    <w:rsid w:val="00223025"/>
    <w:rsid w:val="0022303E"/>
    <w:rsid w:val="00223072"/>
    <w:rsid w:val="002230C5"/>
    <w:rsid w:val="002230F4"/>
    <w:rsid w:val="00223180"/>
    <w:rsid w:val="00223197"/>
    <w:rsid w:val="0022324D"/>
    <w:rsid w:val="00223293"/>
    <w:rsid w:val="00223422"/>
    <w:rsid w:val="00223441"/>
    <w:rsid w:val="00223464"/>
    <w:rsid w:val="002234BA"/>
    <w:rsid w:val="00223588"/>
    <w:rsid w:val="00223667"/>
    <w:rsid w:val="0022366D"/>
    <w:rsid w:val="00223708"/>
    <w:rsid w:val="00223775"/>
    <w:rsid w:val="0022377A"/>
    <w:rsid w:val="002237E5"/>
    <w:rsid w:val="002238A8"/>
    <w:rsid w:val="002238C3"/>
    <w:rsid w:val="00223910"/>
    <w:rsid w:val="00223953"/>
    <w:rsid w:val="0022397A"/>
    <w:rsid w:val="0022399D"/>
    <w:rsid w:val="00223AFB"/>
    <w:rsid w:val="00223B23"/>
    <w:rsid w:val="00223B7D"/>
    <w:rsid w:val="00223BA7"/>
    <w:rsid w:val="00223C14"/>
    <w:rsid w:val="00223C66"/>
    <w:rsid w:val="00223D27"/>
    <w:rsid w:val="00223D42"/>
    <w:rsid w:val="00223D68"/>
    <w:rsid w:val="00223DB4"/>
    <w:rsid w:val="00223DBF"/>
    <w:rsid w:val="00223EB2"/>
    <w:rsid w:val="00223EF7"/>
    <w:rsid w:val="00223F4F"/>
    <w:rsid w:val="00223F9C"/>
    <w:rsid w:val="00224095"/>
    <w:rsid w:val="0022409E"/>
    <w:rsid w:val="002241B6"/>
    <w:rsid w:val="002242FA"/>
    <w:rsid w:val="0022431E"/>
    <w:rsid w:val="00224375"/>
    <w:rsid w:val="00224390"/>
    <w:rsid w:val="002243C1"/>
    <w:rsid w:val="0022441E"/>
    <w:rsid w:val="00224448"/>
    <w:rsid w:val="002245C8"/>
    <w:rsid w:val="002245E7"/>
    <w:rsid w:val="0022468B"/>
    <w:rsid w:val="00224745"/>
    <w:rsid w:val="002247E9"/>
    <w:rsid w:val="002248E5"/>
    <w:rsid w:val="0022497F"/>
    <w:rsid w:val="00224987"/>
    <w:rsid w:val="00224AD8"/>
    <w:rsid w:val="00224AE1"/>
    <w:rsid w:val="00224B29"/>
    <w:rsid w:val="00224BCC"/>
    <w:rsid w:val="00224CBB"/>
    <w:rsid w:val="00224CCB"/>
    <w:rsid w:val="00224D2B"/>
    <w:rsid w:val="00224D46"/>
    <w:rsid w:val="00224DAF"/>
    <w:rsid w:val="00224DBF"/>
    <w:rsid w:val="00224DD2"/>
    <w:rsid w:val="00224DE8"/>
    <w:rsid w:val="00224DFF"/>
    <w:rsid w:val="00224E0E"/>
    <w:rsid w:val="00224E5E"/>
    <w:rsid w:val="00224ED3"/>
    <w:rsid w:val="00224EF4"/>
    <w:rsid w:val="00224F9B"/>
    <w:rsid w:val="00225128"/>
    <w:rsid w:val="0022514F"/>
    <w:rsid w:val="00225166"/>
    <w:rsid w:val="00225206"/>
    <w:rsid w:val="0022526D"/>
    <w:rsid w:val="002252F5"/>
    <w:rsid w:val="00225389"/>
    <w:rsid w:val="00225450"/>
    <w:rsid w:val="0022549A"/>
    <w:rsid w:val="00225512"/>
    <w:rsid w:val="002255E7"/>
    <w:rsid w:val="0022562F"/>
    <w:rsid w:val="0022565D"/>
    <w:rsid w:val="0022567C"/>
    <w:rsid w:val="002257B2"/>
    <w:rsid w:val="002257F8"/>
    <w:rsid w:val="0022581D"/>
    <w:rsid w:val="00225831"/>
    <w:rsid w:val="00225931"/>
    <w:rsid w:val="00225943"/>
    <w:rsid w:val="00225946"/>
    <w:rsid w:val="0022597E"/>
    <w:rsid w:val="002259C2"/>
    <w:rsid w:val="002259E9"/>
    <w:rsid w:val="00225AE5"/>
    <w:rsid w:val="00225BC5"/>
    <w:rsid w:val="00225C04"/>
    <w:rsid w:val="00225C1D"/>
    <w:rsid w:val="00225C4A"/>
    <w:rsid w:val="00225D9F"/>
    <w:rsid w:val="00225DAB"/>
    <w:rsid w:val="00225DEA"/>
    <w:rsid w:val="00225E50"/>
    <w:rsid w:val="00225E98"/>
    <w:rsid w:val="00225ED5"/>
    <w:rsid w:val="00225F0B"/>
    <w:rsid w:val="00225F3B"/>
    <w:rsid w:val="00225F74"/>
    <w:rsid w:val="0022604A"/>
    <w:rsid w:val="0022610B"/>
    <w:rsid w:val="0022613C"/>
    <w:rsid w:val="00226202"/>
    <w:rsid w:val="00226258"/>
    <w:rsid w:val="002263A6"/>
    <w:rsid w:val="00226422"/>
    <w:rsid w:val="00226585"/>
    <w:rsid w:val="002265F9"/>
    <w:rsid w:val="002266BA"/>
    <w:rsid w:val="002267B4"/>
    <w:rsid w:val="0022689E"/>
    <w:rsid w:val="00226909"/>
    <w:rsid w:val="0022693D"/>
    <w:rsid w:val="00226977"/>
    <w:rsid w:val="00226AC5"/>
    <w:rsid w:val="00226B5F"/>
    <w:rsid w:val="00226BC0"/>
    <w:rsid w:val="00226C8D"/>
    <w:rsid w:val="00226D55"/>
    <w:rsid w:val="00226DA5"/>
    <w:rsid w:val="00226E26"/>
    <w:rsid w:val="00226E7C"/>
    <w:rsid w:val="0022703A"/>
    <w:rsid w:val="0022709B"/>
    <w:rsid w:val="0022710B"/>
    <w:rsid w:val="0022722E"/>
    <w:rsid w:val="00227253"/>
    <w:rsid w:val="00227319"/>
    <w:rsid w:val="002273A4"/>
    <w:rsid w:val="0022756A"/>
    <w:rsid w:val="0022766D"/>
    <w:rsid w:val="002276FE"/>
    <w:rsid w:val="00227920"/>
    <w:rsid w:val="00227940"/>
    <w:rsid w:val="0022797B"/>
    <w:rsid w:val="0022797D"/>
    <w:rsid w:val="002279A0"/>
    <w:rsid w:val="00227A32"/>
    <w:rsid w:val="00227A59"/>
    <w:rsid w:val="00227A5B"/>
    <w:rsid w:val="00227AC4"/>
    <w:rsid w:val="00227ADC"/>
    <w:rsid w:val="00227B1D"/>
    <w:rsid w:val="00227CA3"/>
    <w:rsid w:val="00227CBB"/>
    <w:rsid w:val="00227D61"/>
    <w:rsid w:val="00227D96"/>
    <w:rsid w:val="00227DCC"/>
    <w:rsid w:val="00227E03"/>
    <w:rsid w:val="00227E90"/>
    <w:rsid w:val="00227F69"/>
    <w:rsid w:val="00227F7A"/>
    <w:rsid w:val="00227FD6"/>
    <w:rsid w:val="00230199"/>
    <w:rsid w:val="002301A1"/>
    <w:rsid w:val="002301D5"/>
    <w:rsid w:val="0023025F"/>
    <w:rsid w:val="002302AA"/>
    <w:rsid w:val="002302B0"/>
    <w:rsid w:val="002302C6"/>
    <w:rsid w:val="002302EC"/>
    <w:rsid w:val="0023037A"/>
    <w:rsid w:val="002303F2"/>
    <w:rsid w:val="00230510"/>
    <w:rsid w:val="0023053E"/>
    <w:rsid w:val="0023060C"/>
    <w:rsid w:val="00230620"/>
    <w:rsid w:val="002306A1"/>
    <w:rsid w:val="0023074A"/>
    <w:rsid w:val="00230756"/>
    <w:rsid w:val="002307CA"/>
    <w:rsid w:val="0023084A"/>
    <w:rsid w:val="00230863"/>
    <w:rsid w:val="00230867"/>
    <w:rsid w:val="0023086B"/>
    <w:rsid w:val="002308E2"/>
    <w:rsid w:val="00230A28"/>
    <w:rsid w:val="00230A4D"/>
    <w:rsid w:val="00230C5A"/>
    <w:rsid w:val="00230D3C"/>
    <w:rsid w:val="00230DF6"/>
    <w:rsid w:val="00230ED7"/>
    <w:rsid w:val="00230FA8"/>
    <w:rsid w:val="00230FC3"/>
    <w:rsid w:val="0023101F"/>
    <w:rsid w:val="00231087"/>
    <w:rsid w:val="002310D8"/>
    <w:rsid w:val="002311AD"/>
    <w:rsid w:val="0023124C"/>
    <w:rsid w:val="002312A1"/>
    <w:rsid w:val="002312B0"/>
    <w:rsid w:val="00231356"/>
    <w:rsid w:val="00231394"/>
    <w:rsid w:val="002313E4"/>
    <w:rsid w:val="0023140A"/>
    <w:rsid w:val="0023142E"/>
    <w:rsid w:val="00231484"/>
    <w:rsid w:val="00231504"/>
    <w:rsid w:val="0023156C"/>
    <w:rsid w:val="00231659"/>
    <w:rsid w:val="00231671"/>
    <w:rsid w:val="0023172F"/>
    <w:rsid w:val="00231759"/>
    <w:rsid w:val="00231812"/>
    <w:rsid w:val="0023193F"/>
    <w:rsid w:val="00231973"/>
    <w:rsid w:val="00231979"/>
    <w:rsid w:val="002319A3"/>
    <w:rsid w:val="002319BC"/>
    <w:rsid w:val="002319CE"/>
    <w:rsid w:val="00231A2D"/>
    <w:rsid w:val="00231A62"/>
    <w:rsid w:val="00231AC7"/>
    <w:rsid w:val="00231AF2"/>
    <w:rsid w:val="00231BE1"/>
    <w:rsid w:val="00231DF2"/>
    <w:rsid w:val="00231E16"/>
    <w:rsid w:val="00231E2F"/>
    <w:rsid w:val="00231F0C"/>
    <w:rsid w:val="00231F39"/>
    <w:rsid w:val="00231F75"/>
    <w:rsid w:val="00231FCF"/>
    <w:rsid w:val="00232103"/>
    <w:rsid w:val="00232163"/>
    <w:rsid w:val="0023227C"/>
    <w:rsid w:val="0023232B"/>
    <w:rsid w:val="0023236B"/>
    <w:rsid w:val="00232552"/>
    <w:rsid w:val="002325C3"/>
    <w:rsid w:val="002325E6"/>
    <w:rsid w:val="00232604"/>
    <w:rsid w:val="0023267F"/>
    <w:rsid w:val="00232877"/>
    <w:rsid w:val="002328F7"/>
    <w:rsid w:val="00232987"/>
    <w:rsid w:val="00232A0F"/>
    <w:rsid w:val="00232ADC"/>
    <w:rsid w:val="00232B37"/>
    <w:rsid w:val="00232B57"/>
    <w:rsid w:val="00232B90"/>
    <w:rsid w:val="00232BCF"/>
    <w:rsid w:val="00232E33"/>
    <w:rsid w:val="00232E65"/>
    <w:rsid w:val="00232E81"/>
    <w:rsid w:val="00232EA0"/>
    <w:rsid w:val="00232F34"/>
    <w:rsid w:val="00232F47"/>
    <w:rsid w:val="00232F87"/>
    <w:rsid w:val="00232F8E"/>
    <w:rsid w:val="00232FB4"/>
    <w:rsid w:val="002331FE"/>
    <w:rsid w:val="00233246"/>
    <w:rsid w:val="00233270"/>
    <w:rsid w:val="002332B0"/>
    <w:rsid w:val="002332B6"/>
    <w:rsid w:val="00233361"/>
    <w:rsid w:val="002333C2"/>
    <w:rsid w:val="0023350C"/>
    <w:rsid w:val="00233516"/>
    <w:rsid w:val="002336FF"/>
    <w:rsid w:val="00233744"/>
    <w:rsid w:val="00233787"/>
    <w:rsid w:val="002337D8"/>
    <w:rsid w:val="00233814"/>
    <w:rsid w:val="0023384D"/>
    <w:rsid w:val="00233AAB"/>
    <w:rsid w:val="00233AEF"/>
    <w:rsid w:val="00233BBA"/>
    <w:rsid w:val="00233CD7"/>
    <w:rsid w:val="00233CDB"/>
    <w:rsid w:val="00233D24"/>
    <w:rsid w:val="00233D39"/>
    <w:rsid w:val="00233D43"/>
    <w:rsid w:val="00233D74"/>
    <w:rsid w:val="00233F3C"/>
    <w:rsid w:val="00233F43"/>
    <w:rsid w:val="00233FCF"/>
    <w:rsid w:val="00234004"/>
    <w:rsid w:val="0023406D"/>
    <w:rsid w:val="00234087"/>
    <w:rsid w:val="002340A4"/>
    <w:rsid w:val="002340B5"/>
    <w:rsid w:val="002340E0"/>
    <w:rsid w:val="0023419A"/>
    <w:rsid w:val="002342FB"/>
    <w:rsid w:val="00234349"/>
    <w:rsid w:val="00234358"/>
    <w:rsid w:val="00234379"/>
    <w:rsid w:val="002343EC"/>
    <w:rsid w:val="00234456"/>
    <w:rsid w:val="00234457"/>
    <w:rsid w:val="002344C9"/>
    <w:rsid w:val="0023450F"/>
    <w:rsid w:val="0023451F"/>
    <w:rsid w:val="00234543"/>
    <w:rsid w:val="002345C9"/>
    <w:rsid w:val="00234658"/>
    <w:rsid w:val="0023466C"/>
    <w:rsid w:val="002346A1"/>
    <w:rsid w:val="00234794"/>
    <w:rsid w:val="00234843"/>
    <w:rsid w:val="00234950"/>
    <w:rsid w:val="00234992"/>
    <w:rsid w:val="0023499B"/>
    <w:rsid w:val="002349EB"/>
    <w:rsid w:val="00234A6A"/>
    <w:rsid w:val="00234B10"/>
    <w:rsid w:val="00234B2E"/>
    <w:rsid w:val="00234BFC"/>
    <w:rsid w:val="00234C08"/>
    <w:rsid w:val="00234D5D"/>
    <w:rsid w:val="00234D89"/>
    <w:rsid w:val="00234E1E"/>
    <w:rsid w:val="00234E31"/>
    <w:rsid w:val="00234EBC"/>
    <w:rsid w:val="00235014"/>
    <w:rsid w:val="0023507E"/>
    <w:rsid w:val="0023519D"/>
    <w:rsid w:val="002351BA"/>
    <w:rsid w:val="002353C9"/>
    <w:rsid w:val="002353E9"/>
    <w:rsid w:val="0023542D"/>
    <w:rsid w:val="0023548A"/>
    <w:rsid w:val="002354C4"/>
    <w:rsid w:val="002354C9"/>
    <w:rsid w:val="002354F0"/>
    <w:rsid w:val="002354FB"/>
    <w:rsid w:val="0023554D"/>
    <w:rsid w:val="0023556D"/>
    <w:rsid w:val="00235762"/>
    <w:rsid w:val="002357F2"/>
    <w:rsid w:val="002359AC"/>
    <w:rsid w:val="002359F1"/>
    <w:rsid w:val="002359F2"/>
    <w:rsid w:val="00235A8F"/>
    <w:rsid w:val="00235BA9"/>
    <w:rsid w:val="00235BEE"/>
    <w:rsid w:val="00235C94"/>
    <w:rsid w:val="00235D95"/>
    <w:rsid w:val="00235DCD"/>
    <w:rsid w:val="00235DE4"/>
    <w:rsid w:val="00235E0A"/>
    <w:rsid w:val="00235E52"/>
    <w:rsid w:val="00235EDA"/>
    <w:rsid w:val="00235F00"/>
    <w:rsid w:val="00236055"/>
    <w:rsid w:val="00236154"/>
    <w:rsid w:val="0023617B"/>
    <w:rsid w:val="002361D3"/>
    <w:rsid w:val="0023626B"/>
    <w:rsid w:val="0023627E"/>
    <w:rsid w:val="00236334"/>
    <w:rsid w:val="0023639A"/>
    <w:rsid w:val="00236429"/>
    <w:rsid w:val="00236444"/>
    <w:rsid w:val="0023652C"/>
    <w:rsid w:val="002365AB"/>
    <w:rsid w:val="002366D8"/>
    <w:rsid w:val="0023671C"/>
    <w:rsid w:val="00236722"/>
    <w:rsid w:val="002367DA"/>
    <w:rsid w:val="002367E8"/>
    <w:rsid w:val="00236832"/>
    <w:rsid w:val="002368BF"/>
    <w:rsid w:val="00236901"/>
    <w:rsid w:val="00236988"/>
    <w:rsid w:val="00236A3F"/>
    <w:rsid w:val="00236A95"/>
    <w:rsid w:val="00236AB6"/>
    <w:rsid w:val="00236AC9"/>
    <w:rsid w:val="00236AF3"/>
    <w:rsid w:val="00236B0A"/>
    <w:rsid w:val="00236C5D"/>
    <w:rsid w:val="00236D3A"/>
    <w:rsid w:val="00236DA5"/>
    <w:rsid w:val="00236E02"/>
    <w:rsid w:val="00236E11"/>
    <w:rsid w:val="00236E50"/>
    <w:rsid w:val="00236E58"/>
    <w:rsid w:val="00236EB1"/>
    <w:rsid w:val="00236EFC"/>
    <w:rsid w:val="00236F4F"/>
    <w:rsid w:val="00236F5D"/>
    <w:rsid w:val="00236F7B"/>
    <w:rsid w:val="0023700E"/>
    <w:rsid w:val="002371CD"/>
    <w:rsid w:val="00237268"/>
    <w:rsid w:val="00237274"/>
    <w:rsid w:val="002372BA"/>
    <w:rsid w:val="002373A5"/>
    <w:rsid w:val="0023746E"/>
    <w:rsid w:val="00237497"/>
    <w:rsid w:val="002374EE"/>
    <w:rsid w:val="00237501"/>
    <w:rsid w:val="00237521"/>
    <w:rsid w:val="0023752B"/>
    <w:rsid w:val="00237535"/>
    <w:rsid w:val="00237607"/>
    <w:rsid w:val="002377B2"/>
    <w:rsid w:val="00237899"/>
    <w:rsid w:val="002379BA"/>
    <w:rsid w:val="00237B13"/>
    <w:rsid w:val="00237B4A"/>
    <w:rsid w:val="00237BE3"/>
    <w:rsid w:val="00237C3D"/>
    <w:rsid w:val="00237C65"/>
    <w:rsid w:val="00237DFB"/>
    <w:rsid w:val="00237E82"/>
    <w:rsid w:val="00237EF7"/>
    <w:rsid w:val="00237EFB"/>
    <w:rsid w:val="00240058"/>
    <w:rsid w:val="002400A1"/>
    <w:rsid w:val="00240183"/>
    <w:rsid w:val="002401B4"/>
    <w:rsid w:val="002401DC"/>
    <w:rsid w:val="0024026D"/>
    <w:rsid w:val="00240270"/>
    <w:rsid w:val="0024037B"/>
    <w:rsid w:val="0024038B"/>
    <w:rsid w:val="0024057D"/>
    <w:rsid w:val="002405FE"/>
    <w:rsid w:val="0024061D"/>
    <w:rsid w:val="00240674"/>
    <w:rsid w:val="00240754"/>
    <w:rsid w:val="00240876"/>
    <w:rsid w:val="0024090A"/>
    <w:rsid w:val="002409B8"/>
    <w:rsid w:val="00240A9A"/>
    <w:rsid w:val="00240B99"/>
    <w:rsid w:val="00240C37"/>
    <w:rsid w:val="00240C5D"/>
    <w:rsid w:val="00240C6A"/>
    <w:rsid w:val="00240C70"/>
    <w:rsid w:val="00240CA3"/>
    <w:rsid w:val="00240D17"/>
    <w:rsid w:val="00240D58"/>
    <w:rsid w:val="00240DEF"/>
    <w:rsid w:val="00240E46"/>
    <w:rsid w:val="00240F23"/>
    <w:rsid w:val="00240FA5"/>
    <w:rsid w:val="0024100B"/>
    <w:rsid w:val="002410F7"/>
    <w:rsid w:val="00241122"/>
    <w:rsid w:val="0024113D"/>
    <w:rsid w:val="002411DD"/>
    <w:rsid w:val="00241207"/>
    <w:rsid w:val="00241216"/>
    <w:rsid w:val="00241309"/>
    <w:rsid w:val="00241343"/>
    <w:rsid w:val="002413BB"/>
    <w:rsid w:val="00241436"/>
    <w:rsid w:val="002414DF"/>
    <w:rsid w:val="002414F7"/>
    <w:rsid w:val="00241527"/>
    <w:rsid w:val="00241550"/>
    <w:rsid w:val="0024160F"/>
    <w:rsid w:val="0024166C"/>
    <w:rsid w:val="00241688"/>
    <w:rsid w:val="00241696"/>
    <w:rsid w:val="00241726"/>
    <w:rsid w:val="00241743"/>
    <w:rsid w:val="00241791"/>
    <w:rsid w:val="002417E6"/>
    <w:rsid w:val="0024184E"/>
    <w:rsid w:val="00241856"/>
    <w:rsid w:val="002419B0"/>
    <w:rsid w:val="00241B1A"/>
    <w:rsid w:val="00241BC0"/>
    <w:rsid w:val="00241C96"/>
    <w:rsid w:val="00241D16"/>
    <w:rsid w:val="00241EBD"/>
    <w:rsid w:val="00241F93"/>
    <w:rsid w:val="00241FD8"/>
    <w:rsid w:val="00241FF0"/>
    <w:rsid w:val="00242003"/>
    <w:rsid w:val="002420C2"/>
    <w:rsid w:val="002420D3"/>
    <w:rsid w:val="0024212A"/>
    <w:rsid w:val="00242259"/>
    <w:rsid w:val="0024229B"/>
    <w:rsid w:val="0024239D"/>
    <w:rsid w:val="002423E3"/>
    <w:rsid w:val="0024246C"/>
    <w:rsid w:val="002424FA"/>
    <w:rsid w:val="002425C2"/>
    <w:rsid w:val="002425E8"/>
    <w:rsid w:val="00242642"/>
    <w:rsid w:val="00242688"/>
    <w:rsid w:val="0024268E"/>
    <w:rsid w:val="002426E2"/>
    <w:rsid w:val="0024270E"/>
    <w:rsid w:val="002427A1"/>
    <w:rsid w:val="002427BD"/>
    <w:rsid w:val="0024289C"/>
    <w:rsid w:val="0024295C"/>
    <w:rsid w:val="00242972"/>
    <w:rsid w:val="00242A10"/>
    <w:rsid w:val="00242A25"/>
    <w:rsid w:val="00242A5B"/>
    <w:rsid w:val="00242A7E"/>
    <w:rsid w:val="00242AD7"/>
    <w:rsid w:val="00242B16"/>
    <w:rsid w:val="00242B40"/>
    <w:rsid w:val="00242B4C"/>
    <w:rsid w:val="00242BF5"/>
    <w:rsid w:val="00242C0D"/>
    <w:rsid w:val="00242CE9"/>
    <w:rsid w:val="00242D1A"/>
    <w:rsid w:val="00242D2E"/>
    <w:rsid w:val="00242D3D"/>
    <w:rsid w:val="00242D5B"/>
    <w:rsid w:val="00242D8B"/>
    <w:rsid w:val="00242DC8"/>
    <w:rsid w:val="00242E01"/>
    <w:rsid w:val="00242E29"/>
    <w:rsid w:val="00242E8D"/>
    <w:rsid w:val="00242F53"/>
    <w:rsid w:val="00243001"/>
    <w:rsid w:val="00243061"/>
    <w:rsid w:val="002430C1"/>
    <w:rsid w:val="002432D6"/>
    <w:rsid w:val="002432E3"/>
    <w:rsid w:val="00243353"/>
    <w:rsid w:val="002433DC"/>
    <w:rsid w:val="00243401"/>
    <w:rsid w:val="00243410"/>
    <w:rsid w:val="0024341A"/>
    <w:rsid w:val="0024362C"/>
    <w:rsid w:val="00243659"/>
    <w:rsid w:val="002437F9"/>
    <w:rsid w:val="002437FA"/>
    <w:rsid w:val="002438A0"/>
    <w:rsid w:val="0024390D"/>
    <w:rsid w:val="00243927"/>
    <w:rsid w:val="00243936"/>
    <w:rsid w:val="002439E4"/>
    <w:rsid w:val="00243A35"/>
    <w:rsid w:val="00243A3C"/>
    <w:rsid w:val="00243A84"/>
    <w:rsid w:val="00243B15"/>
    <w:rsid w:val="00243B66"/>
    <w:rsid w:val="00243BD7"/>
    <w:rsid w:val="00243C67"/>
    <w:rsid w:val="00243D4B"/>
    <w:rsid w:val="00243EA3"/>
    <w:rsid w:val="0024405E"/>
    <w:rsid w:val="002440E9"/>
    <w:rsid w:val="00244177"/>
    <w:rsid w:val="0024418F"/>
    <w:rsid w:val="002441E9"/>
    <w:rsid w:val="00244277"/>
    <w:rsid w:val="00244365"/>
    <w:rsid w:val="00244439"/>
    <w:rsid w:val="0024443C"/>
    <w:rsid w:val="0024451B"/>
    <w:rsid w:val="00244564"/>
    <w:rsid w:val="00244580"/>
    <w:rsid w:val="0024459E"/>
    <w:rsid w:val="002445A1"/>
    <w:rsid w:val="0024462D"/>
    <w:rsid w:val="0024466F"/>
    <w:rsid w:val="00244690"/>
    <w:rsid w:val="002446F0"/>
    <w:rsid w:val="0024475C"/>
    <w:rsid w:val="00244861"/>
    <w:rsid w:val="002448B4"/>
    <w:rsid w:val="002448B8"/>
    <w:rsid w:val="002449C8"/>
    <w:rsid w:val="00244A57"/>
    <w:rsid w:val="00244A5D"/>
    <w:rsid w:val="00244A9A"/>
    <w:rsid w:val="00244AE1"/>
    <w:rsid w:val="00244AF8"/>
    <w:rsid w:val="00244C8B"/>
    <w:rsid w:val="00244CB7"/>
    <w:rsid w:val="00244CEC"/>
    <w:rsid w:val="00244D47"/>
    <w:rsid w:val="00244DB6"/>
    <w:rsid w:val="00244DC4"/>
    <w:rsid w:val="00244E5D"/>
    <w:rsid w:val="00244E92"/>
    <w:rsid w:val="00244EC7"/>
    <w:rsid w:val="00245248"/>
    <w:rsid w:val="00245270"/>
    <w:rsid w:val="002452E4"/>
    <w:rsid w:val="002452FB"/>
    <w:rsid w:val="00245315"/>
    <w:rsid w:val="002453D7"/>
    <w:rsid w:val="00245427"/>
    <w:rsid w:val="0024551F"/>
    <w:rsid w:val="00245599"/>
    <w:rsid w:val="00245797"/>
    <w:rsid w:val="002457AB"/>
    <w:rsid w:val="002457F8"/>
    <w:rsid w:val="0024592B"/>
    <w:rsid w:val="00245936"/>
    <w:rsid w:val="0024597D"/>
    <w:rsid w:val="00245995"/>
    <w:rsid w:val="002459BF"/>
    <w:rsid w:val="002459FF"/>
    <w:rsid w:val="00245A94"/>
    <w:rsid w:val="00245C47"/>
    <w:rsid w:val="00245CCE"/>
    <w:rsid w:val="00245D34"/>
    <w:rsid w:val="00245D40"/>
    <w:rsid w:val="00245E9B"/>
    <w:rsid w:val="00245E9E"/>
    <w:rsid w:val="00245F48"/>
    <w:rsid w:val="00245FCF"/>
    <w:rsid w:val="00245FF7"/>
    <w:rsid w:val="002460A4"/>
    <w:rsid w:val="002460D0"/>
    <w:rsid w:val="00246118"/>
    <w:rsid w:val="00246123"/>
    <w:rsid w:val="00246134"/>
    <w:rsid w:val="00246247"/>
    <w:rsid w:val="002462FC"/>
    <w:rsid w:val="00246321"/>
    <w:rsid w:val="00246341"/>
    <w:rsid w:val="0024638F"/>
    <w:rsid w:val="002463D9"/>
    <w:rsid w:val="0024640D"/>
    <w:rsid w:val="0024646D"/>
    <w:rsid w:val="002464A6"/>
    <w:rsid w:val="002464A9"/>
    <w:rsid w:val="002464F1"/>
    <w:rsid w:val="00246517"/>
    <w:rsid w:val="00246533"/>
    <w:rsid w:val="0024653A"/>
    <w:rsid w:val="0024657C"/>
    <w:rsid w:val="00246697"/>
    <w:rsid w:val="0024669A"/>
    <w:rsid w:val="002466A6"/>
    <w:rsid w:val="002466CC"/>
    <w:rsid w:val="0024675B"/>
    <w:rsid w:val="00246789"/>
    <w:rsid w:val="0024679E"/>
    <w:rsid w:val="0024683B"/>
    <w:rsid w:val="00246904"/>
    <w:rsid w:val="00246963"/>
    <w:rsid w:val="00246A15"/>
    <w:rsid w:val="00246A95"/>
    <w:rsid w:val="00246AE9"/>
    <w:rsid w:val="00246B39"/>
    <w:rsid w:val="00246B87"/>
    <w:rsid w:val="00246BB1"/>
    <w:rsid w:val="00246C06"/>
    <w:rsid w:val="00246C47"/>
    <w:rsid w:val="00246CF3"/>
    <w:rsid w:val="00246E1B"/>
    <w:rsid w:val="00246E41"/>
    <w:rsid w:val="00246E6A"/>
    <w:rsid w:val="00246E78"/>
    <w:rsid w:val="00246EB6"/>
    <w:rsid w:val="00246EBC"/>
    <w:rsid w:val="00246FD1"/>
    <w:rsid w:val="00247094"/>
    <w:rsid w:val="002470F6"/>
    <w:rsid w:val="0024717B"/>
    <w:rsid w:val="002471A3"/>
    <w:rsid w:val="002471AA"/>
    <w:rsid w:val="002471D7"/>
    <w:rsid w:val="002471E2"/>
    <w:rsid w:val="0024730D"/>
    <w:rsid w:val="0024732C"/>
    <w:rsid w:val="0024732F"/>
    <w:rsid w:val="002474C6"/>
    <w:rsid w:val="0024756C"/>
    <w:rsid w:val="00247635"/>
    <w:rsid w:val="0024769D"/>
    <w:rsid w:val="00247726"/>
    <w:rsid w:val="0024773E"/>
    <w:rsid w:val="002477B4"/>
    <w:rsid w:val="002478EC"/>
    <w:rsid w:val="002479C6"/>
    <w:rsid w:val="002479D8"/>
    <w:rsid w:val="00247A2B"/>
    <w:rsid w:val="00247A3E"/>
    <w:rsid w:val="00247A47"/>
    <w:rsid w:val="00247B23"/>
    <w:rsid w:val="00247B3F"/>
    <w:rsid w:val="00247B62"/>
    <w:rsid w:val="00247BC7"/>
    <w:rsid w:val="00247C48"/>
    <w:rsid w:val="00247CC7"/>
    <w:rsid w:val="00247D1B"/>
    <w:rsid w:val="00247D23"/>
    <w:rsid w:val="00247DD5"/>
    <w:rsid w:val="00247E55"/>
    <w:rsid w:val="00247F4A"/>
    <w:rsid w:val="00250009"/>
    <w:rsid w:val="00250037"/>
    <w:rsid w:val="00250064"/>
    <w:rsid w:val="002500EC"/>
    <w:rsid w:val="002500EF"/>
    <w:rsid w:val="00250146"/>
    <w:rsid w:val="00250160"/>
    <w:rsid w:val="00250185"/>
    <w:rsid w:val="002501D5"/>
    <w:rsid w:val="0025022E"/>
    <w:rsid w:val="002502CC"/>
    <w:rsid w:val="0025034D"/>
    <w:rsid w:val="00250373"/>
    <w:rsid w:val="00250419"/>
    <w:rsid w:val="00250466"/>
    <w:rsid w:val="002504C0"/>
    <w:rsid w:val="002504C3"/>
    <w:rsid w:val="002504F4"/>
    <w:rsid w:val="00250508"/>
    <w:rsid w:val="00250519"/>
    <w:rsid w:val="0025056A"/>
    <w:rsid w:val="002505A9"/>
    <w:rsid w:val="0025062C"/>
    <w:rsid w:val="002506EE"/>
    <w:rsid w:val="002506FE"/>
    <w:rsid w:val="00250728"/>
    <w:rsid w:val="002507F6"/>
    <w:rsid w:val="00250838"/>
    <w:rsid w:val="00250844"/>
    <w:rsid w:val="0025088E"/>
    <w:rsid w:val="0025091F"/>
    <w:rsid w:val="0025095A"/>
    <w:rsid w:val="002509B4"/>
    <w:rsid w:val="00250BAF"/>
    <w:rsid w:val="00250C4F"/>
    <w:rsid w:val="00250C61"/>
    <w:rsid w:val="00250C69"/>
    <w:rsid w:val="00250C89"/>
    <w:rsid w:val="00250C9F"/>
    <w:rsid w:val="00250D0C"/>
    <w:rsid w:val="00250D12"/>
    <w:rsid w:val="00250D1C"/>
    <w:rsid w:val="00250D43"/>
    <w:rsid w:val="00250D64"/>
    <w:rsid w:val="00250DF9"/>
    <w:rsid w:val="00250E5B"/>
    <w:rsid w:val="00250E5F"/>
    <w:rsid w:val="00250E67"/>
    <w:rsid w:val="00250EFB"/>
    <w:rsid w:val="00251088"/>
    <w:rsid w:val="002510F9"/>
    <w:rsid w:val="00251179"/>
    <w:rsid w:val="002511E2"/>
    <w:rsid w:val="002513A4"/>
    <w:rsid w:val="0025145A"/>
    <w:rsid w:val="0025146F"/>
    <w:rsid w:val="002514F4"/>
    <w:rsid w:val="00251505"/>
    <w:rsid w:val="002515F7"/>
    <w:rsid w:val="0025163D"/>
    <w:rsid w:val="002516F7"/>
    <w:rsid w:val="0025171A"/>
    <w:rsid w:val="00251768"/>
    <w:rsid w:val="002517C9"/>
    <w:rsid w:val="00251865"/>
    <w:rsid w:val="002518B7"/>
    <w:rsid w:val="0025191E"/>
    <w:rsid w:val="0025197C"/>
    <w:rsid w:val="00251A82"/>
    <w:rsid w:val="00251A88"/>
    <w:rsid w:val="00251B4F"/>
    <w:rsid w:val="00251B63"/>
    <w:rsid w:val="00251C0D"/>
    <w:rsid w:val="00251C58"/>
    <w:rsid w:val="00251CC4"/>
    <w:rsid w:val="00251CE2"/>
    <w:rsid w:val="00251D87"/>
    <w:rsid w:val="00251DA3"/>
    <w:rsid w:val="00251DCE"/>
    <w:rsid w:val="00251E77"/>
    <w:rsid w:val="00251F29"/>
    <w:rsid w:val="00251F7F"/>
    <w:rsid w:val="00251F84"/>
    <w:rsid w:val="00251FA9"/>
    <w:rsid w:val="00251FD5"/>
    <w:rsid w:val="00252082"/>
    <w:rsid w:val="002520E4"/>
    <w:rsid w:val="002520EC"/>
    <w:rsid w:val="00252114"/>
    <w:rsid w:val="00252123"/>
    <w:rsid w:val="0025213A"/>
    <w:rsid w:val="002521A7"/>
    <w:rsid w:val="002522DB"/>
    <w:rsid w:val="00252341"/>
    <w:rsid w:val="002523CD"/>
    <w:rsid w:val="0025244D"/>
    <w:rsid w:val="00252458"/>
    <w:rsid w:val="00252471"/>
    <w:rsid w:val="0025256C"/>
    <w:rsid w:val="00252635"/>
    <w:rsid w:val="00252717"/>
    <w:rsid w:val="0025273F"/>
    <w:rsid w:val="00252763"/>
    <w:rsid w:val="002528FD"/>
    <w:rsid w:val="00252A4C"/>
    <w:rsid w:val="00252A7A"/>
    <w:rsid w:val="00252AA7"/>
    <w:rsid w:val="00252ABA"/>
    <w:rsid w:val="00252B40"/>
    <w:rsid w:val="00252BAB"/>
    <w:rsid w:val="00252CA4"/>
    <w:rsid w:val="00252CC2"/>
    <w:rsid w:val="00252CDB"/>
    <w:rsid w:val="00252D41"/>
    <w:rsid w:val="00252DA6"/>
    <w:rsid w:val="00252DD3"/>
    <w:rsid w:val="00252E10"/>
    <w:rsid w:val="00252E68"/>
    <w:rsid w:val="00252F43"/>
    <w:rsid w:val="00253028"/>
    <w:rsid w:val="00253036"/>
    <w:rsid w:val="00253066"/>
    <w:rsid w:val="0025309A"/>
    <w:rsid w:val="00253100"/>
    <w:rsid w:val="00253147"/>
    <w:rsid w:val="0025318F"/>
    <w:rsid w:val="0025324D"/>
    <w:rsid w:val="0025335A"/>
    <w:rsid w:val="00253382"/>
    <w:rsid w:val="002533DD"/>
    <w:rsid w:val="00253483"/>
    <w:rsid w:val="00253601"/>
    <w:rsid w:val="00253636"/>
    <w:rsid w:val="0025364B"/>
    <w:rsid w:val="002538CD"/>
    <w:rsid w:val="00253A28"/>
    <w:rsid w:val="00253A4C"/>
    <w:rsid w:val="00253A9D"/>
    <w:rsid w:val="00253AF7"/>
    <w:rsid w:val="00253B2F"/>
    <w:rsid w:val="00253B3A"/>
    <w:rsid w:val="00253BAF"/>
    <w:rsid w:val="00253C06"/>
    <w:rsid w:val="00253D9B"/>
    <w:rsid w:val="00253E0A"/>
    <w:rsid w:val="00253E1F"/>
    <w:rsid w:val="00253E3F"/>
    <w:rsid w:val="00253F55"/>
    <w:rsid w:val="002540A9"/>
    <w:rsid w:val="002540AC"/>
    <w:rsid w:val="00254127"/>
    <w:rsid w:val="00254136"/>
    <w:rsid w:val="00254184"/>
    <w:rsid w:val="00254188"/>
    <w:rsid w:val="00254291"/>
    <w:rsid w:val="0025437B"/>
    <w:rsid w:val="0025450A"/>
    <w:rsid w:val="00254512"/>
    <w:rsid w:val="0025466A"/>
    <w:rsid w:val="0025471C"/>
    <w:rsid w:val="00254750"/>
    <w:rsid w:val="00254805"/>
    <w:rsid w:val="00254869"/>
    <w:rsid w:val="00254885"/>
    <w:rsid w:val="002548BC"/>
    <w:rsid w:val="002548DE"/>
    <w:rsid w:val="0025491E"/>
    <w:rsid w:val="002549AD"/>
    <w:rsid w:val="00254ABB"/>
    <w:rsid w:val="00254B6C"/>
    <w:rsid w:val="00254B90"/>
    <w:rsid w:val="00254C7B"/>
    <w:rsid w:val="00254EAD"/>
    <w:rsid w:val="00254EE2"/>
    <w:rsid w:val="00254FA2"/>
    <w:rsid w:val="0025506C"/>
    <w:rsid w:val="002550BD"/>
    <w:rsid w:val="00255117"/>
    <w:rsid w:val="00255157"/>
    <w:rsid w:val="00255204"/>
    <w:rsid w:val="00255279"/>
    <w:rsid w:val="002552BE"/>
    <w:rsid w:val="0025535D"/>
    <w:rsid w:val="0025536E"/>
    <w:rsid w:val="00255375"/>
    <w:rsid w:val="00255383"/>
    <w:rsid w:val="002553BE"/>
    <w:rsid w:val="002554CD"/>
    <w:rsid w:val="00255606"/>
    <w:rsid w:val="00255658"/>
    <w:rsid w:val="0025571B"/>
    <w:rsid w:val="00255744"/>
    <w:rsid w:val="002557E7"/>
    <w:rsid w:val="002558E0"/>
    <w:rsid w:val="00255950"/>
    <w:rsid w:val="00255963"/>
    <w:rsid w:val="002559B4"/>
    <w:rsid w:val="002559BB"/>
    <w:rsid w:val="00255A3B"/>
    <w:rsid w:val="00255A53"/>
    <w:rsid w:val="00255A5B"/>
    <w:rsid w:val="00255B05"/>
    <w:rsid w:val="00255BE3"/>
    <w:rsid w:val="00255C3C"/>
    <w:rsid w:val="00255C95"/>
    <w:rsid w:val="00255CD0"/>
    <w:rsid w:val="00255D5C"/>
    <w:rsid w:val="00255D9C"/>
    <w:rsid w:val="00255ED9"/>
    <w:rsid w:val="00255F06"/>
    <w:rsid w:val="00255F2C"/>
    <w:rsid w:val="00255F70"/>
    <w:rsid w:val="00255FE8"/>
    <w:rsid w:val="0025611A"/>
    <w:rsid w:val="0025615C"/>
    <w:rsid w:val="00256162"/>
    <w:rsid w:val="002561A6"/>
    <w:rsid w:val="0025630E"/>
    <w:rsid w:val="00256314"/>
    <w:rsid w:val="00256342"/>
    <w:rsid w:val="002563DF"/>
    <w:rsid w:val="00256421"/>
    <w:rsid w:val="0025648F"/>
    <w:rsid w:val="0025652B"/>
    <w:rsid w:val="00256645"/>
    <w:rsid w:val="002566A0"/>
    <w:rsid w:val="0025678E"/>
    <w:rsid w:val="0025683E"/>
    <w:rsid w:val="0025687A"/>
    <w:rsid w:val="00256901"/>
    <w:rsid w:val="00256971"/>
    <w:rsid w:val="002569B9"/>
    <w:rsid w:val="002569DD"/>
    <w:rsid w:val="002569F3"/>
    <w:rsid w:val="00256A1C"/>
    <w:rsid w:val="00256A40"/>
    <w:rsid w:val="00256A6E"/>
    <w:rsid w:val="00256A9A"/>
    <w:rsid w:val="00256ABD"/>
    <w:rsid w:val="00256BF3"/>
    <w:rsid w:val="00256C39"/>
    <w:rsid w:val="00256C75"/>
    <w:rsid w:val="00256CEA"/>
    <w:rsid w:val="00256D24"/>
    <w:rsid w:val="00256D39"/>
    <w:rsid w:val="00256D61"/>
    <w:rsid w:val="00256E22"/>
    <w:rsid w:val="00256E26"/>
    <w:rsid w:val="00256E76"/>
    <w:rsid w:val="00256E7C"/>
    <w:rsid w:val="00256E7F"/>
    <w:rsid w:val="00256F11"/>
    <w:rsid w:val="00256FA0"/>
    <w:rsid w:val="00257012"/>
    <w:rsid w:val="00257050"/>
    <w:rsid w:val="00257183"/>
    <w:rsid w:val="00257198"/>
    <w:rsid w:val="0025724C"/>
    <w:rsid w:val="0025728A"/>
    <w:rsid w:val="002573F7"/>
    <w:rsid w:val="0025741A"/>
    <w:rsid w:val="0025746D"/>
    <w:rsid w:val="002574D8"/>
    <w:rsid w:val="0025757A"/>
    <w:rsid w:val="002575AA"/>
    <w:rsid w:val="00257661"/>
    <w:rsid w:val="00257681"/>
    <w:rsid w:val="002576BD"/>
    <w:rsid w:val="00257893"/>
    <w:rsid w:val="0025789F"/>
    <w:rsid w:val="002578A8"/>
    <w:rsid w:val="002579C8"/>
    <w:rsid w:val="002579D2"/>
    <w:rsid w:val="002579DB"/>
    <w:rsid w:val="00257ABC"/>
    <w:rsid w:val="00257AD1"/>
    <w:rsid w:val="00257ADE"/>
    <w:rsid w:val="00257AF0"/>
    <w:rsid w:val="00257B03"/>
    <w:rsid w:val="00257B3B"/>
    <w:rsid w:val="00257BC7"/>
    <w:rsid w:val="00257C7B"/>
    <w:rsid w:val="00257CAE"/>
    <w:rsid w:val="00257D04"/>
    <w:rsid w:val="00257D17"/>
    <w:rsid w:val="00257D27"/>
    <w:rsid w:val="00257D2F"/>
    <w:rsid w:val="00257E5A"/>
    <w:rsid w:val="00257E63"/>
    <w:rsid w:val="00257EC2"/>
    <w:rsid w:val="00257EDA"/>
    <w:rsid w:val="00257F24"/>
    <w:rsid w:val="00257FB9"/>
    <w:rsid w:val="0026001E"/>
    <w:rsid w:val="002600D4"/>
    <w:rsid w:val="00260150"/>
    <w:rsid w:val="002601B6"/>
    <w:rsid w:val="0026030F"/>
    <w:rsid w:val="00260310"/>
    <w:rsid w:val="00260353"/>
    <w:rsid w:val="002603D4"/>
    <w:rsid w:val="00260403"/>
    <w:rsid w:val="00260515"/>
    <w:rsid w:val="0026058C"/>
    <w:rsid w:val="002605A8"/>
    <w:rsid w:val="00260610"/>
    <w:rsid w:val="0026065B"/>
    <w:rsid w:val="002606AF"/>
    <w:rsid w:val="002606D7"/>
    <w:rsid w:val="002608CE"/>
    <w:rsid w:val="0026092A"/>
    <w:rsid w:val="0026093E"/>
    <w:rsid w:val="00260A9F"/>
    <w:rsid w:val="00260AAF"/>
    <w:rsid w:val="00260B62"/>
    <w:rsid w:val="00260BEA"/>
    <w:rsid w:val="00260C0E"/>
    <w:rsid w:val="00260C3B"/>
    <w:rsid w:val="00260DD0"/>
    <w:rsid w:val="00260E2C"/>
    <w:rsid w:val="00260E61"/>
    <w:rsid w:val="00260E8D"/>
    <w:rsid w:val="00260EF8"/>
    <w:rsid w:val="00260FED"/>
    <w:rsid w:val="00260FFF"/>
    <w:rsid w:val="00261040"/>
    <w:rsid w:val="00261054"/>
    <w:rsid w:val="00261065"/>
    <w:rsid w:val="0026106F"/>
    <w:rsid w:val="002610FF"/>
    <w:rsid w:val="00261119"/>
    <w:rsid w:val="00261130"/>
    <w:rsid w:val="00261175"/>
    <w:rsid w:val="002611AB"/>
    <w:rsid w:val="002611B2"/>
    <w:rsid w:val="002611D1"/>
    <w:rsid w:val="0026121E"/>
    <w:rsid w:val="00261227"/>
    <w:rsid w:val="00261228"/>
    <w:rsid w:val="0026128C"/>
    <w:rsid w:val="002612B5"/>
    <w:rsid w:val="002612B7"/>
    <w:rsid w:val="002612C2"/>
    <w:rsid w:val="002612C6"/>
    <w:rsid w:val="00261304"/>
    <w:rsid w:val="002613CB"/>
    <w:rsid w:val="00261438"/>
    <w:rsid w:val="0026148D"/>
    <w:rsid w:val="002614F6"/>
    <w:rsid w:val="00261531"/>
    <w:rsid w:val="00261637"/>
    <w:rsid w:val="0026163E"/>
    <w:rsid w:val="0026170E"/>
    <w:rsid w:val="00261730"/>
    <w:rsid w:val="002617F8"/>
    <w:rsid w:val="00261870"/>
    <w:rsid w:val="00261881"/>
    <w:rsid w:val="00261883"/>
    <w:rsid w:val="002618BD"/>
    <w:rsid w:val="00261959"/>
    <w:rsid w:val="0026198A"/>
    <w:rsid w:val="00261A28"/>
    <w:rsid w:val="00261AC0"/>
    <w:rsid w:val="00261C76"/>
    <w:rsid w:val="00261E42"/>
    <w:rsid w:val="00261EBA"/>
    <w:rsid w:val="00261EC5"/>
    <w:rsid w:val="00262038"/>
    <w:rsid w:val="00262071"/>
    <w:rsid w:val="00262098"/>
    <w:rsid w:val="002620BE"/>
    <w:rsid w:val="00262120"/>
    <w:rsid w:val="002621A1"/>
    <w:rsid w:val="002621A7"/>
    <w:rsid w:val="002622A3"/>
    <w:rsid w:val="002622C5"/>
    <w:rsid w:val="002622D4"/>
    <w:rsid w:val="00262305"/>
    <w:rsid w:val="0026234E"/>
    <w:rsid w:val="0026235C"/>
    <w:rsid w:val="002623AE"/>
    <w:rsid w:val="002623DE"/>
    <w:rsid w:val="002624CA"/>
    <w:rsid w:val="00262565"/>
    <w:rsid w:val="0026285C"/>
    <w:rsid w:val="00262885"/>
    <w:rsid w:val="00262894"/>
    <w:rsid w:val="00262905"/>
    <w:rsid w:val="00262937"/>
    <w:rsid w:val="00262951"/>
    <w:rsid w:val="00262A11"/>
    <w:rsid w:val="00262A84"/>
    <w:rsid w:val="00262AC7"/>
    <w:rsid w:val="00262AD9"/>
    <w:rsid w:val="00262BF0"/>
    <w:rsid w:val="00262C2F"/>
    <w:rsid w:val="00262C54"/>
    <w:rsid w:val="00262CBA"/>
    <w:rsid w:val="00262D22"/>
    <w:rsid w:val="00262D71"/>
    <w:rsid w:val="00262DBF"/>
    <w:rsid w:val="00262E08"/>
    <w:rsid w:val="00262F81"/>
    <w:rsid w:val="00262FB2"/>
    <w:rsid w:val="00262FC8"/>
    <w:rsid w:val="002630A7"/>
    <w:rsid w:val="00263184"/>
    <w:rsid w:val="00263307"/>
    <w:rsid w:val="00263326"/>
    <w:rsid w:val="00263373"/>
    <w:rsid w:val="0026342D"/>
    <w:rsid w:val="00263446"/>
    <w:rsid w:val="00263545"/>
    <w:rsid w:val="002635CB"/>
    <w:rsid w:val="00263644"/>
    <w:rsid w:val="002636E2"/>
    <w:rsid w:val="00263710"/>
    <w:rsid w:val="002637E1"/>
    <w:rsid w:val="0026389E"/>
    <w:rsid w:val="002638F8"/>
    <w:rsid w:val="00263A00"/>
    <w:rsid w:val="00263A73"/>
    <w:rsid w:val="00263A95"/>
    <w:rsid w:val="00263BC2"/>
    <w:rsid w:val="00263BC8"/>
    <w:rsid w:val="00263BCE"/>
    <w:rsid w:val="00263BE7"/>
    <w:rsid w:val="00263C1B"/>
    <w:rsid w:val="00263C53"/>
    <w:rsid w:val="00263CA1"/>
    <w:rsid w:val="00263CED"/>
    <w:rsid w:val="00263D86"/>
    <w:rsid w:val="00263F4C"/>
    <w:rsid w:val="00263FC5"/>
    <w:rsid w:val="00264068"/>
    <w:rsid w:val="00264090"/>
    <w:rsid w:val="002640B5"/>
    <w:rsid w:val="002640D7"/>
    <w:rsid w:val="0026419D"/>
    <w:rsid w:val="00264202"/>
    <w:rsid w:val="00264295"/>
    <w:rsid w:val="0026435B"/>
    <w:rsid w:val="002643CD"/>
    <w:rsid w:val="002643D3"/>
    <w:rsid w:val="00264476"/>
    <w:rsid w:val="0026456E"/>
    <w:rsid w:val="00264574"/>
    <w:rsid w:val="00264613"/>
    <w:rsid w:val="00264620"/>
    <w:rsid w:val="002646FF"/>
    <w:rsid w:val="0026475A"/>
    <w:rsid w:val="00264781"/>
    <w:rsid w:val="002647A9"/>
    <w:rsid w:val="002647C1"/>
    <w:rsid w:val="002647D9"/>
    <w:rsid w:val="002649D1"/>
    <w:rsid w:val="00264A1C"/>
    <w:rsid w:val="00264A28"/>
    <w:rsid w:val="00264B39"/>
    <w:rsid w:val="00264BA7"/>
    <w:rsid w:val="00264F14"/>
    <w:rsid w:val="00264F1B"/>
    <w:rsid w:val="00264F6B"/>
    <w:rsid w:val="00265026"/>
    <w:rsid w:val="00265066"/>
    <w:rsid w:val="002651BA"/>
    <w:rsid w:val="0026528F"/>
    <w:rsid w:val="002652C4"/>
    <w:rsid w:val="00265312"/>
    <w:rsid w:val="002653AF"/>
    <w:rsid w:val="002653E8"/>
    <w:rsid w:val="0026545A"/>
    <w:rsid w:val="0026549A"/>
    <w:rsid w:val="002655EA"/>
    <w:rsid w:val="00265771"/>
    <w:rsid w:val="002657D5"/>
    <w:rsid w:val="002657E4"/>
    <w:rsid w:val="002657E8"/>
    <w:rsid w:val="00265874"/>
    <w:rsid w:val="002658CF"/>
    <w:rsid w:val="002658E2"/>
    <w:rsid w:val="002659AA"/>
    <w:rsid w:val="00265A9F"/>
    <w:rsid w:val="00265AEB"/>
    <w:rsid w:val="00265BE2"/>
    <w:rsid w:val="00265BEA"/>
    <w:rsid w:val="00265C41"/>
    <w:rsid w:val="00265C93"/>
    <w:rsid w:val="00265CC5"/>
    <w:rsid w:val="00265D02"/>
    <w:rsid w:val="00265D66"/>
    <w:rsid w:val="00265E6D"/>
    <w:rsid w:val="00265E7B"/>
    <w:rsid w:val="00265EA4"/>
    <w:rsid w:val="00265F88"/>
    <w:rsid w:val="00266048"/>
    <w:rsid w:val="00266148"/>
    <w:rsid w:val="00266232"/>
    <w:rsid w:val="0026623A"/>
    <w:rsid w:val="00266251"/>
    <w:rsid w:val="002662F2"/>
    <w:rsid w:val="00266354"/>
    <w:rsid w:val="00266363"/>
    <w:rsid w:val="00266440"/>
    <w:rsid w:val="002664C5"/>
    <w:rsid w:val="002664DB"/>
    <w:rsid w:val="002664F8"/>
    <w:rsid w:val="00266509"/>
    <w:rsid w:val="0026650B"/>
    <w:rsid w:val="00266546"/>
    <w:rsid w:val="00266574"/>
    <w:rsid w:val="00266580"/>
    <w:rsid w:val="0026665D"/>
    <w:rsid w:val="00266710"/>
    <w:rsid w:val="0026672E"/>
    <w:rsid w:val="0026681C"/>
    <w:rsid w:val="00266851"/>
    <w:rsid w:val="0026689C"/>
    <w:rsid w:val="00266901"/>
    <w:rsid w:val="0026693B"/>
    <w:rsid w:val="00266AF0"/>
    <w:rsid w:val="00266B07"/>
    <w:rsid w:val="00266B3D"/>
    <w:rsid w:val="00266C14"/>
    <w:rsid w:val="00266C1B"/>
    <w:rsid w:val="00266CDD"/>
    <w:rsid w:val="00266D92"/>
    <w:rsid w:val="00266E08"/>
    <w:rsid w:val="00266E36"/>
    <w:rsid w:val="00266E37"/>
    <w:rsid w:val="00266ED6"/>
    <w:rsid w:val="00266EDC"/>
    <w:rsid w:val="00266EE2"/>
    <w:rsid w:val="00266F93"/>
    <w:rsid w:val="00267002"/>
    <w:rsid w:val="00267282"/>
    <w:rsid w:val="0026736D"/>
    <w:rsid w:val="00267385"/>
    <w:rsid w:val="0026751E"/>
    <w:rsid w:val="0026754B"/>
    <w:rsid w:val="00267582"/>
    <w:rsid w:val="002675A9"/>
    <w:rsid w:val="002677CA"/>
    <w:rsid w:val="002678E0"/>
    <w:rsid w:val="00267988"/>
    <w:rsid w:val="00267A32"/>
    <w:rsid w:val="00267ABB"/>
    <w:rsid w:val="00267AE7"/>
    <w:rsid w:val="00267AE9"/>
    <w:rsid w:val="00267B5C"/>
    <w:rsid w:val="00267B84"/>
    <w:rsid w:val="00267BC2"/>
    <w:rsid w:val="00267BCF"/>
    <w:rsid w:val="00267C6E"/>
    <w:rsid w:val="00267C8F"/>
    <w:rsid w:val="00267E09"/>
    <w:rsid w:val="00267E39"/>
    <w:rsid w:val="00267E7B"/>
    <w:rsid w:val="00267E9C"/>
    <w:rsid w:val="00267EA9"/>
    <w:rsid w:val="00267EC7"/>
    <w:rsid w:val="00267F65"/>
    <w:rsid w:val="0027004F"/>
    <w:rsid w:val="0027005B"/>
    <w:rsid w:val="002700D9"/>
    <w:rsid w:val="00270100"/>
    <w:rsid w:val="00270136"/>
    <w:rsid w:val="00270157"/>
    <w:rsid w:val="002703C4"/>
    <w:rsid w:val="002704D2"/>
    <w:rsid w:val="002704F3"/>
    <w:rsid w:val="00270598"/>
    <w:rsid w:val="002705A7"/>
    <w:rsid w:val="00270658"/>
    <w:rsid w:val="0027066D"/>
    <w:rsid w:val="00270942"/>
    <w:rsid w:val="002709F2"/>
    <w:rsid w:val="00270A5B"/>
    <w:rsid w:val="00270AA1"/>
    <w:rsid w:val="00270B6D"/>
    <w:rsid w:val="00270CBF"/>
    <w:rsid w:val="00270D20"/>
    <w:rsid w:val="00270D55"/>
    <w:rsid w:val="00270D9B"/>
    <w:rsid w:val="00270DB2"/>
    <w:rsid w:val="00270DF0"/>
    <w:rsid w:val="00270E10"/>
    <w:rsid w:val="00270E66"/>
    <w:rsid w:val="00270E95"/>
    <w:rsid w:val="00270F69"/>
    <w:rsid w:val="00270FA6"/>
    <w:rsid w:val="00270FF0"/>
    <w:rsid w:val="00270FF9"/>
    <w:rsid w:val="0027104A"/>
    <w:rsid w:val="00271059"/>
    <w:rsid w:val="002711B6"/>
    <w:rsid w:val="002711CF"/>
    <w:rsid w:val="00271201"/>
    <w:rsid w:val="00271238"/>
    <w:rsid w:val="0027125A"/>
    <w:rsid w:val="00271280"/>
    <w:rsid w:val="00271298"/>
    <w:rsid w:val="002712A6"/>
    <w:rsid w:val="0027139F"/>
    <w:rsid w:val="00271437"/>
    <w:rsid w:val="002714B8"/>
    <w:rsid w:val="002714BB"/>
    <w:rsid w:val="0027154D"/>
    <w:rsid w:val="00271615"/>
    <w:rsid w:val="00271650"/>
    <w:rsid w:val="00271693"/>
    <w:rsid w:val="00271823"/>
    <w:rsid w:val="002718BA"/>
    <w:rsid w:val="002719FB"/>
    <w:rsid w:val="00271A18"/>
    <w:rsid w:val="00271A19"/>
    <w:rsid w:val="00271A8B"/>
    <w:rsid w:val="00271A9D"/>
    <w:rsid w:val="00271AD3"/>
    <w:rsid w:val="00271B19"/>
    <w:rsid w:val="00271B4F"/>
    <w:rsid w:val="00271B74"/>
    <w:rsid w:val="00271BFF"/>
    <w:rsid w:val="00271CCA"/>
    <w:rsid w:val="00271D48"/>
    <w:rsid w:val="00271D9D"/>
    <w:rsid w:val="00271DC0"/>
    <w:rsid w:val="00271DC2"/>
    <w:rsid w:val="00271DD3"/>
    <w:rsid w:val="00271E5C"/>
    <w:rsid w:val="00271EEA"/>
    <w:rsid w:val="00271F08"/>
    <w:rsid w:val="00271F93"/>
    <w:rsid w:val="00271FB0"/>
    <w:rsid w:val="002720BA"/>
    <w:rsid w:val="0027211C"/>
    <w:rsid w:val="0027211D"/>
    <w:rsid w:val="002721E1"/>
    <w:rsid w:val="00272294"/>
    <w:rsid w:val="002722A3"/>
    <w:rsid w:val="002722C6"/>
    <w:rsid w:val="00272305"/>
    <w:rsid w:val="00272344"/>
    <w:rsid w:val="00272428"/>
    <w:rsid w:val="002724DA"/>
    <w:rsid w:val="002724EA"/>
    <w:rsid w:val="00272532"/>
    <w:rsid w:val="00272545"/>
    <w:rsid w:val="00272556"/>
    <w:rsid w:val="00272578"/>
    <w:rsid w:val="002725EE"/>
    <w:rsid w:val="00272668"/>
    <w:rsid w:val="002726C4"/>
    <w:rsid w:val="00272722"/>
    <w:rsid w:val="0027275E"/>
    <w:rsid w:val="0027279E"/>
    <w:rsid w:val="002727B1"/>
    <w:rsid w:val="0027289E"/>
    <w:rsid w:val="002728A2"/>
    <w:rsid w:val="0027292B"/>
    <w:rsid w:val="00272A45"/>
    <w:rsid w:val="00272AE0"/>
    <w:rsid w:val="00272CD4"/>
    <w:rsid w:val="00272ED8"/>
    <w:rsid w:val="00272EE1"/>
    <w:rsid w:val="00272F04"/>
    <w:rsid w:val="00272F90"/>
    <w:rsid w:val="00272F99"/>
    <w:rsid w:val="00273022"/>
    <w:rsid w:val="0027305A"/>
    <w:rsid w:val="0027309B"/>
    <w:rsid w:val="002730FA"/>
    <w:rsid w:val="00273171"/>
    <w:rsid w:val="00273192"/>
    <w:rsid w:val="002731AB"/>
    <w:rsid w:val="00273291"/>
    <w:rsid w:val="00273427"/>
    <w:rsid w:val="002735B2"/>
    <w:rsid w:val="0027360A"/>
    <w:rsid w:val="0027363E"/>
    <w:rsid w:val="00273662"/>
    <w:rsid w:val="00273668"/>
    <w:rsid w:val="0027366F"/>
    <w:rsid w:val="0027380E"/>
    <w:rsid w:val="00273816"/>
    <w:rsid w:val="002738EE"/>
    <w:rsid w:val="00273950"/>
    <w:rsid w:val="0027396A"/>
    <w:rsid w:val="002739AF"/>
    <w:rsid w:val="00273A2E"/>
    <w:rsid w:val="00273ADA"/>
    <w:rsid w:val="00273BD5"/>
    <w:rsid w:val="00273BF5"/>
    <w:rsid w:val="00273C75"/>
    <w:rsid w:val="00273C7F"/>
    <w:rsid w:val="00273D05"/>
    <w:rsid w:val="00273D7B"/>
    <w:rsid w:val="00273D88"/>
    <w:rsid w:val="00273DE5"/>
    <w:rsid w:val="00273E02"/>
    <w:rsid w:val="00273E25"/>
    <w:rsid w:val="00273E5C"/>
    <w:rsid w:val="00273F92"/>
    <w:rsid w:val="00274009"/>
    <w:rsid w:val="00274070"/>
    <w:rsid w:val="002740C2"/>
    <w:rsid w:val="00274101"/>
    <w:rsid w:val="00274113"/>
    <w:rsid w:val="002742F1"/>
    <w:rsid w:val="002742F3"/>
    <w:rsid w:val="002742F6"/>
    <w:rsid w:val="00274382"/>
    <w:rsid w:val="00274478"/>
    <w:rsid w:val="002744CD"/>
    <w:rsid w:val="002744E3"/>
    <w:rsid w:val="00274571"/>
    <w:rsid w:val="002745EB"/>
    <w:rsid w:val="002746A1"/>
    <w:rsid w:val="002746BE"/>
    <w:rsid w:val="002746F9"/>
    <w:rsid w:val="002747E0"/>
    <w:rsid w:val="0027484E"/>
    <w:rsid w:val="00274888"/>
    <w:rsid w:val="0027493E"/>
    <w:rsid w:val="002749A0"/>
    <w:rsid w:val="00274A75"/>
    <w:rsid w:val="00274B02"/>
    <w:rsid w:val="00274C58"/>
    <w:rsid w:val="00274DD8"/>
    <w:rsid w:val="00274DFA"/>
    <w:rsid w:val="00274EE1"/>
    <w:rsid w:val="00274F05"/>
    <w:rsid w:val="00274F13"/>
    <w:rsid w:val="00274F3E"/>
    <w:rsid w:val="00274F51"/>
    <w:rsid w:val="00274FE4"/>
    <w:rsid w:val="0027506B"/>
    <w:rsid w:val="00275093"/>
    <w:rsid w:val="0027509C"/>
    <w:rsid w:val="00275141"/>
    <w:rsid w:val="0027514A"/>
    <w:rsid w:val="0027523F"/>
    <w:rsid w:val="00275253"/>
    <w:rsid w:val="002752C0"/>
    <w:rsid w:val="00275442"/>
    <w:rsid w:val="00275462"/>
    <w:rsid w:val="00275467"/>
    <w:rsid w:val="0027549D"/>
    <w:rsid w:val="002754D9"/>
    <w:rsid w:val="002754E0"/>
    <w:rsid w:val="00275545"/>
    <w:rsid w:val="002756DF"/>
    <w:rsid w:val="00275795"/>
    <w:rsid w:val="002757B5"/>
    <w:rsid w:val="00275831"/>
    <w:rsid w:val="00275871"/>
    <w:rsid w:val="00275893"/>
    <w:rsid w:val="002758AD"/>
    <w:rsid w:val="00275940"/>
    <w:rsid w:val="00275943"/>
    <w:rsid w:val="00275944"/>
    <w:rsid w:val="0027598B"/>
    <w:rsid w:val="0027599E"/>
    <w:rsid w:val="002759D2"/>
    <w:rsid w:val="00275B6A"/>
    <w:rsid w:val="00275BA1"/>
    <w:rsid w:val="00275E1C"/>
    <w:rsid w:val="00275E75"/>
    <w:rsid w:val="00275FA1"/>
    <w:rsid w:val="00275FEE"/>
    <w:rsid w:val="00276025"/>
    <w:rsid w:val="0027609D"/>
    <w:rsid w:val="0027622B"/>
    <w:rsid w:val="00276240"/>
    <w:rsid w:val="00276251"/>
    <w:rsid w:val="00276282"/>
    <w:rsid w:val="002762B3"/>
    <w:rsid w:val="002762F2"/>
    <w:rsid w:val="00276563"/>
    <w:rsid w:val="002765CA"/>
    <w:rsid w:val="002765CB"/>
    <w:rsid w:val="002765ED"/>
    <w:rsid w:val="002766AA"/>
    <w:rsid w:val="0027672D"/>
    <w:rsid w:val="00276741"/>
    <w:rsid w:val="002767D8"/>
    <w:rsid w:val="002768FF"/>
    <w:rsid w:val="00276900"/>
    <w:rsid w:val="0027691E"/>
    <w:rsid w:val="002769E5"/>
    <w:rsid w:val="00276B30"/>
    <w:rsid w:val="00276B97"/>
    <w:rsid w:val="00276CDA"/>
    <w:rsid w:val="00276D96"/>
    <w:rsid w:val="00276E04"/>
    <w:rsid w:val="00276E1C"/>
    <w:rsid w:val="00276E71"/>
    <w:rsid w:val="00276EC4"/>
    <w:rsid w:val="00276EFF"/>
    <w:rsid w:val="00276F11"/>
    <w:rsid w:val="00276F12"/>
    <w:rsid w:val="00277140"/>
    <w:rsid w:val="0027723A"/>
    <w:rsid w:val="00277339"/>
    <w:rsid w:val="00277384"/>
    <w:rsid w:val="00277422"/>
    <w:rsid w:val="00277544"/>
    <w:rsid w:val="00277556"/>
    <w:rsid w:val="0027762A"/>
    <w:rsid w:val="00277643"/>
    <w:rsid w:val="002776BC"/>
    <w:rsid w:val="002776C1"/>
    <w:rsid w:val="00277743"/>
    <w:rsid w:val="00277808"/>
    <w:rsid w:val="0027797C"/>
    <w:rsid w:val="00277A5D"/>
    <w:rsid w:val="00277A7F"/>
    <w:rsid w:val="00277ADE"/>
    <w:rsid w:val="00277B9E"/>
    <w:rsid w:val="00277D32"/>
    <w:rsid w:val="00277D65"/>
    <w:rsid w:val="00277DF1"/>
    <w:rsid w:val="00277DF4"/>
    <w:rsid w:val="00277E5D"/>
    <w:rsid w:val="00277EAC"/>
    <w:rsid w:val="00277F25"/>
    <w:rsid w:val="00277FB1"/>
    <w:rsid w:val="00280040"/>
    <w:rsid w:val="0028007F"/>
    <w:rsid w:val="00280106"/>
    <w:rsid w:val="0028014C"/>
    <w:rsid w:val="00280170"/>
    <w:rsid w:val="00280185"/>
    <w:rsid w:val="002801B8"/>
    <w:rsid w:val="002801D0"/>
    <w:rsid w:val="0028021C"/>
    <w:rsid w:val="002802B1"/>
    <w:rsid w:val="002802F2"/>
    <w:rsid w:val="0028031A"/>
    <w:rsid w:val="0028031F"/>
    <w:rsid w:val="00280373"/>
    <w:rsid w:val="002803A4"/>
    <w:rsid w:val="002803B8"/>
    <w:rsid w:val="00280414"/>
    <w:rsid w:val="00280429"/>
    <w:rsid w:val="002804A6"/>
    <w:rsid w:val="002804DE"/>
    <w:rsid w:val="002804E3"/>
    <w:rsid w:val="002804F1"/>
    <w:rsid w:val="0028050F"/>
    <w:rsid w:val="0028056D"/>
    <w:rsid w:val="002805AE"/>
    <w:rsid w:val="00280672"/>
    <w:rsid w:val="0028067E"/>
    <w:rsid w:val="00280699"/>
    <w:rsid w:val="002807E2"/>
    <w:rsid w:val="002807FE"/>
    <w:rsid w:val="002808ED"/>
    <w:rsid w:val="00280992"/>
    <w:rsid w:val="002809AA"/>
    <w:rsid w:val="00280A01"/>
    <w:rsid w:val="00280B10"/>
    <w:rsid w:val="00280B61"/>
    <w:rsid w:val="00280D0C"/>
    <w:rsid w:val="00280E7A"/>
    <w:rsid w:val="00280E91"/>
    <w:rsid w:val="00280EDE"/>
    <w:rsid w:val="002810B8"/>
    <w:rsid w:val="002810E8"/>
    <w:rsid w:val="0028111E"/>
    <w:rsid w:val="002811A5"/>
    <w:rsid w:val="0028121F"/>
    <w:rsid w:val="00281346"/>
    <w:rsid w:val="0028149B"/>
    <w:rsid w:val="002814D7"/>
    <w:rsid w:val="00281539"/>
    <w:rsid w:val="0028157F"/>
    <w:rsid w:val="0028165E"/>
    <w:rsid w:val="002819A1"/>
    <w:rsid w:val="00281A72"/>
    <w:rsid w:val="00281AA2"/>
    <w:rsid w:val="00281B06"/>
    <w:rsid w:val="00281B1F"/>
    <w:rsid w:val="00281C5D"/>
    <w:rsid w:val="00281C67"/>
    <w:rsid w:val="00281CA9"/>
    <w:rsid w:val="00281D36"/>
    <w:rsid w:val="00281D72"/>
    <w:rsid w:val="00281E2E"/>
    <w:rsid w:val="00281E34"/>
    <w:rsid w:val="00281ECA"/>
    <w:rsid w:val="00281F62"/>
    <w:rsid w:val="00281F76"/>
    <w:rsid w:val="00281F89"/>
    <w:rsid w:val="00281FF4"/>
    <w:rsid w:val="00282052"/>
    <w:rsid w:val="002820F4"/>
    <w:rsid w:val="0028214B"/>
    <w:rsid w:val="00282187"/>
    <w:rsid w:val="002821E0"/>
    <w:rsid w:val="0028222A"/>
    <w:rsid w:val="0028229C"/>
    <w:rsid w:val="00282337"/>
    <w:rsid w:val="0028237B"/>
    <w:rsid w:val="002823AF"/>
    <w:rsid w:val="002823CA"/>
    <w:rsid w:val="00282405"/>
    <w:rsid w:val="00282630"/>
    <w:rsid w:val="002826B0"/>
    <w:rsid w:val="002826B1"/>
    <w:rsid w:val="002826ED"/>
    <w:rsid w:val="002827AE"/>
    <w:rsid w:val="002829F1"/>
    <w:rsid w:val="00282AE5"/>
    <w:rsid w:val="00282AEF"/>
    <w:rsid w:val="00282B3F"/>
    <w:rsid w:val="00282C5F"/>
    <w:rsid w:val="00282D3F"/>
    <w:rsid w:val="00282F55"/>
    <w:rsid w:val="00283058"/>
    <w:rsid w:val="0028305C"/>
    <w:rsid w:val="002830C3"/>
    <w:rsid w:val="0028318C"/>
    <w:rsid w:val="002831A2"/>
    <w:rsid w:val="002831C2"/>
    <w:rsid w:val="0028328D"/>
    <w:rsid w:val="00283317"/>
    <w:rsid w:val="00283395"/>
    <w:rsid w:val="002833C8"/>
    <w:rsid w:val="0028347C"/>
    <w:rsid w:val="0028354F"/>
    <w:rsid w:val="00283638"/>
    <w:rsid w:val="00283671"/>
    <w:rsid w:val="002836A9"/>
    <w:rsid w:val="0028371B"/>
    <w:rsid w:val="00283753"/>
    <w:rsid w:val="002837B7"/>
    <w:rsid w:val="002838AD"/>
    <w:rsid w:val="002838F1"/>
    <w:rsid w:val="0028392C"/>
    <w:rsid w:val="00283962"/>
    <w:rsid w:val="002839B1"/>
    <w:rsid w:val="002839C3"/>
    <w:rsid w:val="00283A55"/>
    <w:rsid w:val="00283ADB"/>
    <w:rsid w:val="00283B13"/>
    <w:rsid w:val="00283B21"/>
    <w:rsid w:val="00283B50"/>
    <w:rsid w:val="00283C36"/>
    <w:rsid w:val="00283CFD"/>
    <w:rsid w:val="00283D49"/>
    <w:rsid w:val="00283D50"/>
    <w:rsid w:val="00283DFD"/>
    <w:rsid w:val="00283E49"/>
    <w:rsid w:val="00283F78"/>
    <w:rsid w:val="00283FD5"/>
    <w:rsid w:val="00283FE1"/>
    <w:rsid w:val="0028410B"/>
    <w:rsid w:val="00284112"/>
    <w:rsid w:val="00284203"/>
    <w:rsid w:val="00284222"/>
    <w:rsid w:val="00284270"/>
    <w:rsid w:val="0028430B"/>
    <w:rsid w:val="0028432D"/>
    <w:rsid w:val="002843E6"/>
    <w:rsid w:val="00284431"/>
    <w:rsid w:val="0028448D"/>
    <w:rsid w:val="0028449F"/>
    <w:rsid w:val="0028456E"/>
    <w:rsid w:val="002846A1"/>
    <w:rsid w:val="00284765"/>
    <w:rsid w:val="0028478E"/>
    <w:rsid w:val="0028480C"/>
    <w:rsid w:val="002848C1"/>
    <w:rsid w:val="002848C5"/>
    <w:rsid w:val="00284982"/>
    <w:rsid w:val="0028498B"/>
    <w:rsid w:val="00284A39"/>
    <w:rsid w:val="00284B88"/>
    <w:rsid w:val="00284CDE"/>
    <w:rsid w:val="00284D0B"/>
    <w:rsid w:val="00284E27"/>
    <w:rsid w:val="00284E62"/>
    <w:rsid w:val="00284F3B"/>
    <w:rsid w:val="00284F59"/>
    <w:rsid w:val="0028502C"/>
    <w:rsid w:val="002850C3"/>
    <w:rsid w:val="002850E0"/>
    <w:rsid w:val="00285192"/>
    <w:rsid w:val="002851A7"/>
    <w:rsid w:val="002851AC"/>
    <w:rsid w:val="00285227"/>
    <w:rsid w:val="00285231"/>
    <w:rsid w:val="002852DF"/>
    <w:rsid w:val="00285378"/>
    <w:rsid w:val="00285411"/>
    <w:rsid w:val="00285660"/>
    <w:rsid w:val="002856F3"/>
    <w:rsid w:val="0028570F"/>
    <w:rsid w:val="00285717"/>
    <w:rsid w:val="00285759"/>
    <w:rsid w:val="0028576E"/>
    <w:rsid w:val="002857FD"/>
    <w:rsid w:val="0028584C"/>
    <w:rsid w:val="00285866"/>
    <w:rsid w:val="002858EE"/>
    <w:rsid w:val="00285962"/>
    <w:rsid w:val="002859DF"/>
    <w:rsid w:val="00285A08"/>
    <w:rsid w:val="00285AC4"/>
    <w:rsid w:val="00285B1B"/>
    <w:rsid w:val="00285B27"/>
    <w:rsid w:val="00285B3E"/>
    <w:rsid w:val="00285B86"/>
    <w:rsid w:val="00285BE4"/>
    <w:rsid w:val="00285C3E"/>
    <w:rsid w:val="00285D4A"/>
    <w:rsid w:val="00285D76"/>
    <w:rsid w:val="00285E8B"/>
    <w:rsid w:val="00286068"/>
    <w:rsid w:val="00286081"/>
    <w:rsid w:val="002860E7"/>
    <w:rsid w:val="00286167"/>
    <w:rsid w:val="00286176"/>
    <w:rsid w:val="0028624C"/>
    <w:rsid w:val="002862CB"/>
    <w:rsid w:val="00286367"/>
    <w:rsid w:val="00286415"/>
    <w:rsid w:val="00286425"/>
    <w:rsid w:val="0028645F"/>
    <w:rsid w:val="00286576"/>
    <w:rsid w:val="002866D9"/>
    <w:rsid w:val="00286749"/>
    <w:rsid w:val="002867A9"/>
    <w:rsid w:val="002867E0"/>
    <w:rsid w:val="00286839"/>
    <w:rsid w:val="00286920"/>
    <w:rsid w:val="00286973"/>
    <w:rsid w:val="002869D8"/>
    <w:rsid w:val="00286A6F"/>
    <w:rsid w:val="00286A94"/>
    <w:rsid w:val="00286BC7"/>
    <w:rsid w:val="00286D33"/>
    <w:rsid w:val="00286D37"/>
    <w:rsid w:val="00286DE1"/>
    <w:rsid w:val="00286DEC"/>
    <w:rsid w:val="00286E11"/>
    <w:rsid w:val="00286E47"/>
    <w:rsid w:val="00286E4F"/>
    <w:rsid w:val="00286EFD"/>
    <w:rsid w:val="00287117"/>
    <w:rsid w:val="0028711E"/>
    <w:rsid w:val="002871E4"/>
    <w:rsid w:val="002871FC"/>
    <w:rsid w:val="00287221"/>
    <w:rsid w:val="0028722B"/>
    <w:rsid w:val="0028722D"/>
    <w:rsid w:val="00287307"/>
    <w:rsid w:val="0028730A"/>
    <w:rsid w:val="0028733B"/>
    <w:rsid w:val="0028733D"/>
    <w:rsid w:val="0028735A"/>
    <w:rsid w:val="0028745F"/>
    <w:rsid w:val="0028768E"/>
    <w:rsid w:val="002876A0"/>
    <w:rsid w:val="00287701"/>
    <w:rsid w:val="0028781F"/>
    <w:rsid w:val="00287871"/>
    <w:rsid w:val="002878B3"/>
    <w:rsid w:val="00287A09"/>
    <w:rsid w:val="00287B9D"/>
    <w:rsid w:val="00287BAE"/>
    <w:rsid w:val="00287BF1"/>
    <w:rsid w:val="00287C2F"/>
    <w:rsid w:val="00287CBB"/>
    <w:rsid w:val="00287CC1"/>
    <w:rsid w:val="00287CCA"/>
    <w:rsid w:val="00287CE2"/>
    <w:rsid w:val="00287D16"/>
    <w:rsid w:val="00287D4B"/>
    <w:rsid w:val="00287D66"/>
    <w:rsid w:val="00287DD8"/>
    <w:rsid w:val="00287E09"/>
    <w:rsid w:val="00287E47"/>
    <w:rsid w:val="00287E62"/>
    <w:rsid w:val="00290014"/>
    <w:rsid w:val="0029016B"/>
    <w:rsid w:val="002901C3"/>
    <w:rsid w:val="002901DC"/>
    <w:rsid w:val="00290225"/>
    <w:rsid w:val="0029043C"/>
    <w:rsid w:val="002904C7"/>
    <w:rsid w:val="00290596"/>
    <w:rsid w:val="0029073E"/>
    <w:rsid w:val="0029076A"/>
    <w:rsid w:val="002907C7"/>
    <w:rsid w:val="002907C9"/>
    <w:rsid w:val="002908A0"/>
    <w:rsid w:val="002908D2"/>
    <w:rsid w:val="00290943"/>
    <w:rsid w:val="00290BF3"/>
    <w:rsid w:val="00290D07"/>
    <w:rsid w:val="0029103B"/>
    <w:rsid w:val="00291059"/>
    <w:rsid w:val="0029114C"/>
    <w:rsid w:val="002912CF"/>
    <w:rsid w:val="0029136B"/>
    <w:rsid w:val="002913EA"/>
    <w:rsid w:val="002914E2"/>
    <w:rsid w:val="0029150E"/>
    <w:rsid w:val="00291644"/>
    <w:rsid w:val="00291685"/>
    <w:rsid w:val="00291784"/>
    <w:rsid w:val="002918AA"/>
    <w:rsid w:val="002918D3"/>
    <w:rsid w:val="00291934"/>
    <w:rsid w:val="00291AAD"/>
    <w:rsid w:val="00291AAE"/>
    <w:rsid w:val="00291B50"/>
    <w:rsid w:val="00291B7E"/>
    <w:rsid w:val="00291C40"/>
    <w:rsid w:val="00291C69"/>
    <w:rsid w:val="00291C7F"/>
    <w:rsid w:val="00291D10"/>
    <w:rsid w:val="00291DD8"/>
    <w:rsid w:val="00291DE9"/>
    <w:rsid w:val="00291DFB"/>
    <w:rsid w:val="00291E50"/>
    <w:rsid w:val="00291E8F"/>
    <w:rsid w:val="00291EA1"/>
    <w:rsid w:val="00291EFB"/>
    <w:rsid w:val="00291F51"/>
    <w:rsid w:val="00291F88"/>
    <w:rsid w:val="0029203C"/>
    <w:rsid w:val="00292117"/>
    <w:rsid w:val="0029218D"/>
    <w:rsid w:val="00292192"/>
    <w:rsid w:val="002921B1"/>
    <w:rsid w:val="0029221B"/>
    <w:rsid w:val="00292429"/>
    <w:rsid w:val="0029248E"/>
    <w:rsid w:val="002925A7"/>
    <w:rsid w:val="0029266D"/>
    <w:rsid w:val="0029267A"/>
    <w:rsid w:val="002926BE"/>
    <w:rsid w:val="002926D4"/>
    <w:rsid w:val="00292793"/>
    <w:rsid w:val="002927F9"/>
    <w:rsid w:val="00292854"/>
    <w:rsid w:val="00292930"/>
    <w:rsid w:val="0029299C"/>
    <w:rsid w:val="00292A79"/>
    <w:rsid w:val="00292A7C"/>
    <w:rsid w:val="00292B0B"/>
    <w:rsid w:val="00292BAE"/>
    <w:rsid w:val="00292BD9"/>
    <w:rsid w:val="00292C05"/>
    <w:rsid w:val="00292DAF"/>
    <w:rsid w:val="00293015"/>
    <w:rsid w:val="002930E5"/>
    <w:rsid w:val="00293117"/>
    <w:rsid w:val="00293162"/>
    <w:rsid w:val="002931EE"/>
    <w:rsid w:val="00293200"/>
    <w:rsid w:val="00293255"/>
    <w:rsid w:val="00293267"/>
    <w:rsid w:val="002932B7"/>
    <w:rsid w:val="00293412"/>
    <w:rsid w:val="0029341F"/>
    <w:rsid w:val="00293438"/>
    <w:rsid w:val="00293442"/>
    <w:rsid w:val="00293494"/>
    <w:rsid w:val="002934B8"/>
    <w:rsid w:val="002934F3"/>
    <w:rsid w:val="002935A0"/>
    <w:rsid w:val="002935C1"/>
    <w:rsid w:val="002936EC"/>
    <w:rsid w:val="0029371E"/>
    <w:rsid w:val="00293724"/>
    <w:rsid w:val="0029373C"/>
    <w:rsid w:val="00293756"/>
    <w:rsid w:val="00293777"/>
    <w:rsid w:val="00293795"/>
    <w:rsid w:val="00293797"/>
    <w:rsid w:val="002937EF"/>
    <w:rsid w:val="00293887"/>
    <w:rsid w:val="00293888"/>
    <w:rsid w:val="002938DA"/>
    <w:rsid w:val="002938ED"/>
    <w:rsid w:val="0029393D"/>
    <w:rsid w:val="00293988"/>
    <w:rsid w:val="0029398C"/>
    <w:rsid w:val="00293AD4"/>
    <w:rsid w:val="00293B2D"/>
    <w:rsid w:val="00293B89"/>
    <w:rsid w:val="00293C5F"/>
    <w:rsid w:val="00293CA1"/>
    <w:rsid w:val="00293D64"/>
    <w:rsid w:val="00293DF7"/>
    <w:rsid w:val="00293E29"/>
    <w:rsid w:val="00293E38"/>
    <w:rsid w:val="00293E5C"/>
    <w:rsid w:val="00293ECB"/>
    <w:rsid w:val="00293F45"/>
    <w:rsid w:val="00293F5E"/>
    <w:rsid w:val="00293F87"/>
    <w:rsid w:val="00294086"/>
    <w:rsid w:val="0029411F"/>
    <w:rsid w:val="00294133"/>
    <w:rsid w:val="00294228"/>
    <w:rsid w:val="00294278"/>
    <w:rsid w:val="002942AA"/>
    <w:rsid w:val="00294320"/>
    <w:rsid w:val="002943CE"/>
    <w:rsid w:val="002943D5"/>
    <w:rsid w:val="002943FB"/>
    <w:rsid w:val="00294441"/>
    <w:rsid w:val="002944EF"/>
    <w:rsid w:val="00294597"/>
    <w:rsid w:val="002945A3"/>
    <w:rsid w:val="002945F9"/>
    <w:rsid w:val="00294633"/>
    <w:rsid w:val="0029478C"/>
    <w:rsid w:val="00294947"/>
    <w:rsid w:val="0029498C"/>
    <w:rsid w:val="00294B22"/>
    <w:rsid w:val="00294B90"/>
    <w:rsid w:val="00294BC9"/>
    <w:rsid w:val="00294C25"/>
    <w:rsid w:val="00294D22"/>
    <w:rsid w:val="00294D45"/>
    <w:rsid w:val="00294D48"/>
    <w:rsid w:val="00294D89"/>
    <w:rsid w:val="00294DAB"/>
    <w:rsid w:val="00294DC7"/>
    <w:rsid w:val="00294E4D"/>
    <w:rsid w:val="00294E4F"/>
    <w:rsid w:val="00294E7D"/>
    <w:rsid w:val="00294F86"/>
    <w:rsid w:val="00294FA5"/>
    <w:rsid w:val="00295065"/>
    <w:rsid w:val="002951D0"/>
    <w:rsid w:val="00295267"/>
    <w:rsid w:val="00295268"/>
    <w:rsid w:val="002952D5"/>
    <w:rsid w:val="00295306"/>
    <w:rsid w:val="00295358"/>
    <w:rsid w:val="002953E9"/>
    <w:rsid w:val="00295485"/>
    <w:rsid w:val="002955C3"/>
    <w:rsid w:val="00295670"/>
    <w:rsid w:val="00295690"/>
    <w:rsid w:val="002956BB"/>
    <w:rsid w:val="00295740"/>
    <w:rsid w:val="002957B3"/>
    <w:rsid w:val="002957BF"/>
    <w:rsid w:val="002957F7"/>
    <w:rsid w:val="002958FE"/>
    <w:rsid w:val="00295939"/>
    <w:rsid w:val="00295943"/>
    <w:rsid w:val="00295BA7"/>
    <w:rsid w:val="00295CD7"/>
    <w:rsid w:val="00295DAA"/>
    <w:rsid w:val="00295E29"/>
    <w:rsid w:val="00295FD1"/>
    <w:rsid w:val="00296056"/>
    <w:rsid w:val="00296086"/>
    <w:rsid w:val="002960AE"/>
    <w:rsid w:val="00296191"/>
    <w:rsid w:val="002961B3"/>
    <w:rsid w:val="002961C4"/>
    <w:rsid w:val="0029625B"/>
    <w:rsid w:val="002962F7"/>
    <w:rsid w:val="00296303"/>
    <w:rsid w:val="0029633C"/>
    <w:rsid w:val="002963B5"/>
    <w:rsid w:val="002964E0"/>
    <w:rsid w:val="00296503"/>
    <w:rsid w:val="00296596"/>
    <w:rsid w:val="002965B5"/>
    <w:rsid w:val="002965DC"/>
    <w:rsid w:val="00296606"/>
    <w:rsid w:val="002966AD"/>
    <w:rsid w:val="0029673C"/>
    <w:rsid w:val="002967F4"/>
    <w:rsid w:val="00296832"/>
    <w:rsid w:val="0029689A"/>
    <w:rsid w:val="0029691C"/>
    <w:rsid w:val="002969F5"/>
    <w:rsid w:val="00296A0C"/>
    <w:rsid w:val="00296A81"/>
    <w:rsid w:val="00296A93"/>
    <w:rsid w:val="00296BBB"/>
    <w:rsid w:val="00296C10"/>
    <w:rsid w:val="00296C4F"/>
    <w:rsid w:val="00296C66"/>
    <w:rsid w:val="00296C96"/>
    <w:rsid w:val="00296CEE"/>
    <w:rsid w:val="00296D02"/>
    <w:rsid w:val="00296D03"/>
    <w:rsid w:val="00296E00"/>
    <w:rsid w:val="00296E5E"/>
    <w:rsid w:val="00296E99"/>
    <w:rsid w:val="00296EBA"/>
    <w:rsid w:val="00296F99"/>
    <w:rsid w:val="00297039"/>
    <w:rsid w:val="0029704F"/>
    <w:rsid w:val="002970D4"/>
    <w:rsid w:val="002970DE"/>
    <w:rsid w:val="00297132"/>
    <w:rsid w:val="002971A9"/>
    <w:rsid w:val="00297252"/>
    <w:rsid w:val="002972D6"/>
    <w:rsid w:val="002972DF"/>
    <w:rsid w:val="0029737B"/>
    <w:rsid w:val="00297445"/>
    <w:rsid w:val="00297490"/>
    <w:rsid w:val="00297512"/>
    <w:rsid w:val="00297569"/>
    <w:rsid w:val="00297584"/>
    <w:rsid w:val="00297669"/>
    <w:rsid w:val="002976A8"/>
    <w:rsid w:val="002976E9"/>
    <w:rsid w:val="002976F6"/>
    <w:rsid w:val="00297797"/>
    <w:rsid w:val="002977A7"/>
    <w:rsid w:val="0029782D"/>
    <w:rsid w:val="00297864"/>
    <w:rsid w:val="002978FB"/>
    <w:rsid w:val="0029790E"/>
    <w:rsid w:val="0029795F"/>
    <w:rsid w:val="002979FD"/>
    <w:rsid w:val="00297A42"/>
    <w:rsid w:val="00297AA0"/>
    <w:rsid w:val="00297C43"/>
    <w:rsid w:val="00297D01"/>
    <w:rsid w:val="00297DF2"/>
    <w:rsid w:val="00297EBA"/>
    <w:rsid w:val="00297EEA"/>
    <w:rsid w:val="00297EF9"/>
    <w:rsid w:val="00297F92"/>
    <w:rsid w:val="002A0074"/>
    <w:rsid w:val="002A0131"/>
    <w:rsid w:val="002A01BD"/>
    <w:rsid w:val="002A02C2"/>
    <w:rsid w:val="002A041A"/>
    <w:rsid w:val="002A0466"/>
    <w:rsid w:val="002A04DB"/>
    <w:rsid w:val="002A0626"/>
    <w:rsid w:val="002A0666"/>
    <w:rsid w:val="002A084E"/>
    <w:rsid w:val="002A0897"/>
    <w:rsid w:val="002A096C"/>
    <w:rsid w:val="002A0974"/>
    <w:rsid w:val="002A0A53"/>
    <w:rsid w:val="002A0B0A"/>
    <w:rsid w:val="002A0B2A"/>
    <w:rsid w:val="002A0BEF"/>
    <w:rsid w:val="002A0C1D"/>
    <w:rsid w:val="002A0C80"/>
    <w:rsid w:val="002A0CC3"/>
    <w:rsid w:val="002A0D5B"/>
    <w:rsid w:val="002A0D64"/>
    <w:rsid w:val="002A0D77"/>
    <w:rsid w:val="002A0DE7"/>
    <w:rsid w:val="002A0E37"/>
    <w:rsid w:val="002A0E43"/>
    <w:rsid w:val="002A0E53"/>
    <w:rsid w:val="002A0E7F"/>
    <w:rsid w:val="002A0ED1"/>
    <w:rsid w:val="002A0F13"/>
    <w:rsid w:val="002A0FCB"/>
    <w:rsid w:val="002A0FF1"/>
    <w:rsid w:val="002A1032"/>
    <w:rsid w:val="002A104D"/>
    <w:rsid w:val="002A10F1"/>
    <w:rsid w:val="002A1150"/>
    <w:rsid w:val="002A119D"/>
    <w:rsid w:val="002A11B6"/>
    <w:rsid w:val="002A1280"/>
    <w:rsid w:val="002A1305"/>
    <w:rsid w:val="002A133A"/>
    <w:rsid w:val="002A1394"/>
    <w:rsid w:val="002A140C"/>
    <w:rsid w:val="002A143A"/>
    <w:rsid w:val="002A16EC"/>
    <w:rsid w:val="002A1742"/>
    <w:rsid w:val="002A178A"/>
    <w:rsid w:val="002A1858"/>
    <w:rsid w:val="002A189F"/>
    <w:rsid w:val="002A18D1"/>
    <w:rsid w:val="002A18FB"/>
    <w:rsid w:val="002A192A"/>
    <w:rsid w:val="002A198A"/>
    <w:rsid w:val="002A19AE"/>
    <w:rsid w:val="002A19E4"/>
    <w:rsid w:val="002A1A12"/>
    <w:rsid w:val="002A1B30"/>
    <w:rsid w:val="002A1BA1"/>
    <w:rsid w:val="002A1C4B"/>
    <w:rsid w:val="002A1CF1"/>
    <w:rsid w:val="002A1E04"/>
    <w:rsid w:val="002A1F88"/>
    <w:rsid w:val="002A1FDB"/>
    <w:rsid w:val="002A1FE9"/>
    <w:rsid w:val="002A2163"/>
    <w:rsid w:val="002A21D1"/>
    <w:rsid w:val="002A221D"/>
    <w:rsid w:val="002A2297"/>
    <w:rsid w:val="002A22A2"/>
    <w:rsid w:val="002A2318"/>
    <w:rsid w:val="002A2333"/>
    <w:rsid w:val="002A23B0"/>
    <w:rsid w:val="002A23C9"/>
    <w:rsid w:val="002A2407"/>
    <w:rsid w:val="002A241D"/>
    <w:rsid w:val="002A24B6"/>
    <w:rsid w:val="002A2548"/>
    <w:rsid w:val="002A27E8"/>
    <w:rsid w:val="002A282A"/>
    <w:rsid w:val="002A28F1"/>
    <w:rsid w:val="002A299E"/>
    <w:rsid w:val="002A2A95"/>
    <w:rsid w:val="002A2AEC"/>
    <w:rsid w:val="002A2BA7"/>
    <w:rsid w:val="002A2BE7"/>
    <w:rsid w:val="002A2C2B"/>
    <w:rsid w:val="002A2C2D"/>
    <w:rsid w:val="002A2CFA"/>
    <w:rsid w:val="002A2D85"/>
    <w:rsid w:val="002A2E13"/>
    <w:rsid w:val="002A2E32"/>
    <w:rsid w:val="002A2E4D"/>
    <w:rsid w:val="002A2E64"/>
    <w:rsid w:val="002A2E87"/>
    <w:rsid w:val="002A2ED2"/>
    <w:rsid w:val="002A2FB8"/>
    <w:rsid w:val="002A3007"/>
    <w:rsid w:val="002A3085"/>
    <w:rsid w:val="002A319B"/>
    <w:rsid w:val="002A31F7"/>
    <w:rsid w:val="002A322C"/>
    <w:rsid w:val="002A323C"/>
    <w:rsid w:val="002A3240"/>
    <w:rsid w:val="002A3319"/>
    <w:rsid w:val="002A3431"/>
    <w:rsid w:val="002A34EA"/>
    <w:rsid w:val="002A34FF"/>
    <w:rsid w:val="002A3578"/>
    <w:rsid w:val="002A363F"/>
    <w:rsid w:val="002A3661"/>
    <w:rsid w:val="002A3668"/>
    <w:rsid w:val="002A36E3"/>
    <w:rsid w:val="002A3722"/>
    <w:rsid w:val="002A37B7"/>
    <w:rsid w:val="002A3817"/>
    <w:rsid w:val="002A38AE"/>
    <w:rsid w:val="002A38B3"/>
    <w:rsid w:val="002A3930"/>
    <w:rsid w:val="002A39EB"/>
    <w:rsid w:val="002A3A93"/>
    <w:rsid w:val="002A3A96"/>
    <w:rsid w:val="002A3B10"/>
    <w:rsid w:val="002A3B21"/>
    <w:rsid w:val="002A3B2A"/>
    <w:rsid w:val="002A3ECA"/>
    <w:rsid w:val="002A3F9B"/>
    <w:rsid w:val="002A400E"/>
    <w:rsid w:val="002A4104"/>
    <w:rsid w:val="002A412D"/>
    <w:rsid w:val="002A4166"/>
    <w:rsid w:val="002A4276"/>
    <w:rsid w:val="002A4362"/>
    <w:rsid w:val="002A4377"/>
    <w:rsid w:val="002A43F0"/>
    <w:rsid w:val="002A4448"/>
    <w:rsid w:val="002A448C"/>
    <w:rsid w:val="002A449E"/>
    <w:rsid w:val="002A44A9"/>
    <w:rsid w:val="002A4565"/>
    <w:rsid w:val="002A456F"/>
    <w:rsid w:val="002A4582"/>
    <w:rsid w:val="002A45EF"/>
    <w:rsid w:val="002A45FE"/>
    <w:rsid w:val="002A4605"/>
    <w:rsid w:val="002A468F"/>
    <w:rsid w:val="002A46AD"/>
    <w:rsid w:val="002A46D9"/>
    <w:rsid w:val="002A4701"/>
    <w:rsid w:val="002A472A"/>
    <w:rsid w:val="002A47DD"/>
    <w:rsid w:val="002A483C"/>
    <w:rsid w:val="002A48B5"/>
    <w:rsid w:val="002A4955"/>
    <w:rsid w:val="002A4979"/>
    <w:rsid w:val="002A4AE4"/>
    <w:rsid w:val="002A4B1A"/>
    <w:rsid w:val="002A4B6B"/>
    <w:rsid w:val="002A4BBF"/>
    <w:rsid w:val="002A4C06"/>
    <w:rsid w:val="002A4C0E"/>
    <w:rsid w:val="002A4CBD"/>
    <w:rsid w:val="002A4CEA"/>
    <w:rsid w:val="002A4D05"/>
    <w:rsid w:val="002A4D0F"/>
    <w:rsid w:val="002A4D8A"/>
    <w:rsid w:val="002A4E3E"/>
    <w:rsid w:val="002A4F3E"/>
    <w:rsid w:val="002A502A"/>
    <w:rsid w:val="002A508E"/>
    <w:rsid w:val="002A5233"/>
    <w:rsid w:val="002A5234"/>
    <w:rsid w:val="002A5275"/>
    <w:rsid w:val="002A5292"/>
    <w:rsid w:val="002A52AC"/>
    <w:rsid w:val="002A5309"/>
    <w:rsid w:val="002A5356"/>
    <w:rsid w:val="002A538C"/>
    <w:rsid w:val="002A539D"/>
    <w:rsid w:val="002A5426"/>
    <w:rsid w:val="002A5438"/>
    <w:rsid w:val="002A54BD"/>
    <w:rsid w:val="002A54CC"/>
    <w:rsid w:val="002A54D9"/>
    <w:rsid w:val="002A5507"/>
    <w:rsid w:val="002A5584"/>
    <w:rsid w:val="002A55DD"/>
    <w:rsid w:val="002A5610"/>
    <w:rsid w:val="002A562E"/>
    <w:rsid w:val="002A5760"/>
    <w:rsid w:val="002A577D"/>
    <w:rsid w:val="002A579D"/>
    <w:rsid w:val="002A58BC"/>
    <w:rsid w:val="002A58E6"/>
    <w:rsid w:val="002A59AE"/>
    <w:rsid w:val="002A59BF"/>
    <w:rsid w:val="002A5A56"/>
    <w:rsid w:val="002A5A63"/>
    <w:rsid w:val="002A5B33"/>
    <w:rsid w:val="002A5C25"/>
    <w:rsid w:val="002A5C46"/>
    <w:rsid w:val="002A5C79"/>
    <w:rsid w:val="002A5CA9"/>
    <w:rsid w:val="002A5D88"/>
    <w:rsid w:val="002A5E42"/>
    <w:rsid w:val="002A5FBE"/>
    <w:rsid w:val="002A6035"/>
    <w:rsid w:val="002A6077"/>
    <w:rsid w:val="002A60E2"/>
    <w:rsid w:val="002A618A"/>
    <w:rsid w:val="002A61D3"/>
    <w:rsid w:val="002A6281"/>
    <w:rsid w:val="002A62A2"/>
    <w:rsid w:val="002A62F9"/>
    <w:rsid w:val="002A6328"/>
    <w:rsid w:val="002A6350"/>
    <w:rsid w:val="002A639C"/>
    <w:rsid w:val="002A639D"/>
    <w:rsid w:val="002A6437"/>
    <w:rsid w:val="002A643E"/>
    <w:rsid w:val="002A6483"/>
    <w:rsid w:val="002A6579"/>
    <w:rsid w:val="002A657F"/>
    <w:rsid w:val="002A6699"/>
    <w:rsid w:val="002A67AC"/>
    <w:rsid w:val="002A67EC"/>
    <w:rsid w:val="002A682C"/>
    <w:rsid w:val="002A68C6"/>
    <w:rsid w:val="002A692C"/>
    <w:rsid w:val="002A69A4"/>
    <w:rsid w:val="002A6A04"/>
    <w:rsid w:val="002A6A3A"/>
    <w:rsid w:val="002A6A4E"/>
    <w:rsid w:val="002A6A67"/>
    <w:rsid w:val="002A6A9F"/>
    <w:rsid w:val="002A6ABE"/>
    <w:rsid w:val="002A6ADF"/>
    <w:rsid w:val="002A6AF9"/>
    <w:rsid w:val="002A6B99"/>
    <w:rsid w:val="002A6BA4"/>
    <w:rsid w:val="002A6C5E"/>
    <w:rsid w:val="002A6C72"/>
    <w:rsid w:val="002A6C90"/>
    <w:rsid w:val="002A6CCC"/>
    <w:rsid w:val="002A6CDC"/>
    <w:rsid w:val="002A6D61"/>
    <w:rsid w:val="002A6D66"/>
    <w:rsid w:val="002A6DD2"/>
    <w:rsid w:val="002A6E0E"/>
    <w:rsid w:val="002A6F88"/>
    <w:rsid w:val="002A6FA1"/>
    <w:rsid w:val="002A6FDC"/>
    <w:rsid w:val="002A7095"/>
    <w:rsid w:val="002A70F3"/>
    <w:rsid w:val="002A7108"/>
    <w:rsid w:val="002A713B"/>
    <w:rsid w:val="002A719A"/>
    <w:rsid w:val="002A725F"/>
    <w:rsid w:val="002A7265"/>
    <w:rsid w:val="002A729A"/>
    <w:rsid w:val="002A73C2"/>
    <w:rsid w:val="002A73EC"/>
    <w:rsid w:val="002A743A"/>
    <w:rsid w:val="002A7583"/>
    <w:rsid w:val="002A7598"/>
    <w:rsid w:val="002A7675"/>
    <w:rsid w:val="002A7756"/>
    <w:rsid w:val="002A784D"/>
    <w:rsid w:val="002A7926"/>
    <w:rsid w:val="002A793D"/>
    <w:rsid w:val="002A7941"/>
    <w:rsid w:val="002A79AE"/>
    <w:rsid w:val="002A79CD"/>
    <w:rsid w:val="002A7A28"/>
    <w:rsid w:val="002A7A5F"/>
    <w:rsid w:val="002A7A88"/>
    <w:rsid w:val="002A7AE8"/>
    <w:rsid w:val="002A7BA8"/>
    <w:rsid w:val="002A7BB3"/>
    <w:rsid w:val="002A7BCD"/>
    <w:rsid w:val="002A7BE0"/>
    <w:rsid w:val="002A7CCC"/>
    <w:rsid w:val="002A7D06"/>
    <w:rsid w:val="002A7E23"/>
    <w:rsid w:val="002A7EC2"/>
    <w:rsid w:val="002A7EC3"/>
    <w:rsid w:val="002A7EE2"/>
    <w:rsid w:val="002A7F57"/>
    <w:rsid w:val="002A7F62"/>
    <w:rsid w:val="002B003E"/>
    <w:rsid w:val="002B007A"/>
    <w:rsid w:val="002B012D"/>
    <w:rsid w:val="002B016F"/>
    <w:rsid w:val="002B0237"/>
    <w:rsid w:val="002B02D4"/>
    <w:rsid w:val="002B031E"/>
    <w:rsid w:val="002B034D"/>
    <w:rsid w:val="002B0408"/>
    <w:rsid w:val="002B0557"/>
    <w:rsid w:val="002B073B"/>
    <w:rsid w:val="002B0794"/>
    <w:rsid w:val="002B07D6"/>
    <w:rsid w:val="002B0838"/>
    <w:rsid w:val="002B0875"/>
    <w:rsid w:val="002B0943"/>
    <w:rsid w:val="002B0A9B"/>
    <w:rsid w:val="002B0AEC"/>
    <w:rsid w:val="002B0C39"/>
    <w:rsid w:val="002B0C52"/>
    <w:rsid w:val="002B0D55"/>
    <w:rsid w:val="002B0E04"/>
    <w:rsid w:val="002B0E4E"/>
    <w:rsid w:val="002B0EBF"/>
    <w:rsid w:val="002B0F21"/>
    <w:rsid w:val="002B0F70"/>
    <w:rsid w:val="002B0F94"/>
    <w:rsid w:val="002B0FD3"/>
    <w:rsid w:val="002B1109"/>
    <w:rsid w:val="002B1143"/>
    <w:rsid w:val="002B1171"/>
    <w:rsid w:val="002B12AB"/>
    <w:rsid w:val="002B1360"/>
    <w:rsid w:val="002B1486"/>
    <w:rsid w:val="002B1490"/>
    <w:rsid w:val="002B1601"/>
    <w:rsid w:val="002B16BC"/>
    <w:rsid w:val="002B170B"/>
    <w:rsid w:val="002B1735"/>
    <w:rsid w:val="002B1741"/>
    <w:rsid w:val="002B177C"/>
    <w:rsid w:val="002B179B"/>
    <w:rsid w:val="002B17B6"/>
    <w:rsid w:val="002B17EE"/>
    <w:rsid w:val="002B1954"/>
    <w:rsid w:val="002B1A18"/>
    <w:rsid w:val="002B1A5D"/>
    <w:rsid w:val="002B1B04"/>
    <w:rsid w:val="002B1B86"/>
    <w:rsid w:val="002B1CDF"/>
    <w:rsid w:val="002B1DBA"/>
    <w:rsid w:val="002B1E7D"/>
    <w:rsid w:val="002B1F06"/>
    <w:rsid w:val="002B1F90"/>
    <w:rsid w:val="002B1FFA"/>
    <w:rsid w:val="002B20C9"/>
    <w:rsid w:val="002B213C"/>
    <w:rsid w:val="002B2184"/>
    <w:rsid w:val="002B2284"/>
    <w:rsid w:val="002B251D"/>
    <w:rsid w:val="002B258B"/>
    <w:rsid w:val="002B25DB"/>
    <w:rsid w:val="002B268C"/>
    <w:rsid w:val="002B26C2"/>
    <w:rsid w:val="002B2715"/>
    <w:rsid w:val="002B2726"/>
    <w:rsid w:val="002B272D"/>
    <w:rsid w:val="002B27FD"/>
    <w:rsid w:val="002B2853"/>
    <w:rsid w:val="002B2857"/>
    <w:rsid w:val="002B28D4"/>
    <w:rsid w:val="002B2970"/>
    <w:rsid w:val="002B29A9"/>
    <w:rsid w:val="002B29DE"/>
    <w:rsid w:val="002B2A4E"/>
    <w:rsid w:val="002B2B00"/>
    <w:rsid w:val="002B2B44"/>
    <w:rsid w:val="002B2BFF"/>
    <w:rsid w:val="002B2CEE"/>
    <w:rsid w:val="002B2D52"/>
    <w:rsid w:val="002B2E79"/>
    <w:rsid w:val="002B2EFB"/>
    <w:rsid w:val="002B2F2A"/>
    <w:rsid w:val="002B2FA0"/>
    <w:rsid w:val="002B3060"/>
    <w:rsid w:val="002B308C"/>
    <w:rsid w:val="002B30C6"/>
    <w:rsid w:val="002B3139"/>
    <w:rsid w:val="002B326C"/>
    <w:rsid w:val="002B3284"/>
    <w:rsid w:val="002B33A4"/>
    <w:rsid w:val="002B3495"/>
    <w:rsid w:val="002B36A3"/>
    <w:rsid w:val="002B36BA"/>
    <w:rsid w:val="002B3805"/>
    <w:rsid w:val="002B381B"/>
    <w:rsid w:val="002B38A1"/>
    <w:rsid w:val="002B3949"/>
    <w:rsid w:val="002B3969"/>
    <w:rsid w:val="002B3997"/>
    <w:rsid w:val="002B39D3"/>
    <w:rsid w:val="002B3A32"/>
    <w:rsid w:val="002B3B0F"/>
    <w:rsid w:val="002B3BE1"/>
    <w:rsid w:val="002B3C32"/>
    <w:rsid w:val="002B3C44"/>
    <w:rsid w:val="002B3C66"/>
    <w:rsid w:val="002B3CDC"/>
    <w:rsid w:val="002B3CED"/>
    <w:rsid w:val="002B3D07"/>
    <w:rsid w:val="002B3D0C"/>
    <w:rsid w:val="002B3D1C"/>
    <w:rsid w:val="002B3D61"/>
    <w:rsid w:val="002B3D72"/>
    <w:rsid w:val="002B3DA4"/>
    <w:rsid w:val="002B3FBD"/>
    <w:rsid w:val="002B4065"/>
    <w:rsid w:val="002B4097"/>
    <w:rsid w:val="002B4113"/>
    <w:rsid w:val="002B41B1"/>
    <w:rsid w:val="002B420D"/>
    <w:rsid w:val="002B4298"/>
    <w:rsid w:val="002B42A8"/>
    <w:rsid w:val="002B42C0"/>
    <w:rsid w:val="002B42E8"/>
    <w:rsid w:val="002B43C0"/>
    <w:rsid w:val="002B4402"/>
    <w:rsid w:val="002B440F"/>
    <w:rsid w:val="002B4484"/>
    <w:rsid w:val="002B450F"/>
    <w:rsid w:val="002B4529"/>
    <w:rsid w:val="002B4584"/>
    <w:rsid w:val="002B459A"/>
    <w:rsid w:val="002B45A3"/>
    <w:rsid w:val="002B45DD"/>
    <w:rsid w:val="002B465E"/>
    <w:rsid w:val="002B46D4"/>
    <w:rsid w:val="002B46E1"/>
    <w:rsid w:val="002B46FF"/>
    <w:rsid w:val="002B4754"/>
    <w:rsid w:val="002B47A0"/>
    <w:rsid w:val="002B483D"/>
    <w:rsid w:val="002B4872"/>
    <w:rsid w:val="002B48AF"/>
    <w:rsid w:val="002B4910"/>
    <w:rsid w:val="002B4A74"/>
    <w:rsid w:val="002B4AEC"/>
    <w:rsid w:val="002B4B10"/>
    <w:rsid w:val="002B4BDC"/>
    <w:rsid w:val="002B4C7D"/>
    <w:rsid w:val="002B4CC3"/>
    <w:rsid w:val="002B4D32"/>
    <w:rsid w:val="002B4E1A"/>
    <w:rsid w:val="002B4E8A"/>
    <w:rsid w:val="002B4EDA"/>
    <w:rsid w:val="002B4F98"/>
    <w:rsid w:val="002B4FC8"/>
    <w:rsid w:val="002B502A"/>
    <w:rsid w:val="002B50AD"/>
    <w:rsid w:val="002B510A"/>
    <w:rsid w:val="002B523B"/>
    <w:rsid w:val="002B5286"/>
    <w:rsid w:val="002B532D"/>
    <w:rsid w:val="002B5374"/>
    <w:rsid w:val="002B5564"/>
    <w:rsid w:val="002B5574"/>
    <w:rsid w:val="002B5603"/>
    <w:rsid w:val="002B562D"/>
    <w:rsid w:val="002B5681"/>
    <w:rsid w:val="002B56D5"/>
    <w:rsid w:val="002B570F"/>
    <w:rsid w:val="002B574B"/>
    <w:rsid w:val="002B5760"/>
    <w:rsid w:val="002B5765"/>
    <w:rsid w:val="002B586C"/>
    <w:rsid w:val="002B58E0"/>
    <w:rsid w:val="002B58E9"/>
    <w:rsid w:val="002B5937"/>
    <w:rsid w:val="002B596A"/>
    <w:rsid w:val="002B59D9"/>
    <w:rsid w:val="002B59F5"/>
    <w:rsid w:val="002B5AE7"/>
    <w:rsid w:val="002B5B33"/>
    <w:rsid w:val="002B5B72"/>
    <w:rsid w:val="002B5BA5"/>
    <w:rsid w:val="002B5C14"/>
    <w:rsid w:val="002B5C81"/>
    <w:rsid w:val="002B5CB8"/>
    <w:rsid w:val="002B5CBF"/>
    <w:rsid w:val="002B5CC4"/>
    <w:rsid w:val="002B5CC8"/>
    <w:rsid w:val="002B5D78"/>
    <w:rsid w:val="002B5DA9"/>
    <w:rsid w:val="002B5E72"/>
    <w:rsid w:val="002B5E80"/>
    <w:rsid w:val="002B5EFB"/>
    <w:rsid w:val="002B5F37"/>
    <w:rsid w:val="002B5FBD"/>
    <w:rsid w:val="002B5FC1"/>
    <w:rsid w:val="002B5FD2"/>
    <w:rsid w:val="002B6194"/>
    <w:rsid w:val="002B6211"/>
    <w:rsid w:val="002B62D1"/>
    <w:rsid w:val="002B632B"/>
    <w:rsid w:val="002B6378"/>
    <w:rsid w:val="002B63FA"/>
    <w:rsid w:val="002B63FD"/>
    <w:rsid w:val="002B6446"/>
    <w:rsid w:val="002B645E"/>
    <w:rsid w:val="002B6472"/>
    <w:rsid w:val="002B6484"/>
    <w:rsid w:val="002B6520"/>
    <w:rsid w:val="002B6566"/>
    <w:rsid w:val="002B65B8"/>
    <w:rsid w:val="002B65C3"/>
    <w:rsid w:val="002B6621"/>
    <w:rsid w:val="002B66A7"/>
    <w:rsid w:val="002B66AB"/>
    <w:rsid w:val="002B66C8"/>
    <w:rsid w:val="002B673C"/>
    <w:rsid w:val="002B6753"/>
    <w:rsid w:val="002B6785"/>
    <w:rsid w:val="002B67AA"/>
    <w:rsid w:val="002B67B4"/>
    <w:rsid w:val="002B67E4"/>
    <w:rsid w:val="002B6855"/>
    <w:rsid w:val="002B688C"/>
    <w:rsid w:val="002B69FD"/>
    <w:rsid w:val="002B6B58"/>
    <w:rsid w:val="002B6BAC"/>
    <w:rsid w:val="002B6C41"/>
    <w:rsid w:val="002B6C5E"/>
    <w:rsid w:val="002B6CF7"/>
    <w:rsid w:val="002B6D8E"/>
    <w:rsid w:val="002B6E71"/>
    <w:rsid w:val="002B6F54"/>
    <w:rsid w:val="002B6F67"/>
    <w:rsid w:val="002B6FD7"/>
    <w:rsid w:val="002B700D"/>
    <w:rsid w:val="002B707C"/>
    <w:rsid w:val="002B7086"/>
    <w:rsid w:val="002B70C7"/>
    <w:rsid w:val="002B7111"/>
    <w:rsid w:val="002B71AB"/>
    <w:rsid w:val="002B7271"/>
    <w:rsid w:val="002B72BD"/>
    <w:rsid w:val="002B72E9"/>
    <w:rsid w:val="002B7344"/>
    <w:rsid w:val="002B73B6"/>
    <w:rsid w:val="002B742A"/>
    <w:rsid w:val="002B7475"/>
    <w:rsid w:val="002B74BD"/>
    <w:rsid w:val="002B758F"/>
    <w:rsid w:val="002B7599"/>
    <w:rsid w:val="002B7629"/>
    <w:rsid w:val="002B7633"/>
    <w:rsid w:val="002B76AE"/>
    <w:rsid w:val="002B76FD"/>
    <w:rsid w:val="002B786E"/>
    <w:rsid w:val="002B7888"/>
    <w:rsid w:val="002B790B"/>
    <w:rsid w:val="002B7B87"/>
    <w:rsid w:val="002B7BA0"/>
    <w:rsid w:val="002B7BBD"/>
    <w:rsid w:val="002B7BF1"/>
    <w:rsid w:val="002B7C9B"/>
    <w:rsid w:val="002B7CFC"/>
    <w:rsid w:val="002B7CFD"/>
    <w:rsid w:val="002B7D4E"/>
    <w:rsid w:val="002B7DFD"/>
    <w:rsid w:val="002B7E11"/>
    <w:rsid w:val="002B7E55"/>
    <w:rsid w:val="002B7EEA"/>
    <w:rsid w:val="002B7F5A"/>
    <w:rsid w:val="002B7F8F"/>
    <w:rsid w:val="002B7FA1"/>
    <w:rsid w:val="002C0148"/>
    <w:rsid w:val="002C034A"/>
    <w:rsid w:val="002C034C"/>
    <w:rsid w:val="002C0378"/>
    <w:rsid w:val="002C037C"/>
    <w:rsid w:val="002C03FB"/>
    <w:rsid w:val="002C041F"/>
    <w:rsid w:val="002C0462"/>
    <w:rsid w:val="002C0483"/>
    <w:rsid w:val="002C04D2"/>
    <w:rsid w:val="002C0506"/>
    <w:rsid w:val="002C057A"/>
    <w:rsid w:val="002C05E4"/>
    <w:rsid w:val="002C05E6"/>
    <w:rsid w:val="002C05EC"/>
    <w:rsid w:val="002C0650"/>
    <w:rsid w:val="002C06B9"/>
    <w:rsid w:val="002C076C"/>
    <w:rsid w:val="002C07C9"/>
    <w:rsid w:val="002C07D0"/>
    <w:rsid w:val="002C0815"/>
    <w:rsid w:val="002C08BE"/>
    <w:rsid w:val="002C08E5"/>
    <w:rsid w:val="002C08FC"/>
    <w:rsid w:val="002C098F"/>
    <w:rsid w:val="002C0A21"/>
    <w:rsid w:val="002C0A8E"/>
    <w:rsid w:val="002C0A91"/>
    <w:rsid w:val="002C0AE5"/>
    <w:rsid w:val="002C0DF3"/>
    <w:rsid w:val="002C0E50"/>
    <w:rsid w:val="002C0F9B"/>
    <w:rsid w:val="002C0FE5"/>
    <w:rsid w:val="002C0FE7"/>
    <w:rsid w:val="002C0FED"/>
    <w:rsid w:val="002C1062"/>
    <w:rsid w:val="002C13F2"/>
    <w:rsid w:val="002C148F"/>
    <w:rsid w:val="002C14DE"/>
    <w:rsid w:val="002C154E"/>
    <w:rsid w:val="002C15D6"/>
    <w:rsid w:val="002C1618"/>
    <w:rsid w:val="002C162E"/>
    <w:rsid w:val="002C16C8"/>
    <w:rsid w:val="002C17F8"/>
    <w:rsid w:val="002C19B4"/>
    <w:rsid w:val="002C1A35"/>
    <w:rsid w:val="002C1A93"/>
    <w:rsid w:val="002C1B40"/>
    <w:rsid w:val="002C1B4E"/>
    <w:rsid w:val="002C1C8B"/>
    <w:rsid w:val="002C1DAD"/>
    <w:rsid w:val="002C1E81"/>
    <w:rsid w:val="002C1EA0"/>
    <w:rsid w:val="002C1FD5"/>
    <w:rsid w:val="002C1FE4"/>
    <w:rsid w:val="002C1FEE"/>
    <w:rsid w:val="002C20C6"/>
    <w:rsid w:val="002C20D7"/>
    <w:rsid w:val="002C2166"/>
    <w:rsid w:val="002C21F6"/>
    <w:rsid w:val="002C220D"/>
    <w:rsid w:val="002C22B0"/>
    <w:rsid w:val="002C2307"/>
    <w:rsid w:val="002C2361"/>
    <w:rsid w:val="002C2362"/>
    <w:rsid w:val="002C2594"/>
    <w:rsid w:val="002C25A3"/>
    <w:rsid w:val="002C26F4"/>
    <w:rsid w:val="002C2723"/>
    <w:rsid w:val="002C2784"/>
    <w:rsid w:val="002C2797"/>
    <w:rsid w:val="002C27AA"/>
    <w:rsid w:val="002C28BD"/>
    <w:rsid w:val="002C2932"/>
    <w:rsid w:val="002C29BA"/>
    <w:rsid w:val="002C2A02"/>
    <w:rsid w:val="002C2A34"/>
    <w:rsid w:val="002C2AAC"/>
    <w:rsid w:val="002C2AFE"/>
    <w:rsid w:val="002C2B03"/>
    <w:rsid w:val="002C2B1B"/>
    <w:rsid w:val="002C2BD3"/>
    <w:rsid w:val="002C2BE3"/>
    <w:rsid w:val="002C2C18"/>
    <w:rsid w:val="002C2C58"/>
    <w:rsid w:val="002C2CD4"/>
    <w:rsid w:val="002C2D1A"/>
    <w:rsid w:val="002C2D71"/>
    <w:rsid w:val="002C2DAD"/>
    <w:rsid w:val="002C2E57"/>
    <w:rsid w:val="002C2EA3"/>
    <w:rsid w:val="002C2ECC"/>
    <w:rsid w:val="002C2EFF"/>
    <w:rsid w:val="002C2F4A"/>
    <w:rsid w:val="002C2F8F"/>
    <w:rsid w:val="002C3074"/>
    <w:rsid w:val="002C30C9"/>
    <w:rsid w:val="002C30D0"/>
    <w:rsid w:val="002C3162"/>
    <w:rsid w:val="002C3189"/>
    <w:rsid w:val="002C31B4"/>
    <w:rsid w:val="002C32BF"/>
    <w:rsid w:val="002C332C"/>
    <w:rsid w:val="002C3334"/>
    <w:rsid w:val="002C3341"/>
    <w:rsid w:val="002C334E"/>
    <w:rsid w:val="002C33B0"/>
    <w:rsid w:val="002C3435"/>
    <w:rsid w:val="002C3468"/>
    <w:rsid w:val="002C347F"/>
    <w:rsid w:val="002C34E3"/>
    <w:rsid w:val="002C3579"/>
    <w:rsid w:val="002C35A7"/>
    <w:rsid w:val="002C35B6"/>
    <w:rsid w:val="002C35CF"/>
    <w:rsid w:val="002C35D5"/>
    <w:rsid w:val="002C3820"/>
    <w:rsid w:val="002C386B"/>
    <w:rsid w:val="002C3898"/>
    <w:rsid w:val="002C3A73"/>
    <w:rsid w:val="002C3B3D"/>
    <w:rsid w:val="002C3B73"/>
    <w:rsid w:val="002C3BAB"/>
    <w:rsid w:val="002C3C0E"/>
    <w:rsid w:val="002C3C7E"/>
    <w:rsid w:val="002C3D11"/>
    <w:rsid w:val="002C3D23"/>
    <w:rsid w:val="002C3E7B"/>
    <w:rsid w:val="002C3FD9"/>
    <w:rsid w:val="002C4068"/>
    <w:rsid w:val="002C4091"/>
    <w:rsid w:val="002C418C"/>
    <w:rsid w:val="002C42C0"/>
    <w:rsid w:val="002C434E"/>
    <w:rsid w:val="002C4446"/>
    <w:rsid w:val="002C447D"/>
    <w:rsid w:val="002C44A6"/>
    <w:rsid w:val="002C44EF"/>
    <w:rsid w:val="002C4553"/>
    <w:rsid w:val="002C4596"/>
    <w:rsid w:val="002C45A3"/>
    <w:rsid w:val="002C468A"/>
    <w:rsid w:val="002C486F"/>
    <w:rsid w:val="002C487B"/>
    <w:rsid w:val="002C4880"/>
    <w:rsid w:val="002C48B7"/>
    <w:rsid w:val="002C48DF"/>
    <w:rsid w:val="002C48E1"/>
    <w:rsid w:val="002C491C"/>
    <w:rsid w:val="002C4959"/>
    <w:rsid w:val="002C49F2"/>
    <w:rsid w:val="002C4AF6"/>
    <w:rsid w:val="002C4C09"/>
    <w:rsid w:val="002C4C60"/>
    <w:rsid w:val="002C4D1F"/>
    <w:rsid w:val="002C4E23"/>
    <w:rsid w:val="002C4E48"/>
    <w:rsid w:val="002C4EAE"/>
    <w:rsid w:val="002C4ED8"/>
    <w:rsid w:val="002C4F03"/>
    <w:rsid w:val="002C4F9F"/>
    <w:rsid w:val="002C503E"/>
    <w:rsid w:val="002C514B"/>
    <w:rsid w:val="002C5184"/>
    <w:rsid w:val="002C51FB"/>
    <w:rsid w:val="002C5261"/>
    <w:rsid w:val="002C5328"/>
    <w:rsid w:val="002C53B0"/>
    <w:rsid w:val="002C53F6"/>
    <w:rsid w:val="002C54C5"/>
    <w:rsid w:val="002C54D3"/>
    <w:rsid w:val="002C5536"/>
    <w:rsid w:val="002C563C"/>
    <w:rsid w:val="002C568B"/>
    <w:rsid w:val="002C5722"/>
    <w:rsid w:val="002C572D"/>
    <w:rsid w:val="002C580C"/>
    <w:rsid w:val="002C5851"/>
    <w:rsid w:val="002C58B3"/>
    <w:rsid w:val="002C58C9"/>
    <w:rsid w:val="002C59EC"/>
    <w:rsid w:val="002C5AB6"/>
    <w:rsid w:val="002C5AF1"/>
    <w:rsid w:val="002C5B4D"/>
    <w:rsid w:val="002C5B98"/>
    <w:rsid w:val="002C5CEC"/>
    <w:rsid w:val="002C5D05"/>
    <w:rsid w:val="002C5D86"/>
    <w:rsid w:val="002C5E04"/>
    <w:rsid w:val="002C5E4A"/>
    <w:rsid w:val="002C5E56"/>
    <w:rsid w:val="002C5E66"/>
    <w:rsid w:val="002C5E71"/>
    <w:rsid w:val="002C5EA6"/>
    <w:rsid w:val="002C5ED1"/>
    <w:rsid w:val="002C5F54"/>
    <w:rsid w:val="002C6043"/>
    <w:rsid w:val="002C6113"/>
    <w:rsid w:val="002C6187"/>
    <w:rsid w:val="002C61AF"/>
    <w:rsid w:val="002C6222"/>
    <w:rsid w:val="002C6272"/>
    <w:rsid w:val="002C6289"/>
    <w:rsid w:val="002C62EC"/>
    <w:rsid w:val="002C637D"/>
    <w:rsid w:val="002C6398"/>
    <w:rsid w:val="002C6451"/>
    <w:rsid w:val="002C6501"/>
    <w:rsid w:val="002C656C"/>
    <w:rsid w:val="002C65EF"/>
    <w:rsid w:val="002C662B"/>
    <w:rsid w:val="002C66E0"/>
    <w:rsid w:val="002C67CF"/>
    <w:rsid w:val="002C67DD"/>
    <w:rsid w:val="002C689F"/>
    <w:rsid w:val="002C68C1"/>
    <w:rsid w:val="002C68FA"/>
    <w:rsid w:val="002C6918"/>
    <w:rsid w:val="002C6921"/>
    <w:rsid w:val="002C6A32"/>
    <w:rsid w:val="002C6B03"/>
    <w:rsid w:val="002C6B43"/>
    <w:rsid w:val="002C6C59"/>
    <w:rsid w:val="002C6CAF"/>
    <w:rsid w:val="002C6D28"/>
    <w:rsid w:val="002C6E29"/>
    <w:rsid w:val="002C6F0D"/>
    <w:rsid w:val="002C6F5D"/>
    <w:rsid w:val="002C6FBE"/>
    <w:rsid w:val="002C6FDB"/>
    <w:rsid w:val="002C6FFD"/>
    <w:rsid w:val="002C70B5"/>
    <w:rsid w:val="002C715A"/>
    <w:rsid w:val="002C7202"/>
    <w:rsid w:val="002C72AB"/>
    <w:rsid w:val="002C7330"/>
    <w:rsid w:val="002C736D"/>
    <w:rsid w:val="002C737E"/>
    <w:rsid w:val="002C73B4"/>
    <w:rsid w:val="002C7472"/>
    <w:rsid w:val="002C7473"/>
    <w:rsid w:val="002C7477"/>
    <w:rsid w:val="002C758B"/>
    <w:rsid w:val="002C75E5"/>
    <w:rsid w:val="002C772B"/>
    <w:rsid w:val="002C7769"/>
    <w:rsid w:val="002C7784"/>
    <w:rsid w:val="002C7803"/>
    <w:rsid w:val="002C785A"/>
    <w:rsid w:val="002C7872"/>
    <w:rsid w:val="002C78E6"/>
    <w:rsid w:val="002C79B6"/>
    <w:rsid w:val="002C79F0"/>
    <w:rsid w:val="002C7A97"/>
    <w:rsid w:val="002C7AC8"/>
    <w:rsid w:val="002C7AEB"/>
    <w:rsid w:val="002C7AEE"/>
    <w:rsid w:val="002C7AF2"/>
    <w:rsid w:val="002C7B29"/>
    <w:rsid w:val="002C7B8F"/>
    <w:rsid w:val="002C7BA2"/>
    <w:rsid w:val="002C7BDA"/>
    <w:rsid w:val="002C7C7B"/>
    <w:rsid w:val="002C7C81"/>
    <w:rsid w:val="002C7CD6"/>
    <w:rsid w:val="002C7CF7"/>
    <w:rsid w:val="002C7CFC"/>
    <w:rsid w:val="002C7D47"/>
    <w:rsid w:val="002C7DC1"/>
    <w:rsid w:val="002C7EC1"/>
    <w:rsid w:val="002C7F7D"/>
    <w:rsid w:val="002C7FE1"/>
    <w:rsid w:val="002D00EB"/>
    <w:rsid w:val="002D0250"/>
    <w:rsid w:val="002D027C"/>
    <w:rsid w:val="002D02CE"/>
    <w:rsid w:val="002D02EF"/>
    <w:rsid w:val="002D0404"/>
    <w:rsid w:val="002D040B"/>
    <w:rsid w:val="002D04BF"/>
    <w:rsid w:val="002D04C6"/>
    <w:rsid w:val="002D0540"/>
    <w:rsid w:val="002D057B"/>
    <w:rsid w:val="002D05D9"/>
    <w:rsid w:val="002D0878"/>
    <w:rsid w:val="002D0943"/>
    <w:rsid w:val="002D096C"/>
    <w:rsid w:val="002D09A6"/>
    <w:rsid w:val="002D0A07"/>
    <w:rsid w:val="002D0A25"/>
    <w:rsid w:val="002D0AD1"/>
    <w:rsid w:val="002D0ADD"/>
    <w:rsid w:val="002D0AE9"/>
    <w:rsid w:val="002D0B33"/>
    <w:rsid w:val="002D0B48"/>
    <w:rsid w:val="002D0C58"/>
    <w:rsid w:val="002D0C8F"/>
    <w:rsid w:val="002D0CE5"/>
    <w:rsid w:val="002D0D47"/>
    <w:rsid w:val="002D0D9B"/>
    <w:rsid w:val="002D0DDD"/>
    <w:rsid w:val="002D0E07"/>
    <w:rsid w:val="002D0F2C"/>
    <w:rsid w:val="002D0F74"/>
    <w:rsid w:val="002D1110"/>
    <w:rsid w:val="002D1160"/>
    <w:rsid w:val="002D11AA"/>
    <w:rsid w:val="002D1266"/>
    <w:rsid w:val="002D128C"/>
    <w:rsid w:val="002D13AA"/>
    <w:rsid w:val="002D1436"/>
    <w:rsid w:val="002D14EC"/>
    <w:rsid w:val="002D15A2"/>
    <w:rsid w:val="002D15D4"/>
    <w:rsid w:val="002D15FB"/>
    <w:rsid w:val="002D1617"/>
    <w:rsid w:val="002D165D"/>
    <w:rsid w:val="002D1690"/>
    <w:rsid w:val="002D174D"/>
    <w:rsid w:val="002D1763"/>
    <w:rsid w:val="002D17E9"/>
    <w:rsid w:val="002D17F7"/>
    <w:rsid w:val="002D1828"/>
    <w:rsid w:val="002D18CF"/>
    <w:rsid w:val="002D18F2"/>
    <w:rsid w:val="002D1AE0"/>
    <w:rsid w:val="002D1B04"/>
    <w:rsid w:val="002D1B23"/>
    <w:rsid w:val="002D1B50"/>
    <w:rsid w:val="002D1BB1"/>
    <w:rsid w:val="002D1BD9"/>
    <w:rsid w:val="002D1BE9"/>
    <w:rsid w:val="002D1C04"/>
    <w:rsid w:val="002D1C22"/>
    <w:rsid w:val="002D1D7D"/>
    <w:rsid w:val="002D1D8B"/>
    <w:rsid w:val="002D1DAE"/>
    <w:rsid w:val="002D1DE1"/>
    <w:rsid w:val="002D1F19"/>
    <w:rsid w:val="002D1FD1"/>
    <w:rsid w:val="002D1FE5"/>
    <w:rsid w:val="002D1FF0"/>
    <w:rsid w:val="002D2037"/>
    <w:rsid w:val="002D2045"/>
    <w:rsid w:val="002D224C"/>
    <w:rsid w:val="002D22BC"/>
    <w:rsid w:val="002D22BE"/>
    <w:rsid w:val="002D2382"/>
    <w:rsid w:val="002D2471"/>
    <w:rsid w:val="002D24C1"/>
    <w:rsid w:val="002D24D1"/>
    <w:rsid w:val="002D2598"/>
    <w:rsid w:val="002D25DD"/>
    <w:rsid w:val="002D25E9"/>
    <w:rsid w:val="002D25F4"/>
    <w:rsid w:val="002D2653"/>
    <w:rsid w:val="002D26A6"/>
    <w:rsid w:val="002D26A9"/>
    <w:rsid w:val="002D26DC"/>
    <w:rsid w:val="002D276C"/>
    <w:rsid w:val="002D2804"/>
    <w:rsid w:val="002D2861"/>
    <w:rsid w:val="002D2877"/>
    <w:rsid w:val="002D2A46"/>
    <w:rsid w:val="002D2B76"/>
    <w:rsid w:val="002D2BAE"/>
    <w:rsid w:val="002D2C47"/>
    <w:rsid w:val="002D2D14"/>
    <w:rsid w:val="002D2D22"/>
    <w:rsid w:val="002D2D31"/>
    <w:rsid w:val="002D2D78"/>
    <w:rsid w:val="002D2DD5"/>
    <w:rsid w:val="002D2F1A"/>
    <w:rsid w:val="002D2F78"/>
    <w:rsid w:val="002D2F7E"/>
    <w:rsid w:val="002D2FBE"/>
    <w:rsid w:val="002D302F"/>
    <w:rsid w:val="002D3057"/>
    <w:rsid w:val="002D305C"/>
    <w:rsid w:val="002D3076"/>
    <w:rsid w:val="002D309F"/>
    <w:rsid w:val="002D3208"/>
    <w:rsid w:val="002D3234"/>
    <w:rsid w:val="002D3246"/>
    <w:rsid w:val="002D3255"/>
    <w:rsid w:val="002D3276"/>
    <w:rsid w:val="002D32BB"/>
    <w:rsid w:val="002D330C"/>
    <w:rsid w:val="002D330D"/>
    <w:rsid w:val="002D33E0"/>
    <w:rsid w:val="002D3469"/>
    <w:rsid w:val="002D351C"/>
    <w:rsid w:val="002D356C"/>
    <w:rsid w:val="002D35BA"/>
    <w:rsid w:val="002D36D6"/>
    <w:rsid w:val="002D3700"/>
    <w:rsid w:val="002D3714"/>
    <w:rsid w:val="002D373C"/>
    <w:rsid w:val="002D378A"/>
    <w:rsid w:val="002D3828"/>
    <w:rsid w:val="002D38F2"/>
    <w:rsid w:val="002D38F9"/>
    <w:rsid w:val="002D3929"/>
    <w:rsid w:val="002D3946"/>
    <w:rsid w:val="002D39D9"/>
    <w:rsid w:val="002D3A86"/>
    <w:rsid w:val="002D3AD8"/>
    <w:rsid w:val="002D3AF3"/>
    <w:rsid w:val="002D3B15"/>
    <w:rsid w:val="002D3B3C"/>
    <w:rsid w:val="002D3BB6"/>
    <w:rsid w:val="002D3BF9"/>
    <w:rsid w:val="002D3C5B"/>
    <w:rsid w:val="002D3C94"/>
    <w:rsid w:val="002D3CF8"/>
    <w:rsid w:val="002D3D46"/>
    <w:rsid w:val="002D3DD5"/>
    <w:rsid w:val="002D3E09"/>
    <w:rsid w:val="002D3E1C"/>
    <w:rsid w:val="002D3F5B"/>
    <w:rsid w:val="002D3FF0"/>
    <w:rsid w:val="002D4011"/>
    <w:rsid w:val="002D4133"/>
    <w:rsid w:val="002D4199"/>
    <w:rsid w:val="002D4245"/>
    <w:rsid w:val="002D42F0"/>
    <w:rsid w:val="002D4306"/>
    <w:rsid w:val="002D4398"/>
    <w:rsid w:val="002D442A"/>
    <w:rsid w:val="002D44F0"/>
    <w:rsid w:val="002D4520"/>
    <w:rsid w:val="002D458C"/>
    <w:rsid w:val="002D45C3"/>
    <w:rsid w:val="002D4718"/>
    <w:rsid w:val="002D473F"/>
    <w:rsid w:val="002D4744"/>
    <w:rsid w:val="002D4788"/>
    <w:rsid w:val="002D47B7"/>
    <w:rsid w:val="002D47FC"/>
    <w:rsid w:val="002D4803"/>
    <w:rsid w:val="002D4948"/>
    <w:rsid w:val="002D49CF"/>
    <w:rsid w:val="002D4B16"/>
    <w:rsid w:val="002D4B1F"/>
    <w:rsid w:val="002D4C08"/>
    <w:rsid w:val="002D4C12"/>
    <w:rsid w:val="002D4C71"/>
    <w:rsid w:val="002D4CDA"/>
    <w:rsid w:val="002D4CE6"/>
    <w:rsid w:val="002D4D7B"/>
    <w:rsid w:val="002D4E87"/>
    <w:rsid w:val="002D4F02"/>
    <w:rsid w:val="002D4FD1"/>
    <w:rsid w:val="002D50AB"/>
    <w:rsid w:val="002D5107"/>
    <w:rsid w:val="002D5151"/>
    <w:rsid w:val="002D51A0"/>
    <w:rsid w:val="002D522D"/>
    <w:rsid w:val="002D522E"/>
    <w:rsid w:val="002D532A"/>
    <w:rsid w:val="002D5379"/>
    <w:rsid w:val="002D549D"/>
    <w:rsid w:val="002D5544"/>
    <w:rsid w:val="002D5575"/>
    <w:rsid w:val="002D5622"/>
    <w:rsid w:val="002D5671"/>
    <w:rsid w:val="002D5747"/>
    <w:rsid w:val="002D5750"/>
    <w:rsid w:val="002D585F"/>
    <w:rsid w:val="002D58AD"/>
    <w:rsid w:val="002D5922"/>
    <w:rsid w:val="002D5960"/>
    <w:rsid w:val="002D5971"/>
    <w:rsid w:val="002D598A"/>
    <w:rsid w:val="002D599E"/>
    <w:rsid w:val="002D59A2"/>
    <w:rsid w:val="002D5AA9"/>
    <w:rsid w:val="002D5B0A"/>
    <w:rsid w:val="002D5BB2"/>
    <w:rsid w:val="002D5C7C"/>
    <w:rsid w:val="002D5CAC"/>
    <w:rsid w:val="002D5D33"/>
    <w:rsid w:val="002D5DF3"/>
    <w:rsid w:val="002D5E4A"/>
    <w:rsid w:val="002D6020"/>
    <w:rsid w:val="002D6044"/>
    <w:rsid w:val="002D6113"/>
    <w:rsid w:val="002D616D"/>
    <w:rsid w:val="002D61B8"/>
    <w:rsid w:val="002D61E2"/>
    <w:rsid w:val="002D61EB"/>
    <w:rsid w:val="002D6401"/>
    <w:rsid w:val="002D6405"/>
    <w:rsid w:val="002D640F"/>
    <w:rsid w:val="002D650B"/>
    <w:rsid w:val="002D650E"/>
    <w:rsid w:val="002D651B"/>
    <w:rsid w:val="002D659F"/>
    <w:rsid w:val="002D65DD"/>
    <w:rsid w:val="002D6812"/>
    <w:rsid w:val="002D6819"/>
    <w:rsid w:val="002D6848"/>
    <w:rsid w:val="002D6851"/>
    <w:rsid w:val="002D686E"/>
    <w:rsid w:val="002D68E7"/>
    <w:rsid w:val="002D696D"/>
    <w:rsid w:val="002D69F6"/>
    <w:rsid w:val="002D69F8"/>
    <w:rsid w:val="002D6A06"/>
    <w:rsid w:val="002D6A4E"/>
    <w:rsid w:val="002D6B18"/>
    <w:rsid w:val="002D6B85"/>
    <w:rsid w:val="002D6BD5"/>
    <w:rsid w:val="002D6C1E"/>
    <w:rsid w:val="002D6C31"/>
    <w:rsid w:val="002D6D6A"/>
    <w:rsid w:val="002D6E2B"/>
    <w:rsid w:val="002D6EA0"/>
    <w:rsid w:val="002D6FC3"/>
    <w:rsid w:val="002D7041"/>
    <w:rsid w:val="002D7056"/>
    <w:rsid w:val="002D70BE"/>
    <w:rsid w:val="002D7131"/>
    <w:rsid w:val="002D71D1"/>
    <w:rsid w:val="002D71D9"/>
    <w:rsid w:val="002D71E4"/>
    <w:rsid w:val="002D71E6"/>
    <w:rsid w:val="002D7221"/>
    <w:rsid w:val="002D7370"/>
    <w:rsid w:val="002D7477"/>
    <w:rsid w:val="002D7575"/>
    <w:rsid w:val="002D7580"/>
    <w:rsid w:val="002D75EB"/>
    <w:rsid w:val="002D75F7"/>
    <w:rsid w:val="002D7697"/>
    <w:rsid w:val="002D772A"/>
    <w:rsid w:val="002D77D1"/>
    <w:rsid w:val="002D77EE"/>
    <w:rsid w:val="002D788B"/>
    <w:rsid w:val="002D78AC"/>
    <w:rsid w:val="002D7904"/>
    <w:rsid w:val="002D790B"/>
    <w:rsid w:val="002D7917"/>
    <w:rsid w:val="002D7956"/>
    <w:rsid w:val="002D796C"/>
    <w:rsid w:val="002D797B"/>
    <w:rsid w:val="002D79B3"/>
    <w:rsid w:val="002D7A19"/>
    <w:rsid w:val="002D7A3F"/>
    <w:rsid w:val="002D7A95"/>
    <w:rsid w:val="002D7AC3"/>
    <w:rsid w:val="002D7B98"/>
    <w:rsid w:val="002D7C51"/>
    <w:rsid w:val="002D7C62"/>
    <w:rsid w:val="002D7CA3"/>
    <w:rsid w:val="002D7D01"/>
    <w:rsid w:val="002D7D80"/>
    <w:rsid w:val="002D7DAD"/>
    <w:rsid w:val="002D7EA5"/>
    <w:rsid w:val="002D7EB0"/>
    <w:rsid w:val="002D7F17"/>
    <w:rsid w:val="002D7F40"/>
    <w:rsid w:val="002D7F42"/>
    <w:rsid w:val="002D7FA9"/>
    <w:rsid w:val="002D7FB1"/>
    <w:rsid w:val="002D7FD7"/>
    <w:rsid w:val="002E0000"/>
    <w:rsid w:val="002E000D"/>
    <w:rsid w:val="002E0027"/>
    <w:rsid w:val="002E00C6"/>
    <w:rsid w:val="002E013D"/>
    <w:rsid w:val="002E0181"/>
    <w:rsid w:val="002E01AE"/>
    <w:rsid w:val="002E023F"/>
    <w:rsid w:val="002E0263"/>
    <w:rsid w:val="002E03CF"/>
    <w:rsid w:val="002E03D6"/>
    <w:rsid w:val="002E041F"/>
    <w:rsid w:val="002E04AB"/>
    <w:rsid w:val="002E05AC"/>
    <w:rsid w:val="002E05C0"/>
    <w:rsid w:val="002E05E2"/>
    <w:rsid w:val="002E066A"/>
    <w:rsid w:val="002E06E9"/>
    <w:rsid w:val="002E06F1"/>
    <w:rsid w:val="002E071E"/>
    <w:rsid w:val="002E093C"/>
    <w:rsid w:val="002E0969"/>
    <w:rsid w:val="002E0A2E"/>
    <w:rsid w:val="002E0A48"/>
    <w:rsid w:val="002E0A8B"/>
    <w:rsid w:val="002E0A97"/>
    <w:rsid w:val="002E0AD8"/>
    <w:rsid w:val="002E0B1A"/>
    <w:rsid w:val="002E0CA0"/>
    <w:rsid w:val="002E0D18"/>
    <w:rsid w:val="002E0D59"/>
    <w:rsid w:val="002E0D9D"/>
    <w:rsid w:val="002E0DA0"/>
    <w:rsid w:val="002E0DEA"/>
    <w:rsid w:val="002E0E25"/>
    <w:rsid w:val="002E0E3D"/>
    <w:rsid w:val="002E0E7B"/>
    <w:rsid w:val="002E0EFF"/>
    <w:rsid w:val="002E0F70"/>
    <w:rsid w:val="002E0FFD"/>
    <w:rsid w:val="002E102B"/>
    <w:rsid w:val="002E1168"/>
    <w:rsid w:val="002E11B4"/>
    <w:rsid w:val="002E11EA"/>
    <w:rsid w:val="002E1244"/>
    <w:rsid w:val="002E127C"/>
    <w:rsid w:val="002E12C5"/>
    <w:rsid w:val="002E13A4"/>
    <w:rsid w:val="002E13B8"/>
    <w:rsid w:val="002E1472"/>
    <w:rsid w:val="002E161C"/>
    <w:rsid w:val="002E164C"/>
    <w:rsid w:val="002E16A7"/>
    <w:rsid w:val="002E16AB"/>
    <w:rsid w:val="002E16D2"/>
    <w:rsid w:val="002E1741"/>
    <w:rsid w:val="002E17C2"/>
    <w:rsid w:val="002E181E"/>
    <w:rsid w:val="002E1825"/>
    <w:rsid w:val="002E188F"/>
    <w:rsid w:val="002E18DC"/>
    <w:rsid w:val="002E199B"/>
    <w:rsid w:val="002E1A01"/>
    <w:rsid w:val="002E1A81"/>
    <w:rsid w:val="002E1A90"/>
    <w:rsid w:val="002E1AF4"/>
    <w:rsid w:val="002E1B9A"/>
    <w:rsid w:val="002E1BF2"/>
    <w:rsid w:val="002E1C63"/>
    <w:rsid w:val="002E1D17"/>
    <w:rsid w:val="002E1D38"/>
    <w:rsid w:val="002E1D6B"/>
    <w:rsid w:val="002E1DC7"/>
    <w:rsid w:val="002E1E0A"/>
    <w:rsid w:val="002E1E3A"/>
    <w:rsid w:val="002E1E76"/>
    <w:rsid w:val="002E2026"/>
    <w:rsid w:val="002E20A8"/>
    <w:rsid w:val="002E2155"/>
    <w:rsid w:val="002E21B7"/>
    <w:rsid w:val="002E2214"/>
    <w:rsid w:val="002E228F"/>
    <w:rsid w:val="002E229E"/>
    <w:rsid w:val="002E22B0"/>
    <w:rsid w:val="002E2377"/>
    <w:rsid w:val="002E2461"/>
    <w:rsid w:val="002E2479"/>
    <w:rsid w:val="002E24B2"/>
    <w:rsid w:val="002E24CC"/>
    <w:rsid w:val="002E24DB"/>
    <w:rsid w:val="002E25D4"/>
    <w:rsid w:val="002E26C4"/>
    <w:rsid w:val="002E26E9"/>
    <w:rsid w:val="002E277A"/>
    <w:rsid w:val="002E27D9"/>
    <w:rsid w:val="002E27E4"/>
    <w:rsid w:val="002E28BD"/>
    <w:rsid w:val="002E28D2"/>
    <w:rsid w:val="002E29CE"/>
    <w:rsid w:val="002E2AF9"/>
    <w:rsid w:val="002E2B0C"/>
    <w:rsid w:val="002E2B58"/>
    <w:rsid w:val="002E2B99"/>
    <w:rsid w:val="002E2C42"/>
    <w:rsid w:val="002E2C48"/>
    <w:rsid w:val="002E2C9D"/>
    <w:rsid w:val="002E2D4C"/>
    <w:rsid w:val="002E2DD3"/>
    <w:rsid w:val="002E2E45"/>
    <w:rsid w:val="002E2E99"/>
    <w:rsid w:val="002E2ED9"/>
    <w:rsid w:val="002E2EE4"/>
    <w:rsid w:val="002E2F24"/>
    <w:rsid w:val="002E2F63"/>
    <w:rsid w:val="002E2F96"/>
    <w:rsid w:val="002E3014"/>
    <w:rsid w:val="002E3019"/>
    <w:rsid w:val="002E3043"/>
    <w:rsid w:val="002E305D"/>
    <w:rsid w:val="002E3116"/>
    <w:rsid w:val="002E31E8"/>
    <w:rsid w:val="002E31F2"/>
    <w:rsid w:val="002E3255"/>
    <w:rsid w:val="002E3277"/>
    <w:rsid w:val="002E327A"/>
    <w:rsid w:val="002E330C"/>
    <w:rsid w:val="002E3461"/>
    <w:rsid w:val="002E3480"/>
    <w:rsid w:val="002E35AF"/>
    <w:rsid w:val="002E361F"/>
    <w:rsid w:val="002E3632"/>
    <w:rsid w:val="002E3717"/>
    <w:rsid w:val="002E3845"/>
    <w:rsid w:val="002E39A7"/>
    <w:rsid w:val="002E39B3"/>
    <w:rsid w:val="002E3A81"/>
    <w:rsid w:val="002E3A96"/>
    <w:rsid w:val="002E3ACE"/>
    <w:rsid w:val="002E3C43"/>
    <w:rsid w:val="002E3C95"/>
    <w:rsid w:val="002E3CF2"/>
    <w:rsid w:val="002E3D16"/>
    <w:rsid w:val="002E3E5D"/>
    <w:rsid w:val="002E3EC9"/>
    <w:rsid w:val="002E3FBE"/>
    <w:rsid w:val="002E3FF8"/>
    <w:rsid w:val="002E403D"/>
    <w:rsid w:val="002E4088"/>
    <w:rsid w:val="002E41B0"/>
    <w:rsid w:val="002E41F9"/>
    <w:rsid w:val="002E4271"/>
    <w:rsid w:val="002E4348"/>
    <w:rsid w:val="002E4373"/>
    <w:rsid w:val="002E439B"/>
    <w:rsid w:val="002E4423"/>
    <w:rsid w:val="002E4452"/>
    <w:rsid w:val="002E44A6"/>
    <w:rsid w:val="002E453B"/>
    <w:rsid w:val="002E4561"/>
    <w:rsid w:val="002E45BC"/>
    <w:rsid w:val="002E4641"/>
    <w:rsid w:val="002E4682"/>
    <w:rsid w:val="002E473C"/>
    <w:rsid w:val="002E4760"/>
    <w:rsid w:val="002E47EA"/>
    <w:rsid w:val="002E47F0"/>
    <w:rsid w:val="002E4861"/>
    <w:rsid w:val="002E48D4"/>
    <w:rsid w:val="002E4932"/>
    <w:rsid w:val="002E49A5"/>
    <w:rsid w:val="002E4A3D"/>
    <w:rsid w:val="002E4AC5"/>
    <w:rsid w:val="002E4BB7"/>
    <w:rsid w:val="002E4BBA"/>
    <w:rsid w:val="002E4C22"/>
    <w:rsid w:val="002E4C2D"/>
    <w:rsid w:val="002E4DD8"/>
    <w:rsid w:val="002E4EDA"/>
    <w:rsid w:val="002E4F23"/>
    <w:rsid w:val="002E51E0"/>
    <w:rsid w:val="002E524E"/>
    <w:rsid w:val="002E5261"/>
    <w:rsid w:val="002E527F"/>
    <w:rsid w:val="002E52C3"/>
    <w:rsid w:val="002E52C6"/>
    <w:rsid w:val="002E5323"/>
    <w:rsid w:val="002E53B0"/>
    <w:rsid w:val="002E5401"/>
    <w:rsid w:val="002E5440"/>
    <w:rsid w:val="002E54C7"/>
    <w:rsid w:val="002E5625"/>
    <w:rsid w:val="002E5736"/>
    <w:rsid w:val="002E5737"/>
    <w:rsid w:val="002E5804"/>
    <w:rsid w:val="002E5AAF"/>
    <w:rsid w:val="002E5AE5"/>
    <w:rsid w:val="002E5B4C"/>
    <w:rsid w:val="002E5BFE"/>
    <w:rsid w:val="002E5C38"/>
    <w:rsid w:val="002E5CDC"/>
    <w:rsid w:val="002E5CF0"/>
    <w:rsid w:val="002E5D59"/>
    <w:rsid w:val="002E5D87"/>
    <w:rsid w:val="002E5DA4"/>
    <w:rsid w:val="002E5DFB"/>
    <w:rsid w:val="002E5E36"/>
    <w:rsid w:val="002E5E9A"/>
    <w:rsid w:val="002E5F08"/>
    <w:rsid w:val="002E60BE"/>
    <w:rsid w:val="002E61B7"/>
    <w:rsid w:val="002E6268"/>
    <w:rsid w:val="002E646F"/>
    <w:rsid w:val="002E66AE"/>
    <w:rsid w:val="002E6712"/>
    <w:rsid w:val="002E68BE"/>
    <w:rsid w:val="002E68E0"/>
    <w:rsid w:val="002E69D7"/>
    <w:rsid w:val="002E6AFF"/>
    <w:rsid w:val="002E6B22"/>
    <w:rsid w:val="002E6BC1"/>
    <w:rsid w:val="002E6C49"/>
    <w:rsid w:val="002E6CF6"/>
    <w:rsid w:val="002E6DCE"/>
    <w:rsid w:val="002E6DDD"/>
    <w:rsid w:val="002E6DF6"/>
    <w:rsid w:val="002E6E05"/>
    <w:rsid w:val="002E6EA6"/>
    <w:rsid w:val="002E6F53"/>
    <w:rsid w:val="002E6FA1"/>
    <w:rsid w:val="002E6FB8"/>
    <w:rsid w:val="002E70D4"/>
    <w:rsid w:val="002E710F"/>
    <w:rsid w:val="002E71FC"/>
    <w:rsid w:val="002E7239"/>
    <w:rsid w:val="002E736A"/>
    <w:rsid w:val="002E73E2"/>
    <w:rsid w:val="002E740B"/>
    <w:rsid w:val="002E741F"/>
    <w:rsid w:val="002E74D9"/>
    <w:rsid w:val="002E759E"/>
    <w:rsid w:val="002E776A"/>
    <w:rsid w:val="002E77E4"/>
    <w:rsid w:val="002E78DF"/>
    <w:rsid w:val="002E7947"/>
    <w:rsid w:val="002E7A56"/>
    <w:rsid w:val="002E7A8E"/>
    <w:rsid w:val="002E7B49"/>
    <w:rsid w:val="002E7B6F"/>
    <w:rsid w:val="002E7B7E"/>
    <w:rsid w:val="002E7BDC"/>
    <w:rsid w:val="002E7BF7"/>
    <w:rsid w:val="002E7C52"/>
    <w:rsid w:val="002E7CE5"/>
    <w:rsid w:val="002E7DDD"/>
    <w:rsid w:val="002E7DF8"/>
    <w:rsid w:val="002E7E69"/>
    <w:rsid w:val="002E7FAB"/>
    <w:rsid w:val="002F01A7"/>
    <w:rsid w:val="002F01AD"/>
    <w:rsid w:val="002F0545"/>
    <w:rsid w:val="002F060D"/>
    <w:rsid w:val="002F084E"/>
    <w:rsid w:val="002F0862"/>
    <w:rsid w:val="002F09F8"/>
    <w:rsid w:val="002F0A1C"/>
    <w:rsid w:val="002F0A2A"/>
    <w:rsid w:val="002F0A59"/>
    <w:rsid w:val="002F0A86"/>
    <w:rsid w:val="002F0AA3"/>
    <w:rsid w:val="002F0B14"/>
    <w:rsid w:val="002F0D21"/>
    <w:rsid w:val="002F0E47"/>
    <w:rsid w:val="002F0EC4"/>
    <w:rsid w:val="002F0F5B"/>
    <w:rsid w:val="002F0F5C"/>
    <w:rsid w:val="002F1004"/>
    <w:rsid w:val="002F1025"/>
    <w:rsid w:val="002F103D"/>
    <w:rsid w:val="002F1065"/>
    <w:rsid w:val="002F1093"/>
    <w:rsid w:val="002F10EC"/>
    <w:rsid w:val="002F1107"/>
    <w:rsid w:val="002F124C"/>
    <w:rsid w:val="002F1366"/>
    <w:rsid w:val="002F143A"/>
    <w:rsid w:val="002F1523"/>
    <w:rsid w:val="002F154B"/>
    <w:rsid w:val="002F16F3"/>
    <w:rsid w:val="002F18F8"/>
    <w:rsid w:val="002F1950"/>
    <w:rsid w:val="002F1A06"/>
    <w:rsid w:val="002F1AAE"/>
    <w:rsid w:val="002F1AD6"/>
    <w:rsid w:val="002F1B6E"/>
    <w:rsid w:val="002F1B9F"/>
    <w:rsid w:val="002F1BA5"/>
    <w:rsid w:val="002F1BB9"/>
    <w:rsid w:val="002F1C29"/>
    <w:rsid w:val="002F1CFB"/>
    <w:rsid w:val="002F1DD8"/>
    <w:rsid w:val="002F1E20"/>
    <w:rsid w:val="002F1E46"/>
    <w:rsid w:val="002F1EF5"/>
    <w:rsid w:val="002F2054"/>
    <w:rsid w:val="002F206D"/>
    <w:rsid w:val="002F2119"/>
    <w:rsid w:val="002F2186"/>
    <w:rsid w:val="002F21CA"/>
    <w:rsid w:val="002F2242"/>
    <w:rsid w:val="002F227E"/>
    <w:rsid w:val="002F2348"/>
    <w:rsid w:val="002F2372"/>
    <w:rsid w:val="002F2417"/>
    <w:rsid w:val="002F2483"/>
    <w:rsid w:val="002F2525"/>
    <w:rsid w:val="002F2611"/>
    <w:rsid w:val="002F2614"/>
    <w:rsid w:val="002F2706"/>
    <w:rsid w:val="002F2730"/>
    <w:rsid w:val="002F280F"/>
    <w:rsid w:val="002F291D"/>
    <w:rsid w:val="002F2951"/>
    <w:rsid w:val="002F298D"/>
    <w:rsid w:val="002F298F"/>
    <w:rsid w:val="002F2B4E"/>
    <w:rsid w:val="002F2BA0"/>
    <w:rsid w:val="002F2BE2"/>
    <w:rsid w:val="002F2D8D"/>
    <w:rsid w:val="002F2EBC"/>
    <w:rsid w:val="002F2F8D"/>
    <w:rsid w:val="002F3020"/>
    <w:rsid w:val="002F302F"/>
    <w:rsid w:val="002F30BB"/>
    <w:rsid w:val="002F313C"/>
    <w:rsid w:val="002F313D"/>
    <w:rsid w:val="002F3191"/>
    <w:rsid w:val="002F3199"/>
    <w:rsid w:val="002F319C"/>
    <w:rsid w:val="002F31FD"/>
    <w:rsid w:val="002F32BC"/>
    <w:rsid w:val="002F335B"/>
    <w:rsid w:val="002F345C"/>
    <w:rsid w:val="002F347E"/>
    <w:rsid w:val="002F34CF"/>
    <w:rsid w:val="002F352B"/>
    <w:rsid w:val="002F3537"/>
    <w:rsid w:val="002F35C8"/>
    <w:rsid w:val="002F360C"/>
    <w:rsid w:val="002F3620"/>
    <w:rsid w:val="002F3752"/>
    <w:rsid w:val="002F3768"/>
    <w:rsid w:val="002F377C"/>
    <w:rsid w:val="002F37B8"/>
    <w:rsid w:val="002F37F7"/>
    <w:rsid w:val="002F381B"/>
    <w:rsid w:val="002F3837"/>
    <w:rsid w:val="002F385D"/>
    <w:rsid w:val="002F38DD"/>
    <w:rsid w:val="002F398D"/>
    <w:rsid w:val="002F39F2"/>
    <w:rsid w:val="002F3BBE"/>
    <w:rsid w:val="002F3C38"/>
    <w:rsid w:val="002F3C57"/>
    <w:rsid w:val="002F3C76"/>
    <w:rsid w:val="002F3CB3"/>
    <w:rsid w:val="002F3CEE"/>
    <w:rsid w:val="002F3D11"/>
    <w:rsid w:val="002F3D8A"/>
    <w:rsid w:val="002F3DA1"/>
    <w:rsid w:val="002F3DA5"/>
    <w:rsid w:val="002F3E32"/>
    <w:rsid w:val="002F3E49"/>
    <w:rsid w:val="002F4005"/>
    <w:rsid w:val="002F40A7"/>
    <w:rsid w:val="002F40C4"/>
    <w:rsid w:val="002F412E"/>
    <w:rsid w:val="002F41D8"/>
    <w:rsid w:val="002F4269"/>
    <w:rsid w:val="002F42B8"/>
    <w:rsid w:val="002F42D1"/>
    <w:rsid w:val="002F4350"/>
    <w:rsid w:val="002F4365"/>
    <w:rsid w:val="002F4399"/>
    <w:rsid w:val="002F44A5"/>
    <w:rsid w:val="002F44D7"/>
    <w:rsid w:val="002F44E1"/>
    <w:rsid w:val="002F451E"/>
    <w:rsid w:val="002F4575"/>
    <w:rsid w:val="002F45A4"/>
    <w:rsid w:val="002F464C"/>
    <w:rsid w:val="002F469C"/>
    <w:rsid w:val="002F46BC"/>
    <w:rsid w:val="002F46E8"/>
    <w:rsid w:val="002F46E9"/>
    <w:rsid w:val="002F4716"/>
    <w:rsid w:val="002F4743"/>
    <w:rsid w:val="002F4752"/>
    <w:rsid w:val="002F47A2"/>
    <w:rsid w:val="002F47A7"/>
    <w:rsid w:val="002F483B"/>
    <w:rsid w:val="002F48D8"/>
    <w:rsid w:val="002F493D"/>
    <w:rsid w:val="002F4A6A"/>
    <w:rsid w:val="002F4AF3"/>
    <w:rsid w:val="002F4B4B"/>
    <w:rsid w:val="002F4B9F"/>
    <w:rsid w:val="002F4BE4"/>
    <w:rsid w:val="002F4C12"/>
    <w:rsid w:val="002F4C1E"/>
    <w:rsid w:val="002F4C78"/>
    <w:rsid w:val="002F4CA7"/>
    <w:rsid w:val="002F4DB7"/>
    <w:rsid w:val="002F4E44"/>
    <w:rsid w:val="002F4F3A"/>
    <w:rsid w:val="002F4FDC"/>
    <w:rsid w:val="002F4FDF"/>
    <w:rsid w:val="002F504F"/>
    <w:rsid w:val="002F50C6"/>
    <w:rsid w:val="002F5154"/>
    <w:rsid w:val="002F51C3"/>
    <w:rsid w:val="002F51CC"/>
    <w:rsid w:val="002F5239"/>
    <w:rsid w:val="002F528E"/>
    <w:rsid w:val="002F52B6"/>
    <w:rsid w:val="002F5376"/>
    <w:rsid w:val="002F537A"/>
    <w:rsid w:val="002F54A1"/>
    <w:rsid w:val="002F54E6"/>
    <w:rsid w:val="002F5521"/>
    <w:rsid w:val="002F555B"/>
    <w:rsid w:val="002F566B"/>
    <w:rsid w:val="002F56B4"/>
    <w:rsid w:val="002F56EF"/>
    <w:rsid w:val="002F572E"/>
    <w:rsid w:val="002F573B"/>
    <w:rsid w:val="002F5834"/>
    <w:rsid w:val="002F58B4"/>
    <w:rsid w:val="002F59C1"/>
    <w:rsid w:val="002F59DD"/>
    <w:rsid w:val="002F5B81"/>
    <w:rsid w:val="002F5C22"/>
    <w:rsid w:val="002F5C9F"/>
    <w:rsid w:val="002F5D39"/>
    <w:rsid w:val="002F5D4F"/>
    <w:rsid w:val="002F5DDE"/>
    <w:rsid w:val="002F5E7E"/>
    <w:rsid w:val="002F5EB8"/>
    <w:rsid w:val="002F5ECB"/>
    <w:rsid w:val="002F5F39"/>
    <w:rsid w:val="002F5FBC"/>
    <w:rsid w:val="002F6097"/>
    <w:rsid w:val="002F60F8"/>
    <w:rsid w:val="002F6137"/>
    <w:rsid w:val="002F616A"/>
    <w:rsid w:val="002F61FF"/>
    <w:rsid w:val="002F6296"/>
    <w:rsid w:val="002F62A7"/>
    <w:rsid w:val="002F62EE"/>
    <w:rsid w:val="002F6303"/>
    <w:rsid w:val="002F6386"/>
    <w:rsid w:val="002F6425"/>
    <w:rsid w:val="002F64E5"/>
    <w:rsid w:val="002F64F0"/>
    <w:rsid w:val="002F65B6"/>
    <w:rsid w:val="002F6626"/>
    <w:rsid w:val="002F6675"/>
    <w:rsid w:val="002F6802"/>
    <w:rsid w:val="002F6886"/>
    <w:rsid w:val="002F68BD"/>
    <w:rsid w:val="002F6AD4"/>
    <w:rsid w:val="002F6B0C"/>
    <w:rsid w:val="002F6B78"/>
    <w:rsid w:val="002F6BA0"/>
    <w:rsid w:val="002F6C0C"/>
    <w:rsid w:val="002F6CDF"/>
    <w:rsid w:val="002F6E47"/>
    <w:rsid w:val="002F6E72"/>
    <w:rsid w:val="002F6F3E"/>
    <w:rsid w:val="002F6F46"/>
    <w:rsid w:val="002F6F6D"/>
    <w:rsid w:val="002F6FBB"/>
    <w:rsid w:val="002F7049"/>
    <w:rsid w:val="002F70AD"/>
    <w:rsid w:val="002F711B"/>
    <w:rsid w:val="002F7155"/>
    <w:rsid w:val="002F7169"/>
    <w:rsid w:val="002F71BF"/>
    <w:rsid w:val="002F71C4"/>
    <w:rsid w:val="002F71F6"/>
    <w:rsid w:val="002F7228"/>
    <w:rsid w:val="002F7358"/>
    <w:rsid w:val="002F7463"/>
    <w:rsid w:val="002F74C0"/>
    <w:rsid w:val="002F74D5"/>
    <w:rsid w:val="002F7540"/>
    <w:rsid w:val="002F759C"/>
    <w:rsid w:val="002F75C5"/>
    <w:rsid w:val="002F7620"/>
    <w:rsid w:val="002F76B1"/>
    <w:rsid w:val="002F76D2"/>
    <w:rsid w:val="002F773B"/>
    <w:rsid w:val="002F774A"/>
    <w:rsid w:val="002F77D6"/>
    <w:rsid w:val="002F789B"/>
    <w:rsid w:val="002F7950"/>
    <w:rsid w:val="002F7B65"/>
    <w:rsid w:val="002F7C2C"/>
    <w:rsid w:val="002F7CCB"/>
    <w:rsid w:val="002F7CE7"/>
    <w:rsid w:val="002F7CFE"/>
    <w:rsid w:val="002F7D64"/>
    <w:rsid w:val="002F7DF6"/>
    <w:rsid w:val="002F7E5A"/>
    <w:rsid w:val="002F7EDC"/>
    <w:rsid w:val="002F7F07"/>
    <w:rsid w:val="002F7F12"/>
    <w:rsid w:val="002F7F46"/>
    <w:rsid w:val="002F7F5A"/>
    <w:rsid w:val="002F7F75"/>
    <w:rsid w:val="00300055"/>
    <w:rsid w:val="003000C4"/>
    <w:rsid w:val="0030030E"/>
    <w:rsid w:val="0030033C"/>
    <w:rsid w:val="003003AB"/>
    <w:rsid w:val="00300415"/>
    <w:rsid w:val="0030045D"/>
    <w:rsid w:val="0030051E"/>
    <w:rsid w:val="00300529"/>
    <w:rsid w:val="0030053D"/>
    <w:rsid w:val="0030058D"/>
    <w:rsid w:val="003005BD"/>
    <w:rsid w:val="00300665"/>
    <w:rsid w:val="0030068B"/>
    <w:rsid w:val="00300771"/>
    <w:rsid w:val="00300782"/>
    <w:rsid w:val="0030086B"/>
    <w:rsid w:val="0030088F"/>
    <w:rsid w:val="003008EA"/>
    <w:rsid w:val="00300930"/>
    <w:rsid w:val="003009D6"/>
    <w:rsid w:val="00300A35"/>
    <w:rsid w:val="00300A9A"/>
    <w:rsid w:val="00300AA8"/>
    <w:rsid w:val="00300AE8"/>
    <w:rsid w:val="00300B1D"/>
    <w:rsid w:val="00300C6B"/>
    <w:rsid w:val="00300C8D"/>
    <w:rsid w:val="00300CF7"/>
    <w:rsid w:val="00300D29"/>
    <w:rsid w:val="00300D71"/>
    <w:rsid w:val="00300D86"/>
    <w:rsid w:val="00300DA8"/>
    <w:rsid w:val="00300DB6"/>
    <w:rsid w:val="00300DE4"/>
    <w:rsid w:val="00300E07"/>
    <w:rsid w:val="00300E94"/>
    <w:rsid w:val="00300F4B"/>
    <w:rsid w:val="00300FA6"/>
    <w:rsid w:val="0030114E"/>
    <w:rsid w:val="00301172"/>
    <w:rsid w:val="00301211"/>
    <w:rsid w:val="00301238"/>
    <w:rsid w:val="00301239"/>
    <w:rsid w:val="00301311"/>
    <w:rsid w:val="0030141D"/>
    <w:rsid w:val="0030142B"/>
    <w:rsid w:val="0030142F"/>
    <w:rsid w:val="00301511"/>
    <w:rsid w:val="0030157B"/>
    <w:rsid w:val="003015AA"/>
    <w:rsid w:val="003016CB"/>
    <w:rsid w:val="0030170D"/>
    <w:rsid w:val="0030171F"/>
    <w:rsid w:val="0030176E"/>
    <w:rsid w:val="003018E1"/>
    <w:rsid w:val="0030198E"/>
    <w:rsid w:val="00301999"/>
    <w:rsid w:val="0030199B"/>
    <w:rsid w:val="003019E8"/>
    <w:rsid w:val="00301ADB"/>
    <w:rsid w:val="00301B4D"/>
    <w:rsid w:val="00301B5B"/>
    <w:rsid w:val="00301B6E"/>
    <w:rsid w:val="00301B89"/>
    <w:rsid w:val="00301B97"/>
    <w:rsid w:val="00301BED"/>
    <w:rsid w:val="00301C11"/>
    <w:rsid w:val="00301C21"/>
    <w:rsid w:val="00301D57"/>
    <w:rsid w:val="00301D70"/>
    <w:rsid w:val="00301DAB"/>
    <w:rsid w:val="00301DE6"/>
    <w:rsid w:val="00301E98"/>
    <w:rsid w:val="00301F09"/>
    <w:rsid w:val="00301F0C"/>
    <w:rsid w:val="00301F82"/>
    <w:rsid w:val="0030206C"/>
    <w:rsid w:val="00302086"/>
    <w:rsid w:val="003021A4"/>
    <w:rsid w:val="003022A2"/>
    <w:rsid w:val="003022ED"/>
    <w:rsid w:val="00302312"/>
    <w:rsid w:val="003023D1"/>
    <w:rsid w:val="003023F7"/>
    <w:rsid w:val="00302417"/>
    <w:rsid w:val="00302448"/>
    <w:rsid w:val="003024C1"/>
    <w:rsid w:val="003024FB"/>
    <w:rsid w:val="003025E5"/>
    <w:rsid w:val="0030265F"/>
    <w:rsid w:val="00302669"/>
    <w:rsid w:val="003026E7"/>
    <w:rsid w:val="0030272B"/>
    <w:rsid w:val="00302793"/>
    <w:rsid w:val="00302979"/>
    <w:rsid w:val="003029A4"/>
    <w:rsid w:val="003029DE"/>
    <w:rsid w:val="00302A1B"/>
    <w:rsid w:val="00302A45"/>
    <w:rsid w:val="00302A74"/>
    <w:rsid w:val="00302AC6"/>
    <w:rsid w:val="00302ADA"/>
    <w:rsid w:val="00302B57"/>
    <w:rsid w:val="00302C90"/>
    <w:rsid w:val="00302D5E"/>
    <w:rsid w:val="00302EBE"/>
    <w:rsid w:val="00302EF5"/>
    <w:rsid w:val="00302F1F"/>
    <w:rsid w:val="00302FD9"/>
    <w:rsid w:val="00303057"/>
    <w:rsid w:val="003030E8"/>
    <w:rsid w:val="00303109"/>
    <w:rsid w:val="003031A7"/>
    <w:rsid w:val="003032A2"/>
    <w:rsid w:val="00303302"/>
    <w:rsid w:val="003033BB"/>
    <w:rsid w:val="00303421"/>
    <w:rsid w:val="00303512"/>
    <w:rsid w:val="00303567"/>
    <w:rsid w:val="00303569"/>
    <w:rsid w:val="0030363D"/>
    <w:rsid w:val="00303680"/>
    <w:rsid w:val="00303703"/>
    <w:rsid w:val="00303739"/>
    <w:rsid w:val="00303852"/>
    <w:rsid w:val="003038B5"/>
    <w:rsid w:val="00303971"/>
    <w:rsid w:val="00303A2B"/>
    <w:rsid w:val="00303A3A"/>
    <w:rsid w:val="00303A81"/>
    <w:rsid w:val="00303BA0"/>
    <w:rsid w:val="00303BA3"/>
    <w:rsid w:val="00303C2F"/>
    <w:rsid w:val="00303C60"/>
    <w:rsid w:val="00303CFB"/>
    <w:rsid w:val="00303DA1"/>
    <w:rsid w:val="00303DA7"/>
    <w:rsid w:val="00303E37"/>
    <w:rsid w:val="00303E41"/>
    <w:rsid w:val="00303E84"/>
    <w:rsid w:val="00303EA5"/>
    <w:rsid w:val="00303EC9"/>
    <w:rsid w:val="00303ED8"/>
    <w:rsid w:val="00303F42"/>
    <w:rsid w:val="00304021"/>
    <w:rsid w:val="00304061"/>
    <w:rsid w:val="00304089"/>
    <w:rsid w:val="003040D6"/>
    <w:rsid w:val="003040DE"/>
    <w:rsid w:val="00304123"/>
    <w:rsid w:val="00304148"/>
    <w:rsid w:val="00304165"/>
    <w:rsid w:val="00304183"/>
    <w:rsid w:val="0030418A"/>
    <w:rsid w:val="003041AC"/>
    <w:rsid w:val="0030422E"/>
    <w:rsid w:val="00304270"/>
    <w:rsid w:val="0030437F"/>
    <w:rsid w:val="003043A6"/>
    <w:rsid w:val="00304406"/>
    <w:rsid w:val="00304409"/>
    <w:rsid w:val="00304412"/>
    <w:rsid w:val="00304444"/>
    <w:rsid w:val="00304491"/>
    <w:rsid w:val="00304498"/>
    <w:rsid w:val="003044D8"/>
    <w:rsid w:val="003044FB"/>
    <w:rsid w:val="00304570"/>
    <w:rsid w:val="00304595"/>
    <w:rsid w:val="0030462E"/>
    <w:rsid w:val="003047A3"/>
    <w:rsid w:val="003047C7"/>
    <w:rsid w:val="003047EA"/>
    <w:rsid w:val="003047EE"/>
    <w:rsid w:val="0030480C"/>
    <w:rsid w:val="0030488B"/>
    <w:rsid w:val="00304A28"/>
    <w:rsid w:val="00304A7E"/>
    <w:rsid w:val="00304D00"/>
    <w:rsid w:val="00304D65"/>
    <w:rsid w:val="00304DD0"/>
    <w:rsid w:val="00304DED"/>
    <w:rsid w:val="00304E65"/>
    <w:rsid w:val="00304E6F"/>
    <w:rsid w:val="00304E76"/>
    <w:rsid w:val="00304EFF"/>
    <w:rsid w:val="00304F06"/>
    <w:rsid w:val="00305008"/>
    <w:rsid w:val="00305025"/>
    <w:rsid w:val="0030506C"/>
    <w:rsid w:val="00305155"/>
    <w:rsid w:val="00305184"/>
    <w:rsid w:val="00305195"/>
    <w:rsid w:val="003051B5"/>
    <w:rsid w:val="00305219"/>
    <w:rsid w:val="0030531C"/>
    <w:rsid w:val="0030540E"/>
    <w:rsid w:val="003054CA"/>
    <w:rsid w:val="0030551E"/>
    <w:rsid w:val="00305529"/>
    <w:rsid w:val="00305540"/>
    <w:rsid w:val="00305580"/>
    <w:rsid w:val="00305648"/>
    <w:rsid w:val="00305674"/>
    <w:rsid w:val="003056CC"/>
    <w:rsid w:val="00305781"/>
    <w:rsid w:val="0030580A"/>
    <w:rsid w:val="00305877"/>
    <w:rsid w:val="003058AB"/>
    <w:rsid w:val="003058DE"/>
    <w:rsid w:val="003058E3"/>
    <w:rsid w:val="003059ED"/>
    <w:rsid w:val="00305B56"/>
    <w:rsid w:val="00305BDD"/>
    <w:rsid w:val="00305DFF"/>
    <w:rsid w:val="00305FB6"/>
    <w:rsid w:val="00306104"/>
    <w:rsid w:val="00306116"/>
    <w:rsid w:val="00306123"/>
    <w:rsid w:val="00306217"/>
    <w:rsid w:val="00306234"/>
    <w:rsid w:val="00306243"/>
    <w:rsid w:val="003062E2"/>
    <w:rsid w:val="0030634D"/>
    <w:rsid w:val="00306358"/>
    <w:rsid w:val="003063B5"/>
    <w:rsid w:val="00306414"/>
    <w:rsid w:val="00306491"/>
    <w:rsid w:val="003064A4"/>
    <w:rsid w:val="003064C8"/>
    <w:rsid w:val="003064CB"/>
    <w:rsid w:val="00306521"/>
    <w:rsid w:val="0030661C"/>
    <w:rsid w:val="003068B3"/>
    <w:rsid w:val="003068CC"/>
    <w:rsid w:val="003068F0"/>
    <w:rsid w:val="00306925"/>
    <w:rsid w:val="00306996"/>
    <w:rsid w:val="003069AD"/>
    <w:rsid w:val="003069E7"/>
    <w:rsid w:val="00306A04"/>
    <w:rsid w:val="00306A09"/>
    <w:rsid w:val="00306A30"/>
    <w:rsid w:val="00306A67"/>
    <w:rsid w:val="00306AC5"/>
    <w:rsid w:val="00306AEB"/>
    <w:rsid w:val="00306B85"/>
    <w:rsid w:val="00306BB8"/>
    <w:rsid w:val="00306C60"/>
    <w:rsid w:val="00306C62"/>
    <w:rsid w:val="00306D3F"/>
    <w:rsid w:val="00306D70"/>
    <w:rsid w:val="00306DD4"/>
    <w:rsid w:val="00306E52"/>
    <w:rsid w:val="00306F88"/>
    <w:rsid w:val="00306F99"/>
    <w:rsid w:val="00306FBC"/>
    <w:rsid w:val="0030707A"/>
    <w:rsid w:val="003070FC"/>
    <w:rsid w:val="00307134"/>
    <w:rsid w:val="0030724D"/>
    <w:rsid w:val="00307278"/>
    <w:rsid w:val="003072EC"/>
    <w:rsid w:val="0030730C"/>
    <w:rsid w:val="0030731E"/>
    <w:rsid w:val="00307355"/>
    <w:rsid w:val="003074EE"/>
    <w:rsid w:val="00307648"/>
    <w:rsid w:val="003076A8"/>
    <w:rsid w:val="0030775A"/>
    <w:rsid w:val="00307768"/>
    <w:rsid w:val="00307776"/>
    <w:rsid w:val="00307990"/>
    <w:rsid w:val="00307AA1"/>
    <w:rsid w:val="00307AB6"/>
    <w:rsid w:val="00307AE3"/>
    <w:rsid w:val="00307B65"/>
    <w:rsid w:val="00307BCD"/>
    <w:rsid w:val="00307BE2"/>
    <w:rsid w:val="00307BEE"/>
    <w:rsid w:val="00307BFC"/>
    <w:rsid w:val="00307C23"/>
    <w:rsid w:val="00307D3C"/>
    <w:rsid w:val="00307DAA"/>
    <w:rsid w:val="00307E9F"/>
    <w:rsid w:val="00307F5B"/>
    <w:rsid w:val="00307F7F"/>
    <w:rsid w:val="00310057"/>
    <w:rsid w:val="0031006F"/>
    <w:rsid w:val="003100C6"/>
    <w:rsid w:val="003100D1"/>
    <w:rsid w:val="00310117"/>
    <w:rsid w:val="0031012C"/>
    <w:rsid w:val="00310189"/>
    <w:rsid w:val="0031024C"/>
    <w:rsid w:val="00310284"/>
    <w:rsid w:val="003102A8"/>
    <w:rsid w:val="00310327"/>
    <w:rsid w:val="00310490"/>
    <w:rsid w:val="003104D0"/>
    <w:rsid w:val="003104DB"/>
    <w:rsid w:val="00310562"/>
    <w:rsid w:val="0031065F"/>
    <w:rsid w:val="00310734"/>
    <w:rsid w:val="003107B9"/>
    <w:rsid w:val="003107FE"/>
    <w:rsid w:val="0031088C"/>
    <w:rsid w:val="003108D3"/>
    <w:rsid w:val="003108D9"/>
    <w:rsid w:val="0031093E"/>
    <w:rsid w:val="00310998"/>
    <w:rsid w:val="00310A66"/>
    <w:rsid w:val="00310AA3"/>
    <w:rsid w:val="00310AC8"/>
    <w:rsid w:val="00310B07"/>
    <w:rsid w:val="00310B4A"/>
    <w:rsid w:val="00310C74"/>
    <w:rsid w:val="00310CEE"/>
    <w:rsid w:val="00310D0E"/>
    <w:rsid w:val="00310D66"/>
    <w:rsid w:val="00310DBF"/>
    <w:rsid w:val="00310E48"/>
    <w:rsid w:val="00310EB0"/>
    <w:rsid w:val="00310ED5"/>
    <w:rsid w:val="00310F1C"/>
    <w:rsid w:val="00310F24"/>
    <w:rsid w:val="00310F90"/>
    <w:rsid w:val="00310FE0"/>
    <w:rsid w:val="0031102E"/>
    <w:rsid w:val="003110B0"/>
    <w:rsid w:val="003111F8"/>
    <w:rsid w:val="0031124D"/>
    <w:rsid w:val="00311257"/>
    <w:rsid w:val="00311372"/>
    <w:rsid w:val="0031138D"/>
    <w:rsid w:val="00311555"/>
    <w:rsid w:val="00311557"/>
    <w:rsid w:val="00311564"/>
    <w:rsid w:val="003115DD"/>
    <w:rsid w:val="0031162B"/>
    <w:rsid w:val="0031163F"/>
    <w:rsid w:val="003116D4"/>
    <w:rsid w:val="003117E5"/>
    <w:rsid w:val="0031181C"/>
    <w:rsid w:val="0031194E"/>
    <w:rsid w:val="00311A4D"/>
    <w:rsid w:val="00311AFA"/>
    <w:rsid w:val="00311B4C"/>
    <w:rsid w:val="00311B94"/>
    <w:rsid w:val="00311BE0"/>
    <w:rsid w:val="00311C4D"/>
    <w:rsid w:val="00311C57"/>
    <w:rsid w:val="00311D70"/>
    <w:rsid w:val="00311E07"/>
    <w:rsid w:val="00311EA0"/>
    <w:rsid w:val="00311EAA"/>
    <w:rsid w:val="00311EDA"/>
    <w:rsid w:val="00312058"/>
    <w:rsid w:val="0031212D"/>
    <w:rsid w:val="0031220D"/>
    <w:rsid w:val="0031221B"/>
    <w:rsid w:val="0031224D"/>
    <w:rsid w:val="00312255"/>
    <w:rsid w:val="00312284"/>
    <w:rsid w:val="00312312"/>
    <w:rsid w:val="00312329"/>
    <w:rsid w:val="003123E8"/>
    <w:rsid w:val="00312478"/>
    <w:rsid w:val="0031251D"/>
    <w:rsid w:val="00312530"/>
    <w:rsid w:val="003125B9"/>
    <w:rsid w:val="0031265C"/>
    <w:rsid w:val="00312664"/>
    <w:rsid w:val="003126B8"/>
    <w:rsid w:val="003126CE"/>
    <w:rsid w:val="003126D7"/>
    <w:rsid w:val="003127C3"/>
    <w:rsid w:val="00312800"/>
    <w:rsid w:val="0031286B"/>
    <w:rsid w:val="00312ABC"/>
    <w:rsid w:val="00312B2A"/>
    <w:rsid w:val="00312BDE"/>
    <w:rsid w:val="00312D1C"/>
    <w:rsid w:val="00312D83"/>
    <w:rsid w:val="00312DD6"/>
    <w:rsid w:val="00312DDE"/>
    <w:rsid w:val="00312E05"/>
    <w:rsid w:val="00312E2A"/>
    <w:rsid w:val="00312F9A"/>
    <w:rsid w:val="00313002"/>
    <w:rsid w:val="003130CD"/>
    <w:rsid w:val="0031312C"/>
    <w:rsid w:val="0031312E"/>
    <w:rsid w:val="0031313F"/>
    <w:rsid w:val="0031323B"/>
    <w:rsid w:val="003132B7"/>
    <w:rsid w:val="003132C9"/>
    <w:rsid w:val="0031338F"/>
    <w:rsid w:val="003133AF"/>
    <w:rsid w:val="003135A2"/>
    <w:rsid w:val="003135F3"/>
    <w:rsid w:val="003136AC"/>
    <w:rsid w:val="00313784"/>
    <w:rsid w:val="003137BA"/>
    <w:rsid w:val="0031388F"/>
    <w:rsid w:val="003138C2"/>
    <w:rsid w:val="00313963"/>
    <w:rsid w:val="003139B1"/>
    <w:rsid w:val="00313A04"/>
    <w:rsid w:val="00313A2C"/>
    <w:rsid w:val="00313A9A"/>
    <w:rsid w:val="00313ACE"/>
    <w:rsid w:val="00313AE0"/>
    <w:rsid w:val="00313AF4"/>
    <w:rsid w:val="00313CC6"/>
    <w:rsid w:val="00313DC9"/>
    <w:rsid w:val="00313DDA"/>
    <w:rsid w:val="00313E31"/>
    <w:rsid w:val="00313EA1"/>
    <w:rsid w:val="00313F05"/>
    <w:rsid w:val="00313F8E"/>
    <w:rsid w:val="00313F8F"/>
    <w:rsid w:val="00313F97"/>
    <w:rsid w:val="0031400B"/>
    <w:rsid w:val="00314189"/>
    <w:rsid w:val="00314198"/>
    <w:rsid w:val="003141BC"/>
    <w:rsid w:val="003142AD"/>
    <w:rsid w:val="003142AE"/>
    <w:rsid w:val="003142AF"/>
    <w:rsid w:val="003142B5"/>
    <w:rsid w:val="003142F8"/>
    <w:rsid w:val="003143BD"/>
    <w:rsid w:val="0031458F"/>
    <w:rsid w:val="003145E0"/>
    <w:rsid w:val="0031462F"/>
    <w:rsid w:val="00314648"/>
    <w:rsid w:val="00314656"/>
    <w:rsid w:val="00314730"/>
    <w:rsid w:val="00314783"/>
    <w:rsid w:val="00314865"/>
    <w:rsid w:val="003148DA"/>
    <w:rsid w:val="003148E1"/>
    <w:rsid w:val="00314936"/>
    <w:rsid w:val="00314942"/>
    <w:rsid w:val="00314AA8"/>
    <w:rsid w:val="00314B11"/>
    <w:rsid w:val="00314B23"/>
    <w:rsid w:val="00314B53"/>
    <w:rsid w:val="00314B60"/>
    <w:rsid w:val="00314B8F"/>
    <w:rsid w:val="00314B91"/>
    <w:rsid w:val="00314BCA"/>
    <w:rsid w:val="00314BD1"/>
    <w:rsid w:val="00314BF8"/>
    <w:rsid w:val="00314C11"/>
    <w:rsid w:val="00314C31"/>
    <w:rsid w:val="00314C79"/>
    <w:rsid w:val="00314CE7"/>
    <w:rsid w:val="00314D17"/>
    <w:rsid w:val="00314D58"/>
    <w:rsid w:val="00314D9D"/>
    <w:rsid w:val="00314E2A"/>
    <w:rsid w:val="00314ED5"/>
    <w:rsid w:val="00314F82"/>
    <w:rsid w:val="0031500F"/>
    <w:rsid w:val="00315131"/>
    <w:rsid w:val="003151A2"/>
    <w:rsid w:val="0031523E"/>
    <w:rsid w:val="0031525D"/>
    <w:rsid w:val="00315294"/>
    <w:rsid w:val="003152C2"/>
    <w:rsid w:val="003152D2"/>
    <w:rsid w:val="0031537F"/>
    <w:rsid w:val="003153AE"/>
    <w:rsid w:val="00315438"/>
    <w:rsid w:val="0031543E"/>
    <w:rsid w:val="0031545B"/>
    <w:rsid w:val="00315476"/>
    <w:rsid w:val="0031549C"/>
    <w:rsid w:val="00315584"/>
    <w:rsid w:val="00315595"/>
    <w:rsid w:val="003155B5"/>
    <w:rsid w:val="003156BC"/>
    <w:rsid w:val="00315726"/>
    <w:rsid w:val="0031582B"/>
    <w:rsid w:val="003158C7"/>
    <w:rsid w:val="003158CF"/>
    <w:rsid w:val="00315998"/>
    <w:rsid w:val="00315A41"/>
    <w:rsid w:val="00315A88"/>
    <w:rsid w:val="00315B5E"/>
    <w:rsid w:val="00315CCA"/>
    <w:rsid w:val="00315CDC"/>
    <w:rsid w:val="00315D16"/>
    <w:rsid w:val="00315DF6"/>
    <w:rsid w:val="00315EA1"/>
    <w:rsid w:val="00315EDC"/>
    <w:rsid w:val="00315F15"/>
    <w:rsid w:val="00315F93"/>
    <w:rsid w:val="00315FA9"/>
    <w:rsid w:val="0031601F"/>
    <w:rsid w:val="0031604F"/>
    <w:rsid w:val="00316147"/>
    <w:rsid w:val="00316148"/>
    <w:rsid w:val="0031620C"/>
    <w:rsid w:val="0031621E"/>
    <w:rsid w:val="00316224"/>
    <w:rsid w:val="003162CF"/>
    <w:rsid w:val="003162D5"/>
    <w:rsid w:val="003162EF"/>
    <w:rsid w:val="00316315"/>
    <w:rsid w:val="0031638A"/>
    <w:rsid w:val="0031649E"/>
    <w:rsid w:val="003164C2"/>
    <w:rsid w:val="00316500"/>
    <w:rsid w:val="00316547"/>
    <w:rsid w:val="00316572"/>
    <w:rsid w:val="00316579"/>
    <w:rsid w:val="003166C0"/>
    <w:rsid w:val="003166DB"/>
    <w:rsid w:val="003166DD"/>
    <w:rsid w:val="003166EE"/>
    <w:rsid w:val="0031673C"/>
    <w:rsid w:val="00316764"/>
    <w:rsid w:val="00316782"/>
    <w:rsid w:val="003167B7"/>
    <w:rsid w:val="0031684F"/>
    <w:rsid w:val="00316858"/>
    <w:rsid w:val="003168B6"/>
    <w:rsid w:val="003168D0"/>
    <w:rsid w:val="00316987"/>
    <w:rsid w:val="003169AA"/>
    <w:rsid w:val="00316A74"/>
    <w:rsid w:val="00316A83"/>
    <w:rsid w:val="00316ABB"/>
    <w:rsid w:val="00316B0F"/>
    <w:rsid w:val="00316C05"/>
    <w:rsid w:val="00316C54"/>
    <w:rsid w:val="00316C75"/>
    <w:rsid w:val="00316CA7"/>
    <w:rsid w:val="00316DE7"/>
    <w:rsid w:val="00316DEA"/>
    <w:rsid w:val="00316E61"/>
    <w:rsid w:val="00316E9E"/>
    <w:rsid w:val="00316EC3"/>
    <w:rsid w:val="00317003"/>
    <w:rsid w:val="003170F4"/>
    <w:rsid w:val="0031712B"/>
    <w:rsid w:val="00317140"/>
    <w:rsid w:val="003171C3"/>
    <w:rsid w:val="003171FE"/>
    <w:rsid w:val="0031731F"/>
    <w:rsid w:val="0031734C"/>
    <w:rsid w:val="00317394"/>
    <w:rsid w:val="0031749B"/>
    <w:rsid w:val="003174A6"/>
    <w:rsid w:val="003174D5"/>
    <w:rsid w:val="0031753B"/>
    <w:rsid w:val="003175F9"/>
    <w:rsid w:val="00317615"/>
    <w:rsid w:val="0031761F"/>
    <w:rsid w:val="0031770B"/>
    <w:rsid w:val="00317736"/>
    <w:rsid w:val="0031775E"/>
    <w:rsid w:val="00317790"/>
    <w:rsid w:val="003177C1"/>
    <w:rsid w:val="00317838"/>
    <w:rsid w:val="0031786E"/>
    <w:rsid w:val="003178DB"/>
    <w:rsid w:val="00317959"/>
    <w:rsid w:val="00317969"/>
    <w:rsid w:val="0031797B"/>
    <w:rsid w:val="003179A3"/>
    <w:rsid w:val="00317A20"/>
    <w:rsid w:val="00317AE4"/>
    <w:rsid w:val="00317B35"/>
    <w:rsid w:val="00317B9B"/>
    <w:rsid w:val="00317BB0"/>
    <w:rsid w:val="00317BC1"/>
    <w:rsid w:val="00317C91"/>
    <w:rsid w:val="00317CE6"/>
    <w:rsid w:val="00317CFE"/>
    <w:rsid w:val="00317D56"/>
    <w:rsid w:val="00317DB8"/>
    <w:rsid w:val="00317E27"/>
    <w:rsid w:val="00317E3F"/>
    <w:rsid w:val="00317E85"/>
    <w:rsid w:val="00317F13"/>
    <w:rsid w:val="00317F60"/>
    <w:rsid w:val="00317FDE"/>
    <w:rsid w:val="00320056"/>
    <w:rsid w:val="00320069"/>
    <w:rsid w:val="003200F4"/>
    <w:rsid w:val="003201ED"/>
    <w:rsid w:val="0032022F"/>
    <w:rsid w:val="00320279"/>
    <w:rsid w:val="003202EF"/>
    <w:rsid w:val="003202FD"/>
    <w:rsid w:val="00320305"/>
    <w:rsid w:val="00320421"/>
    <w:rsid w:val="0032043B"/>
    <w:rsid w:val="00320484"/>
    <w:rsid w:val="003204D1"/>
    <w:rsid w:val="00320601"/>
    <w:rsid w:val="0032061D"/>
    <w:rsid w:val="0032065C"/>
    <w:rsid w:val="0032068F"/>
    <w:rsid w:val="00320695"/>
    <w:rsid w:val="003206D0"/>
    <w:rsid w:val="0032070E"/>
    <w:rsid w:val="00320757"/>
    <w:rsid w:val="003207B7"/>
    <w:rsid w:val="003208E9"/>
    <w:rsid w:val="0032094D"/>
    <w:rsid w:val="00320972"/>
    <w:rsid w:val="003209DD"/>
    <w:rsid w:val="00320A2F"/>
    <w:rsid w:val="00320ACC"/>
    <w:rsid w:val="00320B3B"/>
    <w:rsid w:val="00320C86"/>
    <w:rsid w:val="00320CD7"/>
    <w:rsid w:val="00320CE6"/>
    <w:rsid w:val="00320DE2"/>
    <w:rsid w:val="00320E25"/>
    <w:rsid w:val="00320E2C"/>
    <w:rsid w:val="00320E31"/>
    <w:rsid w:val="00320E56"/>
    <w:rsid w:val="00320ED4"/>
    <w:rsid w:val="00320F27"/>
    <w:rsid w:val="00321091"/>
    <w:rsid w:val="003212D5"/>
    <w:rsid w:val="0032131D"/>
    <w:rsid w:val="003213B2"/>
    <w:rsid w:val="003213DB"/>
    <w:rsid w:val="00321413"/>
    <w:rsid w:val="0032157A"/>
    <w:rsid w:val="00321705"/>
    <w:rsid w:val="0032174F"/>
    <w:rsid w:val="003217FB"/>
    <w:rsid w:val="003218EE"/>
    <w:rsid w:val="00321932"/>
    <w:rsid w:val="00321998"/>
    <w:rsid w:val="00321A18"/>
    <w:rsid w:val="00321A9E"/>
    <w:rsid w:val="00321ADD"/>
    <w:rsid w:val="00321AF2"/>
    <w:rsid w:val="00321B19"/>
    <w:rsid w:val="00321B6B"/>
    <w:rsid w:val="00321BE5"/>
    <w:rsid w:val="00321C0E"/>
    <w:rsid w:val="00321C83"/>
    <w:rsid w:val="00321C93"/>
    <w:rsid w:val="00321CF0"/>
    <w:rsid w:val="00321DD2"/>
    <w:rsid w:val="00321E79"/>
    <w:rsid w:val="00321E87"/>
    <w:rsid w:val="00321F3C"/>
    <w:rsid w:val="00321F8A"/>
    <w:rsid w:val="00321F9B"/>
    <w:rsid w:val="00321FBC"/>
    <w:rsid w:val="0032202B"/>
    <w:rsid w:val="00322045"/>
    <w:rsid w:val="003220EB"/>
    <w:rsid w:val="00322114"/>
    <w:rsid w:val="0032217A"/>
    <w:rsid w:val="003221BB"/>
    <w:rsid w:val="0032221C"/>
    <w:rsid w:val="003222F3"/>
    <w:rsid w:val="00322418"/>
    <w:rsid w:val="003224BC"/>
    <w:rsid w:val="0032252A"/>
    <w:rsid w:val="0032272B"/>
    <w:rsid w:val="00322774"/>
    <w:rsid w:val="0032281C"/>
    <w:rsid w:val="00322825"/>
    <w:rsid w:val="00322858"/>
    <w:rsid w:val="00322968"/>
    <w:rsid w:val="003229DE"/>
    <w:rsid w:val="00322AED"/>
    <w:rsid w:val="00322B4D"/>
    <w:rsid w:val="00322B6D"/>
    <w:rsid w:val="00322C02"/>
    <w:rsid w:val="00322C75"/>
    <w:rsid w:val="00322CC1"/>
    <w:rsid w:val="00322CE9"/>
    <w:rsid w:val="00322D86"/>
    <w:rsid w:val="00322D88"/>
    <w:rsid w:val="00322DDE"/>
    <w:rsid w:val="00322E28"/>
    <w:rsid w:val="00322E6C"/>
    <w:rsid w:val="00322ED7"/>
    <w:rsid w:val="00322F6F"/>
    <w:rsid w:val="00322F79"/>
    <w:rsid w:val="00322FEC"/>
    <w:rsid w:val="00323012"/>
    <w:rsid w:val="0032302B"/>
    <w:rsid w:val="00323061"/>
    <w:rsid w:val="0032316F"/>
    <w:rsid w:val="00323171"/>
    <w:rsid w:val="003231F8"/>
    <w:rsid w:val="00323201"/>
    <w:rsid w:val="0032320B"/>
    <w:rsid w:val="003232AC"/>
    <w:rsid w:val="003232CB"/>
    <w:rsid w:val="003232E8"/>
    <w:rsid w:val="00323359"/>
    <w:rsid w:val="0032338B"/>
    <w:rsid w:val="00323430"/>
    <w:rsid w:val="00323442"/>
    <w:rsid w:val="003234AC"/>
    <w:rsid w:val="003234D0"/>
    <w:rsid w:val="00323592"/>
    <w:rsid w:val="003235D5"/>
    <w:rsid w:val="0032363A"/>
    <w:rsid w:val="00323672"/>
    <w:rsid w:val="00323693"/>
    <w:rsid w:val="00323696"/>
    <w:rsid w:val="003236D6"/>
    <w:rsid w:val="0032370E"/>
    <w:rsid w:val="003237E8"/>
    <w:rsid w:val="00323802"/>
    <w:rsid w:val="003238A5"/>
    <w:rsid w:val="00323939"/>
    <w:rsid w:val="00323A46"/>
    <w:rsid w:val="00323AD9"/>
    <w:rsid w:val="00323C3D"/>
    <w:rsid w:val="00323EC1"/>
    <w:rsid w:val="00323ECC"/>
    <w:rsid w:val="00323F12"/>
    <w:rsid w:val="00323F69"/>
    <w:rsid w:val="00324092"/>
    <w:rsid w:val="003240F0"/>
    <w:rsid w:val="0032418D"/>
    <w:rsid w:val="003241ED"/>
    <w:rsid w:val="003242E2"/>
    <w:rsid w:val="00324381"/>
    <w:rsid w:val="0032445C"/>
    <w:rsid w:val="003244B7"/>
    <w:rsid w:val="003244F8"/>
    <w:rsid w:val="003245C0"/>
    <w:rsid w:val="003245F4"/>
    <w:rsid w:val="00324679"/>
    <w:rsid w:val="00324687"/>
    <w:rsid w:val="003246C0"/>
    <w:rsid w:val="0032474D"/>
    <w:rsid w:val="003248C3"/>
    <w:rsid w:val="00324945"/>
    <w:rsid w:val="00324989"/>
    <w:rsid w:val="003249F8"/>
    <w:rsid w:val="00324A90"/>
    <w:rsid w:val="00324A9D"/>
    <w:rsid w:val="00324BB0"/>
    <w:rsid w:val="00324C6A"/>
    <w:rsid w:val="00324D20"/>
    <w:rsid w:val="00324D7A"/>
    <w:rsid w:val="00324DCE"/>
    <w:rsid w:val="00324E85"/>
    <w:rsid w:val="00324EB5"/>
    <w:rsid w:val="00324F05"/>
    <w:rsid w:val="00325035"/>
    <w:rsid w:val="003251AB"/>
    <w:rsid w:val="003251B4"/>
    <w:rsid w:val="003251C6"/>
    <w:rsid w:val="003251FF"/>
    <w:rsid w:val="003252CA"/>
    <w:rsid w:val="00325340"/>
    <w:rsid w:val="00325399"/>
    <w:rsid w:val="00325463"/>
    <w:rsid w:val="00325466"/>
    <w:rsid w:val="00325524"/>
    <w:rsid w:val="003255F5"/>
    <w:rsid w:val="00325663"/>
    <w:rsid w:val="003256B8"/>
    <w:rsid w:val="00325840"/>
    <w:rsid w:val="00325844"/>
    <w:rsid w:val="00325865"/>
    <w:rsid w:val="00325894"/>
    <w:rsid w:val="003258E6"/>
    <w:rsid w:val="00325A24"/>
    <w:rsid w:val="00325A39"/>
    <w:rsid w:val="00325ADC"/>
    <w:rsid w:val="00325BAE"/>
    <w:rsid w:val="00325BCB"/>
    <w:rsid w:val="00325CE6"/>
    <w:rsid w:val="00325D05"/>
    <w:rsid w:val="00325D31"/>
    <w:rsid w:val="00325DF0"/>
    <w:rsid w:val="00325E9E"/>
    <w:rsid w:val="00325F03"/>
    <w:rsid w:val="00325F2B"/>
    <w:rsid w:val="00325FA3"/>
    <w:rsid w:val="00325FCC"/>
    <w:rsid w:val="00325FCD"/>
    <w:rsid w:val="0032600B"/>
    <w:rsid w:val="003260D1"/>
    <w:rsid w:val="00326172"/>
    <w:rsid w:val="0032624A"/>
    <w:rsid w:val="0032636F"/>
    <w:rsid w:val="00326475"/>
    <w:rsid w:val="00326494"/>
    <w:rsid w:val="00326497"/>
    <w:rsid w:val="0032650E"/>
    <w:rsid w:val="00326518"/>
    <w:rsid w:val="0032652E"/>
    <w:rsid w:val="00326538"/>
    <w:rsid w:val="00326583"/>
    <w:rsid w:val="003265D4"/>
    <w:rsid w:val="00326604"/>
    <w:rsid w:val="0032660A"/>
    <w:rsid w:val="0032664F"/>
    <w:rsid w:val="00326678"/>
    <w:rsid w:val="00326686"/>
    <w:rsid w:val="00326774"/>
    <w:rsid w:val="0032677C"/>
    <w:rsid w:val="003267D4"/>
    <w:rsid w:val="003267EF"/>
    <w:rsid w:val="0032681E"/>
    <w:rsid w:val="003268F2"/>
    <w:rsid w:val="00326956"/>
    <w:rsid w:val="0032696D"/>
    <w:rsid w:val="003269EB"/>
    <w:rsid w:val="003269FA"/>
    <w:rsid w:val="00326A25"/>
    <w:rsid w:val="00326A70"/>
    <w:rsid w:val="00326ACD"/>
    <w:rsid w:val="00326C0C"/>
    <w:rsid w:val="00326C28"/>
    <w:rsid w:val="00326C79"/>
    <w:rsid w:val="00326CE5"/>
    <w:rsid w:val="00326D08"/>
    <w:rsid w:val="00326D62"/>
    <w:rsid w:val="00326D84"/>
    <w:rsid w:val="00326DFF"/>
    <w:rsid w:val="00326E46"/>
    <w:rsid w:val="00326EEE"/>
    <w:rsid w:val="00326F29"/>
    <w:rsid w:val="00326F65"/>
    <w:rsid w:val="00326FEC"/>
    <w:rsid w:val="003270DF"/>
    <w:rsid w:val="0032718D"/>
    <w:rsid w:val="003271C8"/>
    <w:rsid w:val="003271FA"/>
    <w:rsid w:val="00327202"/>
    <w:rsid w:val="00327205"/>
    <w:rsid w:val="00327208"/>
    <w:rsid w:val="00327272"/>
    <w:rsid w:val="00327289"/>
    <w:rsid w:val="003272CE"/>
    <w:rsid w:val="00327312"/>
    <w:rsid w:val="0032741B"/>
    <w:rsid w:val="00327577"/>
    <w:rsid w:val="00327657"/>
    <w:rsid w:val="0032765C"/>
    <w:rsid w:val="0032776A"/>
    <w:rsid w:val="0032782F"/>
    <w:rsid w:val="00327960"/>
    <w:rsid w:val="00327A17"/>
    <w:rsid w:val="00327A49"/>
    <w:rsid w:val="00327AF6"/>
    <w:rsid w:val="00327B53"/>
    <w:rsid w:val="00327C7D"/>
    <w:rsid w:val="00327DA3"/>
    <w:rsid w:val="00327DCF"/>
    <w:rsid w:val="00327E3B"/>
    <w:rsid w:val="00327E9E"/>
    <w:rsid w:val="00327FA7"/>
    <w:rsid w:val="00327FA8"/>
    <w:rsid w:val="00329D02"/>
    <w:rsid w:val="0033013F"/>
    <w:rsid w:val="0033014E"/>
    <w:rsid w:val="00330182"/>
    <w:rsid w:val="003301A6"/>
    <w:rsid w:val="00330344"/>
    <w:rsid w:val="00330359"/>
    <w:rsid w:val="00330375"/>
    <w:rsid w:val="00330556"/>
    <w:rsid w:val="00330593"/>
    <w:rsid w:val="003305C9"/>
    <w:rsid w:val="00330643"/>
    <w:rsid w:val="00330690"/>
    <w:rsid w:val="0033077C"/>
    <w:rsid w:val="003307A0"/>
    <w:rsid w:val="003307A7"/>
    <w:rsid w:val="003308B2"/>
    <w:rsid w:val="0033091A"/>
    <w:rsid w:val="0033097E"/>
    <w:rsid w:val="00330994"/>
    <w:rsid w:val="003309B8"/>
    <w:rsid w:val="00330A04"/>
    <w:rsid w:val="00330AB8"/>
    <w:rsid w:val="00330C64"/>
    <w:rsid w:val="00330C87"/>
    <w:rsid w:val="00330C94"/>
    <w:rsid w:val="00330C99"/>
    <w:rsid w:val="00330CA1"/>
    <w:rsid w:val="00330CDD"/>
    <w:rsid w:val="00330DD9"/>
    <w:rsid w:val="00330E9A"/>
    <w:rsid w:val="00330EE8"/>
    <w:rsid w:val="00330F26"/>
    <w:rsid w:val="00330F8E"/>
    <w:rsid w:val="00330FA0"/>
    <w:rsid w:val="00330FE5"/>
    <w:rsid w:val="0033109A"/>
    <w:rsid w:val="003310C8"/>
    <w:rsid w:val="00331100"/>
    <w:rsid w:val="00331269"/>
    <w:rsid w:val="0033128D"/>
    <w:rsid w:val="00331301"/>
    <w:rsid w:val="00331473"/>
    <w:rsid w:val="0033149D"/>
    <w:rsid w:val="003314D8"/>
    <w:rsid w:val="003315CF"/>
    <w:rsid w:val="003316EB"/>
    <w:rsid w:val="00331703"/>
    <w:rsid w:val="00331715"/>
    <w:rsid w:val="00331804"/>
    <w:rsid w:val="003318CC"/>
    <w:rsid w:val="00331968"/>
    <w:rsid w:val="0033199C"/>
    <w:rsid w:val="00331A28"/>
    <w:rsid w:val="00331A6A"/>
    <w:rsid w:val="00331AA1"/>
    <w:rsid w:val="00331BD9"/>
    <w:rsid w:val="00331BE2"/>
    <w:rsid w:val="00331C82"/>
    <w:rsid w:val="00331CF8"/>
    <w:rsid w:val="00331D61"/>
    <w:rsid w:val="00331DE5"/>
    <w:rsid w:val="00331E6E"/>
    <w:rsid w:val="00331EF6"/>
    <w:rsid w:val="00331F2C"/>
    <w:rsid w:val="00332169"/>
    <w:rsid w:val="0033220C"/>
    <w:rsid w:val="003322BA"/>
    <w:rsid w:val="003322E6"/>
    <w:rsid w:val="00332307"/>
    <w:rsid w:val="00332311"/>
    <w:rsid w:val="00332401"/>
    <w:rsid w:val="0033247A"/>
    <w:rsid w:val="003324B4"/>
    <w:rsid w:val="003324BC"/>
    <w:rsid w:val="0033252D"/>
    <w:rsid w:val="003325C5"/>
    <w:rsid w:val="00332600"/>
    <w:rsid w:val="003326E2"/>
    <w:rsid w:val="0033271B"/>
    <w:rsid w:val="003327B4"/>
    <w:rsid w:val="00332963"/>
    <w:rsid w:val="003329CB"/>
    <w:rsid w:val="003329DA"/>
    <w:rsid w:val="003329F2"/>
    <w:rsid w:val="003329F7"/>
    <w:rsid w:val="00332A51"/>
    <w:rsid w:val="00332ABB"/>
    <w:rsid w:val="00332ABE"/>
    <w:rsid w:val="00332AEB"/>
    <w:rsid w:val="00332C57"/>
    <w:rsid w:val="00332D0A"/>
    <w:rsid w:val="00332E92"/>
    <w:rsid w:val="00332EFD"/>
    <w:rsid w:val="00332F69"/>
    <w:rsid w:val="00332F8E"/>
    <w:rsid w:val="00332F9D"/>
    <w:rsid w:val="00332FF6"/>
    <w:rsid w:val="00333082"/>
    <w:rsid w:val="003330BA"/>
    <w:rsid w:val="003330DF"/>
    <w:rsid w:val="003330EF"/>
    <w:rsid w:val="00333113"/>
    <w:rsid w:val="00333225"/>
    <w:rsid w:val="00333241"/>
    <w:rsid w:val="00333252"/>
    <w:rsid w:val="003332CA"/>
    <w:rsid w:val="0033330D"/>
    <w:rsid w:val="00333327"/>
    <w:rsid w:val="00333413"/>
    <w:rsid w:val="0033344F"/>
    <w:rsid w:val="00333492"/>
    <w:rsid w:val="0033355C"/>
    <w:rsid w:val="0033359C"/>
    <w:rsid w:val="0033360F"/>
    <w:rsid w:val="0033370E"/>
    <w:rsid w:val="0033375A"/>
    <w:rsid w:val="00333767"/>
    <w:rsid w:val="003337D4"/>
    <w:rsid w:val="0033388F"/>
    <w:rsid w:val="00333891"/>
    <w:rsid w:val="00333A20"/>
    <w:rsid w:val="00333AEC"/>
    <w:rsid w:val="00333B5A"/>
    <w:rsid w:val="00333B7D"/>
    <w:rsid w:val="00333BC1"/>
    <w:rsid w:val="00333C4B"/>
    <w:rsid w:val="00333D2F"/>
    <w:rsid w:val="00333E07"/>
    <w:rsid w:val="00333E19"/>
    <w:rsid w:val="00333E2E"/>
    <w:rsid w:val="00333F79"/>
    <w:rsid w:val="00333F90"/>
    <w:rsid w:val="00333FCE"/>
    <w:rsid w:val="0033403B"/>
    <w:rsid w:val="0033409E"/>
    <w:rsid w:val="003340C8"/>
    <w:rsid w:val="00334101"/>
    <w:rsid w:val="0033414E"/>
    <w:rsid w:val="003342C4"/>
    <w:rsid w:val="00334343"/>
    <w:rsid w:val="00334360"/>
    <w:rsid w:val="00334391"/>
    <w:rsid w:val="003343E4"/>
    <w:rsid w:val="0033440E"/>
    <w:rsid w:val="00334412"/>
    <w:rsid w:val="00334432"/>
    <w:rsid w:val="003344B5"/>
    <w:rsid w:val="003344CD"/>
    <w:rsid w:val="003344ED"/>
    <w:rsid w:val="003345BD"/>
    <w:rsid w:val="003345D8"/>
    <w:rsid w:val="0033466D"/>
    <w:rsid w:val="003346BB"/>
    <w:rsid w:val="003346FF"/>
    <w:rsid w:val="0033472C"/>
    <w:rsid w:val="00334759"/>
    <w:rsid w:val="0033484F"/>
    <w:rsid w:val="0033488B"/>
    <w:rsid w:val="0033489E"/>
    <w:rsid w:val="003348A1"/>
    <w:rsid w:val="00334934"/>
    <w:rsid w:val="003349B1"/>
    <w:rsid w:val="00334A19"/>
    <w:rsid w:val="00334AE4"/>
    <w:rsid w:val="00334B08"/>
    <w:rsid w:val="00334B12"/>
    <w:rsid w:val="00334B6D"/>
    <w:rsid w:val="00334CAC"/>
    <w:rsid w:val="00334CE5"/>
    <w:rsid w:val="00334D2D"/>
    <w:rsid w:val="00334DC3"/>
    <w:rsid w:val="00334DD1"/>
    <w:rsid w:val="00334E34"/>
    <w:rsid w:val="00334E70"/>
    <w:rsid w:val="00334F7A"/>
    <w:rsid w:val="00334F92"/>
    <w:rsid w:val="00335030"/>
    <w:rsid w:val="003350BB"/>
    <w:rsid w:val="003350C9"/>
    <w:rsid w:val="0033514F"/>
    <w:rsid w:val="00335233"/>
    <w:rsid w:val="0033532D"/>
    <w:rsid w:val="00335372"/>
    <w:rsid w:val="003353CC"/>
    <w:rsid w:val="003353FE"/>
    <w:rsid w:val="00335422"/>
    <w:rsid w:val="00335455"/>
    <w:rsid w:val="00335457"/>
    <w:rsid w:val="00335496"/>
    <w:rsid w:val="003354D2"/>
    <w:rsid w:val="003355C1"/>
    <w:rsid w:val="00335658"/>
    <w:rsid w:val="0033567B"/>
    <w:rsid w:val="00335762"/>
    <w:rsid w:val="00335797"/>
    <w:rsid w:val="00335805"/>
    <w:rsid w:val="0033584D"/>
    <w:rsid w:val="0033585D"/>
    <w:rsid w:val="00335864"/>
    <w:rsid w:val="00335891"/>
    <w:rsid w:val="003359AD"/>
    <w:rsid w:val="00335A19"/>
    <w:rsid w:val="00335A1F"/>
    <w:rsid w:val="00335AAD"/>
    <w:rsid w:val="00335ADA"/>
    <w:rsid w:val="00335B41"/>
    <w:rsid w:val="00335BFC"/>
    <w:rsid w:val="00335C3C"/>
    <w:rsid w:val="00335CFB"/>
    <w:rsid w:val="00335DDF"/>
    <w:rsid w:val="00335E95"/>
    <w:rsid w:val="00335F1B"/>
    <w:rsid w:val="00335F4C"/>
    <w:rsid w:val="0033603D"/>
    <w:rsid w:val="0033609E"/>
    <w:rsid w:val="003360B5"/>
    <w:rsid w:val="0033618A"/>
    <w:rsid w:val="003361A4"/>
    <w:rsid w:val="003361D4"/>
    <w:rsid w:val="003361EC"/>
    <w:rsid w:val="00336222"/>
    <w:rsid w:val="00336223"/>
    <w:rsid w:val="0033622B"/>
    <w:rsid w:val="003362DB"/>
    <w:rsid w:val="003362FB"/>
    <w:rsid w:val="00336309"/>
    <w:rsid w:val="00336336"/>
    <w:rsid w:val="00336485"/>
    <w:rsid w:val="00336553"/>
    <w:rsid w:val="003365FB"/>
    <w:rsid w:val="0033660F"/>
    <w:rsid w:val="003366D7"/>
    <w:rsid w:val="003366D8"/>
    <w:rsid w:val="0033671D"/>
    <w:rsid w:val="00336795"/>
    <w:rsid w:val="00336941"/>
    <w:rsid w:val="0033695B"/>
    <w:rsid w:val="00336A42"/>
    <w:rsid w:val="00336A8B"/>
    <w:rsid w:val="00336AAE"/>
    <w:rsid w:val="00336B82"/>
    <w:rsid w:val="00336BB3"/>
    <w:rsid w:val="00336D8D"/>
    <w:rsid w:val="00336DDA"/>
    <w:rsid w:val="00336E07"/>
    <w:rsid w:val="00336E15"/>
    <w:rsid w:val="00336E63"/>
    <w:rsid w:val="00336E90"/>
    <w:rsid w:val="00336F80"/>
    <w:rsid w:val="003370B9"/>
    <w:rsid w:val="003370E1"/>
    <w:rsid w:val="0033715A"/>
    <w:rsid w:val="003371DB"/>
    <w:rsid w:val="003372F9"/>
    <w:rsid w:val="00337333"/>
    <w:rsid w:val="0033736D"/>
    <w:rsid w:val="00337534"/>
    <w:rsid w:val="0033754A"/>
    <w:rsid w:val="0033765F"/>
    <w:rsid w:val="003376BD"/>
    <w:rsid w:val="003376C2"/>
    <w:rsid w:val="00337719"/>
    <w:rsid w:val="00337783"/>
    <w:rsid w:val="00337835"/>
    <w:rsid w:val="00337843"/>
    <w:rsid w:val="00337890"/>
    <w:rsid w:val="0033789B"/>
    <w:rsid w:val="00337906"/>
    <w:rsid w:val="00337A51"/>
    <w:rsid w:val="00337B72"/>
    <w:rsid w:val="00337BF7"/>
    <w:rsid w:val="00337C6C"/>
    <w:rsid w:val="00337C7B"/>
    <w:rsid w:val="00337CDC"/>
    <w:rsid w:val="00337D09"/>
    <w:rsid w:val="00337E2F"/>
    <w:rsid w:val="00337ED2"/>
    <w:rsid w:val="00337EF2"/>
    <w:rsid w:val="00337F69"/>
    <w:rsid w:val="0033879E"/>
    <w:rsid w:val="0033BF1A"/>
    <w:rsid w:val="00340034"/>
    <w:rsid w:val="003400D0"/>
    <w:rsid w:val="003400FB"/>
    <w:rsid w:val="00340143"/>
    <w:rsid w:val="00340176"/>
    <w:rsid w:val="003401AE"/>
    <w:rsid w:val="0034020B"/>
    <w:rsid w:val="0034026D"/>
    <w:rsid w:val="00340302"/>
    <w:rsid w:val="00340355"/>
    <w:rsid w:val="00340388"/>
    <w:rsid w:val="003403A0"/>
    <w:rsid w:val="003404F1"/>
    <w:rsid w:val="00340528"/>
    <w:rsid w:val="0034066D"/>
    <w:rsid w:val="0034067F"/>
    <w:rsid w:val="0034068A"/>
    <w:rsid w:val="0034069C"/>
    <w:rsid w:val="00340705"/>
    <w:rsid w:val="00340760"/>
    <w:rsid w:val="0034086E"/>
    <w:rsid w:val="003408CE"/>
    <w:rsid w:val="00340912"/>
    <w:rsid w:val="0034094B"/>
    <w:rsid w:val="0034099B"/>
    <w:rsid w:val="00340A55"/>
    <w:rsid w:val="00340B18"/>
    <w:rsid w:val="00340B46"/>
    <w:rsid w:val="00340B79"/>
    <w:rsid w:val="00340BB5"/>
    <w:rsid w:val="00340BEE"/>
    <w:rsid w:val="00340C16"/>
    <w:rsid w:val="00340C20"/>
    <w:rsid w:val="00340C7E"/>
    <w:rsid w:val="00340D7C"/>
    <w:rsid w:val="00340DFD"/>
    <w:rsid w:val="00340EAC"/>
    <w:rsid w:val="00340ED6"/>
    <w:rsid w:val="00340F19"/>
    <w:rsid w:val="00340F6C"/>
    <w:rsid w:val="0034100E"/>
    <w:rsid w:val="00341150"/>
    <w:rsid w:val="00341162"/>
    <w:rsid w:val="003411BD"/>
    <w:rsid w:val="003411C7"/>
    <w:rsid w:val="00341263"/>
    <w:rsid w:val="003412E1"/>
    <w:rsid w:val="00341367"/>
    <w:rsid w:val="003413BF"/>
    <w:rsid w:val="003413DE"/>
    <w:rsid w:val="0034140F"/>
    <w:rsid w:val="0034141E"/>
    <w:rsid w:val="00341425"/>
    <w:rsid w:val="00341652"/>
    <w:rsid w:val="00341790"/>
    <w:rsid w:val="003417CD"/>
    <w:rsid w:val="003417E1"/>
    <w:rsid w:val="0034182F"/>
    <w:rsid w:val="00341906"/>
    <w:rsid w:val="00341995"/>
    <w:rsid w:val="00341AC4"/>
    <w:rsid w:val="00341B27"/>
    <w:rsid w:val="00341B4E"/>
    <w:rsid w:val="00341BBE"/>
    <w:rsid w:val="00341C97"/>
    <w:rsid w:val="00341D7B"/>
    <w:rsid w:val="00341E6B"/>
    <w:rsid w:val="00341EC1"/>
    <w:rsid w:val="00341EC9"/>
    <w:rsid w:val="00341F49"/>
    <w:rsid w:val="00341F66"/>
    <w:rsid w:val="00341F67"/>
    <w:rsid w:val="00341FED"/>
    <w:rsid w:val="00342060"/>
    <w:rsid w:val="00342079"/>
    <w:rsid w:val="0034208D"/>
    <w:rsid w:val="0034223A"/>
    <w:rsid w:val="003422B2"/>
    <w:rsid w:val="003422FD"/>
    <w:rsid w:val="00342321"/>
    <w:rsid w:val="003423D7"/>
    <w:rsid w:val="00342402"/>
    <w:rsid w:val="00342482"/>
    <w:rsid w:val="00342552"/>
    <w:rsid w:val="0034255A"/>
    <w:rsid w:val="003425AD"/>
    <w:rsid w:val="00342871"/>
    <w:rsid w:val="003428E3"/>
    <w:rsid w:val="003428E5"/>
    <w:rsid w:val="00342926"/>
    <w:rsid w:val="0034297B"/>
    <w:rsid w:val="003429D3"/>
    <w:rsid w:val="00342A14"/>
    <w:rsid w:val="00342A55"/>
    <w:rsid w:val="00342B00"/>
    <w:rsid w:val="00342BB9"/>
    <w:rsid w:val="00342C2E"/>
    <w:rsid w:val="00342C98"/>
    <w:rsid w:val="00342CCD"/>
    <w:rsid w:val="00342D18"/>
    <w:rsid w:val="00342DE0"/>
    <w:rsid w:val="00342E0F"/>
    <w:rsid w:val="00342E36"/>
    <w:rsid w:val="00342E37"/>
    <w:rsid w:val="00342EA5"/>
    <w:rsid w:val="00342EEB"/>
    <w:rsid w:val="00342F3D"/>
    <w:rsid w:val="00342F7A"/>
    <w:rsid w:val="00342FA7"/>
    <w:rsid w:val="0034301E"/>
    <w:rsid w:val="0034305E"/>
    <w:rsid w:val="00343180"/>
    <w:rsid w:val="003431FC"/>
    <w:rsid w:val="00343233"/>
    <w:rsid w:val="00343253"/>
    <w:rsid w:val="003432A2"/>
    <w:rsid w:val="003432C4"/>
    <w:rsid w:val="003433B7"/>
    <w:rsid w:val="0034350B"/>
    <w:rsid w:val="00343553"/>
    <w:rsid w:val="003437B7"/>
    <w:rsid w:val="0034397C"/>
    <w:rsid w:val="00343990"/>
    <w:rsid w:val="003439D6"/>
    <w:rsid w:val="00343A05"/>
    <w:rsid w:val="00343A92"/>
    <w:rsid w:val="00343B23"/>
    <w:rsid w:val="00343BBA"/>
    <w:rsid w:val="00343BC0"/>
    <w:rsid w:val="00343CF2"/>
    <w:rsid w:val="00343D17"/>
    <w:rsid w:val="00343D78"/>
    <w:rsid w:val="00343DC4"/>
    <w:rsid w:val="00343EBF"/>
    <w:rsid w:val="00343F83"/>
    <w:rsid w:val="00343FA1"/>
    <w:rsid w:val="00343FCD"/>
    <w:rsid w:val="00343FD2"/>
    <w:rsid w:val="00343FEF"/>
    <w:rsid w:val="00344047"/>
    <w:rsid w:val="003440A3"/>
    <w:rsid w:val="00344162"/>
    <w:rsid w:val="00344198"/>
    <w:rsid w:val="003441A1"/>
    <w:rsid w:val="00344217"/>
    <w:rsid w:val="00344280"/>
    <w:rsid w:val="00344318"/>
    <w:rsid w:val="00344370"/>
    <w:rsid w:val="003443F1"/>
    <w:rsid w:val="00344408"/>
    <w:rsid w:val="00344413"/>
    <w:rsid w:val="00344440"/>
    <w:rsid w:val="00344449"/>
    <w:rsid w:val="0034444C"/>
    <w:rsid w:val="0034445F"/>
    <w:rsid w:val="003444E0"/>
    <w:rsid w:val="003444FD"/>
    <w:rsid w:val="003446A7"/>
    <w:rsid w:val="003446A8"/>
    <w:rsid w:val="0034473B"/>
    <w:rsid w:val="003447A0"/>
    <w:rsid w:val="0034481A"/>
    <w:rsid w:val="00344890"/>
    <w:rsid w:val="003449DF"/>
    <w:rsid w:val="00344A65"/>
    <w:rsid w:val="00344A76"/>
    <w:rsid w:val="00344B9B"/>
    <w:rsid w:val="00344BCB"/>
    <w:rsid w:val="00344BE1"/>
    <w:rsid w:val="00344BEC"/>
    <w:rsid w:val="00344C66"/>
    <w:rsid w:val="00344CC4"/>
    <w:rsid w:val="00344CDD"/>
    <w:rsid w:val="00344CFF"/>
    <w:rsid w:val="00344D4C"/>
    <w:rsid w:val="00344D55"/>
    <w:rsid w:val="00344D9D"/>
    <w:rsid w:val="00344DDD"/>
    <w:rsid w:val="00344DF5"/>
    <w:rsid w:val="00344E16"/>
    <w:rsid w:val="00344E86"/>
    <w:rsid w:val="00344F03"/>
    <w:rsid w:val="00344F54"/>
    <w:rsid w:val="00345014"/>
    <w:rsid w:val="00345017"/>
    <w:rsid w:val="0034509B"/>
    <w:rsid w:val="0034518B"/>
    <w:rsid w:val="003451F2"/>
    <w:rsid w:val="0034528A"/>
    <w:rsid w:val="003452C8"/>
    <w:rsid w:val="003453E8"/>
    <w:rsid w:val="0034543F"/>
    <w:rsid w:val="003454DF"/>
    <w:rsid w:val="0034551D"/>
    <w:rsid w:val="0034558C"/>
    <w:rsid w:val="003455A1"/>
    <w:rsid w:val="003455A2"/>
    <w:rsid w:val="003455F8"/>
    <w:rsid w:val="00345652"/>
    <w:rsid w:val="003456DF"/>
    <w:rsid w:val="00345715"/>
    <w:rsid w:val="00345780"/>
    <w:rsid w:val="0034578F"/>
    <w:rsid w:val="0034580C"/>
    <w:rsid w:val="00345A56"/>
    <w:rsid w:val="00345ACE"/>
    <w:rsid w:val="00345AED"/>
    <w:rsid w:val="00345B1E"/>
    <w:rsid w:val="00345B3D"/>
    <w:rsid w:val="00345B79"/>
    <w:rsid w:val="00345BC8"/>
    <w:rsid w:val="00345C9E"/>
    <w:rsid w:val="00345D51"/>
    <w:rsid w:val="00345DC0"/>
    <w:rsid w:val="00345DEC"/>
    <w:rsid w:val="00345EBC"/>
    <w:rsid w:val="00345F72"/>
    <w:rsid w:val="00345FFB"/>
    <w:rsid w:val="00346004"/>
    <w:rsid w:val="003460AD"/>
    <w:rsid w:val="003460F1"/>
    <w:rsid w:val="00346185"/>
    <w:rsid w:val="003464BD"/>
    <w:rsid w:val="0034659D"/>
    <w:rsid w:val="00346637"/>
    <w:rsid w:val="0034664C"/>
    <w:rsid w:val="00346696"/>
    <w:rsid w:val="00346730"/>
    <w:rsid w:val="00346772"/>
    <w:rsid w:val="003467B4"/>
    <w:rsid w:val="0034681D"/>
    <w:rsid w:val="00346879"/>
    <w:rsid w:val="003468DD"/>
    <w:rsid w:val="0034692D"/>
    <w:rsid w:val="00346959"/>
    <w:rsid w:val="00346971"/>
    <w:rsid w:val="003469D1"/>
    <w:rsid w:val="00346A41"/>
    <w:rsid w:val="00346ABA"/>
    <w:rsid w:val="00346AC4"/>
    <w:rsid w:val="00346AF8"/>
    <w:rsid w:val="00346B0A"/>
    <w:rsid w:val="00346B92"/>
    <w:rsid w:val="00346B95"/>
    <w:rsid w:val="00346BC5"/>
    <w:rsid w:val="00346BEF"/>
    <w:rsid w:val="00346BF6"/>
    <w:rsid w:val="00346BF8"/>
    <w:rsid w:val="00346C44"/>
    <w:rsid w:val="00346C7C"/>
    <w:rsid w:val="00346D17"/>
    <w:rsid w:val="00346D32"/>
    <w:rsid w:val="00346DF8"/>
    <w:rsid w:val="00346E02"/>
    <w:rsid w:val="00346EBF"/>
    <w:rsid w:val="00346EEB"/>
    <w:rsid w:val="00346F42"/>
    <w:rsid w:val="00346F64"/>
    <w:rsid w:val="00346FA3"/>
    <w:rsid w:val="00346FAC"/>
    <w:rsid w:val="00346FDC"/>
    <w:rsid w:val="0034704D"/>
    <w:rsid w:val="0034706E"/>
    <w:rsid w:val="00347103"/>
    <w:rsid w:val="00347123"/>
    <w:rsid w:val="00347133"/>
    <w:rsid w:val="00347158"/>
    <w:rsid w:val="00347159"/>
    <w:rsid w:val="00347164"/>
    <w:rsid w:val="0034716A"/>
    <w:rsid w:val="00347175"/>
    <w:rsid w:val="00347178"/>
    <w:rsid w:val="003471B8"/>
    <w:rsid w:val="00347206"/>
    <w:rsid w:val="00347266"/>
    <w:rsid w:val="003472AB"/>
    <w:rsid w:val="00347366"/>
    <w:rsid w:val="003473A0"/>
    <w:rsid w:val="003473B8"/>
    <w:rsid w:val="003473D4"/>
    <w:rsid w:val="0034747A"/>
    <w:rsid w:val="003474BA"/>
    <w:rsid w:val="00347518"/>
    <w:rsid w:val="0034751B"/>
    <w:rsid w:val="00347551"/>
    <w:rsid w:val="00347577"/>
    <w:rsid w:val="003475D3"/>
    <w:rsid w:val="00347836"/>
    <w:rsid w:val="00347887"/>
    <w:rsid w:val="003478DD"/>
    <w:rsid w:val="003479A3"/>
    <w:rsid w:val="003479C5"/>
    <w:rsid w:val="00347A85"/>
    <w:rsid w:val="00347A9C"/>
    <w:rsid w:val="00347AA3"/>
    <w:rsid w:val="00347AC0"/>
    <w:rsid w:val="00347BD5"/>
    <w:rsid w:val="00347C43"/>
    <w:rsid w:val="00347D1C"/>
    <w:rsid w:val="00347D1E"/>
    <w:rsid w:val="00347DA2"/>
    <w:rsid w:val="00347E0D"/>
    <w:rsid w:val="00347E3C"/>
    <w:rsid w:val="00347E6E"/>
    <w:rsid w:val="00347E9F"/>
    <w:rsid w:val="00347EE0"/>
    <w:rsid w:val="00347F18"/>
    <w:rsid w:val="0034CE65"/>
    <w:rsid w:val="00350060"/>
    <w:rsid w:val="003500A2"/>
    <w:rsid w:val="003500CC"/>
    <w:rsid w:val="00350176"/>
    <w:rsid w:val="00350179"/>
    <w:rsid w:val="0035023F"/>
    <w:rsid w:val="00350256"/>
    <w:rsid w:val="00350259"/>
    <w:rsid w:val="00350392"/>
    <w:rsid w:val="003503BA"/>
    <w:rsid w:val="0035044E"/>
    <w:rsid w:val="003504C0"/>
    <w:rsid w:val="003504C1"/>
    <w:rsid w:val="00350500"/>
    <w:rsid w:val="0035053F"/>
    <w:rsid w:val="0035064B"/>
    <w:rsid w:val="0035074B"/>
    <w:rsid w:val="003507B7"/>
    <w:rsid w:val="00350806"/>
    <w:rsid w:val="00350849"/>
    <w:rsid w:val="003508C6"/>
    <w:rsid w:val="003508F9"/>
    <w:rsid w:val="003509D6"/>
    <w:rsid w:val="003509E4"/>
    <w:rsid w:val="00350A39"/>
    <w:rsid w:val="00350A66"/>
    <w:rsid w:val="00350BAF"/>
    <w:rsid w:val="00350BB0"/>
    <w:rsid w:val="00350BC7"/>
    <w:rsid w:val="00350BF7"/>
    <w:rsid w:val="00350D56"/>
    <w:rsid w:val="00350D67"/>
    <w:rsid w:val="00350D6A"/>
    <w:rsid w:val="00350D96"/>
    <w:rsid w:val="00350DBF"/>
    <w:rsid w:val="00350E0B"/>
    <w:rsid w:val="00350E5D"/>
    <w:rsid w:val="00350E72"/>
    <w:rsid w:val="00350E7D"/>
    <w:rsid w:val="00350F19"/>
    <w:rsid w:val="00350FE7"/>
    <w:rsid w:val="0035105E"/>
    <w:rsid w:val="00351164"/>
    <w:rsid w:val="003511F9"/>
    <w:rsid w:val="003512DC"/>
    <w:rsid w:val="0035132E"/>
    <w:rsid w:val="003513C6"/>
    <w:rsid w:val="00351525"/>
    <w:rsid w:val="00351660"/>
    <w:rsid w:val="0035167D"/>
    <w:rsid w:val="0035174B"/>
    <w:rsid w:val="0035179A"/>
    <w:rsid w:val="0035190B"/>
    <w:rsid w:val="0035192F"/>
    <w:rsid w:val="0035197F"/>
    <w:rsid w:val="003519E4"/>
    <w:rsid w:val="00351ADC"/>
    <w:rsid w:val="00351D26"/>
    <w:rsid w:val="00351ECF"/>
    <w:rsid w:val="00351F07"/>
    <w:rsid w:val="00351FCD"/>
    <w:rsid w:val="00351FD4"/>
    <w:rsid w:val="0035201F"/>
    <w:rsid w:val="00352075"/>
    <w:rsid w:val="0035207A"/>
    <w:rsid w:val="003520B2"/>
    <w:rsid w:val="00352122"/>
    <w:rsid w:val="0035212C"/>
    <w:rsid w:val="0035215A"/>
    <w:rsid w:val="00352189"/>
    <w:rsid w:val="003521B6"/>
    <w:rsid w:val="0035221E"/>
    <w:rsid w:val="00352237"/>
    <w:rsid w:val="00352266"/>
    <w:rsid w:val="00352288"/>
    <w:rsid w:val="003522D0"/>
    <w:rsid w:val="003523FA"/>
    <w:rsid w:val="0035241D"/>
    <w:rsid w:val="0035241E"/>
    <w:rsid w:val="003524AF"/>
    <w:rsid w:val="003524B5"/>
    <w:rsid w:val="003524CF"/>
    <w:rsid w:val="00352589"/>
    <w:rsid w:val="0035258B"/>
    <w:rsid w:val="003525A0"/>
    <w:rsid w:val="0035261C"/>
    <w:rsid w:val="003526FA"/>
    <w:rsid w:val="003527F7"/>
    <w:rsid w:val="00352874"/>
    <w:rsid w:val="0035293F"/>
    <w:rsid w:val="0035295E"/>
    <w:rsid w:val="00352A9C"/>
    <w:rsid w:val="00352AAA"/>
    <w:rsid w:val="00352AE9"/>
    <w:rsid w:val="00352B65"/>
    <w:rsid w:val="00352B66"/>
    <w:rsid w:val="00352DE3"/>
    <w:rsid w:val="00352E78"/>
    <w:rsid w:val="00352F16"/>
    <w:rsid w:val="00353099"/>
    <w:rsid w:val="0035310F"/>
    <w:rsid w:val="003531E8"/>
    <w:rsid w:val="003531EE"/>
    <w:rsid w:val="00353235"/>
    <w:rsid w:val="0035325F"/>
    <w:rsid w:val="0035328F"/>
    <w:rsid w:val="00353305"/>
    <w:rsid w:val="00353378"/>
    <w:rsid w:val="0035356E"/>
    <w:rsid w:val="003535AA"/>
    <w:rsid w:val="0035363C"/>
    <w:rsid w:val="0035371D"/>
    <w:rsid w:val="00353771"/>
    <w:rsid w:val="0035377E"/>
    <w:rsid w:val="0035383A"/>
    <w:rsid w:val="0035389D"/>
    <w:rsid w:val="003538FB"/>
    <w:rsid w:val="0035391B"/>
    <w:rsid w:val="00353977"/>
    <w:rsid w:val="00353987"/>
    <w:rsid w:val="00353B6E"/>
    <w:rsid w:val="00353B90"/>
    <w:rsid w:val="00353C11"/>
    <w:rsid w:val="00353C22"/>
    <w:rsid w:val="00353C37"/>
    <w:rsid w:val="00353C89"/>
    <w:rsid w:val="00353D52"/>
    <w:rsid w:val="00353E83"/>
    <w:rsid w:val="00353EAC"/>
    <w:rsid w:val="00353F2E"/>
    <w:rsid w:val="00353F6E"/>
    <w:rsid w:val="00353FBC"/>
    <w:rsid w:val="00354016"/>
    <w:rsid w:val="00354023"/>
    <w:rsid w:val="00354069"/>
    <w:rsid w:val="003540A6"/>
    <w:rsid w:val="003540CE"/>
    <w:rsid w:val="003541D3"/>
    <w:rsid w:val="003541E4"/>
    <w:rsid w:val="00354211"/>
    <w:rsid w:val="00354240"/>
    <w:rsid w:val="0035427B"/>
    <w:rsid w:val="003542A3"/>
    <w:rsid w:val="003542A4"/>
    <w:rsid w:val="003542C7"/>
    <w:rsid w:val="003542D8"/>
    <w:rsid w:val="00354304"/>
    <w:rsid w:val="003543C4"/>
    <w:rsid w:val="003543DE"/>
    <w:rsid w:val="003543F1"/>
    <w:rsid w:val="00354414"/>
    <w:rsid w:val="00354424"/>
    <w:rsid w:val="003544AA"/>
    <w:rsid w:val="003544D9"/>
    <w:rsid w:val="0035450D"/>
    <w:rsid w:val="00354606"/>
    <w:rsid w:val="00354638"/>
    <w:rsid w:val="00354705"/>
    <w:rsid w:val="0035470C"/>
    <w:rsid w:val="00354761"/>
    <w:rsid w:val="00354844"/>
    <w:rsid w:val="00354875"/>
    <w:rsid w:val="003548F7"/>
    <w:rsid w:val="003548F8"/>
    <w:rsid w:val="00354917"/>
    <w:rsid w:val="0035495A"/>
    <w:rsid w:val="003549A3"/>
    <w:rsid w:val="003549D5"/>
    <w:rsid w:val="00354B17"/>
    <w:rsid w:val="00354C63"/>
    <w:rsid w:val="00354CA2"/>
    <w:rsid w:val="00354CBC"/>
    <w:rsid w:val="00354D31"/>
    <w:rsid w:val="00354DA0"/>
    <w:rsid w:val="00354E4E"/>
    <w:rsid w:val="00354E7D"/>
    <w:rsid w:val="00354E8F"/>
    <w:rsid w:val="00354EF3"/>
    <w:rsid w:val="00354F04"/>
    <w:rsid w:val="00354F7B"/>
    <w:rsid w:val="00354FCD"/>
    <w:rsid w:val="00354FE1"/>
    <w:rsid w:val="00355105"/>
    <w:rsid w:val="0035518E"/>
    <w:rsid w:val="00355199"/>
    <w:rsid w:val="003552AB"/>
    <w:rsid w:val="003552B1"/>
    <w:rsid w:val="00355329"/>
    <w:rsid w:val="0035541B"/>
    <w:rsid w:val="0035542E"/>
    <w:rsid w:val="0035546E"/>
    <w:rsid w:val="003554E6"/>
    <w:rsid w:val="003554E7"/>
    <w:rsid w:val="0035569E"/>
    <w:rsid w:val="003556A9"/>
    <w:rsid w:val="003556E3"/>
    <w:rsid w:val="003556FD"/>
    <w:rsid w:val="00355723"/>
    <w:rsid w:val="00355734"/>
    <w:rsid w:val="00355814"/>
    <w:rsid w:val="0035582B"/>
    <w:rsid w:val="0035590A"/>
    <w:rsid w:val="0035599C"/>
    <w:rsid w:val="003559BE"/>
    <w:rsid w:val="003559CA"/>
    <w:rsid w:val="00355A15"/>
    <w:rsid w:val="00355A3B"/>
    <w:rsid w:val="00355ACE"/>
    <w:rsid w:val="00355AD4"/>
    <w:rsid w:val="00355B3B"/>
    <w:rsid w:val="00355B47"/>
    <w:rsid w:val="00355B7A"/>
    <w:rsid w:val="00355BB8"/>
    <w:rsid w:val="00355BDE"/>
    <w:rsid w:val="00355CBA"/>
    <w:rsid w:val="00355D0E"/>
    <w:rsid w:val="00355D36"/>
    <w:rsid w:val="00355DB0"/>
    <w:rsid w:val="00355E32"/>
    <w:rsid w:val="00355EB3"/>
    <w:rsid w:val="00355FDF"/>
    <w:rsid w:val="00356019"/>
    <w:rsid w:val="0035614D"/>
    <w:rsid w:val="003561CF"/>
    <w:rsid w:val="003561FC"/>
    <w:rsid w:val="00356245"/>
    <w:rsid w:val="0035629F"/>
    <w:rsid w:val="003562D4"/>
    <w:rsid w:val="003562F6"/>
    <w:rsid w:val="003563B0"/>
    <w:rsid w:val="003563DE"/>
    <w:rsid w:val="003563FE"/>
    <w:rsid w:val="00356422"/>
    <w:rsid w:val="0035657C"/>
    <w:rsid w:val="003565D6"/>
    <w:rsid w:val="00356612"/>
    <w:rsid w:val="003566CC"/>
    <w:rsid w:val="00356812"/>
    <w:rsid w:val="003568A5"/>
    <w:rsid w:val="00356956"/>
    <w:rsid w:val="00356A27"/>
    <w:rsid w:val="00356A2E"/>
    <w:rsid w:val="00356A50"/>
    <w:rsid w:val="00356A7C"/>
    <w:rsid w:val="00356ACE"/>
    <w:rsid w:val="00356BAF"/>
    <w:rsid w:val="00356C75"/>
    <w:rsid w:val="00356C8B"/>
    <w:rsid w:val="00356D0C"/>
    <w:rsid w:val="00356D4B"/>
    <w:rsid w:val="00356D5E"/>
    <w:rsid w:val="00356D73"/>
    <w:rsid w:val="00356E0B"/>
    <w:rsid w:val="00356E0C"/>
    <w:rsid w:val="00356E4A"/>
    <w:rsid w:val="00356FB2"/>
    <w:rsid w:val="00357047"/>
    <w:rsid w:val="003570CB"/>
    <w:rsid w:val="00357110"/>
    <w:rsid w:val="00357124"/>
    <w:rsid w:val="00357172"/>
    <w:rsid w:val="00357192"/>
    <w:rsid w:val="003572C2"/>
    <w:rsid w:val="003572C9"/>
    <w:rsid w:val="003573FA"/>
    <w:rsid w:val="00357453"/>
    <w:rsid w:val="0035747E"/>
    <w:rsid w:val="00357545"/>
    <w:rsid w:val="00357557"/>
    <w:rsid w:val="0035758A"/>
    <w:rsid w:val="00357669"/>
    <w:rsid w:val="003576CD"/>
    <w:rsid w:val="003576E5"/>
    <w:rsid w:val="003576EC"/>
    <w:rsid w:val="0035778A"/>
    <w:rsid w:val="003577A4"/>
    <w:rsid w:val="003577B3"/>
    <w:rsid w:val="0035781A"/>
    <w:rsid w:val="003578C4"/>
    <w:rsid w:val="00357918"/>
    <w:rsid w:val="00357958"/>
    <w:rsid w:val="0035795B"/>
    <w:rsid w:val="00357972"/>
    <w:rsid w:val="00357AE3"/>
    <w:rsid w:val="00357B28"/>
    <w:rsid w:val="00357B8A"/>
    <w:rsid w:val="00357C3B"/>
    <w:rsid w:val="00357C65"/>
    <w:rsid w:val="00357D7E"/>
    <w:rsid w:val="00357DCC"/>
    <w:rsid w:val="00357DE2"/>
    <w:rsid w:val="00357E1F"/>
    <w:rsid w:val="00357E9F"/>
    <w:rsid w:val="00357EAA"/>
    <w:rsid w:val="00357EB9"/>
    <w:rsid w:val="00357F12"/>
    <w:rsid w:val="00357F97"/>
    <w:rsid w:val="00357FFD"/>
    <w:rsid w:val="0035B614"/>
    <w:rsid w:val="0035C48B"/>
    <w:rsid w:val="00360058"/>
    <w:rsid w:val="003601EF"/>
    <w:rsid w:val="00360208"/>
    <w:rsid w:val="0036027E"/>
    <w:rsid w:val="003602E5"/>
    <w:rsid w:val="0036034E"/>
    <w:rsid w:val="003603A7"/>
    <w:rsid w:val="00360478"/>
    <w:rsid w:val="003604B1"/>
    <w:rsid w:val="00360565"/>
    <w:rsid w:val="003605A1"/>
    <w:rsid w:val="00360617"/>
    <w:rsid w:val="00360738"/>
    <w:rsid w:val="0036075B"/>
    <w:rsid w:val="00360903"/>
    <w:rsid w:val="003609BF"/>
    <w:rsid w:val="003609DF"/>
    <w:rsid w:val="00360A9C"/>
    <w:rsid w:val="00360ACA"/>
    <w:rsid w:val="00360AEB"/>
    <w:rsid w:val="00360AEC"/>
    <w:rsid w:val="00360B5D"/>
    <w:rsid w:val="00360B6B"/>
    <w:rsid w:val="00360BC7"/>
    <w:rsid w:val="00360BEF"/>
    <w:rsid w:val="00360C01"/>
    <w:rsid w:val="00360D69"/>
    <w:rsid w:val="00360D6D"/>
    <w:rsid w:val="00360DA2"/>
    <w:rsid w:val="00360DF1"/>
    <w:rsid w:val="00360DFF"/>
    <w:rsid w:val="00360E33"/>
    <w:rsid w:val="00360E86"/>
    <w:rsid w:val="00360F95"/>
    <w:rsid w:val="00360FD7"/>
    <w:rsid w:val="0036123F"/>
    <w:rsid w:val="00361311"/>
    <w:rsid w:val="00361329"/>
    <w:rsid w:val="00361375"/>
    <w:rsid w:val="00361555"/>
    <w:rsid w:val="0036157D"/>
    <w:rsid w:val="0036163F"/>
    <w:rsid w:val="00361645"/>
    <w:rsid w:val="00361699"/>
    <w:rsid w:val="003616F1"/>
    <w:rsid w:val="00361744"/>
    <w:rsid w:val="0036178A"/>
    <w:rsid w:val="003617A8"/>
    <w:rsid w:val="0036180D"/>
    <w:rsid w:val="0036182B"/>
    <w:rsid w:val="00361875"/>
    <w:rsid w:val="0036189E"/>
    <w:rsid w:val="0036191C"/>
    <w:rsid w:val="00361A02"/>
    <w:rsid w:val="00361A44"/>
    <w:rsid w:val="00361AAD"/>
    <w:rsid w:val="00361B38"/>
    <w:rsid w:val="00361B58"/>
    <w:rsid w:val="00361C0E"/>
    <w:rsid w:val="00361C98"/>
    <w:rsid w:val="00361D18"/>
    <w:rsid w:val="00361D55"/>
    <w:rsid w:val="00361D86"/>
    <w:rsid w:val="00361DC3"/>
    <w:rsid w:val="00361E86"/>
    <w:rsid w:val="00361FB0"/>
    <w:rsid w:val="00361FC8"/>
    <w:rsid w:val="00361FF5"/>
    <w:rsid w:val="00361FFC"/>
    <w:rsid w:val="003620D1"/>
    <w:rsid w:val="00362224"/>
    <w:rsid w:val="003623CC"/>
    <w:rsid w:val="003623F3"/>
    <w:rsid w:val="00362406"/>
    <w:rsid w:val="003624E6"/>
    <w:rsid w:val="003624ED"/>
    <w:rsid w:val="0036253E"/>
    <w:rsid w:val="00362550"/>
    <w:rsid w:val="00362592"/>
    <w:rsid w:val="00362600"/>
    <w:rsid w:val="003626B4"/>
    <w:rsid w:val="00362710"/>
    <w:rsid w:val="00362773"/>
    <w:rsid w:val="00362774"/>
    <w:rsid w:val="00362778"/>
    <w:rsid w:val="003627E0"/>
    <w:rsid w:val="00362899"/>
    <w:rsid w:val="003629C3"/>
    <w:rsid w:val="003629D7"/>
    <w:rsid w:val="003629E1"/>
    <w:rsid w:val="00362A8D"/>
    <w:rsid w:val="00362AD5"/>
    <w:rsid w:val="00362BCE"/>
    <w:rsid w:val="00362C2C"/>
    <w:rsid w:val="00362C5D"/>
    <w:rsid w:val="00362CB2"/>
    <w:rsid w:val="00362D02"/>
    <w:rsid w:val="00362D03"/>
    <w:rsid w:val="00362E1C"/>
    <w:rsid w:val="00362ECE"/>
    <w:rsid w:val="00362F2E"/>
    <w:rsid w:val="00362F4F"/>
    <w:rsid w:val="00362FC3"/>
    <w:rsid w:val="00362FFF"/>
    <w:rsid w:val="00363003"/>
    <w:rsid w:val="00363082"/>
    <w:rsid w:val="00363085"/>
    <w:rsid w:val="00363093"/>
    <w:rsid w:val="003630BB"/>
    <w:rsid w:val="00363171"/>
    <w:rsid w:val="0036323C"/>
    <w:rsid w:val="00363276"/>
    <w:rsid w:val="00363326"/>
    <w:rsid w:val="0036346B"/>
    <w:rsid w:val="00363498"/>
    <w:rsid w:val="003634FF"/>
    <w:rsid w:val="00363511"/>
    <w:rsid w:val="00363531"/>
    <w:rsid w:val="003635D5"/>
    <w:rsid w:val="00363640"/>
    <w:rsid w:val="0036364D"/>
    <w:rsid w:val="0036366D"/>
    <w:rsid w:val="0036369E"/>
    <w:rsid w:val="0036369F"/>
    <w:rsid w:val="003636A2"/>
    <w:rsid w:val="003636EB"/>
    <w:rsid w:val="00363711"/>
    <w:rsid w:val="0036371A"/>
    <w:rsid w:val="00363759"/>
    <w:rsid w:val="00363765"/>
    <w:rsid w:val="00363813"/>
    <w:rsid w:val="0036381A"/>
    <w:rsid w:val="00363834"/>
    <w:rsid w:val="00363860"/>
    <w:rsid w:val="003638A2"/>
    <w:rsid w:val="003638AD"/>
    <w:rsid w:val="00363917"/>
    <w:rsid w:val="00363944"/>
    <w:rsid w:val="00363973"/>
    <w:rsid w:val="0036399A"/>
    <w:rsid w:val="00363A1E"/>
    <w:rsid w:val="00363AD9"/>
    <w:rsid w:val="00363AE2"/>
    <w:rsid w:val="00363AFF"/>
    <w:rsid w:val="00363BB8"/>
    <w:rsid w:val="00363C0C"/>
    <w:rsid w:val="00363C4B"/>
    <w:rsid w:val="00363DA3"/>
    <w:rsid w:val="00363DF2"/>
    <w:rsid w:val="00363E23"/>
    <w:rsid w:val="00363E5C"/>
    <w:rsid w:val="00363E72"/>
    <w:rsid w:val="00363E77"/>
    <w:rsid w:val="00363EFC"/>
    <w:rsid w:val="00363FF5"/>
    <w:rsid w:val="00364004"/>
    <w:rsid w:val="0036404A"/>
    <w:rsid w:val="003641D1"/>
    <w:rsid w:val="003642C1"/>
    <w:rsid w:val="003642FB"/>
    <w:rsid w:val="0036430B"/>
    <w:rsid w:val="0036435B"/>
    <w:rsid w:val="00364386"/>
    <w:rsid w:val="00364396"/>
    <w:rsid w:val="003643CD"/>
    <w:rsid w:val="00364456"/>
    <w:rsid w:val="00364480"/>
    <w:rsid w:val="0036450E"/>
    <w:rsid w:val="00364529"/>
    <w:rsid w:val="00364655"/>
    <w:rsid w:val="00364678"/>
    <w:rsid w:val="0036469C"/>
    <w:rsid w:val="003647DB"/>
    <w:rsid w:val="0036489B"/>
    <w:rsid w:val="003648A5"/>
    <w:rsid w:val="003648AB"/>
    <w:rsid w:val="003648DD"/>
    <w:rsid w:val="003648FD"/>
    <w:rsid w:val="00364A97"/>
    <w:rsid w:val="00364AA4"/>
    <w:rsid w:val="00364B13"/>
    <w:rsid w:val="00364B31"/>
    <w:rsid w:val="00364B68"/>
    <w:rsid w:val="00364B73"/>
    <w:rsid w:val="00364B96"/>
    <w:rsid w:val="00364B9F"/>
    <w:rsid w:val="00364BF4"/>
    <w:rsid w:val="00364C8A"/>
    <w:rsid w:val="00364C91"/>
    <w:rsid w:val="00364D1A"/>
    <w:rsid w:val="00364D45"/>
    <w:rsid w:val="00364DC0"/>
    <w:rsid w:val="00364E4B"/>
    <w:rsid w:val="00364E57"/>
    <w:rsid w:val="00364E84"/>
    <w:rsid w:val="00364EF9"/>
    <w:rsid w:val="003650F2"/>
    <w:rsid w:val="00365157"/>
    <w:rsid w:val="00365264"/>
    <w:rsid w:val="00365266"/>
    <w:rsid w:val="00365268"/>
    <w:rsid w:val="00365295"/>
    <w:rsid w:val="00365306"/>
    <w:rsid w:val="0036547D"/>
    <w:rsid w:val="003654D4"/>
    <w:rsid w:val="003655F6"/>
    <w:rsid w:val="0036563B"/>
    <w:rsid w:val="0036565E"/>
    <w:rsid w:val="00365670"/>
    <w:rsid w:val="003656A1"/>
    <w:rsid w:val="003656AF"/>
    <w:rsid w:val="003656BB"/>
    <w:rsid w:val="0036571C"/>
    <w:rsid w:val="003657F0"/>
    <w:rsid w:val="0036581D"/>
    <w:rsid w:val="0036584A"/>
    <w:rsid w:val="00365942"/>
    <w:rsid w:val="00365A0C"/>
    <w:rsid w:val="00365AD5"/>
    <w:rsid w:val="00365B0B"/>
    <w:rsid w:val="00365B71"/>
    <w:rsid w:val="00365C07"/>
    <w:rsid w:val="00365D11"/>
    <w:rsid w:val="00365D9D"/>
    <w:rsid w:val="00365ED4"/>
    <w:rsid w:val="00365FC4"/>
    <w:rsid w:val="00366037"/>
    <w:rsid w:val="00366069"/>
    <w:rsid w:val="00366077"/>
    <w:rsid w:val="00366082"/>
    <w:rsid w:val="003660D0"/>
    <w:rsid w:val="0036626F"/>
    <w:rsid w:val="0036634C"/>
    <w:rsid w:val="00366384"/>
    <w:rsid w:val="003663FA"/>
    <w:rsid w:val="003664FF"/>
    <w:rsid w:val="003665A6"/>
    <w:rsid w:val="003666D0"/>
    <w:rsid w:val="0036670B"/>
    <w:rsid w:val="0036673E"/>
    <w:rsid w:val="0036675F"/>
    <w:rsid w:val="00366785"/>
    <w:rsid w:val="00366792"/>
    <w:rsid w:val="0036679E"/>
    <w:rsid w:val="003668C9"/>
    <w:rsid w:val="003668F6"/>
    <w:rsid w:val="00366930"/>
    <w:rsid w:val="00366946"/>
    <w:rsid w:val="00366982"/>
    <w:rsid w:val="00366995"/>
    <w:rsid w:val="00366A42"/>
    <w:rsid w:val="00366BC2"/>
    <w:rsid w:val="00366BD5"/>
    <w:rsid w:val="00366D08"/>
    <w:rsid w:val="00366DAB"/>
    <w:rsid w:val="00366DD3"/>
    <w:rsid w:val="00366DD5"/>
    <w:rsid w:val="00366E3D"/>
    <w:rsid w:val="00366F63"/>
    <w:rsid w:val="00366FD2"/>
    <w:rsid w:val="00367029"/>
    <w:rsid w:val="00367045"/>
    <w:rsid w:val="003670EC"/>
    <w:rsid w:val="00367151"/>
    <w:rsid w:val="0036718C"/>
    <w:rsid w:val="00367217"/>
    <w:rsid w:val="00367366"/>
    <w:rsid w:val="003673B8"/>
    <w:rsid w:val="00367448"/>
    <w:rsid w:val="003675B8"/>
    <w:rsid w:val="00367612"/>
    <w:rsid w:val="00367705"/>
    <w:rsid w:val="00367884"/>
    <w:rsid w:val="0036794E"/>
    <w:rsid w:val="00367955"/>
    <w:rsid w:val="00367990"/>
    <w:rsid w:val="00367B00"/>
    <w:rsid w:val="00367D1D"/>
    <w:rsid w:val="00367D60"/>
    <w:rsid w:val="00367D85"/>
    <w:rsid w:val="00367E1F"/>
    <w:rsid w:val="00367E3D"/>
    <w:rsid w:val="00367E50"/>
    <w:rsid w:val="00367E96"/>
    <w:rsid w:val="00367EEB"/>
    <w:rsid w:val="00367F47"/>
    <w:rsid w:val="00367F53"/>
    <w:rsid w:val="0036F8AB"/>
    <w:rsid w:val="00370031"/>
    <w:rsid w:val="00370098"/>
    <w:rsid w:val="0037014B"/>
    <w:rsid w:val="0037017B"/>
    <w:rsid w:val="003701B3"/>
    <w:rsid w:val="00370204"/>
    <w:rsid w:val="00370243"/>
    <w:rsid w:val="003702C6"/>
    <w:rsid w:val="003702D4"/>
    <w:rsid w:val="00370360"/>
    <w:rsid w:val="00370380"/>
    <w:rsid w:val="003703ED"/>
    <w:rsid w:val="00370404"/>
    <w:rsid w:val="0037045C"/>
    <w:rsid w:val="0037050F"/>
    <w:rsid w:val="00370518"/>
    <w:rsid w:val="00370591"/>
    <w:rsid w:val="003705B0"/>
    <w:rsid w:val="00370630"/>
    <w:rsid w:val="00370639"/>
    <w:rsid w:val="00370809"/>
    <w:rsid w:val="0037084F"/>
    <w:rsid w:val="003708B4"/>
    <w:rsid w:val="003708BC"/>
    <w:rsid w:val="00370932"/>
    <w:rsid w:val="0037097D"/>
    <w:rsid w:val="003709C4"/>
    <w:rsid w:val="00370A1E"/>
    <w:rsid w:val="00370A27"/>
    <w:rsid w:val="00370A93"/>
    <w:rsid w:val="00370AA5"/>
    <w:rsid w:val="00370BED"/>
    <w:rsid w:val="00370C31"/>
    <w:rsid w:val="00370D72"/>
    <w:rsid w:val="00370E03"/>
    <w:rsid w:val="00370E4E"/>
    <w:rsid w:val="00370F74"/>
    <w:rsid w:val="003710C3"/>
    <w:rsid w:val="00371110"/>
    <w:rsid w:val="00371216"/>
    <w:rsid w:val="003713AB"/>
    <w:rsid w:val="003715AE"/>
    <w:rsid w:val="003715BF"/>
    <w:rsid w:val="003715DB"/>
    <w:rsid w:val="0037160B"/>
    <w:rsid w:val="00371680"/>
    <w:rsid w:val="0037187A"/>
    <w:rsid w:val="00371910"/>
    <w:rsid w:val="00371941"/>
    <w:rsid w:val="003719DA"/>
    <w:rsid w:val="00371A58"/>
    <w:rsid w:val="00371A99"/>
    <w:rsid w:val="00371AA5"/>
    <w:rsid w:val="00371B3B"/>
    <w:rsid w:val="00371BE0"/>
    <w:rsid w:val="00371D1E"/>
    <w:rsid w:val="00371D94"/>
    <w:rsid w:val="00371DF9"/>
    <w:rsid w:val="00371E6D"/>
    <w:rsid w:val="00371EAF"/>
    <w:rsid w:val="00371EF0"/>
    <w:rsid w:val="00371F5E"/>
    <w:rsid w:val="003721F4"/>
    <w:rsid w:val="0037222C"/>
    <w:rsid w:val="00372451"/>
    <w:rsid w:val="0037252B"/>
    <w:rsid w:val="00372566"/>
    <w:rsid w:val="003725EB"/>
    <w:rsid w:val="00372651"/>
    <w:rsid w:val="00372652"/>
    <w:rsid w:val="00372774"/>
    <w:rsid w:val="003727AE"/>
    <w:rsid w:val="00372809"/>
    <w:rsid w:val="00372820"/>
    <w:rsid w:val="0037284F"/>
    <w:rsid w:val="0037286F"/>
    <w:rsid w:val="00372965"/>
    <w:rsid w:val="003729E3"/>
    <w:rsid w:val="003729F8"/>
    <w:rsid w:val="00372A0E"/>
    <w:rsid w:val="00372B03"/>
    <w:rsid w:val="00372BB9"/>
    <w:rsid w:val="00372BDA"/>
    <w:rsid w:val="00372C3B"/>
    <w:rsid w:val="00372CE0"/>
    <w:rsid w:val="00372F8D"/>
    <w:rsid w:val="00373092"/>
    <w:rsid w:val="003730BC"/>
    <w:rsid w:val="003730C3"/>
    <w:rsid w:val="003730EC"/>
    <w:rsid w:val="00373102"/>
    <w:rsid w:val="00373145"/>
    <w:rsid w:val="003731AA"/>
    <w:rsid w:val="003731D7"/>
    <w:rsid w:val="00373211"/>
    <w:rsid w:val="0037329D"/>
    <w:rsid w:val="0037337C"/>
    <w:rsid w:val="003733E5"/>
    <w:rsid w:val="003733FB"/>
    <w:rsid w:val="00373421"/>
    <w:rsid w:val="00373429"/>
    <w:rsid w:val="003734AD"/>
    <w:rsid w:val="00373526"/>
    <w:rsid w:val="0037352D"/>
    <w:rsid w:val="00373590"/>
    <w:rsid w:val="003735B2"/>
    <w:rsid w:val="003735F2"/>
    <w:rsid w:val="0037362E"/>
    <w:rsid w:val="003736E2"/>
    <w:rsid w:val="003736F1"/>
    <w:rsid w:val="00373774"/>
    <w:rsid w:val="00373778"/>
    <w:rsid w:val="0037383C"/>
    <w:rsid w:val="00373933"/>
    <w:rsid w:val="00373982"/>
    <w:rsid w:val="003739BD"/>
    <w:rsid w:val="003739CC"/>
    <w:rsid w:val="00373A21"/>
    <w:rsid w:val="00373A90"/>
    <w:rsid w:val="00373AE2"/>
    <w:rsid w:val="00373B00"/>
    <w:rsid w:val="00373C19"/>
    <w:rsid w:val="00373D00"/>
    <w:rsid w:val="00373EBB"/>
    <w:rsid w:val="00373ED2"/>
    <w:rsid w:val="00374034"/>
    <w:rsid w:val="0037403D"/>
    <w:rsid w:val="00374059"/>
    <w:rsid w:val="00374176"/>
    <w:rsid w:val="003741A1"/>
    <w:rsid w:val="00374276"/>
    <w:rsid w:val="003743D7"/>
    <w:rsid w:val="003743EB"/>
    <w:rsid w:val="0037454A"/>
    <w:rsid w:val="003745B6"/>
    <w:rsid w:val="00374623"/>
    <w:rsid w:val="00374639"/>
    <w:rsid w:val="003746EF"/>
    <w:rsid w:val="003747B3"/>
    <w:rsid w:val="00374838"/>
    <w:rsid w:val="003749B4"/>
    <w:rsid w:val="00374A1B"/>
    <w:rsid w:val="00374A85"/>
    <w:rsid w:val="00374C21"/>
    <w:rsid w:val="00374C43"/>
    <w:rsid w:val="00374CE4"/>
    <w:rsid w:val="00374D26"/>
    <w:rsid w:val="00374D45"/>
    <w:rsid w:val="00374DC7"/>
    <w:rsid w:val="00374E31"/>
    <w:rsid w:val="00374E6B"/>
    <w:rsid w:val="00374EC5"/>
    <w:rsid w:val="00374F86"/>
    <w:rsid w:val="00374FBD"/>
    <w:rsid w:val="00375060"/>
    <w:rsid w:val="00375085"/>
    <w:rsid w:val="00375122"/>
    <w:rsid w:val="0037514C"/>
    <w:rsid w:val="003751BF"/>
    <w:rsid w:val="003752F7"/>
    <w:rsid w:val="003753CF"/>
    <w:rsid w:val="003753F1"/>
    <w:rsid w:val="00375480"/>
    <w:rsid w:val="00375572"/>
    <w:rsid w:val="00375652"/>
    <w:rsid w:val="0037567A"/>
    <w:rsid w:val="00375768"/>
    <w:rsid w:val="003757BF"/>
    <w:rsid w:val="003757D9"/>
    <w:rsid w:val="00375866"/>
    <w:rsid w:val="003758E7"/>
    <w:rsid w:val="003758F9"/>
    <w:rsid w:val="0037597D"/>
    <w:rsid w:val="003759F9"/>
    <w:rsid w:val="00375A6C"/>
    <w:rsid w:val="00375A7D"/>
    <w:rsid w:val="00375B2C"/>
    <w:rsid w:val="00375C55"/>
    <w:rsid w:val="00375C5B"/>
    <w:rsid w:val="00375D15"/>
    <w:rsid w:val="00375E7D"/>
    <w:rsid w:val="00375F14"/>
    <w:rsid w:val="00375F3B"/>
    <w:rsid w:val="00375FDA"/>
    <w:rsid w:val="00376048"/>
    <w:rsid w:val="00376102"/>
    <w:rsid w:val="0037612F"/>
    <w:rsid w:val="00376302"/>
    <w:rsid w:val="003763A4"/>
    <w:rsid w:val="003763B7"/>
    <w:rsid w:val="003763FC"/>
    <w:rsid w:val="00376450"/>
    <w:rsid w:val="00376459"/>
    <w:rsid w:val="00376481"/>
    <w:rsid w:val="003765E0"/>
    <w:rsid w:val="00376707"/>
    <w:rsid w:val="00376718"/>
    <w:rsid w:val="0037671F"/>
    <w:rsid w:val="0037678D"/>
    <w:rsid w:val="003768A9"/>
    <w:rsid w:val="003768E6"/>
    <w:rsid w:val="003769B6"/>
    <w:rsid w:val="003769C6"/>
    <w:rsid w:val="00376B14"/>
    <w:rsid w:val="00376B56"/>
    <w:rsid w:val="00376B72"/>
    <w:rsid w:val="00376C72"/>
    <w:rsid w:val="00376C7A"/>
    <w:rsid w:val="00376D04"/>
    <w:rsid w:val="00376DE7"/>
    <w:rsid w:val="00376E26"/>
    <w:rsid w:val="00376F20"/>
    <w:rsid w:val="00376F27"/>
    <w:rsid w:val="00376F3F"/>
    <w:rsid w:val="00376F64"/>
    <w:rsid w:val="00376FA1"/>
    <w:rsid w:val="00376FF5"/>
    <w:rsid w:val="00377006"/>
    <w:rsid w:val="00377087"/>
    <w:rsid w:val="00377093"/>
    <w:rsid w:val="003770C0"/>
    <w:rsid w:val="003770C4"/>
    <w:rsid w:val="003770F0"/>
    <w:rsid w:val="00377162"/>
    <w:rsid w:val="0037717A"/>
    <w:rsid w:val="00377189"/>
    <w:rsid w:val="003771D3"/>
    <w:rsid w:val="003771EA"/>
    <w:rsid w:val="0037728B"/>
    <w:rsid w:val="003773B3"/>
    <w:rsid w:val="00377488"/>
    <w:rsid w:val="003774F5"/>
    <w:rsid w:val="00377511"/>
    <w:rsid w:val="00377538"/>
    <w:rsid w:val="00377554"/>
    <w:rsid w:val="003775E6"/>
    <w:rsid w:val="0037777E"/>
    <w:rsid w:val="0037782F"/>
    <w:rsid w:val="003778E9"/>
    <w:rsid w:val="0037794D"/>
    <w:rsid w:val="0037795A"/>
    <w:rsid w:val="00377A4A"/>
    <w:rsid w:val="00377A4B"/>
    <w:rsid w:val="00377A7F"/>
    <w:rsid w:val="00377B02"/>
    <w:rsid w:val="00377B16"/>
    <w:rsid w:val="00377B20"/>
    <w:rsid w:val="00377B42"/>
    <w:rsid w:val="00377C17"/>
    <w:rsid w:val="00377C7B"/>
    <w:rsid w:val="00377CAD"/>
    <w:rsid w:val="00377CB9"/>
    <w:rsid w:val="00377D5B"/>
    <w:rsid w:val="00377D6A"/>
    <w:rsid w:val="00377D8E"/>
    <w:rsid w:val="00377DAD"/>
    <w:rsid w:val="00377DEE"/>
    <w:rsid w:val="00377E7F"/>
    <w:rsid w:val="00377EE3"/>
    <w:rsid w:val="00377F37"/>
    <w:rsid w:val="00377F65"/>
    <w:rsid w:val="00377FE3"/>
    <w:rsid w:val="00380075"/>
    <w:rsid w:val="003800D8"/>
    <w:rsid w:val="00380118"/>
    <w:rsid w:val="0038011C"/>
    <w:rsid w:val="00380134"/>
    <w:rsid w:val="003801EB"/>
    <w:rsid w:val="0038028E"/>
    <w:rsid w:val="003802C0"/>
    <w:rsid w:val="0038036D"/>
    <w:rsid w:val="003803DD"/>
    <w:rsid w:val="003803FB"/>
    <w:rsid w:val="00380462"/>
    <w:rsid w:val="003804C6"/>
    <w:rsid w:val="003804E7"/>
    <w:rsid w:val="00380510"/>
    <w:rsid w:val="00380621"/>
    <w:rsid w:val="003806BF"/>
    <w:rsid w:val="003806E7"/>
    <w:rsid w:val="0038070D"/>
    <w:rsid w:val="003807A3"/>
    <w:rsid w:val="0038085C"/>
    <w:rsid w:val="003809DF"/>
    <w:rsid w:val="00380A76"/>
    <w:rsid w:val="00380B1B"/>
    <w:rsid w:val="00380B9A"/>
    <w:rsid w:val="00380C8A"/>
    <w:rsid w:val="00380C9F"/>
    <w:rsid w:val="00380CCD"/>
    <w:rsid w:val="00380D19"/>
    <w:rsid w:val="00380D3F"/>
    <w:rsid w:val="00380DA3"/>
    <w:rsid w:val="00380DC3"/>
    <w:rsid w:val="00380DE2"/>
    <w:rsid w:val="00380EF8"/>
    <w:rsid w:val="00380F00"/>
    <w:rsid w:val="00380F19"/>
    <w:rsid w:val="00380F7F"/>
    <w:rsid w:val="0038102D"/>
    <w:rsid w:val="0038103E"/>
    <w:rsid w:val="00381176"/>
    <w:rsid w:val="0038129C"/>
    <w:rsid w:val="003812AC"/>
    <w:rsid w:val="003812F1"/>
    <w:rsid w:val="00381398"/>
    <w:rsid w:val="00381498"/>
    <w:rsid w:val="003815F5"/>
    <w:rsid w:val="003815FD"/>
    <w:rsid w:val="0038164B"/>
    <w:rsid w:val="003816B0"/>
    <w:rsid w:val="00381700"/>
    <w:rsid w:val="00381768"/>
    <w:rsid w:val="00381793"/>
    <w:rsid w:val="00381800"/>
    <w:rsid w:val="00381821"/>
    <w:rsid w:val="00381840"/>
    <w:rsid w:val="00381854"/>
    <w:rsid w:val="00381897"/>
    <w:rsid w:val="003818EC"/>
    <w:rsid w:val="003818F9"/>
    <w:rsid w:val="00381975"/>
    <w:rsid w:val="003819CE"/>
    <w:rsid w:val="00381A31"/>
    <w:rsid w:val="00381A44"/>
    <w:rsid w:val="00381A97"/>
    <w:rsid w:val="00381C03"/>
    <w:rsid w:val="00381C5D"/>
    <w:rsid w:val="00381D3F"/>
    <w:rsid w:val="00381DA0"/>
    <w:rsid w:val="00381E42"/>
    <w:rsid w:val="00381E58"/>
    <w:rsid w:val="00381E9C"/>
    <w:rsid w:val="00381F86"/>
    <w:rsid w:val="00381F96"/>
    <w:rsid w:val="00382000"/>
    <w:rsid w:val="00382013"/>
    <w:rsid w:val="00382064"/>
    <w:rsid w:val="0038215B"/>
    <w:rsid w:val="0038218E"/>
    <w:rsid w:val="003821AC"/>
    <w:rsid w:val="00382229"/>
    <w:rsid w:val="00382244"/>
    <w:rsid w:val="0038228C"/>
    <w:rsid w:val="00382337"/>
    <w:rsid w:val="00382436"/>
    <w:rsid w:val="00382438"/>
    <w:rsid w:val="00382486"/>
    <w:rsid w:val="0038249D"/>
    <w:rsid w:val="003824B1"/>
    <w:rsid w:val="00382522"/>
    <w:rsid w:val="003825D8"/>
    <w:rsid w:val="00382615"/>
    <w:rsid w:val="00382628"/>
    <w:rsid w:val="003826E3"/>
    <w:rsid w:val="0038271C"/>
    <w:rsid w:val="0038272A"/>
    <w:rsid w:val="00382787"/>
    <w:rsid w:val="003827F2"/>
    <w:rsid w:val="00382926"/>
    <w:rsid w:val="00382971"/>
    <w:rsid w:val="00382982"/>
    <w:rsid w:val="0038298C"/>
    <w:rsid w:val="00382A2B"/>
    <w:rsid w:val="00382AD4"/>
    <w:rsid w:val="00382AE4"/>
    <w:rsid w:val="00382C06"/>
    <w:rsid w:val="00382C79"/>
    <w:rsid w:val="00382CC1"/>
    <w:rsid w:val="00382CEA"/>
    <w:rsid w:val="00382D42"/>
    <w:rsid w:val="00382D96"/>
    <w:rsid w:val="00382DC2"/>
    <w:rsid w:val="00382DCC"/>
    <w:rsid w:val="00382F97"/>
    <w:rsid w:val="00383071"/>
    <w:rsid w:val="0038313B"/>
    <w:rsid w:val="00383199"/>
    <w:rsid w:val="003831D5"/>
    <w:rsid w:val="00383239"/>
    <w:rsid w:val="00383246"/>
    <w:rsid w:val="003832C2"/>
    <w:rsid w:val="003832DF"/>
    <w:rsid w:val="003832FF"/>
    <w:rsid w:val="0038330B"/>
    <w:rsid w:val="00383354"/>
    <w:rsid w:val="00383355"/>
    <w:rsid w:val="0038337D"/>
    <w:rsid w:val="003833A1"/>
    <w:rsid w:val="003833AF"/>
    <w:rsid w:val="003834E6"/>
    <w:rsid w:val="00383523"/>
    <w:rsid w:val="0038352E"/>
    <w:rsid w:val="00383548"/>
    <w:rsid w:val="0038356D"/>
    <w:rsid w:val="00383607"/>
    <w:rsid w:val="00383691"/>
    <w:rsid w:val="0038369B"/>
    <w:rsid w:val="003836F5"/>
    <w:rsid w:val="00383740"/>
    <w:rsid w:val="0038379A"/>
    <w:rsid w:val="00383854"/>
    <w:rsid w:val="003838B6"/>
    <w:rsid w:val="003839F9"/>
    <w:rsid w:val="00383AA6"/>
    <w:rsid w:val="00383AB1"/>
    <w:rsid w:val="00383B1D"/>
    <w:rsid w:val="00383C43"/>
    <w:rsid w:val="00383C4F"/>
    <w:rsid w:val="00383CED"/>
    <w:rsid w:val="00383D01"/>
    <w:rsid w:val="00383DEE"/>
    <w:rsid w:val="00383E10"/>
    <w:rsid w:val="00383F33"/>
    <w:rsid w:val="00383F60"/>
    <w:rsid w:val="00384020"/>
    <w:rsid w:val="00384038"/>
    <w:rsid w:val="00384269"/>
    <w:rsid w:val="003842B5"/>
    <w:rsid w:val="003842C5"/>
    <w:rsid w:val="003842EF"/>
    <w:rsid w:val="00384341"/>
    <w:rsid w:val="0038434F"/>
    <w:rsid w:val="00384373"/>
    <w:rsid w:val="003843A1"/>
    <w:rsid w:val="0038445B"/>
    <w:rsid w:val="00384471"/>
    <w:rsid w:val="0038448D"/>
    <w:rsid w:val="0038448F"/>
    <w:rsid w:val="003845BF"/>
    <w:rsid w:val="003845FB"/>
    <w:rsid w:val="00384605"/>
    <w:rsid w:val="00384638"/>
    <w:rsid w:val="003846AF"/>
    <w:rsid w:val="00384790"/>
    <w:rsid w:val="00384810"/>
    <w:rsid w:val="00384811"/>
    <w:rsid w:val="00384828"/>
    <w:rsid w:val="00384852"/>
    <w:rsid w:val="00384873"/>
    <w:rsid w:val="003848C3"/>
    <w:rsid w:val="0038490E"/>
    <w:rsid w:val="00384918"/>
    <w:rsid w:val="00384948"/>
    <w:rsid w:val="00384A11"/>
    <w:rsid w:val="00384A59"/>
    <w:rsid w:val="00384A6F"/>
    <w:rsid w:val="00384AC5"/>
    <w:rsid w:val="00384B87"/>
    <w:rsid w:val="00384C57"/>
    <w:rsid w:val="00384C64"/>
    <w:rsid w:val="00384D02"/>
    <w:rsid w:val="00384D26"/>
    <w:rsid w:val="00384E78"/>
    <w:rsid w:val="00384EBA"/>
    <w:rsid w:val="00384ED9"/>
    <w:rsid w:val="00384F13"/>
    <w:rsid w:val="00384F85"/>
    <w:rsid w:val="00384F8A"/>
    <w:rsid w:val="00384FB1"/>
    <w:rsid w:val="00385065"/>
    <w:rsid w:val="0038515F"/>
    <w:rsid w:val="00385185"/>
    <w:rsid w:val="003851A5"/>
    <w:rsid w:val="003852EC"/>
    <w:rsid w:val="00385311"/>
    <w:rsid w:val="003853CB"/>
    <w:rsid w:val="0038541B"/>
    <w:rsid w:val="0038543E"/>
    <w:rsid w:val="00385446"/>
    <w:rsid w:val="003854CD"/>
    <w:rsid w:val="0038553A"/>
    <w:rsid w:val="00385630"/>
    <w:rsid w:val="0038563D"/>
    <w:rsid w:val="00385645"/>
    <w:rsid w:val="00385885"/>
    <w:rsid w:val="003858A9"/>
    <w:rsid w:val="003858D9"/>
    <w:rsid w:val="0038591B"/>
    <w:rsid w:val="00385954"/>
    <w:rsid w:val="003859A6"/>
    <w:rsid w:val="003859F2"/>
    <w:rsid w:val="003859FA"/>
    <w:rsid w:val="00385B43"/>
    <w:rsid w:val="00385B4F"/>
    <w:rsid w:val="00385BEE"/>
    <w:rsid w:val="00385CCA"/>
    <w:rsid w:val="00385DBA"/>
    <w:rsid w:val="00385EFB"/>
    <w:rsid w:val="00385F4C"/>
    <w:rsid w:val="003860BA"/>
    <w:rsid w:val="003860DC"/>
    <w:rsid w:val="00386107"/>
    <w:rsid w:val="0038612C"/>
    <w:rsid w:val="003861E9"/>
    <w:rsid w:val="0038626D"/>
    <w:rsid w:val="003862EC"/>
    <w:rsid w:val="0038631F"/>
    <w:rsid w:val="00386353"/>
    <w:rsid w:val="00386449"/>
    <w:rsid w:val="0038645B"/>
    <w:rsid w:val="003864C2"/>
    <w:rsid w:val="003864D0"/>
    <w:rsid w:val="003865B0"/>
    <w:rsid w:val="0038661C"/>
    <w:rsid w:val="00386686"/>
    <w:rsid w:val="003866BB"/>
    <w:rsid w:val="003866D5"/>
    <w:rsid w:val="00386712"/>
    <w:rsid w:val="00386758"/>
    <w:rsid w:val="0038677F"/>
    <w:rsid w:val="0038679C"/>
    <w:rsid w:val="003867B3"/>
    <w:rsid w:val="003867B6"/>
    <w:rsid w:val="003868B0"/>
    <w:rsid w:val="00386906"/>
    <w:rsid w:val="00386911"/>
    <w:rsid w:val="0038691C"/>
    <w:rsid w:val="00386A98"/>
    <w:rsid w:val="00386A99"/>
    <w:rsid w:val="00386AE0"/>
    <w:rsid w:val="00386AE9"/>
    <w:rsid w:val="00386B01"/>
    <w:rsid w:val="00386C1D"/>
    <w:rsid w:val="00386CA9"/>
    <w:rsid w:val="00386DC8"/>
    <w:rsid w:val="00386E00"/>
    <w:rsid w:val="00386E52"/>
    <w:rsid w:val="00386EC0"/>
    <w:rsid w:val="00386EF7"/>
    <w:rsid w:val="00386F14"/>
    <w:rsid w:val="00386FB9"/>
    <w:rsid w:val="0038700C"/>
    <w:rsid w:val="003870B8"/>
    <w:rsid w:val="00387173"/>
    <w:rsid w:val="003871F8"/>
    <w:rsid w:val="003872B8"/>
    <w:rsid w:val="003872F7"/>
    <w:rsid w:val="0038735C"/>
    <w:rsid w:val="00387374"/>
    <w:rsid w:val="0038737C"/>
    <w:rsid w:val="00387380"/>
    <w:rsid w:val="00387419"/>
    <w:rsid w:val="00387422"/>
    <w:rsid w:val="003874CB"/>
    <w:rsid w:val="00387537"/>
    <w:rsid w:val="00387562"/>
    <w:rsid w:val="00387564"/>
    <w:rsid w:val="0038756B"/>
    <w:rsid w:val="00387575"/>
    <w:rsid w:val="00387576"/>
    <w:rsid w:val="003876C5"/>
    <w:rsid w:val="00387720"/>
    <w:rsid w:val="0038772B"/>
    <w:rsid w:val="00387750"/>
    <w:rsid w:val="003877CA"/>
    <w:rsid w:val="0038787C"/>
    <w:rsid w:val="00387921"/>
    <w:rsid w:val="00387930"/>
    <w:rsid w:val="00387985"/>
    <w:rsid w:val="0038799C"/>
    <w:rsid w:val="003879D5"/>
    <w:rsid w:val="003879F2"/>
    <w:rsid w:val="00387A79"/>
    <w:rsid w:val="00387B06"/>
    <w:rsid w:val="00387B5B"/>
    <w:rsid w:val="00387D28"/>
    <w:rsid w:val="00387D61"/>
    <w:rsid w:val="00387DA7"/>
    <w:rsid w:val="00387DF7"/>
    <w:rsid w:val="00387ED1"/>
    <w:rsid w:val="00387ED8"/>
    <w:rsid w:val="00387EFD"/>
    <w:rsid w:val="00387F14"/>
    <w:rsid w:val="00387F1A"/>
    <w:rsid w:val="00387F4A"/>
    <w:rsid w:val="003900A5"/>
    <w:rsid w:val="0039013E"/>
    <w:rsid w:val="00390148"/>
    <w:rsid w:val="0039016E"/>
    <w:rsid w:val="00390238"/>
    <w:rsid w:val="00390256"/>
    <w:rsid w:val="0039026E"/>
    <w:rsid w:val="003902DF"/>
    <w:rsid w:val="003902F1"/>
    <w:rsid w:val="0039036F"/>
    <w:rsid w:val="003903AE"/>
    <w:rsid w:val="003905A7"/>
    <w:rsid w:val="003905BD"/>
    <w:rsid w:val="003906AF"/>
    <w:rsid w:val="003906BF"/>
    <w:rsid w:val="003908BB"/>
    <w:rsid w:val="0039090E"/>
    <w:rsid w:val="00390987"/>
    <w:rsid w:val="003909C2"/>
    <w:rsid w:val="003909EE"/>
    <w:rsid w:val="00390BFE"/>
    <w:rsid w:val="00390C1B"/>
    <w:rsid w:val="00390C37"/>
    <w:rsid w:val="00390C58"/>
    <w:rsid w:val="00390C7A"/>
    <w:rsid w:val="00390DB4"/>
    <w:rsid w:val="00390DE0"/>
    <w:rsid w:val="00390DEC"/>
    <w:rsid w:val="00390E52"/>
    <w:rsid w:val="00390E7D"/>
    <w:rsid w:val="00390E85"/>
    <w:rsid w:val="00390ED8"/>
    <w:rsid w:val="00390F39"/>
    <w:rsid w:val="00390F7E"/>
    <w:rsid w:val="00390F8E"/>
    <w:rsid w:val="00390FD9"/>
    <w:rsid w:val="0039100A"/>
    <w:rsid w:val="0039108E"/>
    <w:rsid w:val="0039109E"/>
    <w:rsid w:val="003910B0"/>
    <w:rsid w:val="003910B8"/>
    <w:rsid w:val="00391187"/>
    <w:rsid w:val="003911D8"/>
    <w:rsid w:val="003911F0"/>
    <w:rsid w:val="0039120B"/>
    <w:rsid w:val="00391319"/>
    <w:rsid w:val="003913F7"/>
    <w:rsid w:val="00391566"/>
    <w:rsid w:val="003915AA"/>
    <w:rsid w:val="00391617"/>
    <w:rsid w:val="003916DE"/>
    <w:rsid w:val="0039175F"/>
    <w:rsid w:val="00391793"/>
    <w:rsid w:val="003917DB"/>
    <w:rsid w:val="0039183A"/>
    <w:rsid w:val="00391998"/>
    <w:rsid w:val="00391AE4"/>
    <w:rsid w:val="00391B05"/>
    <w:rsid w:val="00391B1C"/>
    <w:rsid w:val="00391BF5"/>
    <w:rsid w:val="00391BFF"/>
    <w:rsid w:val="00391C10"/>
    <w:rsid w:val="00391CDB"/>
    <w:rsid w:val="00391D09"/>
    <w:rsid w:val="00391D94"/>
    <w:rsid w:val="00391E20"/>
    <w:rsid w:val="00391E42"/>
    <w:rsid w:val="00391F33"/>
    <w:rsid w:val="00391FCE"/>
    <w:rsid w:val="00391FF7"/>
    <w:rsid w:val="00392030"/>
    <w:rsid w:val="003920D9"/>
    <w:rsid w:val="00392193"/>
    <w:rsid w:val="003921DD"/>
    <w:rsid w:val="003921F3"/>
    <w:rsid w:val="00392347"/>
    <w:rsid w:val="00392348"/>
    <w:rsid w:val="003923F7"/>
    <w:rsid w:val="00392493"/>
    <w:rsid w:val="00392524"/>
    <w:rsid w:val="00392526"/>
    <w:rsid w:val="00392612"/>
    <w:rsid w:val="0039263C"/>
    <w:rsid w:val="00392751"/>
    <w:rsid w:val="00392753"/>
    <w:rsid w:val="00392781"/>
    <w:rsid w:val="003927FC"/>
    <w:rsid w:val="00392814"/>
    <w:rsid w:val="00392875"/>
    <w:rsid w:val="003928C4"/>
    <w:rsid w:val="0039292E"/>
    <w:rsid w:val="003929B7"/>
    <w:rsid w:val="003929CD"/>
    <w:rsid w:val="00392A20"/>
    <w:rsid w:val="00392A73"/>
    <w:rsid w:val="00392A75"/>
    <w:rsid w:val="00392B06"/>
    <w:rsid w:val="00392B07"/>
    <w:rsid w:val="00392B2E"/>
    <w:rsid w:val="00392BCD"/>
    <w:rsid w:val="00392C7B"/>
    <w:rsid w:val="00392CEA"/>
    <w:rsid w:val="00392D0E"/>
    <w:rsid w:val="00392D49"/>
    <w:rsid w:val="00392D7A"/>
    <w:rsid w:val="00392D91"/>
    <w:rsid w:val="00392E19"/>
    <w:rsid w:val="00392E36"/>
    <w:rsid w:val="00392E4E"/>
    <w:rsid w:val="00392E6F"/>
    <w:rsid w:val="00392EDA"/>
    <w:rsid w:val="00392F13"/>
    <w:rsid w:val="00392F87"/>
    <w:rsid w:val="00392F91"/>
    <w:rsid w:val="00392FD7"/>
    <w:rsid w:val="00393152"/>
    <w:rsid w:val="0039318F"/>
    <w:rsid w:val="003931EB"/>
    <w:rsid w:val="00393303"/>
    <w:rsid w:val="00393304"/>
    <w:rsid w:val="003933C2"/>
    <w:rsid w:val="0039347E"/>
    <w:rsid w:val="00393512"/>
    <w:rsid w:val="00393571"/>
    <w:rsid w:val="0039358D"/>
    <w:rsid w:val="00393637"/>
    <w:rsid w:val="00393644"/>
    <w:rsid w:val="00393803"/>
    <w:rsid w:val="00393915"/>
    <w:rsid w:val="00393AC2"/>
    <w:rsid w:val="00393ACC"/>
    <w:rsid w:val="00393B10"/>
    <w:rsid w:val="00393B2F"/>
    <w:rsid w:val="00393BD5"/>
    <w:rsid w:val="00393BF2"/>
    <w:rsid w:val="00393CBD"/>
    <w:rsid w:val="00393D0C"/>
    <w:rsid w:val="00393DB2"/>
    <w:rsid w:val="00393DD6"/>
    <w:rsid w:val="00393E8F"/>
    <w:rsid w:val="00393E9D"/>
    <w:rsid w:val="00393F50"/>
    <w:rsid w:val="00393FDA"/>
    <w:rsid w:val="003940BF"/>
    <w:rsid w:val="003940CF"/>
    <w:rsid w:val="003940D0"/>
    <w:rsid w:val="003940F3"/>
    <w:rsid w:val="003940F6"/>
    <w:rsid w:val="003940FA"/>
    <w:rsid w:val="0039413F"/>
    <w:rsid w:val="00394153"/>
    <w:rsid w:val="00394157"/>
    <w:rsid w:val="00394224"/>
    <w:rsid w:val="0039422B"/>
    <w:rsid w:val="0039422F"/>
    <w:rsid w:val="00394235"/>
    <w:rsid w:val="00394236"/>
    <w:rsid w:val="003943C4"/>
    <w:rsid w:val="003943EF"/>
    <w:rsid w:val="0039441F"/>
    <w:rsid w:val="00394464"/>
    <w:rsid w:val="00394512"/>
    <w:rsid w:val="00394524"/>
    <w:rsid w:val="00394553"/>
    <w:rsid w:val="00394573"/>
    <w:rsid w:val="003945E0"/>
    <w:rsid w:val="00394610"/>
    <w:rsid w:val="00394621"/>
    <w:rsid w:val="003946E0"/>
    <w:rsid w:val="00394708"/>
    <w:rsid w:val="0039470C"/>
    <w:rsid w:val="0039477B"/>
    <w:rsid w:val="00394820"/>
    <w:rsid w:val="00394975"/>
    <w:rsid w:val="003949E1"/>
    <w:rsid w:val="00394A0E"/>
    <w:rsid w:val="00394A1A"/>
    <w:rsid w:val="00394A40"/>
    <w:rsid w:val="00394A54"/>
    <w:rsid w:val="00394B44"/>
    <w:rsid w:val="00394BB4"/>
    <w:rsid w:val="00394BCE"/>
    <w:rsid w:val="00394BFF"/>
    <w:rsid w:val="00394C0B"/>
    <w:rsid w:val="00394C32"/>
    <w:rsid w:val="00394C96"/>
    <w:rsid w:val="00394D87"/>
    <w:rsid w:val="00394D91"/>
    <w:rsid w:val="00394D95"/>
    <w:rsid w:val="00394DDE"/>
    <w:rsid w:val="00394E4E"/>
    <w:rsid w:val="00394F44"/>
    <w:rsid w:val="00394F8A"/>
    <w:rsid w:val="00394FFB"/>
    <w:rsid w:val="00395004"/>
    <w:rsid w:val="00395067"/>
    <w:rsid w:val="003950AD"/>
    <w:rsid w:val="003951C4"/>
    <w:rsid w:val="003951E3"/>
    <w:rsid w:val="0039529E"/>
    <w:rsid w:val="003952E0"/>
    <w:rsid w:val="0039534B"/>
    <w:rsid w:val="0039534E"/>
    <w:rsid w:val="003953A9"/>
    <w:rsid w:val="003953D0"/>
    <w:rsid w:val="003954FB"/>
    <w:rsid w:val="003954FF"/>
    <w:rsid w:val="00395514"/>
    <w:rsid w:val="003955A1"/>
    <w:rsid w:val="003955AF"/>
    <w:rsid w:val="00395623"/>
    <w:rsid w:val="00395722"/>
    <w:rsid w:val="00395755"/>
    <w:rsid w:val="00395824"/>
    <w:rsid w:val="003958F8"/>
    <w:rsid w:val="0039592F"/>
    <w:rsid w:val="003959CB"/>
    <w:rsid w:val="003959EA"/>
    <w:rsid w:val="00395A0C"/>
    <w:rsid w:val="00395A50"/>
    <w:rsid w:val="00395A89"/>
    <w:rsid w:val="00395AA4"/>
    <w:rsid w:val="00395AAA"/>
    <w:rsid w:val="00395B22"/>
    <w:rsid w:val="00395B5A"/>
    <w:rsid w:val="00395B85"/>
    <w:rsid w:val="00395BC5"/>
    <w:rsid w:val="00395C61"/>
    <w:rsid w:val="00395CA5"/>
    <w:rsid w:val="00395D89"/>
    <w:rsid w:val="00395E15"/>
    <w:rsid w:val="00395E1B"/>
    <w:rsid w:val="00395E97"/>
    <w:rsid w:val="00395F26"/>
    <w:rsid w:val="00395F7C"/>
    <w:rsid w:val="00395F84"/>
    <w:rsid w:val="00395FD9"/>
    <w:rsid w:val="0039606F"/>
    <w:rsid w:val="0039609A"/>
    <w:rsid w:val="003960B3"/>
    <w:rsid w:val="003960D9"/>
    <w:rsid w:val="003960E2"/>
    <w:rsid w:val="003960F8"/>
    <w:rsid w:val="0039615B"/>
    <w:rsid w:val="00396219"/>
    <w:rsid w:val="00396228"/>
    <w:rsid w:val="00396230"/>
    <w:rsid w:val="003962AC"/>
    <w:rsid w:val="003962C2"/>
    <w:rsid w:val="003962F3"/>
    <w:rsid w:val="0039631C"/>
    <w:rsid w:val="003963BA"/>
    <w:rsid w:val="00396424"/>
    <w:rsid w:val="003964BC"/>
    <w:rsid w:val="003964BF"/>
    <w:rsid w:val="003964C8"/>
    <w:rsid w:val="003964D2"/>
    <w:rsid w:val="003964FC"/>
    <w:rsid w:val="0039654E"/>
    <w:rsid w:val="0039672A"/>
    <w:rsid w:val="0039675A"/>
    <w:rsid w:val="003967AD"/>
    <w:rsid w:val="003967BE"/>
    <w:rsid w:val="003967C1"/>
    <w:rsid w:val="00396802"/>
    <w:rsid w:val="00396881"/>
    <w:rsid w:val="0039688B"/>
    <w:rsid w:val="003968BF"/>
    <w:rsid w:val="003968C5"/>
    <w:rsid w:val="003968ED"/>
    <w:rsid w:val="00396A6A"/>
    <w:rsid w:val="00396A74"/>
    <w:rsid w:val="00396B05"/>
    <w:rsid w:val="00396B06"/>
    <w:rsid w:val="00396BCF"/>
    <w:rsid w:val="00396C5E"/>
    <w:rsid w:val="00396D34"/>
    <w:rsid w:val="00396D69"/>
    <w:rsid w:val="00396D7E"/>
    <w:rsid w:val="00396DE2"/>
    <w:rsid w:val="00396E59"/>
    <w:rsid w:val="00396F06"/>
    <w:rsid w:val="00396FF1"/>
    <w:rsid w:val="0039708A"/>
    <w:rsid w:val="00397091"/>
    <w:rsid w:val="0039710D"/>
    <w:rsid w:val="00397208"/>
    <w:rsid w:val="0039727B"/>
    <w:rsid w:val="0039728A"/>
    <w:rsid w:val="003972DC"/>
    <w:rsid w:val="003972F6"/>
    <w:rsid w:val="003973BB"/>
    <w:rsid w:val="00397419"/>
    <w:rsid w:val="00397442"/>
    <w:rsid w:val="003974E8"/>
    <w:rsid w:val="0039757F"/>
    <w:rsid w:val="00397640"/>
    <w:rsid w:val="0039764E"/>
    <w:rsid w:val="00397686"/>
    <w:rsid w:val="003976A5"/>
    <w:rsid w:val="003976FA"/>
    <w:rsid w:val="00397739"/>
    <w:rsid w:val="00397743"/>
    <w:rsid w:val="00397787"/>
    <w:rsid w:val="003977DB"/>
    <w:rsid w:val="0039785B"/>
    <w:rsid w:val="00397887"/>
    <w:rsid w:val="0039791E"/>
    <w:rsid w:val="00397923"/>
    <w:rsid w:val="0039798D"/>
    <w:rsid w:val="003979BC"/>
    <w:rsid w:val="00397AD4"/>
    <w:rsid w:val="00397AED"/>
    <w:rsid w:val="00397B5D"/>
    <w:rsid w:val="00397B76"/>
    <w:rsid w:val="00397BB4"/>
    <w:rsid w:val="00397CB5"/>
    <w:rsid w:val="00397CEC"/>
    <w:rsid w:val="00397E1A"/>
    <w:rsid w:val="00397E52"/>
    <w:rsid w:val="00397EC3"/>
    <w:rsid w:val="00397EF1"/>
    <w:rsid w:val="00397F7C"/>
    <w:rsid w:val="00397FCC"/>
    <w:rsid w:val="003A0120"/>
    <w:rsid w:val="003A012D"/>
    <w:rsid w:val="003A019B"/>
    <w:rsid w:val="003A01F7"/>
    <w:rsid w:val="003A0202"/>
    <w:rsid w:val="003A0263"/>
    <w:rsid w:val="003A0284"/>
    <w:rsid w:val="003A039F"/>
    <w:rsid w:val="003A0482"/>
    <w:rsid w:val="003A05F7"/>
    <w:rsid w:val="003A060A"/>
    <w:rsid w:val="003A068F"/>
    <w:rsid w:val="003A0730"/>
    <w:rsid w:val="003A08E6"/>
    <w:rsid w:val="003A0A94"/>
    <w:rsid w:val="003A0AD5"/>
    <w:rsid w:val="003A0AD9"/>
    <w:rsid w:val="003A0D1E"/>
    <w:rsid w:val="003A0DA8"/>
    <w:rsid w:val="003A0DE1"/>
    <w:rsid w:val="003A0E0F"/>
    <w:rsid w:val="003A0E64"/>
    <w:rsid w:val="003A0E91"/>
    <w:rsid w:val="003A0EAE"/>
    <w:rsid w:val="003A100F"/>
    <w:rsid w:val="003A1020"/>
    <w:rsid w:val="003A1055"/>
    <w:rsid w:val="003A1117"/>
    <w:rsid w:val="003A113F"/>
    <w:rsid w:val="003A119D"/>
    <w:rsid w:val="003A11E9"/>
    <w:rsid w:val="003A12CE"/>
    <w:rsid w:val="003A12DC"/>
    <w:rsid w:val="003A135D"/>
    <w:rsid w:val="003A14D1"/>
    <w:rsid w:val="003A1599"/>
    <w:rsid w:val="003A15A7"/>
    <w:rsid w:val="003A15E1"/>
    <w:rsid w:val="003A15FC"/>
    <w:rsid w:val="003A1662"/>
    <w:rsid w:val="003A1685"/>
    <w:rsid w:val="003A169D"/>
    <w:rsid w:val="003A176B"/>
    <w:rsid w:val="003A183F"/>
    <w:rsid w:val="003A1857"/>
    <w:rsid w:val="003A188E"/>
    <w:rsid w:val="003A194E"/>
    <w:rsid w:val="003A1961"/>
    <w:rsid w:val="003A1987"/>
    <w:rsid w:val="003A1A48"/>
    <w:rsid w:val="003A1A87"/>
    <w:rsid w:val="003A1AEC"/>
    <w:rsid w:val="003A1B11"/>
    <w:rsid w:val="003A1BAD"/>
    <w:rsid w:val="003A1BD0"/>
    <w:rsid w:val="003A1C64"/>
    <w:rsid w:val="003A1CF6"/>
    <w:rsid w:val="003A1D18"/>
    <w:rsid w:val="003A1D93"/>
    <w:rsid w:val="003A1E13"/>
    <w:rsid w:val="003A1E30"/>
    <w:rsid w:val="003A1EE3"/>
    <w:rsid w:val="003A1F0A"/>
    <w:rsid w:val="003A1F24"/>
    <w:rsid w:val="003A1F5E"/>
    <w:rsid w:val="003A1F96"/>
    <w:rsid w:val="003A1FB1"/>
    <w:rsid w:val="003A206C"/>
    <w:rsid w:val="003A2079"/>
    <w:rsid w:val="003A20B5"/>
    <w:rsid w:val="003A20BD"/>
    <w:rsid w:val="003A20C7"/>
    <w:rsid w:val="003A20D2"/>
    <w:rsid w:val="003A20F2"/>
    <w:rsid w:val="003A2155"/>
    <w:rsid w:val="003A2205"/>
    <w:rsid w:val="003A227B"/>
    <w:rsid w:val="003A2365"/>
    <w:rsid w:val="003A239C"/>
    <w:rsid w:val="003A23AC"/>
    <w:rsid w:val="003A23BA"/>
    <w:rsid w:val="003A23C4"/>
    <w:rsid w:val="003A249D"/>
    <w:rsid w:val="003A24C4"/>
    <w:rsid w:val="003A24DC"/>
    <w:rsid w:val="003A2562"/>
    <w:rsid w:val="003A2578"/>
    <w:rsid w:val="003A257F"/>
    <w:rsid w:val="003A2604"/>
    <w:rsid w:val="003A260D"/>
    <w:rsid w:val="003A266B"/>
    <w:rsid w:val="003A2695"/>
    <w:rsid w:val="003A26D9"/>
    <w:rsid w:val="003A286A"/>
    <w:rsid w:val="003A294E"/>
    <w:rsid w:val="003A294F"/>
    <w:rsid w:val="003A2964"/>
    <w:rsid w:val="003A2A85"/>
    <w:rsid w:val="003A2A99"/>
    <w:rsid w:val="003A2AAD"/>
    <w:rsid w:val="003A2BE7"/>
    <w:rsid w:val="003A2C92"/>
    <w:rsid w:val="003A2D5E"/>
    <w:rsid w:val="003A2D9C"/>
    <w:rsid w:val="003A2F1F"/>
    <w:rsid w:val="003A2F2E"/>
    <w:rsid w:val="003A2F93"/>
    <w:rsid w:val="003A30CF"/>
    <w:rsid w:val="003A3124"/>
    <w:rsid w:val="003A313D"/>
    <w:rsid w:val="003A316E"/>
    <w:rsid w:val="003A31B6"/>
    <w:rsid w:val="003A32E1"/>
    <w:rsid w:val="003A3334"/>
    <w:rsid w:val="003A33C4"/>
    <w:rsid w:val="003A33DC"/>
    <w:rsid w:val="003A344C"/>
    <w:rsid w:val="003A346F"/>
    <w:rsid w:val="003A34FF"/>
    <w:rsid w:val="003A350E"/>
    <w:rsid w:val="003A3524"/>
    <w:rsid w:val="003A35A7"/>
    <w:rsid w:val="003A35C0"/>
    <w:rsid w:val="003A35EA"/>
    <w:rsid w:val="003A3691"/>
    <w:rsid w:val="003A3714"/>
    <w:rsid w:val="003A382B"/>
    <w:rsid w:val="003A390C"/>
    <w:rsid w:val="003A392D"/>
    <w:rsid w:val="003A395D"/>
    <w:rsid w:val="003A39E6"/>
    <w:rsid w:val="003A3A6E"/>
    <w:rsid w:val="003A3A70"/>
    <w:rsid w:val="003A3AA1"/>
    <w:rsid w:val="003A3C44"/>
    <w:rsid w:val="003A3C6A"/>
    <w:rsid w:val="003A3C70"/>
    <w:rsid w:val="003A3C90"/>
    <w:rsid w:val="003A3C9E"/>
    <w:rsid w:val="003A3E0B"/>
    <w:rsid w:val="003A3EAC"/>
    <w:rsid w:val="003A3F0B"/>
    <w:rsid w:val="003A3F62"/>
    <w:rsid w:val="003A3F81"/>
    <w:rsid w:val="003A401E"/>
    <w:rsid w:val="003A4032"/>
    <w:rsid w:val="003A404B"/>
    <w:rsid w:val="003A40C4"/>
    <w:rsid w:val="003A4123"/>
    <w:rsid w:val="003A4189"/>
    <w:rsid w:val="003A4255"/>
    <w:rsid w:val="003A4258"/>
    <w:rsid w:val="003A4329"/>
    <w:rsid w:val="003A436F"/>
    <w:rsid w:val="003A43F9"/>
    <w:rsid w:val="003A4473"/>
    <w:rsid w:val="003A4477"/>
    <w:rsid w:val="003A44C0"/>
    <w:rsid w:val="003A44F3"/>
    <w:rsid w:val="003A4512"/>
    <w:rsid w:val="003A4551"/>
    <w:rsid w:val="003A462F"/>
    <w:rsid w:val="003A4686"/>
    <w:rsid w:val="003A484A"/>
    <w:rsid w:val="003A4893"/>
    <w:rsid w:val="003A48D9"/>
    <w:rsid w:val="003A4903"/>
    <w:rsid w:val="003A4975"/>
    <w:rsid w:val="003A4B7C"/>
    <w:rsid w:val="003A4B85"/>
    <w:rsid w:val="003A4C04"/>
    <w:rsid w:val="003A4C73"/>
    <w:rsid w:val="003A4C82"/>
    <w:rsid w:val="003A4CE2"/>
    <w:rsid w:val="003A4CF9"/>
    <w:rsid w:val="003A4D7D"/>
    <w:rsid w:val="003A4DA5"/>
    <w:rsid w:val="003A4DE9"/>
    <w:rsid w:val="003A4E4D"/>
    <w:rsid w:val="003A4E86"/>
    <w:rsid w:val="003A4E9B"/>
    <w:rsid w:val="003A5003"/>
    <w:rsid w:val="003A508A"/>
    <w:rsid w:val="003A5090"/>
    <w:rsid w:val="003A5122"/>
    <w:rsid w:val="003A51F8"/>
    <w:rsid w:val="003A524C"/>
    <w:rsid w:val="003A532F"/>
    <w:rsid w:val="003A5352"/>
    <w:rsid w:val="003A53FE"/>
    <w:rsid w:val="003A550A"/>
    <w:rsid w:val="003A5515"/>
    <w:rsid w:val="003A5536"/>
    <w:rsid w:val="003A555D"/>
    <w:rsid w:val="003A5635"/>
    <w:rsid w:val="003A5669"/>
    <w:rsid w:val="003A5691"/>
    <w:rsid w:val="003A56FD"/>
    <w:rsid w:val="003A5711"/>
    <w:rsid w:val="003A5784"/>
    <w:rsid w:val="003A5796"/>
    <w:rsid w:val="003A580E"/>
    <w:rsid w:val="003A5835"/>
    <w:rsid w:val="003A5843"/>
    <w:rsid w:val="003A5845"/>
    <w:rsid w:val="003A5847"/>
    <w:rsid w:val="003A5942"/>
    <w:rsid w:val="003A59A1"/>
    <w:rsid w:val="003A59AE"/>
    <w:rsid w:val="003A5BF9"/>
    <w:rsid w:val="003A5C0D"/>
    <w:rsid w:val="003A5CA0"/>
    <w:rsid w:val="003A5CF3"/>
    <w:rsid w:val="003A5D32"/>
    <w:rsid w:val="003A5D57"/>
    <w:rsid w:val="003A5DBB"/>
    <w:rsid w:val="003A5DE4"/>
    <w:rsid w:val="003A5E04"/>
    <w:rsid w:val="003A5F41"/>
    <w:rsid w:val="003A5F42"/>
    <w:rsid w:val="003A5F85"/>
    <w:rsid w:val="003A5FEC"/>
    <w:rsid w:val="003A6065"/>
    <w:rsid w:val="003A609E"/>
    <w:rsid w:val="003A616F"/>
    <w:rsid w:val="003A6177"/>
    <w:rsid w:val="003A6284"/>
    <w:rsid w:val="003A62CE"/>
    <w:rsid w:val="003A62D8"/>
    <w:rsid w:val="003A62E7"/>
    <w:rsid w:val="003A6496"/>
    <w:rsid w:val="003A64C6"/>
    <w:rsid w:val="003A6534"/>
    <w:rsid w:val="003A65C9"/>
    <w:rsid w:val="003A664A"/>
    <w:rsid w:val="003A6721"/>
    <w:rsid w:val="003A677D"/>
    <w:rsid w:val="003A6830"/>
    <w:rsid w:val="003A6886"/>
    <w:rsid w:val="003A690D"/>
    <w:rsid w:val="003A697B"/>
    <w:rsid w:val="003A69AF"/>
    <w:rsid w:val="003A69D4"/>
    <w:rsid w:val="003A69D6"/>
    <w:rsid w:val="003A69EE"/>
    <w:rsid w:val="003A6A66"/>
    <w:rsid w:val="003A6B1A"/>
    <w:rsid w:val="003A6B6B"/>
    <w:rsid w:val="003A6BA0"/>
    <w:rsid w:val="003A6BD7"/>
    <w:rsid w:val="003A6C07"/>
    <w:rsid w:val="003A6CD1"/>
    <w:rsid w:val="003A6CE3"/>
    <w:rsid w:val="003A6D56"/>
    <w:rsid w:val="003A6D6B"/>
    <w:rsid w:val="003A6D74"/>
    <w:rsid w:val="003A6DD8"/>
    <w:rsid w:val="003A6E6B"/>
    <w:rsid w:val="003A6E7A"/>
    <w:rsid w:val="003A6EB4"/>
    <w:rsid w:val="003A6F75"/>
    <w:rsid w:val="003A70BE"/>
    <w:rsid w:val="003A7152"/>
    <w:rsid w:val="003A727F"/>
    <w:rsid w:val="003A740F"/>
    <w:rsid w:val="003A741B"/>
    <w:rsid w:val="003A758B"/>
    <w:rsid w:val="003A75B4"/>
    <w:rsid w:val="003A75DB"/>
    <w:rsid w:val="003A767A"/>
    <w:rsid w:val="003A779B"/>
    <w:rsid w:val="003A7898"/>
    <w:rsid w:val="003A78C9"/>
    <w:rsid w:val="003A7AAF"/>
    <w:rsid w:val="003A7AB3"/>
    <w:rsid w:val="003A7B41"/>
    <w:rsid w:val="003A7BC5"/>
    <w:rsid w:val="003A7BCE"/>
    <w:rsid w:val="003A7BD4"/>
    <w:rsid w:val="003A7C00"/>
    <w:rsid w:val="003A7C41"/>
    <w:rsid w:val="003A7C96"/>
    <w:rsid w:val="003A7CE6"/>
    <w:rsid w:val="003A7D87"/>
    <w:rsid w:val="003A7DB5"/>
    <w:rsid w:val="003A7DBA"/>
    <w:rsid w:val="003A7E2C"/>
    <w:rsid w:val="003A7E84"/>
    <w:rsid w:val="003A7F23"/>
    <w:rsid w:val="003A7F47"/>
    <w:rsid w:val="003A7F74"/>
    <w:rsid w:val="003A7FA9"/>
    <w:rsid w:val="003B0018"/>
    <w:rsid w:val="003B007E"/>
    <w:rsid w:val="003B00C8"/>
    <w:rsid w:val="003B011A"/>
    <w:rsid w:val="003B01A0"/>
    <w:rsid w:val="003B01DE"/>
    <w:rsid w:val="003B036B"/>
    <w:rsid w:val="003B036D"/>
    <w:rsid w:val="003B046A"/>
    <w:rsid w:val="003B0490"/>
    <w:rsid w:val="003B0565"/>
    <w:rsid w:val="003B064D"/>
    <w:rsid w:val="003B06BF"/>
    <w:rsid w:val="003B0787"/>
    <w:rsid w:val="003B08BD"/>
    <w:rsid w:val="003B0BD6"/>
    <w:rsid w:val="003B0C4B"/>
    <w:rsid w:val="003B0C92"/>
    <w:rsid w:val="003B0CE2"/>
    <w:rsid w:val="003B0D23"/>
    <w:rsid w:val="003B0E24"/>
    <w:rsid w:val="003B0E9F"/>
    <w:rsid w:val="003B0ECA"/>
    <w:rsid w:val="003B0F8D"/>
    <w:rsid w:val="003B1041"/>
    <w:rsid w:val="003B10A6"/>
    <w:rsid w:val="003B11E5"/>
    <w:rsid w:val="003B12D2"/>
    <w:rsid w:val="003B1336"/>
    <w:rsid w:val="003B146B"/>
    <w:rsid w:val="003B15BC"/>
    <w:rsid w:val="003B179F"/>
    <w:rsid w:val="003B17E4"/>
    <w:rsid w:val="003B188A"/>
    <w:rsid w:val="003B1909"/>
    <w:rsid w:val="003B1977"/>
    <w:rsid w:val="003B19A4"/>
    <w:rsid w:val="003B19C0"/>
    <w:rsid w:val="003B1B32"/>
    <w:rsid w:val="003B1C63"/>
    <w:rsid w:val="003B1C9F"/>
    <w:rsid w:val="003B1CE2"/>
    <w:rsid w:val="003B1D0B"/>
    <w:rsid w:val="003B1D13"/>
    <w:rsid w:val="003B1D18"/>
    <w:rsid w:val="003B1E01"/>
    <w:rsid w:val="003B1E17"/>
    <w:rsid w:val="003B1E97"/>
    <w:rsid w:val="003B1F21"/>
    <w:rsid w:val="003B1FC9"/>
    <w:rsid w:val="003B1FE3"/>
    <w:rsid w:val="003B2134"/>
    <w:rsid w:val="003B217E"/>
    <w:rsid w:val="003B2182"/>
    <w:rsid w:val="003B21EA"/>
    <w:rsid w:val="003B2236"/>
    <w:rsid w:val="003B224F"/>
    <w:rsid w:val="003B2258"/>
    <w:rsid w:val="003B240F"/>
    <w:rsid w:val="003B24BE"/>
    <w:rsid w:val="003B24C7"/>
    <w:rsid w:val="003B24D2"/>
    <w:rsid w:val="003B2513"/>
    <w:rsid w:val="003B2546"/>
    <w:rsid w:val="003B2548"/>
    <w:rsid w:val="003B25F8"/>
    <w:rsid w:val="003B26BA"/>
    <w:rsid w:val="003B2709"/>
    <w:rsid w:val="003B2715"/>
    <w:rsid w:val="003B2770"/>
    <w:rsid w:val="003B27CB"/>
    <w:rsid w:val="003B287B"/>
    <w:rsid w:val="003B2923"/>
    <w:rsid w:val="003B298A"/>
    <w:rsid w:val="003B2A5D"/>
    <w:rsid w:val="003B2B6A"/>
    <w:rsid w:val="003B2BC4"/>
    <w:rsid w:val="003B2BF1"/>
    <w:rsid w:val="003B2C74"/>
    <w:rsid w:val="003B2C76"/>
    <w:rsid w:val="003B2CBD"/>
    <w:rsid w:val="003B2D72"/>
    <w:rsid w:val="003B2D73"/>
    <w:rsid w:val="003B2F15"/>
    <w:rsid w:val="003B2F96"/>
    <w:rsid w:val="003B2FB5"/>
    <w:rsid w:val="003B2FBD"/>
    <w:rsid w:val="003B3046"/>
    <w:rsid w:val="003B30B1"/>
    <w:rsid w:val="003B31E5"/>
    <w:rsid w:val="003B32AC"/>
    <w:rsid w:val="003B33B3"/>
    <w:rsid w:val="003B33BE"/>
    <w:rsid w:val="003B3431"/>
    <w:rsid w:val="003B347D"/>
    <w:rsid w:val="003B34B5"/>
    <w:rsid w:val="003B3509"/>
    <w:rsid w:val="003B3536"/>
    <w:rsid w:val="003B355A"/>
    <w:rsid w:val="003B3580"/>
    <w:rsid w:val="003B3606"/>
    <w:rsid w:val="003B3681"/>
    <w:rsid w:val="003B369F"/>
    <w:rsid w:val="003B36C9"/>
    <w:rsid w:val="003B3701"/>
    <w:rsid w:val="003B3738"/>
    <w:rsid w:val="003B37F5"/>
    <w:rsid w:val="003B38DE"/>
    <w:rsid w:val="003B3A3F"/>
    <w:rsid w:val="003B3A53"/>
    <w:rsid w:val="003B3B20"/>
    <w:rsid w:val="003B3B7D"/>
    <w:rsid w:val="003B3BE8"/>
    <w:rsid w:val="003B3C68"/>
    <w:rsid w:val="003B3CD3"/>
    <w:rsid w:val="003B3D20"/>
    <w:rsid w:val="003B3E1A"/>
    <w:rsid w:val="003B3E51"/>
    <w:rsid w:val="003B3F5D"/>
    <w:rsid w:val="003B3F7B"/>
    <w:rsid w:val="003B3F88"/>
    <w:rsid w:val="003B3F92"/>
    <w:rsid w:val="003B3FC3"/>
    <w:rsid w:val="003B4054"/>
    <w:rsid w:val="003B4073"/>
    <w:rsid w:val="003B409D"/>
    <w:rsid w:val="003B40B6"/>
    <w:rsid w:val="003B416C"/>
    <w:rsid w:val="003B41F4"/>
    <w:rsid w:val="003B43B9"/>
    <w:rsid w:val="003B44B6"/>
    <w:rsid w:val="003B44DF"/>
    <w:rsid w:val="003B4540"/>
    <w:rsid w:val="003B4594"/>
    <w:rsid w:val="003B45B4"/>
    <w:rsid w:val="003B4603"/>
    <w:rsid w:val="003B4619"/>
    <w:rsid w:val="003B4637"/>
    <w:rsid w:val="003B4735"/>
    <w:rsid w:val="003B47BD"/>
    <w:rsid w:val="003B47F5"/>
    <w:rsid w:val="003B4812"/>
    <w:rsid w:val="003B4852"/>
    <w:rsid w:val="003B4921"/>
    <w:rsid w:val="003B495F"/>
    <w:rsid w:val="003B49EF"/>
    <w:rsid w:val="003B4A9C"/>
    <w:rsid w:val="003B4AEC"/>
    <w:rsid w:val="003B4AF6"/>
    <w:rsid w:val="003B4B09"/>
    <w:rsid w:val="003B4B88"/>
    <w:rsid w:val="003B4BAE"/>
    <w:rsid w:val="003B4BD1"/>
    <w:rsid w:val="003B4C5E"/>
    <w:rsid w:val="003B4CA4"/>
    <w:rsid w:val="003B4E01"/>
    <w:rsid w:val="003B4E76"/>
    <w:rsid w:val="003B4E83"/>
    <w:rsid w:val="003B4F1D"/>
    <w:rsid w:val="003B4F40"/>
    <w:rsid w:val="003B4F47"/>
    <w:rsid w:val="003B4F70"/>
    <w:rsid w:val="003B4FF3"/>
    <w:rsid w:val="003B501C"/>
    <w:rsid w:val="003B506B"/>
    <w:rsid w:val="003B506C"/>
    <w:rsid w:val="003B5084"/>
    <w:rsid w:val="003B509E"/>
    <w:rsid w:val="003B50C2"/>
    <w:rsid w:val="003B515D"/>
    <w:rsid w:val="003B51A8"/>
    <w:rsid w:val="003B51AC"/>
    <w:rsid w:val="003B51B4"/>
    <w:rsid w:val="003B51FF"/>
    <w:rsid w:val="003B521C"/>
    <w:rsid w:val="003B5257"/>
    <w:rsid w:val="003B525B"/>
    <w:rsid w:val="003B5278"/>
    <w:rsid w:val="003B52E7"/>
    <w:rsid w:val="003B5466"/>
    <w:rsid w:val="003B5557"/>
    <w:rsid w:val="003B556D"/>
    <w:rsid w:val="003B59A8"/>
    <w:rsid w:val="003B59F1"/>
    <w:rsid w:val="003B5A97"/>
    <w:rsid w:val="003B5AE5"/>
    <w:rsid w:val="003B5B6D"/>
    <w:rsid w:val="003B5C79"/>
    <w:rsid w:val="003B5CD3"/>
    <w:rsid w:val="003B5CDE"/>
    <w:rsid w:val="003B5D53"/>
    <w:rsid w:val="003B5D62"/>
    <w:rsid w:val="003B5D9B"/>
    <w:rsid w:val="003B5DA0"/>
    <w:rsid w:val="003B5F4D"/>
    <w:rsid w:val="003B5F63"/>
    <w:rsid w:val="003B5FD1"/>
    <w:rsid w:val="003B5FE5"/>
    <w:rsid w:val="003B600A"/>
    <w:rsid w:val="003B6038"/>
    <w:rsid w:val="003B60B4"/>
    <w:rsid w:val="003B61CD"/>
    <w:rsid w:val="003B6314"/>
    <w:rsid w:val="003B637F"/>
    <w:rsid w:val="003B63D9"/>
    <w:rsid w:val="003B6419"/>
    <w:rsid w:val="003B64DB"/>
    <w:rsid w:val="003B64F3"/>
    <w:rsid w:val="003B667C"/>
    <w:rsid w:val="003B6829"/>
    <w:rsid w:val="003B68A1"/>
    <w:rsid w:val="003B68E9"/>
    <w:rsid w:val="003B69BA"/>
    <w:rsid w:val="003B69BC"/>
    <w:rsid w:val="003B69F1"/>
    <w:rsid w:val="003B6A1B"/>
    <w:rsid w:val="003B6BB3"/>
    <w:rsid w:val="003B6C06"/>
    <w:rsid w:val="003B6C44"/>
    <w:rsid w:val="003B6CEF"/>
    <w:rsid w:val="003B6D1B"/>
    <w:rsid w:val="003B6E46"/>
    <w:rsid w:val="003B6EEA"/>
    <w:rsid w:val="003B6F54"/>
    <w:rsid w:val="003B6FF5"/>
    <w:rsid w:val="003B7077"/>
    <w:rsid w:val="003B7086"/>
    <w:rsid w:val="003B70E1"/>
    <w:rsid w:val="003B70ED"/>
    <w:rsid w:val="003B7149"/>
    <w:rsid w:val="003B7193"/>
    <w:rsid w:val="003B71AC"/>
    <w:rsid w:val="003B71F5"/>
    <w:rsid w:val="003B7281"/>
    <w:rsid w:val="003B733B"/>
    <w:rsid w:val="003B7352"/>
    <w:rsid w:val="003B73A0"/>
    <w:rsid w:val="003B7404"/>
    <w:rsid w:val="003B7418"/>
    <w:rsid w:val="003B7495"/>
    <w:rsid w:val="003B74E6"/>
    <w:rsid w:val="003B7556"/>
    <w:rsid w:val="003B7759"/>
    <w:rsid w:val="003B77A1"/>
    <w:rsid w:val="003B7860"/>
    <w:rsid w:val="003B78E3"/>
    <w:rsid w:val="003B79E5"/>
    <w:rsid w:val="003B7A42"/>
    <w:rsid w:val="003B7B71"/>
    <w:rsid w:val="003B7BB1"/>
    <w:rsid w:val="003B7BBD"/>
    <w:rsid w:val="003B7C5F"/>
    <w:rsid w:val="003B7D4D"/>
    <w:rsid w:val="003B7D61"/>
    <w:rsid w:val="003B7DDF"/>
    <w:rsid w:val="003B7DE0"/>
    <w:rsid w:val="003B7E3A"/>
    <w:rsid w:val="003B7E4B"/>
    <w:rsid w:val="003B7F64"/>
    <w:rsid w:val="003B7F99"/>
    <w:rsid w:val="003C0000"/>
    <w:rsid w:val="003C0021"/>
    <w:rsid w:val="003C0032"/>
    <w:rsid w:val="003C004A"/>
    <w:rsid w:val="003C005B"/>
    <w:rsid w:val="003C009C"/>
    <w:rsid w:val="003C00AA"/>
    <w:rsid w:val="003C00B6"/>
    <w:rsid w:val="003C0138"/>
    <w:rsid w:val="003C01B3"/>
    <w:rsid w:val="003C01B6"/>
    <w:rsid w:val="003C0351"/>
    <w:rsid w:val="003C0418"/>
    <w:rsid w:val="003C0443"/>
    <w:rsid w:val="003C04A0"/>
    <w:rsid w:val="003C04F7"/>
    <w:rsid w:val="003C0524"/>
    <w:rsid w:val="003C05DF"/>
    <w:rsid w:val="003C06A6"/>
    <w:rsid w:val="003C07D7"/>
    <w:rsid w:val="003C07FC"/>
    <w:rsid w:val="003C08C3"/>
    <w:rsid w:val="003C091F"/>
    <w:rsid w:val="003C0936"/>
    <w:rsid w:val="003C0955"/>
    <w:rsid w:val="003C0A2D"/>
    <w:rsid w:val="003C0A4A"/>
    <w:rsid w:val="003C0A6B"/>
    <w:rsid w:val="003C0BAB"/>
    <w:rsid w:val="003C0CEF"/>
    <w:rsid w:val="003C0D47"/>
    <w:rsid w:val="003C0D4E"/>
    <w:rsid w:val="003C0D51"/>
    <w:rsid w:val="003C0E29"/>
    <w:rsid w:val="003C0EDB"/>
    <w:rsid w:val="003C0F41"/>
    <w:rsid w:val="003C0F42"/>
    <w:rsid w:val="003C0F98"/>
    <w:rsid w:val="003C1037"/>
    <w:rsid w:val="003C106F"/>
    <w:rsid w:val="003C107C"/>
    <w:rsid w:val="003C111B"/>
    <w:rsid w:val="003C118C"/>
    <w:rsid w:val="003C1206"/>
    <w:rsid w:val="003C1221"/>
    <w:rsid w:val="003C124C"/>
    <w:rsid w:val="003C126E"/>
    <w:rsid w:val="003C129B"/>
    <w:rsid w:val="003C129E"/>
    <w:rsid w:val="003C12B8"/>
    <w:rsid w:val="003C12F2"/>
    <w:rsid w:val="003C1309"/>
    <w:rsid w:val="003C1541"/>
    <w:rsid w:val="003C1595"/>
    <w:rsid w:val="003C15F5"/>
    <w:rsid w:val="003C166C"/>
    <w:rsid w:val="003C16B7"/>
    <w:rsid w:val="003C16F9"/>
    <w:rsid w:val="003C173D"/>
    <w:rsid w:val="003C1772"/>
    <w:rsid w:val="003C1774"/>
    <w:rsid w:val="003C1836"/>
    <w:rsid w:val="003C185A"/>
    <w:rsid w:val="003C19B6"/>
    <w:rsid w:val="003C19ED"/>
    <w:rsid w:val="003C1A27"/>
    <w:rsid w:val="003C1B86"/>
    <w:rsid w:val="003C1BE2"/>
    <w:rsid w:val="003C1C27"/>
    <w:rsid w:val="003C1C28"/>
    <w:rsid w:val="003C1C34"/>
    <w:rsid w:val="003C1C68"/>
    <w:rsid w:val="003C1EF1"/>
    <w:rsid w:val="003C1F68"/>
    <w:rsid w:val="003C209D"/>
    <w:rsid w:val="003C20A2"/>
    <w:rsid w:val="003C20A4"/>
    <w:rsid w:val="003C20FA"/>
    <w:rsid w:val="003C21F8"/>
    <w:rsid w:val="003C22F1"/>
    <w:rsid w:val="003C22F9"/>
    <w:rsid w:val="003C22FC"/>
    <w:rsid w:val="003C23EF"/>
    <w:rsid w:val="003C2421"/>
    <w:rsid w:val="003C2550"/>
    <w:rsid w:val="003C25B5"/>
    <w:rsid w:val="003C2678"/>
    <w:rsid w:val="003C2812"/>
    <w:rsid w:val="003C288C"/>
    <w:rsid w:val="003C28E4"/>
    <w:rsid w:val="003C290D"/>
    <w:rsid w:val="003C2922"/>
    <w:rsid w:val="003C2950"/>
    <w:rsid w:val="003C2961"/>
    <w:rsid w:val="003C2990"/>
    <w:rsid w:val="003C2A52"/>
    <w:rsid w:val="003C2BDB"/>
    <w:rsid w:val="003C2CAA"/>
    <w:rsid w:val="003C2CDC"/>
    <w:rsid w:val="003C2E20"/>
    <w:rsid w:val="003C2EA9"/>
    <w:rsid w:val="003C311A"/>
    <w:rsid w:val="003C3149"/>
    <w:rsid w:val="003C319B"/>
    <w:rsid w:val="003C31A0"/>
    <w:rsid w:val="003C31EA"/>
    <w:rsid w:val="003C31FC"/>
    <w:rsid w:val="003C321D"/>
    <w:rsid w:val="003C3234"/>
    <w:rsid w:val="003C324E"/>
    <w:rsid w:val="003C326E"/>
    <w:rsid w:val="003C32F4"/>
    <w:rsid w:val="003C3389"/>
    <w:rsid w:val="003C346B"/>
    <w:rsid w:val="003C34A7"/>
    <w:rsid w:val="003C34F1"/>
    <w:rsid w:val="003C34FA"/>
    <w:rsid w:val="003C35C7"/>
    <w:rsid w:val="003C3649"/>
    <w:rsid w:val="003C36FF"/>
    <w:rsid w:val="003C3735"/>
    <w:rsid w:val="003C382D"/>
    <w:rsid w:val="003C38E2"/>
    <w:rsid w:val="003C3A05"/>
    <w:rsid w:val="003C3BE2"/>
    <w:rsid w:val="003C3C57"/>
    <w:rsid w:val="003C3CA9"/>
    <w:rsid w:val="003C3CF0"/>
    <w:rsid w:val="003C3DCA"/>
    <w:rsid w:val="003C3E55"/>
    <w:rsid w:val="003C3E58"/>
    <w:rsid w:val="003C3F1E"/>
    <w:rsid w:val="003C3FA9"/>
    <w:rsid w:val="003C4071"/>
    <w:rsid w:val="003C4111"/>
    <w:rsid w:val="003C4250"/>
    <w:rsid w:val="003C42B1"/>
    <w:rsid w:val="003C434E"/>
    <w:rsid w:val="003C43DE"/>
    <w:rsid w:val="003C4462"/>
    <w:rsid w:val="003C446D"/>
    <w:rsid w:val="003C44C7"/>
    <w:rsid w:val="003C4508"/>
    <w:rsid w:val="003C45E3"/>
    <w:rsid w:val="003C4667"/>
    <w:rsid w:val="003C46C2"/>
    <w:rsid w:val="003C47AA"/>
    <w:rsid w:val="003C4852"/>
    <w:rsid w:val="003C4928"/>
    <w:rsid w:val="003C4A3D"/>
    <w:rsid w:val="003C4AAE"/>
    <w:rsid w:val="003C4AD2"/>
    <w:rsid w:val="003C4AE9"/>
    <w:rsid w:val="003C4AFE"/>
    <w:rsid w:val="003C4B58"/>
    <w:rsid w:val="003C4DB9"/>
    <w:rsid w:val="003C4E6E"/>
    <w:rsid w:val="003C4F8A"/>
    <w:rsid w:val="003C4FE5"/>
    <w:rsid w:val="003C5059"/>
    <w:rsid w:val="003C508E"/>
    <w:rsid w:val="003C50E7"/>
    <w:rsid w:val="003C511A"/>
    <w:rsid w:val="003C511E"/>
    <w:rsid w:val="003C53EC"/>
    <w:rsid w:val="003C541A"/>
    <w:rsid w:val="003C54A9"/>
    <w:rsid w:val="003C5567"/>
    <w:rsid w:val="003C561C"/>
    <w:rsid w:val="003C5699"/>
    <w:rsid w:val="003C56C5"/>
    <w:rsid w:val="003C570B"/>
    <w:rsid w:val="003C5737"/>
    <w:rsid w:val="003C579C"/>
    <w:rsid w:val="003C5800"/>
    <w:rsid w:val="003C5816"/>
    <w:rsid w:val="003C5891"/>
    <w:rsid w:val="003C58B1"/>
    <w:rsid w:val="003C58EE"/>
    <w:rsid w:val="003C5906"/>
    <w:rsid w:val="003C5958"/>
    <w:rsid w:val="003C5987"/>
    <w:rsid w:val="003C5ACE"/>
    <w:rsid w:val="003C5B17"/>
    <w:rsid w:val="003C5B1D"/>
    <w:rsid w:val="003C5B27"/>
    <w:rsid w:val="003C5B2C"/>
    <w:rsid w:val="003C5BA5"/>
    <w:rsid w:val="003C5BA9"/>
    <w:rsid w:val="003C5C5D"/>
    <w:rsid w:val="003C5D50"/>
    <w:rsid w:val="003C5DDD"/>
    <w:rsid w:val="003C5E1D"/>
    <w:rsid w:val="003C5E28"/>
    <w:rsid w:val="003C5E31"/>
    <w:rsid w:val="003C5F4F"/>
    <w:rsid w:val="003C5F58"/>
    <w:rsid w:val="003C6078"/>
    <w:rsid w:val="003C60A8"/>
    <w:rsid w:val="003C61A4"/>
    <w:rsid w:val="003C6201"/>
    <w:rsid w:val="003C621F"/>
    <w:rsid w:val="003C6243"/>
    <w:rsid w:val="003C6262"/>
    <w:rsid w:val="003C62A6"/>
    <w:rsid w:val="003C62BD"/>
    <w:rsid w:val="003C6373"/>
    <w:rsid w:val="003C6376"/>
    <w:rsid w:val="003C6383"/>
    <w:rsid w:val="003C63D9"/>
    <w:rsid w:val="003C6426"/>
    <w:rsid w:val="003C650C"/>
    <w:rsid w:val="003C65C0"/>
    <w:rsid w:val="003C65E9"/>
    <w:rsid w:val="003C6698"/>
    <w:rsid w:val="003C66B1"/>
    <w:rsid w:val="003C6751"/>
    <w:rsid w:val="003C6799"/>
    <w:rsid w:val="003C67BC"/>
    <w:rsid w:val="003C684B"/>
    <w:rsid w:val="003C686A"/>
    <w:rsid w:val="003C687A"/>
    <w:rsid w:val="003C68E0"/>
    <w:rsid w:val="003C6994"/>
    <w:rsid w:val="003C69C7"/>
    <w:rsid w:val="003C6AFD"/>
    <w:rsid w:val="003C6B0A"/>
    <w:rsid w:val="003C6B23"/>
    <w:rsid w:val="003C6BA7"/>
    <w:rsid w:val="003C6C21"/>
    <w:rsid w:val="003C6C3D"/>
    <w:rsid w:val="003C6CCC"/>
    <w:rsid w:val="003C6EC9"/>
    <w:rsid w:val="003C6ED0"/>
    <w:rsid w:val="003C6ED1"/>
    <w:rsid w:val="003C6EDD"/>
    <w:rsid w:val="003C6FC1"/>
    <w:rsid w:val="003C70BE"/>
    <w:rsid w:val="003C70FD"/>
    <w:rsid w:val="003C715F"/>
    <w:rsid w:val="003C71B4"/>
    <w:rsid w:val="003C71C6"/>
    <w:rsid w:val="003C71FF"/>
    <w:rsid w:val="003C722C"/>
    <w:rsid w:val="003C7277"/>
    <w:rsid w:val="003C7326"/>
    <w:rsid w:val="003C735F"/>
    <w:rsid w:val="003C74FA"/>
    <w:rsid w:val="003C7569"/>
    <w:rsid w:val="003C7576"/>
    <w:rsid w:val="003C7584"/>
    <w:rsid w:val="003C76B6"/>
    <w:rsid w:val="003C76D6"/>
    <w:rsid w:val="003C77B0"/>
    <w:rsid w:val="003C77CD"/>
    <w:rsid w:val="003C7814"/>
    <w:rsid w:val="003C78ED"/>
    <w:rsid w:val="003C796F"/>
    <w:rsid w:val="003C79EA"/>
    <w:rsid w:val="003C79EB"/>
    <w:rsid w:val="003C7A44"/>
    <w:rsid w:val="003C7B12"/>
    <w:rsid w:val="003C7B16"/>
    <w:rsid w:val="003C7B66"/>
    <w:rsid w:val="003C7B95"/>
    <w:rsid w:val="003C7C92"/>
    <w:rsid w:val="003C7D70"/>
    <w:rsid w:val="003C7D87"/>
    <w:rsid w:val="003C7E0C"/>
    <w:rsid w:val="003C7E2F"/>
    <w:rsid w:val="003C7E6B"/>
    <w:rsid w:val="003C7EC9"/>
    <w:rsid w:val="003C7F19"/>
    <w:rsid w:val="003C7FB2"/>
    <w:rsid w:val="003C7FE8"/>
    <w:rsid w:val="003D0034"/>
    <w:rsid w:val="003D0089"/>
    <w:rsid w:val="003D0098"/>
    <w:rsid w:val="003D018E"/>
    <w:rsid w:val="003D0264"/>
    <w:rsid w:val="003D0297"/>
    <w:rsid w:val="003D029E"/>
    <w:rsid w:val="003D02C3"/>
    <w:rsid w:val="003D02E2"/>
    <w:rsid w:val="003D0329"/>
    <w:rsid w:val="003D035E"/>
    <w:rsid w:val="003D0373"/>
    <w:rsid w:val="003D03B0"/>
    <w:rsid w:val="003D04C3"/>
    <w:rsid w:val="003D04E8"/>
    <w:rsid w:val="003D0651"/>
    <w:rsid w:val="003D0764"/>
    <w:rsid w:val="003D07E5"/>
    <w:rsid w:val="003D0827"/>
    <w:rsid w:val="003D08A7"/>
    <w:rsid w:val="003D092C"/>
    <w:rsid w:val="003D094C"/>
    <w:rsid w:val="003D0957"/>
    <w:rsid w:val="003D0AE5"/>
    <w:rsid w:val="003D0B1E"/>
    <w:rsid w:val="003D0B41"/>
    <w:rsid w:val="003D0B45"/>
    <w:rsid w:val="003D0B72"/>
    <w:rsid w:val="003D0B8A"/>
    <w:rsid w:val="003D0C05"/>
    <w:rsid w:val="003D0C2E"/>
    <w:rsid w:val="003D0C6F"/>
    <w:rsid w:val="003D0C87"/>
    <w:rsid w:val="003D0D22"/>
    <w:rsid w:val="003D0DC9"/>
    <w:rsid w:val="003D0E16"/>
    <w:rsid w:val="003D0F0E"/>
    <w:rsid w:val="003D0F20"/>
    <w:rsid w:val="003D0F76"/>
    <w:rsid w:val="003D100D"/>
    <w:rsid w:val="003D1057"/>
    <w:rsid w:val="003D107E"/>
    <w:rsid w:val="003D1165"/>
    <w:rsid w:val="003D11DC"/>
    <w:rsid w:val="003D12A8"/>
    <w:rsid w:val="003D138F"/>
    <w:rsid w:val="003D145A"/>
    <w:rsid w:val="003D146D"/>
    <w:rsid w:val="003D1574"/>
    <w:rsid w:val="003D15BB"/>
    <w:rsid w:val="003D16BC"/>
    <w:rsid w:val="003D17E7"/>
    <w:rsid w:val="003D18CC"/>
    <w:rsid w:val="003D193A"/>
    <w:rsid w:val="003D19AC"/>
    <w:rsid w:val="003D19C8"/>
    <w:rsid w:val="003D19E3"/>
    <w:rsid w:val="003D1A15"/>
    <w:rsid w:val="003D1A9B"/>
    <w:rsid w:val="003D1AF4"/>
    <w:rsid w:val="003D1B62"/>
    <w:rsid w:val="003D1BEB"/>
    <w:rsid w:val="003D1C0D"/>
    <w:rsid w:val="003D1C22"/>
    <w:rsid w:val="003D1CD0"/>
    <w:rsid w:val="003D1DD9"/>
    <w:rsid w:val="003D1F0D"/>
    <w:rsid w:val="003D1F17"/>
    <w:rsid w:val="003D1F85"/>
    <w:rsid w:val="003D1FFF"/>
    <w:rsid w:val="003D2004"/>
    <w:rsid w:val="003D204B"/>
    <w:rsid w:val="003D2050"/>
    <w:rsid w:val="003D206C"/>
    <w:rsid w:val="003D20A1"/>
    <w:rsid w:val="003D20C6"/>
    <w:rsid w:val="003D2294"/>
    <w:rsid w:val="003D2296"/>
    <w:rsid w:val="003D22E3"/>
    <w:rsid w:val="003D239E"/>
    <w:rsid w:val="003D241B"/>
    <w:rsid w:val="003D24C3"/>
    <w:rsid w:val="003D24DE"/>
    <w:rsid w:val="003D24ED"/>
    <w:rsid w:val="003D2519"/>
    <w:rsid w:val="003D2550"/>
    <w:rsid w:val="003D2577"/>
    <w:rsid w:val="003D25D6"/>
    <w:rsid w:val="003D25DA"/>
    <w:rsid w:val="003D2680"/>
    <w:rsid w:val="003D2683"/>
    <w:rsid w:val="003D26C0"/>
    <w:rsid w:val="003D275C"/>
    <w:rsid w:val="003D2879"/>
    <w:rsid w:val="003D2899"/>
    <w:rsid w:val="003D28B8"/>
    <w:rsid w:val="003D28FB"/>
    <w:rsid w:val="003D2939"/>
    <w:rsid w:val="003D2967"/>
    <w:rsid w:val="003D29C8"/>
    <w:rsid w:val="003D2A95"/>
    <w:rsid w:val="003D2B03"/>
    <w:rsid w:val="003D2B45"/>
    <w:rsid w:val="003D2C5C"/>
    <w:rsid w:val="003D2C6B"/>
    <w:rsid w:val="003D2C9D"/>
    <w:rsid w:val="003D2CCA"/>
    <w:rsid w:val="003D2CDF"/>
    <w:rsid w:val="003D2CED"/>
    <w:rsid w:val="003D2D12"/>
    <w:rsid w:val="003D2D31"/>
    <w:rsid w:val="003D2D84"/>
    <w:rsid w:val="003D2E11"/>
    <w:rsid w:val="003D2E59"/>
    <w:rsid w:val="003D2EAD"/>
    <w:rsid w:val="003D31E5"/>
    <w:rsid w:val="003D31F8"/>
    <w:rsid w:val="003D33DB"/>
    <w:rsid w:val="003D3559"/>
    <w:rsid w:val="003D35C2"/>
    <w:rsid w:val="003D365F"/>
    <w:rsid w:val="003D3671"/>
    <w:rsid w:val="003D3683"/>
    <w:rsid w:val="003D369D"/>
    <w:rsid w:val="003D36BF"/>
    <w:rsid w:val="003D36E7"/>
    <w:rsid w:val="003D3708"/>
    <w:rsid w:val="003D37B9"/>
    <w:rsid w:val="003D385B"/>
    <w:rsid w:val="003D394C"/>
    <w:rsid w:val="003D3992"/>
    <w:rsid w:val="003D39A4"/>
    <w:rsid w:val="003D39FB"/>
    <w:rsid w:val="003D3A37"/>
    <w:rsid w:val="003D3A57"/>
    <w:rsid w:val="003D3ABA"/>
    <w:rsid w:val="003D3AEE"/>
    <w:rsid w:val="003D3B62"/>
    <w:rsid w:val="003D3C45"/>
    <w:rsid w:val="003D3C84"/>
    <w:rsid w:val="003D3C8B"/>
    <w:rsid w:val="003D3CA1"/>
    <w:rsid w:val="003D3D1A"/>
    <w:rsid w:val="003D3D42"/>
    <w:rsid w:val="003D3DDA"/>
    <w:rsid w:val="003D3E8B"/>
    <w:rsid w:val="003D3EB4"/>
    <w:rsid w:val="003D3EF0"/>
    <w:rsid w:val="003D3F3A"/>
    <w:rsid w:val="003D3F7B"/>
    <w:rsid w:val="003D3FCE"/>
    <w:rsid w:val="003D4016"/>
    <w:rsid w:val="003D4072"/>
    <w:rsid w:val="003D4095"/>
    <w:rsid w:val="003D40C0"/>
    <w:rsid w:val="003D415E"/>
    <w:rsid w:val="003D420F"/>
    <w:rsid w:val="003D42E7"/>
    <w:rsid w:val="003D434D"/>
    <w:rsid w:val="003D43F1"/>
    <w:rsid w:val="003D4423"/>
    <w:rsid w:val="003D44E0"/>
    <w:rsid w:val="003D44ED"/>
    <w:rsid w:val="003D465C"/>
    <w:rsid w:val="003D4686"/>
    <w:rsid w:val="003D46EE"/>
    <w:rsid w:val="003D46F1"/>
    <w:rsid w:val="003D472F"/>
    <w:rsid w:val="003D47C6"/>
    <w:rsid w:val="003D47D3"/>
    <w:rsid w:val="003D4882"/>
    <w:rsid w:val="003D4916"/>
    <w:rsid w:val="003D4971"/>
    <w:rsid w:val="003D49AF"/>
    <w:rsid w:val="003D49C1"/>
    <w:rsid w:val="003D4A3C"/>
    <w:rsid w:val="003D4AF9"/>
    <w:rsid w:val="003D4B01"/>
    <w:rsid w:val="003D4B04"/>
    <w:rsid w:val="003D4B0C"/>
    <w:rsid w:val="003D4B1F"/>
    <w:rsid w:val="003D4BAE"/>
    <w:rsid w:val="003D4C87"/>
    <w:rsid w:val="003D4C99"/>
    <w:rsid w:val="003D4CC9"/>
    <w:rsid w:val="003D4CF9"/>
    <w:rsid w:val="003D4DAA"/>
    <w:rsid w:val="003D4DC7"/>
    <w:rsid w:val="003D4E96"/>
    <w:rsid w:val="003D4EC3"/>
    <w:rsid w:val="003D4F1E"/>
    <w:rsid w:val="003D4F8B"/>
    <w:rsid w:val="003D5029"/>
    <w:rsid w:val="003D507C"/>
    <w:rsid w:val="003D50B7"/>
    <w:rsid w:val="003D50BF"/>
    <w:rsid w:val="003D5103"/>
    <w:rsid w:val="003D52A5"/>
    <w:rsid w:val="003D542E"/>
    <w:rsid w:val="003D5474"/>
    <w:rsid w:val="003D5476"/>
    <w:rsid w:val="003D54EB"/>
    <w:rsid w:val="003D54F8"/>
    <w:rsid w:val="003D550E"/>
    <w:rsid w:val="003D550F"/>
    <w:rsid w:val="003D5524"/>
    <w:rsid w:val="003D5591"/>
    <w:rsid w:val="003D5755"/>
    <w:rsid w:val="003D579C"/>
    <w:rsid w:val="003D592F"/>
    <w:rsid w:val="003D59B4"/>
    <w:rsid w:val="003D5A80"/>
    <w:rsid w:val="003D5AC1"/>
    <w:rsid w:val="003D5B5B"/>
    <w:rsid w:val="003D5BCC"/>
    <w:rsid w:val="003D5BEF"/>
    <w:rsid w:val="003D5C7A"/>
    <w:rsid w:val="003D5C92"/>
    <w:rsid w:val="003D5D54"/>
    <w:rsid w:val="003D5D6A"/>
    <w:rsid w:val="003D5E29"/>
    <w:rsid w:val="003D5EAA"/>
    <w:rsid w:val="003D5EBB"/>
    <w:rsid w:val="003D605B"/>
    <w:rsid w:val="003D6060"/>
    <w:rsid w:val="003D606D"/>
    <w:rsid w:val="003D60A5"/>
    <w:rsid w:val="003D60E0"/>
    <w:rsid w:val="003D6107"/>
    <w:rsid w:val="003D6136"/>
    <w:rsid w:val="003D6168"/>
    <w:rsid w:val="003D62F3"/>
    <w:rsid w:val="003D62F9"/>
    <w:rsid w:val="003D63A8"/>
    <w:rsid w:val="003D63B5"/>
    <w:rsid w:val="003D645C"/>
    <w:rsid w:val="003D6511"/>
    <w:rsid w:val="003D65B8"/>
    <w:rsid w:val="003D6708"/>
    <w:rsid w:val="003D6727"/>
    <w:rsid w:val="003D674B"/>
    <w:rsid w:val="003D682F"/>
    <w:rsid w:val="003D694E"/>
    <w:rsid w:val="003D6955"/>
    <w:rsid w:val="003D69DB"/>
    <w:rsid w:val="003D6A25"/>
    <w:rsid w:val="003D6A2F"/>
    <w:rsid w:val="003D6A38"/>
    <w:rsid w:val="003D6A99"/>
    <w:rsid w:val="003D6DE6"/>
    <w:rsid w:val="003D6EE5"/>
    <w:rsid w:val="003D6F33"/>
    <w:rsid w:val="003D6FB5"/>
    <w:rsid w:val="003D6FF4"/>
    <w:rsid w:val="003D7062"/>
    <w:rsid w:val="003D7076"/>
    <w:rsid w:val="003D708D"/>
    <w:rsid w:val="003D70E5"/>
    <w:rsid w:val="003D70EA"/>
    <w:rsid w:val="003D711A"/>
    <w:rsid w:val="003D7169"/>
    <w:rsid w:val="003D71E2"/>
    <w:rsid w:val="003D7295"/>
    <w:rsid w:val="003D7427"/>
    <w:rsid w:val="003D74DD"/>
    <w:rsid w:val="003D764E"/>
    <w:rsid w:val="003D7671"/>
    <w:rsid w:val="003D7764"/>
    <w:rsid w:val="003D77A3"/>
    <w:rsid w:val="003D77E5"/>
    <w:rsid w:val="003D786A"/>
    <w:rsid w:val="003D78B6"/>
    <w:rsid w:val="003D797D"/>
    <w:rsid w:val="003D7980"/>
    <w:rsid w:val="003D79B8"/>
    <w:rsid w:val="003D79FC"/>
    <w:rsid w:val="003D7A2A"/>
    <w:rsid w:val="003D7A92"/>
    <w:rsid w:val="003D7C13"/>
    <w:rsid w:val="003D7CB8"/>
    <w:rsid w:val="003D7CC2"/>
    <w:rsid w:val="003D7CDA"/>
    <w:rsid w:val="003D7D11"/>
    <w:rsid w:val="003D7D47"/>
    <w:rsid w:val="003D7D53"/>
    <w:rsid w:val="003D7D79"/>
    <w:rsid w:val="003D7DCD"/>
    <w:rsid w:val="003D7E1C"/>
    <w:rsid w:val="003D7E2B"/>
    <w:rsid w:val="003D7EAD"/>
    <w:rsid w:val="003D7F13"/>
    <w:rsid w:val="003D7F19"/>
    <w:rsid w:val="003D7F56"/>
    <w:rsid w:val="003D7FEF"/>
    <w:rsid w:val="003DD2FF"/>
    <w:rsid w:val="003E0083"/>
    <w:rsid w:val="003E00D8"/>
    <w:rsid w:val="003E0183"/>
    <w:rsid w:val="003E018D"/>
    <w:rsid w:val="003E0351"/>
    <w:rsid w:val="003E039C"/>
    <w:rsid w:val="003E043A"/>
    <w:rsid w:val="003E0470"/>
    <w:rsid w:val="003E04EC"/>
    <w:rsid w:val="003E0593"/>
    <w:rsid w:val="003E059B"/>
    <w:rsid w:val="003E05FF"/>
    <w:rsid w:val="003E060C"/>
    <w:rsid w:val="003E060D"/>
    <w:rsid w:val="003E063D"/>
    <w:rsid w:val="003E06CC"/>
    <w:rsid w:val="003E06DA"/>
    <w:rsid w:val="003E0865"/>
    <w:rsid w:val="003E08D1"/>
    <w:rsid w:val="003E08FC"/>
    <w:rsid w:val="003E08FF"/>
    <w:rsid w:val="003E0942"/>
    <w:rsid w:val="003E0968"/>
    <w:rsid w:val="003E09D6"/>
    <w:rsid w:val="003E0C16"/>
    <w:rsid w:val="003E0C3B"/>
    <w:rsid w:val="003E0C56"/>
    <w:rsid w:val="003E0D7D"/>
    <w:rsid w:val="003E0DC9"/>
    <w:rsid w:val="003E0EAD"/>
    <w:rsid w:val="003E107C"/>
    <w:rsid w:val="003E108A"/>
    <w:rsid w:val="003E1107"/>
    <w:rsid w:val="003E1166"/>
    <w:rsid w:val="003E11F4"/>
    <w:rsid w:val="003E1340"/>
    <w:rsid w:val="003E1391"/>
    <w:rsid w:val="003E14BF"/>
    <w:rsid w:val="003E151E"/>
    <w:rsid w:val="003E1532"/>
    <w:rsid w:val="003E153F"/>
    <w:rsid w:val="003E154C"/>
    <w:rsid w:val="003E156E"/>
    <w:rsid w:val="003E15A4"/>
    <w:rsid w:val="003E15BE"/>
    <w:rsid w:val="003E1603"/>
    <w:rsid w:val="003E1637"/>
    <w:rsid w:val="003E16DA"/>
    <w:rsid w:val="003E16EA"/>
    <w:rsid w:val="003E1733"/>
    <w:rsid w:val="003E188D"/>
    <w:rsid w:val="003E191A"/>
    <w:rsid w:val="003E19CA"/>
    <w:rsid w:val="003E19CD"/>
    <w:rsid w:val="003E1A17"/>
    <w:rsid w:val="003E1C84"/>
    <w:rsid w:val="003E1CBD"/>
    <w:rsid w:val="003E1D3E"/>
    <w:rsid w:val="003E1D89"/>
    <w:rsid w:val="003E1DB4"/>
    <w:rsid w:val="003E1DEF"/>
    <w:rsid w:val="003E1E4A"/>
    <w:rsid w:val="003E1F2C"/>
    <w:rsid w:val="003E1F88"/>
    <w:rsid w:val="003E1FFF"/>
    <w:rsid w:val="003E201C"/>
    <w:rsid w:val="003E202E"/>
    <w:rsid w:val="003E2085"/>
    <w:rsid w:val="003E20F8"/>
    <w:rsid w:val="003E2170"/>
    <w:rsid w:val="003E219B"/>
    <w:rsid w:val="003E2229"/>
    <w:rsid w:val="003E22BF"/>
    <w:rsid w:val="003E2329"/>
    <w:rsid w:val="003E2397"/>
    <w:rsid w:val="003E23EE"/>
    <w:rsid w:val="003E2430"/>
    <w:rsid w:val="003E24AE"/>
    <w:rsid w:val="003E24F4"/>
    <w:rsid w:val="003E250A"/>
    <w:rsid w:val="003E2524"/>
    <w:rsid w:val="003E2570"/>
    <w:rsid w:val="003E257F"/>
    <w:rsid w:val="003E2594"/>
    <w:rsid w:val="003E25F9"/>
    <w:rsid w:val="003E278B"/>
    <w:rsid w:val="003E27A9"/>
    <w:rsid w:val="003E29BE"/>
    <w:rsid w:val="003E29D7"/>
    <w:rsid w:val="003E2B95"/>
    <w:rsid w:val="003E2C31"/>
    <w:rsid w:val="003E2C8D"/>
    <w:rsid w:val="003E2CAC"/>
    <w:rsid w:val="003E2D46"/>
    <w:rsid w:val="003E2D4F"/>
    <w:rsid w:val="003E2D5F"/>
    <w:rsid w:val="003E2DB0"/>
    <w:rsid w:val="003E2DC4"/>
    <w:rsid w:val="003E2DC9"/>
    <w:rsid w:val="003E2E69"/>
    <w:rsid w:val="003E2E7B"/>
    <w:rsid w:val="003E2EDB"/>
    <w:rsid w:val="003E2F04"/>
    <w:rsid w:val="003E2F76"/>
    <w:rsid w:val="003E2FBC"/>
    <w:rsid w:val="003E301E"/>
    <w:rsid w:val="003E304C"/>
    <w:rsid w:val="003E31A5"/>
    <w:rsid w:val="003E31CE"/>
    <w:rsid w:val="003E31D5"/>
    <w:rsid w:val="003E331A"/>
    <w:rsid w:val="003E333B"/>
    <w:rsid w:val="003E3351"/>
    <w:rsid w:val="003E347F"/>
    <w:rsid w:val="003E34AE"/>
    <w:rsid w:val="003E34FD"/>
    <w:rsid w:val="003E3606"/>
    <w:rsid w:val="003E3619"/>
    <w:rsid w:val="003E36D7"/>
    <w:rsid w:val="003E3731"/>
    <w:rsid w:val="003E3756"/>
    <w:rsid w:val="003E37CB"/>
    <w:rsid w:val="003E37D5"/>
    <w:rsid w:val="003E388B"/>
    <w:rsid w:val="003E3896"/>
    <w:rsid w:val="003E3938"/>
    <w:rsid w:val="003E3952"/>
    <w:rsid w:val="003E3954"/>
    <w:rsid w:val="003E3976"/>
    <w:rsid w:val="003E39D7"/>
    <w:rsid w:val="003E3A15"/>
    <w:rsid w:val="003E3A31"/>
    <w:rsid w:val="003E3AAD"/>
    <w:rsid w:val="003E3BB6"/>
    <w:rsid w:val="003E3C40"/>
    <w:rsid w:val="003E3D6D"/>
    <w:rsid w:val="003E3E07"/>
    <w:rsid w:val="003E3E22"/>
    <w:rsid w:val="003E3E67"/>
    <w:rsid w:val="003E3E75"/>
    <w:rsid w:val="003E3EA7"/>
    <w:rsid w:val="003E3FE9"/>
    <w:rsid w:val="003E4031"/>
    <w:rsid w:val="003E41B9"/>
    <w:rsid w:val="003E41D2"/>
    <w:rsid w:val="003E41D6"/>
    <w:rsid w:val="003E41D8"/>
    <w:rsid w:val="003E4225"/>
    <w:rsid w:val="003E43B3"/>
    <w:rsid w:val="003E43D3"/>
    <w:rsid w:val="003E449A"/>
    <w:rsid w:val="003E454E"/>
    <w:rsid w:val="003E463E"/>
    <w:rsid w:val="003E46BC"/>
    <w:rsid w:val="003E46BD"/>
    <w:rsid w:val="003E46D7"/>
    <w:rsid w:val="003E4736"/>
    <w:rsid w:val="003E480B"/>
    <w:rsid w:val="003E4839"/>
    <w:rsid w:val="003E4859"/>
    <w:rsid w:val="003E488F"/>
    <w:rsid w:val="003E4935"/>
    <w:rsid w:val="003E4936"/>
    <w:rsid w:val="003E4956"/>
    <w:rsid w:val="003E4B47"/>
    <w:rsid w:val="003E4B65"/>
    <w:rsid w:val="003E4BD7"/>
    <w:rsid w:val="003E4CD5"/>
    <w:rsid w:val="003E4CFE"/>
    <w:rsid w:val="003E4E27"/>
    <w:rsid w:val="003E4E2A"/>
    <w:rsid w:val="003E4E62"/>
    <w:rsid w:val="003E4E82"/>
    <w:rsid w:val="003E4F53"/>
    <w:rsid w:val="003E4F7B"/>
    <w:rsid w:val="003E5015"/>
    <w:rsid w:val="003E5018"/>
    <w:rsid w:val="003E514C"/>
    <w:rsid w:val="003E51C2"/>
    <w:rsid w:val="003E51DB"/>
    <w:rsid w:val="003E5233"/>
    <w:rsid w:val="003E52AC"/>
    <w:rsid w:val="003E52CD"/>
    <w:rsid w:val="003E5307"/>
    <w:rsid w:val="003E53EC"/>
    <w:rsid w:val="003E53EF"/>
    <w:rsid w:val="003E5532"/>
    <w:rsid w:val="003E5551"/>
    <w:rsid w:val="003E556E"/>
    <w:rsid w:val="003E55C3"/>
    <w:rsid w:val="003E55C7"/>
    <w:rsid w:val="003E5687"/>
    <w:rsid w:val="003E56AC"/>
    <w:rsid w:val="003E56EA"/>
    <w:rsid w:val="003E571C"/>
    <w:rsid w:val="003E5879"/>
    <w:rsid w:val="003E5901"/>
    <w:rsid w:val="003E592F"/>
    <w:rsid w:val="003E59CB"/>
    <w:rsid w:val="003E59D2"/>
    <w:rsid w:val="003E5A43"/>
    <w:rsid w:val="003E5AB1"/>
    <w:rsid w:val="003E5C2D"/>
    <w:rsid w:val="003E5CF3"/>
    <w:rsid w:val="003E5D6C"/>
    <w:rsid w:val="003E5DFB"/>
    <w:rsid w:val="003E5E4B"/>
    <w:rsid w:val="003E5E56"/>
    <w:rsid w:val="003E5ED3"/>
    <w:rsid w:val="003E5F10"/>
    <w:rsid w:val="003E602C"/>
    <w:rsid w:val="003E6039"/>
    <w:rsid w:val="003E6112"/>
    <w:rsid w:val="003E614A"/>
    <w:rsid w:val="003E6159"/>
    <w:rsid w:val="003E61EB"/>
    <w:rsid w:val="003E6295"/>
    <w:rsid w:val="003E6401"/>
    <w:rsid w:val="003E640F"/>
    <w:rsid w:val="003E6414"/>
    <w:rsid w:val="003E64D5"/>
    <w:rsid w:val="003E6539"/>
    <w:rsid w:val="003E667C"/>
    <w:rsid w:val="003E672D"/>
    <w:rsid w:val="003E678A"/>
    <w:rsid w:val="003E6881"/>
    <w:rsid w:val="003E68B3"/>
    <w:rsid w:val="003E68D7"/>
    <w:rsid w:val="003E68FB"/>
    <w:rsid w:val="003E691D"/>
    <w:rsid w:val="003E69B9"/>
    <w:rsid w:val="003E6B02"/>
    <w:rsid w:val="003E6B8C"/>
    <w:rsid w:val="003E6B9D"/>
    <w:rsid w:val="003E6BB7"/>
    <w:rsid w:val="003E6BCD"/>
    <w:rsid w:val="003E6BD3"/>
    <w:rsid w:val="003E6CC7"/>
    <w:rsid w:val="003E6D03"/>
    <w:rsid w:val="003E6D23"/>
    <w:rsid w:val="003E6D55"/>
    <w:rsid w:val="003E6D86"/>
    <w:rsid w:val="003E6DC7"/>
    <w:rsid w:val="003E6DF1"/>
    <w:rsid w:val="003E6E0F"/>
    <w:rsid w:val="003E6E65"/>
    <w:rsid w:val="003E7029"/>
    <w:rsid w:val="003E740A"/>
    <w:rsid w:val="003E74AF"/>
    <w:rsid w:val="003E74DE"/>
    <w:rsid w:val="003E7662"/>
    <w:rsid w:val="003E76E5"/>
    <w:rsid w:val="003E770E"/>
    <w:rsid w:val="003E7759"/>
    <w:rsid w:val="003E77A9"/>
    <w:rsid w:val="003E782B"/>
    <w:rsid w:val="003E7882"/>
    <w:rsid w:val="003E7898"/>
    <w:rsid w:val="003E78D0"/>
    <w:rsid w:val="003E78F3"/>
    <w:rsid w:val="003E794C"/>
    <w:rsid w:val="003E7959"/>
    <w:rsid w:val="003E7A2B"/>
    <w:rsid w:val="003E7A9F"/>
    <w:rsid w:val="003E7B28"/>
    <w:rsid w:val="003E7B50"/>
    <w:rsid w:val="003E7B62"/>
    <w:rsid w:val="003E7BF1"/>
    <w:rsid w:val="003E7C11"/>
    <w:rsid w:val="003E7C76"/>
    <w:rsid w:val="003E7CEE"/>
    <w:rsid w:val="003E7D1F"/>
    <w:rsid w:val="003E7D3D"/>
    <w:rsid w:val="003E7D51"/>
    <w:rsid w:val="003E7D56"/>
    <w:rsid w:val="003E7D57"/>
    <w:rsid w:val="003E7D8D"/>
    <w:rsid w:val="003E7DEF"/>
    <w:rsid w:val="003E7EF8"/>
    <w:rsid w:val="003E7F27"/>
    <w:rsid w:val="003E7F3B"/>
    <w:rsid w:val="003E7FE5"/>
    <w:rsid w:val="003F0015"/>
    <w:rsid w:val="003F001B"/>
    <w:rsid w:val="003F002E"/>
    <w:rsid w:val="003F0048"/>
    <w:rsid w:val="003F005F"/>
    <w:rsid w:val="003F01ED"/>
    <w:rsid w:val="003F0256"/>
    <w:rsid w:val="003F02C3"/>
    <w:rsid w:val="003F0338"/>
    <w:rsid w:val="003F0352"/>
    <w:rsid w:val="003F0371"/>
    <w:rsid w:val="003F0377"/>
    <w:rsid w:val="003F03CD"/>
    <w:rsid w:val="003F043B"/>
    <w:rsid w:val="003F0587"/>
    <w:rsid w:val="003F05F1"/>
    <w:rsid w:val="003F060D"/>
    <w:rsid w:val="003F0698"/>
    <w:rsid w:val="003F06EC"/>
    <w:rsid w:val="003F0701"/>
    <w:rsid w:val="003F07ED"/>
    <w:rsid w:val="003F0823"/>
    <w:rsid w:val="003F0846"/>
    <w:rsid w:val="003F0991"/>
    <w:rsid w:val="003F09B0"/>
    <w:rsid w:val="003F0A13"/>
    <w:rsid w:val="003F0A1B"/>
    <w:rsid w:val="003F0ABC"/>
    <w:rsid w:val="003F0BA4"/>
    <w:rsid w:val="003F0BE3"/>
    <w:rsid w:val="003F0BE4"/>
    <w:rsid w:val="003F0CC3"/>
    <w:rsid w:val="003F0DD6"/>
    <w:rsid w:val="003F0E3F"/>
    <w:rsid w:val="003F0EE1"/>
    <w:rsid w:val="003F0F13"/>
    <w:rsid w:val="003F0F98"/>
    <w:rsid w:val="003F10B8"/>
    <w:rsid w:val="003F10E9"/>
    <w:rsid w:val="003F1108"/>
    <w:rsid w:val="003F1151"/>
    <w:rsid w:val="003F1181"/>
    <w:rsid w:val="003F1207"/>
    <w:rsid w:val="003F13AB"/>
    <w:rsid w:val="003F1445"/>
    <w:rsid w:val="003F1483"/>
    <w:rsid w:val="003F14C5"/>
    <w:rsid w:val="003F153B"/>
    <w:rsid w:val="003F1603"/>
    <w:rsid w:val="003F1669"/>
    <w:rsid w:val="003F16CD"/>
    <w:rsid w:val="003F16E4"/>
    <w:rsid w:val="003F175C"/>
    <w:rsid w:val="003F1766"/>
    <w:rsid w:val="003F1773"/>
    <w:rsid w:val="003F1841"/>
    <w:rsid w:val="003F186E"/>
    <w:rsid w:val="003F190E"/>
    <w:rsid w:val="003F1A2E"/>
    <w:rsid w:val="003F1A86"/>
    <w:rsid w:val="003F1A98"/>
    <w:rsid w:val="003F1A9E"/>
    <w:rsid w:val="003F1B0D"/>
    <w:rsid w:val="003F1BFD"/>
    <w:rsid w:val="003F1C57"/>
    <w:rsid w:val="003F1CAE"/>
    <w:rsid w:val="003F1CE0"/>
    <w:rsid w:val="003F1CF2"/>
    <w:rsid w:val="003F1D16"/>
    <w:rsid w:val="003F1D74"/>
    <w:rsid w:val="003F1DC6"/>
    <w:rsid w:val="003F1E62"/>
    <w:rsid w:val="003F1EBE"/>
    <w:rsid w:val="003F1FC1"/>
    <w:rsid w:val="003F2052"/>
    <w:rsid w:val="003F20E0"/>
    <w:rsid w:val="003F2112"/>
    <w:rsid w:val="003F216A"/>
    <w:rsid w:val="003F217A"/>
    <w:rsid w:val="003F224F"/>
    <w:rsid w:val="003F226D"/>
    <w:rsid w:val="003F2304"/>
    <w:rsid w:val="003F232A"/>
    <w:rsid w:val="003F23D6"/>
    <w:rsid w:val="003F23E3"/>
    <w:rsid w:val="003F23E9"/>
    <w:rsid w:val="003F2527"/>
    <w:rsid w:val="003F2533"/>
    <w:rsid w:val="003F253D"/>
    <w:rsid w:val="003F2554"/>
    <w:rsid w:val="003F25E8"/>
    <w:rsid w:val="003F262A"/>
    <w:rsid w:val="003F26A5"/>
    <w:rsid w:val="003F277E"/>
    <w:rsid w:val="003F283C"/>
    <w:rsid w:val="003F297B"/>
    <w:rsid w:val="003F297C"/>
    <w:rsid w:val="003F2A76"/>
    <w:rsid w:val="003F2AA9"/>
    <w:rsid w:val="003F2B89"/>
    <w:rsid w:val="003F2BDE"/>
    <w:rsid w:val="003F2C1A"/>
    <w:rsid w:val="003F2CDB"/>
    <w:rsid w:val="003F2CED"/>
    <w:rsid w:val="003F2D23"/>
    <w:rsid w:val="003F2DBA"/>
    <w:rsid w:val="003F2DFD"/>
    <w:rsid w:val="003F2EA6"/>
    <w:rsid w:val="003F2F76"/>
    <w:rsid w:val="003F30E1"/>
    <w:rsid w:val="003F31AA"/>
    <w:rsid w:val="003F340C"/>
    <w:rsid w:val="003F3444"/>
    <w:rsid w:val="003F3452"/>
    <w:rsid w:val="003F3477"/>
    <w:rsid w:val="003F34AB"/>
    <w:rsid w:val="003F3521"/>
    <w:rsid w:val="003F3529"/>
    <w:rsid w:val="003F354F"/>
    <w:rsid w:val="003F3551"/>
    <w:rsid w:val="003F35F7"/>
    <w:rsid w:val="003F361B"/>
    <w:rsid w:val="003F365C"/>
    <w:rsid w:val="003F36F6"/>
    <w:rsid w:val="003F3831"/>
    <w:rsid w:val="003F387F"/>
    <w:rsid w:val="003F390F"/>
    <w:rsid w:val="003F3992"/>
    <w:rsid w:val="003F3BFC"/>
    <w:rsid w:val="003F3C05"/>
    <w:rsid w:val="003F3C0A"/>
    <w:rsid w:val="003F3C10"/>
    <w:rsid w:val="003F3C61"/>
    <w:rsid w:val="003F3CB0"/>
    <w:rsid w:val="003F3D75"/>
    <w:rsid w:val="003F3D8A"/>
    <w:rsid w:val="003F3E1E"/>
    <w:rsid w:val="003F3E47"/>
    <w:rsid w:val="003F3EBE"/>
    <w:rsid w:val="003F3EFD"/>
    <w:rsid w:val="003F4087"/>
    <w:rsid w:val="003F4102"/>
    <w:rsid w:val="003F411A"/>
    <w:rsid w:val="003F4135"/>
    <w:rsid w:val="003F4144"/>
    <w:rsid w:val="003F4175"/>
    <w:rsid w:val="003F41AB"/>
    <w:rsid w:val="003F41F9"/>
    <w:rsid w:val="003F429A"/>
    <w:rsid w:val="003F435D"/>
    <w:rsid w:val="003F4380"/>
    <w:rsid w:val="003F43DD"/>
    <w:rsid w:val="003F4404"/>
    <w:rsid w:val="003F441D"/>
    <w:rsid w:val="003F46C8"/>
    <w:rsid w:val="003F4791"/>
    <w:rsid w:val="003F47F9"/>
    <w:rsid w:val="003F47FD"/>
    <w:rsid w:val="003F4865"/>
    <w:rsid w:val="003F48CE"/>
    <w:rsid w:val="003F48F5"/>
    <w:rsid w:val="003F4911"/>
    <w:rsid w:val="003F496D"/>
    <w:rsid w:val="003F4A0B"/>
    <w:rsid w:val="003F4A3E"/>
    <w:rsid w:val="003F4A51"/>
    <w:rsid w:val="003F4A94"/>
    <w:rsid w:val="003F4C90"/>
    <w:rsid w:val="003F4CD6"/>
    <w:rsid w:val="003F4CE9"/>
    <w:rsid w:val="003F4D99"/>
    <w:rsid w:val="003F4DAE"/>
    <w:rsid w:val="003F4DC8"/>
    <w:rsid w:val="003F4EB2"/>
    <w:rsid w:val="003F4EF6"/>
    <w:rsid w:val="003F4F6D"/>
    <w:rsid w:val="003F4F90"/>
    <w:rsid w:val="003F4FDA"/>
    <w:rsid w:val="003F501A"/>
    <w:rsid w:val="003F5035"/>
    <w:rsid w:val="003F50F7"/>
    <w:rsid w:val="003F5101"/>
    <w:rsid w:val="003F5113"/>
    <w:rsid w:val="003F516A"/>
    <w:rsid w:val="003F522D"/>
    <w:rsid w:val="003F525F"/>
    <w:rsid w:val="003F5285"/>
    <w:rsid w:val="003F529E"/>
    <w:rsid w:val="003F53B2"/>
    <w:rsid w:val="003F5456"/>
    <w:rsid w:val="003F5482"/>
    <w:rsid w:val="003F55AD"/>
    <w:rsid w:val="003F5618"/>
    <w:rsid w:val="003F574A"/>
    <w:rsid w:val="003F59C2"/>
    <w:rsid w:val="003F5A70"/>
    <w:rsid w:val="003F5AD3"/>
    <w:rsid w:val="003F5B35"/>
    <w:rsid w:val="003F5B6C"/>
    <w:rsid w:val="003F5BA8"/>
    <w:rsid w:val="003F5BEB"/>
    <w:rsid w:val="003F5BED"/>
    <w:rsid w:val="003F5BEE"/>
    <w:rsid w:val="003F5C03"/>
    <w:rsid w:val="003F5CA5"/>
    <w:rsid w:val="003F5CB9"/>
    <w:rsid w:val="003F5CD0"/>
    <w:rsid w:val="003F5CF5"/>
    <w:rsid w:val="003F5D40"/>
    <w:rsid w:val="003F5D47"/>
    <w:rsid w:val="003F5D84"/>
    <w:rsid w:val="003F5DFA"/>
    <w:rsid w:val="003F5FB1"/>
    <w:rsid w:val="003F5FE2"/>
    <w:rsid w:val="003F6023"/>
    <w:rsid w:val="003F6073"/>
    <w:rsid w:val="003F60E2"/>
    <w:rsid w:val="003F6103"/>
    <w:rsid w:val="003F61EC"/>
    <w:rsid w:val="003F61FB"/>
    <w:rsid w:val="003F6266"/>
    <w:rsid w:val="003F62F4"/>
    <w:rsid w:val="003F6475"/>
    <w:rsid w:val="003F64B5"/>
    <w:rsid w:val="003F65A3"/>
    <w:rsid w:val="003F65DE"/>
    <w:rsid w:val="003F66D6"/>
    <w:rsid w:val="003F6708"/>
    <w:rsid w:val="003F670F"/>
    <w:rsid w:val="003F674C"/>
    <w:rsid w:val="003F686D"/>
    <w:rsid w:val="003F68BC"/>
    <w:rsid w:val="003F69BE"/>
    <w:rsid w:val="003F69F1"/>
    <w:rsid w:val="003F6B06"/>
    <w:rsid w:val="003F6CFA"/>
    <w:rsid w:val="003F6E06"/>
    <w:rsid w:val="003F6E29"/>
    <w:rsid w:val="003F6E61"/>
    <w:rsid w:val="003F6E73"/>
    <w:rsid w:val="003F6E96"/>
    <w:rsid w:val="003F6EE1"/>
    <w:rsid w:val="003F6F8C"/>
    <w:rsid w:val="003F7044"/>
    <w:rsid w:val="003F7047"/>
    <w:rsid w:val="003F713E"/>
    <w:rsid w:val="003F71B3"/>
    <w:rsid w:val="003F71FB"/>
    <w:rsid w:val="003F7254"/>
    <w:rsid w:val="003F736C"/>
    <w:rsid w:val="003F7388"/>
    <w:rsid w:val="003F7389"/>
    <w:rsid w:val="003F7538"/>
    <w:rsid w:val="003F75F3"/>
    <w:rsid w:val="003F76BB"/>
    <w:rsid w:val="003F7710"/>
    <w:rsid w:val="003F772B"/>
    <w:rsid w:val="003F7746"/>
    <w:rsid w:val="003F777B"/>
    <w:rsid w:val="003F77AE"/>
    <w:rsid w:val="003F78E9"/>
    <w:rsid w:val="003F78F4"/>
    <w:rsid w:val="003F7906"/>
    <w:rsid w:val="003F7948"/>
    <w:rsid w:val="003F7A07"/>
    <w:rsid w:val="003F7A78"/>
    <w:rsid w:val="003F7AE5"/>
    <w:rsid w:val="003F7AFF"/>
    <w:rsid w:val="003F7B7E"/>
    <w:rsid w:val="003F7B96"/>
    <w:rsid w:val="003F7CEE"/>
    <w:rsid w:val="003F7D5B"/>
    <w:rsid w:val="003F7DB5"/>
    <w:rsid w:val="003F7DB7"/>
    <w:rsid w:val="003F7DF6"/>
    <w:rsid w:val="003F7E5B"/>
    <w:rsid w:val="003F7ED8"/>
    <w:rsid w:val="003F7FD9"/>
    <w:rsid w:val="0040003F"/>
    <w:rsid w:val="004000C4"/>
    <w:rsid w:val="00400218"/>
    <w:rsid w:val="00400298"/>
    <w:rsid w:val="004002BB"/>
    <w:rsid w:val="004002E3"/>
    <w:rsid w:val="00400334"/>
    <w:rsid w:val="004003B0"/>
    <w:rsid w:val="00400409"/>
    <w:rsid w:val="00400551"/>
    <w:rsid w:val="00400565"/>
    <w:rsid w:val="00400575"/>
    <w:rsid w:val="004005A5"/>
    <w:rsid w:val="004007BF"/>
    <w:rsid w:val="00400805"/>
    <w:rsid w:val="004008B9"/>
    <w:rsid w:val="004008C8"/>
    <w:rsid w:val="004008D4"/>
    <w:rsid w:val="004008F8"/>
    <w:rsid w:val="00400995"/>
    <w:rsid w:val="0040099B"/>
    <w:rsid w:val="004009A5"/>
    <w:rsid w:val="00400A3D"/>
    <w:rsid w:val="00400B01"/>
    <w:rsid w:val="00400B56"/>
    <w:rsid w:val="00400B82"/>
    <w:rsid w:val="00400BE0"/>
    <w:rsid w:val="00400BE6"/>
    <w:rsid w:val="00400CA9"/>
    <w:rsid w:val="00400CF9"/>
    <w:rsid w:val="00400D6D"/>
    <w:rsid w:val="00400DC5"/>
    <w:rsid w:val="00400DEE"/>
    <w:rsid w:val="00400E33"/>
    <w:rsid w:val="00400E46"/>
    <w:rsid w:val="00400EE6"/>
    <w:rsid w:val="00401206"/>
    <w:rsid w:val="00401278"/>
    <w:rsid w:val="00401286"/>
    <w:rsid w:val="004012AA"/>
    <w:rsid w:val="00401344"/>
    <w:rsid w:val="00401365"/>
    <w:rsid w:val="00401391"/>
    <w:rsid w:val="00401478"/>
    <w:rsid w:val="004014E0"/>
    <w:rsid w:val="004014F5"/>
    <w:rsid w:val="00401603"/>
    <w:rsid w:val="004016D2"/>
    <w:rsid w:val="0040171D"/>
    <w:rsid w:val="004017AC"/>
    <w:rsid w:val="0040180B"/>
    <w:rsid w:val="00401857"/>
    <w:rsid w:val="0040189C"/>
    <w:rsid w:val="00401959"/>
    <w:rsid w:val="00401965"/>
    <w:rsid w:val="00401A04"/>
    <w:rsid w:val="00401B70"/>
    <w:rsid w:val="00401CB0"/>
    <w:rsid w:val="00401DF4"/>
    <w:rsid w:val="00401E1D"/>
    <w:rsid w:val="00401E30"/>
    <w:rsid w:val="0040205E"/>
    <w:rsid w:val="0040205F"/>
    <w:rsid w:val="004020EA"/>
    <w:rsid w:val="004021A6"/>
    <w:rsid w:val="00402339"/>
    <w:rsid w:val="0040237D"/>
    <w:rsid w:val="00402417"/>
    <w:rsid w:val="00402431"/>
    <w:rsid w:val="0040244B"/>
    <w:rsid w:val="0040248A"/>
    <w:rsid w:val="0040253F"/>
    <w:rsid w:val="004025A7"/>
    <w:rsid w:val="00402662"/>
    <w:rsid w:val="0040271A"/>
    <w:rsid w:val="00402720"/>
    <w:rsid w:val="00402791"/>
    <w:rsid w:val="0040283E"/>
    <w:rsid w:val="00402860"/>
    <w:rsid w:val="00402889"/>
    <w:rsid w:val="004028A6"/>
    <w:rsid w:val="004028F7"/>
    <w:rsid w:val="004029B9"/>
    <w:rsid w:val="004029FF"/>
    <w:rsid w:val="00402A00"/>
    <w:rsid w:val="00402A3E"/>
    <w:rsid w:val="00402A9C"/>
    <w:rsid w:val="00402BDA"/>
    <w:rsid w:val="00402CB2"/>
    <w:rsid w:val="00402DA5"/>
    <w:rsid w:val="00402E03"/>
    <w:rsid w:val="00402E1C"/>
    <w:rsid w:val="00402EE0"/>
    <w:rsid w:val="00402F1A"/>
    <w:rsid w:val="00402F73"/>
    <w:rsid w:val="00402F93"/>
    <w:rsid w:val="00402FF3"/>
    <w:rsid w:val="0040305F"/>
    <w:rsid w:val="00403068"/>
    <w:rsid w:val="00403110"/>
    <w:rsid w:val="0040317D"/>
    <w:rsid w:val="00403199"/>
    <w:rsid w:val="004031B7"/>
    <w:rsid w:val="0040325C"/>
    <w:rsid w:val="0040326A"/>
    <w:rsid w:val="00403298"/>
    <w:rsid w:val="00403393"/>
    <w:rsid w:val="0040344F"/>
    <w:rsid w:val="00403487"/>
    <w:rsid w:val="0040352F"/>
    <w:rsid w:val="00403579"/>
    <w:rsid w:val="00403588"/>
    <w:rsid w:val="004035A4"/>
    <w:rsid w:val="004035AD"/>
    <w:rsid w:val="004035F9"/>
    <w:rsid w:val="004035FE"/>
    <w:rsid w:val="00403632"/>
    <w:rsid w:val="004036FB"/>
    <w:rsid w:val="004037F1"/>
    <w:rsid w:val="00403815"/>
    <w:rsid w:val="00403893"/>
    <w:rsid w:val="00403989"/>
    <w:rsid w:val="00403A52"/>
    <w:rsid w:val="00403AEE"/>
    <w:rsid w:val="00403BAD"/>
    <w:rsid w:val="00403CA7"/>
    <w:rsid w:val="00403CFC"/>
    <w:rsid w:val="00403D00"/>
    <w:rsid w:val="00403D09"/>
    <w:rsid w:val="00403D89"/>
    <w:rsid w:val="00403D9F"/>
    <w:rsid w:val="00403E4F"/>
    <w:rsid w:val="00403F41"/>
    <w:rsid w:val="00403FF6"/>
    <w:rsid w:val="004040AB"/>
    <w:rsid w:val="0040412E"/>
    <w:rsid w:val="0040430A"/>
    <w:rsid w:val="00404324"/>
    <w:rsid w:val="004043D1"/>
    <w:rsid w:val="004043D3"/>
    <w:rsid w:val="004043DB"/>
    <w:rsid w:val="004043FA"/>
    <w:rsid w:val="00404496"/>
    <w:rsid w:val="00404527"/>
    <w:rsid w:val="0040454E"/>
    <w:rsid w:val="0040459E"/>
    <w:rsid w:val="0040461C"/>
    <w:rsid w:val="00404676"/>
    <w:rsid w:val="004046BC"/>
    <w:rsid w:val="0040471B"/>
    <w:rsid w:val="00404774"/>
    <w:rsid w:val="004047F2"/>
    <w:rsid w:val="00404805"/>
    <w:rsid w:val="00404851"/>
    <w:rsid w:val="004048A2"/>
    <w:rsid w:val="004048C3"/>
    <w:rsid w:val="004048F1"/>
    <w:rsid w:val="00404945"/>
    <w:rsid w:val="0040495D"/>
    <w:rsid w:val="004049C7"/>
    <w:rsid w:val="00404A06"/>
    <w:rsid w:val="00404A63"/>
    <w:rsid w:val="00404AEC"/>
    <w:rsid w:val="00404B1F"/>
    <w:rsid w:val="00404BBA"/>
    <w:rsid w:val="00404C66"/>
    <w:rsid w:val="00404D1D"/>
    <w:rsid w:val="00404D2D"/>
    <w:rsid w:val="00404EB9"/>
    <w:rsid w:val="00404EC6"/>
    <w:rsid w:val="00404EF2"/>
    <w:rsid w:val="00404F55"/>
    <w:rsid w:val="00405015"/>
    <w:rsid w:val="00405026"/>
    <w:rsid w:val="004050B4"/>
    <w:rsid w:val="0040515C"/>
    <w:rsid w:val="0040526D"/>
    <w:rsid w:val="00405310"/>
    <w:rsid w:val="00405363"/>
    <w:rsid w:val="0040536E"/>
    <w:rsid w:val="00405566"/>
    <w:rsid w:val="004055EF"/>
    <w:rsid w:val="004055F6"/>
    <w:rsid w:val="00405612"/>
    <w:rsid w:val="00405683"/>
    <w:rsid w:val="004056E0"/>
    <w:rsid w:val="00405707"/>
    <w:rsid w:val="004057DB"/>
    <w:rsid w:val="00405874"/>
    <w:rsid w:val="004058A9"/>
    <w:rsid w:val="004058BD"/>
    <w:rsid w:val="004058CB"/>
    <w:rsid w:val="00405913"/>
    <w:rsid w:val="0040596F"/>
    <w:rsid w:val="004059AC"/>
    <w:rsid w:val="00405A8B"/>
    <w:rsid w:val="00405AD9"/>
    <w:rsid w:val="00405BC0"/>
    <w:rsid w:val="00405BDF"/>
    <w:rsid w:val="00405C46"/>
    <w:rsid w:val="00405CBE"/>
    <w:rsid w:val="00405E66"/>
    <w:rsid w:val="00405ED7"/>
    <w:rsid w:val="00405EF6"/>
    <w:rsid w:val="00405F55"/>
    <w:rsid w:val="00405F73"/>
    <w:rsid w:val="0040607B"/>
    <w:rsid w:val="004060EA"/>
    <w:rsid w:val="00406169"/>
    <w:rsid w:val="0040621A"/>
    <w:rsid w:val="0040632C"/>
    <w:rsid w:val="0040633D"/>
    <w:rsid w:val="004064B9"/>
    <w:rsid w:val="004064E0"/>
    <w:rsid w:val="0040652C"/>
    <w:rsid w:val="00406561"/>
    <w:rsid w:val="00406584"/>
    <w:rsid w:val="0040661D"/>
    <w:rsid w:val="00406628"/>
    <w:rsid w:val="004066B8"/>
    <w:rsid w:val="004067FA"/>
    <w:rsid w:val="0040686E"/>
    <w:rsid w:val="0040692B"/>
    <w:rsid w:val="0040698B"/>
    <w:rsid w:val="00406A2B"/>
    <w:rsid w:val="00406A6A"/>
    <w:rsid w:val="00406A89"/>
    <w:rsid w:val="00406AAE"/>
    <w:rsid w:val="00406AE5"/>
    <w:rsid w:val="00406B1C"/>
    <w:rsid w:val="00406C98"/>
    <w:rsid w:val="00406DA3"/>
    <w:rsid w:val="00406DD5"/>
    <w:rsid w:val="00406DE5"/>
    <w:rsid w:val="00406EB8"/>
    <w:rsid w:val="00406F98"/>
    <w:rsid w:val="00406FC5"/>
    <w:rsid w:val="00406FC9"/>
    <w:rsid w:val="00407047"/>
    <w:rsid w:val="0040710D"/>
    <w:rsid w:val="00407169"/>
    <w:rsid w:val="0040718A"/>
    <w:rsid w:val="0040719A"/>
    <w:rsid w:val="004071D5"/>
    <w:rsid w:val="004071D6"/>
    <w:rsid w:val="004071DA"/>
    <w:rsid w:val="004071F1"/>
    <w:rsid w:val="0040739E"/>
    <w:rsid w:val="004073A1"/>
    <w:rsid w:val="004073E8"/>
    <w:rsid w:val="00407403"/>
    <w:rsid w:val="00407472"/>
    <w:rsid w:val="00407493"/>
    <w:rsid w:val="004076E3"/>
    <w:rsid w:val="00407793"/>
    <w:rsid w:val="004077DC"/>
    <w:rsid w:val="004077EB"/>
    <w:rsid w:val="00407889"/>
    <w:rsid w:val="004078AB"/>
    <w:rsid w:val="004078E7"/>
    <w:rsid w:val="004078F1"/>
    <w:rsid w:val="004079BA"/>
    <w:rsid w:val="004079CB"/>
    <w:rsid w:val="004079F8"/>
    <w:rsid w:val="00407A1B"/>
    <w:rsid w:val="00407B57"/>
    <w:rsid w:val="00407C1B"/>
    <w:rsid w:val="00407C28"/>
    <w:rsid w:val="00407CED"/>
    <w:rsid w:val="00407D12"/>
    <w:rsid w:val="00407D2F"/>
    <w:rsid w:val="00407D9A"/>
    <w:rsid w:val="00407DE2"/>
    <w:rsid w:val="00407E81"/>
    <w:rsid w:val="00407E89"/>
    <w:rsid w:val="00407EB3"/>
    <w:rsid w:val="00407F8E"/>
    <w:rsid w:val="00407FC4"/>
    <w:rsid w:val="0040FB0C"/>
    <w:rsid w:val="0041002D"/>
    <w:rsid w:val="0041003A"/>
    <w:rsid w:val="00410185"/>
    <w:rsid w:val="0041018A"/>
    <w:rsid w:val="0041018D"/>
    <w:rsid w:val="004102C1"/>
    <w:rsid w:val="004103FE"/>
    <w:rsid w:val="004104F1"/>
    <w:rsid w:val="004105C3"/>
    <w:rsid w:val="00410678"/>
    <w:rsid w:val="0041067D"/>
    <w:rsid w:val="00410770"/>
    <w:rsid w:val="00410854"/>
    <w:rsid w:val="00410929"/>
    <w:rsid w:val="004109EE"/>
    <w:rsid w:val="00410A0A"/>
    <w:rsid w:val="00410A2D"/>
    <w:rsid w:val="00410A44"/>
    <w:rsid w:val="00410A95"/>
    <w:rsid w:val="00410AB6"/>
    <w:rsid w:val="00410ACB"/>
    <w:rsid w:val="00410BF2"/>
    <w:rsid w:val="00410D29"/>
    <w:rsid w:val="00410D7E"/>
    <w:rsid w:val="00410D8A"/>
    <w:rsid w:val="00410E50"/>
    <w:rsid w:val="00410E71"/>
    <w:rsid w:val="00410E74"/>
    <w:rsid w:val="00410EB5"/>
    <w:rsid w:val="00410EF0"/>
    <w:rsid w:val="00410F0C"/>
    <w:rsid w:val="00410F67"/>
    <w:rsid w:val="00410F68"/>
    <w:rsid w:val="00410F93"/>
    <w:rsid w:val="00410FED"/>
    <w:rsid w:val="0041101E"/>
    <w:rsid w:val="00411082"/>
    <w:rsid w:val="004110D4"/>
    <w:rsid w:val="004110DD"/>
    <w:rsid w:val="0041119D"/>
    <w:rsid w:val="0041120D"/>
    <w:rsid w:val="00411404"/>
    <w:rsid w:val="004114E3"/>
    <w:rsid w:val="0041150A"/>
    <w:rsid w:val="00411543"/>
    <w:rsid w:val="00411570"/>
    <w:rsid w:val="00411593"/>
    <w:rsid w:val="004116CC"/>
    <w:rsid w:val="004116EC"/>
    <w:rsid w:val="00411807"/>
    <w:rsid w:val="00411809"/>
    <w:rsid w:val="00411849"/>
    <w:rsid w:val="0041189B"/>
    <w:rsid w:val="004118C9"/>
    <w:rsid w:val="004118E8"/>
    <w:rsid w:val="0041190E"/>
    <w:rsid w:val="0041193C"/>
    <w:rsid w:val="004119FA"/>
    <w:rsid w:val="00411A52"/>
    <w:rsid w:val="00411A90"/>
    <w:rsid w:val="00411ABD"/>
    <w:rsid w:val="00411AD5"/>
    <w:rsid w:val="00411B19"/>
    <w:rsid w:val="00411C40"/>
    <w:rsid w:val="00411C58"/>
    <w:rsid w:val="00411C66"/>
    <w:rsid w:val="00411D56"/>
    <w:rsid w:val="00411E2B"/>
    <w:rsid w:val="00411E35"/>
    <w:rsid w:val="00411EAD"/>
    <w:rsid w:val="00411F55"/>
    <w:rsid w:val="00411F97"/>
    <w:rsid w:val="004120FA"/>
    <w:rsid w:val="00412121"/>
    <w:rsid w:val="004121D0"/>
    <w:rsid w:val="0041225A"/>
    <w:rsid w:val="004122B8"/>
    <w:rsid w:val="00412338"/>
    <w:rsid w:val="0041239D"/>
    <w:rsid w:val="004123EB"/>
    <w:rsid w:val="0041241A"/>
    <w:rsid w:val="00412480"/>
    <w:rsid w:val="0041248C"/>
    <w:rsid w:val="004124DF"/>
    <w:rsid w:val="0041250E"/>
    <w:rsid w:val="00412543"/>
    <w:rsid w:val="0041258F"/>
    <w:rsid w:val="00412681"/>
    <w:rsid w:val="004126D5"/>
    <w:rsid w:val="00412883"/>
    <w:rsid w:val="004128F4"/>
    <w:rsid w:val="00412925"/>
    <w:rsid w:val="0041296A"/>
    <w:rsid w:val="00412ACB"/>
    <w:rsid w:val="00412BB5"/>
    <w:rsid w:val="00412D3A"/>
    <w:rsid w:val="00412DA3"/>
    <w:rsid w:val="00412DF1"/>
    <w:rsid w:val="00412E25"/>
    <w:rsid w:val="00412E5B"/>
    <w:rsid w:val="00412E8C"/>
    <w:rsid w:val="00412F31"/>
    <w:rsid w:val="00412F85"/>
    <w:rsid w:val="00413083"/>
    <w:rsid w:val="004130E8"/>
    <w:rsid w:val="004131E5"/>
    <w:rsid w:val="0041321F"/>
    <w:rsid w:val="0041322E"/>
    <w:rsid w:val="00413248"/>
    <w:rsid w:val="00413273"/>
    <w:rsid w:val="004132AF"/>
    <w:rsid w:val="0041339F"/>
    <w:rsid w:val="004133AC"/>
    <w:rsid w:val="00413449"/>
    <w:rsid w:val="0041346F"/>
    <w:rsid w:val="004134B8"/>
    <w:rsid w:val="004135B9"/>
    <w:rsid w:val="00413620"/>
    <w:rsid w:val="00413622"/>
    <w:rsid w:val="00413623"/>
    <w:rsid w:val="00413752"/>
    <w:rsid w:val="004137A0"/>
    <w:rsid w:val="00413802"/>
    <w:rsid w:val="0041384D"/>
    <w:rsid w:val="00413865"/>
    <w:rsid w:val="004139A9"/>
    <w:rsid w:val="004139D8"/>
    <w:rsid w:val="00413A0A"/>
    <w:rsid w:val="00413A7F"/>
    <w:rsid w:val="00413AAF"/>
    <w:rsid w:val="00413B2C"/>
    <w:rsid w:val="00413BE2"/>
    <w:rsid w:val="00413C25"/>
    <w:rsid w:val="00413C4C"/>
    <w:rsid w:val="00413D35"/>
    <w:rsid w:val="00413D49"/>
    <w:rsid w:val="00413D66"/>
    <w:rsid w:val="00413D88"/>
    <w:rsid w:val="00413DF8"/>
    <w:rsid w:val="00413E0F"/>
    <w:rsid w:val="00413E31"/>
    <w:rsid w:val="00413E9C"/>
    <w:rsid w:val="00413F5E"/>
    <w:rsid w:val="0041402B"/>
    <w:rsid w:val="0041406E"/>
    <w:rsid w:val="00414184"/>
    <w:rsid w:val="0041418E"/>
    <w:rsid w:val="004141CE"/>
    <w:rsid w:val="00414250"/>
    <w:rsid w:val="0041427A"/>
    <w:rsid w:val="00414282"/>
    <w:rsid w:val="004142E7"/>
    <w:rsid w:val="00414336"/>
    <w:rsid w:val="004143C9"/>
    <w:rsid w:val="0041455D"/>
    <w:rsid w:val="0041459E"/>
    <w:rsid w:val="00414691"/>
    <w:rsid w:val="004146B7"/>
    <w:rsid w:val="00414785"/>
    <w:rsid w:val="004147B5"/>
    <w:rsid w:val="004147B9"/>
    <w:rsid w:val="00414857"/>
    <w:rsid w:val="00414877"/>
    <w:rsid w:val="00414ABE"/>
    <w:rsid w:val="00414AC9"/>
    <w:rsid w:val="00414B3F"/>
    <w:rsid w:val="00414B50"/>
    <w:rsid w:val="00414BEF"/>
    <w:rsid w:val="00414C1D"/>
    <w:rsid w:val="00414D75"/>
    <w:rsid w:val="00414D7A"/>
    <w:rsid w:val="00414E79"/>
    <w:rsid w:val="00414F89"/>
    <w:rsid w:val="00414FC6"/>
    <w:rsid w:val="004150A3"/>
    <w:rsid w:val="0041521A"/>
    <w:rsid w:val="004152AB"/>
    <w:rsid w:val="0041533A"/>
    <w:rsid w:val="004153B7"/>
    <w:rsid w:val="004153D3"/>
    <w:rsid w:val="0041558D"/>
    <w:rsid w:val="004155FB"/>
    <w:rsid w:val="004156AF"/>
    <w:rsid w:val="004156BF"/>
    <w:rsid w:val="004156C4"/>
    <w:rsid w:val="004157A6"/>
    <w:rsid w:val="004157FB"/>
    <w:rsid w:val="00415822"/>
    <w:rsid w:val="00415847"/>
    <w:rsid w:val="004158A3"/>
    <w:rsid w:val="0041591B"/>
    <w:rsid w:val="00415963"/>
    <w:rsid w:val="00415A06"/>
    <w:rsid w:val="00415A08"/>
    <w:rsid w:val="00415A1B"/>
    <w:rsid w:val="00415B37"/>
    <w:rsid w:val="00415B4C"/>
    <w:rsid w:val="00415C08"/>
    <w:rsid w:val="00415CED"/>
    <w:rsid w:val="00415D11"/>
    <w:rsid w:val="00415D1F"/>
    <w:rsid w:val="00415DCD"/>
    <w:rsid w:val="00415DFF"/>
    <w:rsid w:val="00415E03"/>
    <w:rsid w:val="00415E45"/>
    <w:rsid w:val="00415E47"/>
    <w:rsid w:val="00415EC4"/>
    <w:rsid w:val="00415F0B"/>
    <w:rsid w:val="00415F7A"/>
    <w:rsid w:val="00415F8A"/>
    <w:rsid w:val="00415FED"/>
    <w:rsid w:val="00416083"/>
    <w:rsid w:val="0041609D"/>
    <w:rsid w:val="004160E8"/>
    <w:rsid w:val="004160F3"/>
    <w:rsid w:val="00416123"/>
    <w:rsid w:val="00416203"/>
    <w:rsid w:val="00416286"/>
    <w:rsid w:val="0041631E"/>
    <w:rsid w:val="004164FB"/>
    <w:rsid w:val="004164FF"/>
    <w:rsid w:val="00416519"/>
    <w:rsid w:val="00416523"/>
    <w:rsid w:val="00416582"/>
    <w:rsid w:val="0041659C"/>
    <w:rsid w:val="00416644"/>
    <w:rsid w:val="004166FE"/>
    <w:rsid w:val="00416754"/>
    <w:rsid w:val="0041682A"/>
    <w:rsid w:val="0041685C"/>
    <w:rsid w:val="00416976"/>
    <w:rsid w:val="0041697F"/>
    <w:rsid w:val="004169AD"/>
    <w:rsid w:val="00416A11"/>
    <w:rsid w:val="00416A20"/>
    <w:rsid w:val="00416B62"/>
    <w:rsid w:val="00416B67"/>
    <w:rsid w:val="00416B8A"/>
    <w:rsid w:val="00416BC7"/>
    <w:rsid w:val="00416C2B"/>
    <w:rsid w:val="00416C7B"/>
    <w:rsid w:val="00416D60"/>
    <w:rsid w:val="00416D74"/>
    <w:rsid w:val="00416DDE"/>
    <w:rsid w:val="00416E2C"/>
    <w:rsid w:val="00416E2F"/>
    <w:rsid w:val="00416E6A"/>
    <w:rsid w:val="00416F20"/>
    <w:rsid w:val="00416F41"/>
    <w:rsid w:val="00416FCA"/>
    <w:rsid w:val="00416FD8"/>
    <w:rsid w:val="00416FF2"/>
    <w:rsid w:val="004170C0"/>
    <w:rsid w:val="004170F7"/>
    <w:rsid w:val="00417117"/>
    <w:rsid w:val="00417269"/>
    <w:rsid w:val="004172EF"/>
    <w:rsid w:val="00417389"/>
    <w:rsid w:val="00417599"/>
    <w:rsid w:val="004175F4"/>
    <w:rsid w:val="004175F6"/>
    <w:rsid w:val="00417621"/>
    <w:rsid w:val="0041770A"/>
    <w:rsid w:val="004177D2"/>
    <w:rsid w:val="00417869"/>
    <w:rsid w:val="0041787E"/>
    <w:rsid w:val="004178B2"/>
    <w:rsid w:val="004178CF"/>
    <w:rsid w:val="004178D9"/>
    <w:rsid w:val="004179FE"/>
    <w:rsid w:val="00417A59"/>
    <w:rsid w:val="00417AD8"/>
    <w:rsid w:val="00417B66"/>
    <w:rsid w:val="00417CBE"/>
    <w:rsid w:val="00417D6E"/>
    <w:rsid w:val="00417D77"/>
    <w:rsid w:val="00417E0F"/>
    <w:rsid w:val="00417E71"/>
    <w:rsid w:val="00417E86"/>
    <w:rsid w:val="00417F92"/>
    <w:rsid w:val="0041F3BE"/>
    <w:rsid w:val="00420015"/>
    <w:rsid w:val="00420147"/>
    <w:rsid w:val="00420187"/>
    <w:rsid w:val="004201A3"/>
    <w:rsid w:val="00420209"/>
    <w:rsid w:val="004202BF"/>
    <w:rsid w:val="004202F6"/>
    <w:rsid w:val="0042041D"/>
    <w:rsid w:val="004204AD"/>
    <w:rsid w:val="004204F8"/>
    <w:rsid w:val="00420533"/>
    <w:rsid w:val="00420567"/>
    <w:rsid w:val="00420596"/>
    <w:rsid w:val="0042059F"/>
    <w:rsid w:val="00420602"/>
    <w:rsid w:val="0042068C"/>
    <w:rsid w:val="004206AB"/>
    <w:rsid w:val="004206BD"/>
    <w:rsid w:val="004207A5"/>
    <w:rsid w:val="00420836"/>
    <w:rsid w:val="004208C3"/>
    <w:rsid w:val="004209B5"/>
    <w:rsid w:val="00420B96"/>
    <w:rsid w:val="00420C4B"/>
    <w:rsid w:val="00420CC3"/>
    <w:rsid w:val="00420D03"/>
    <w:rsid w:val="00420E4E"/>
    <w:rsid w:val="00420ED0"/>
    <w:rsid w:val="00420F02"/>
    <w:rsid w:val="00420F8A"/>
    <w:rsid w:val="00420FE1"/>
    <w:rsid w:val="004210F5"/>
    <w:rsid w:val="0042110E"/>
    <w:rsid w:val="0042112F"/>
    <w:rsid w:val="0042119A"/>
    <w:rsid w:val="004211DF"/>
    <w:rsid w:val="004212DC"/>
    <w:rsid w:val="00421345"/>
    <w:rsid w:val="00421346"/>
    <w:rsid w:val="004214C2"/>
    <w:rsid w:val="004214E8"/>
    <w:rsid w:val="0042158B"/>
    <w:rsid w:val="00421593"/>
    <w:rsid w:val="0042159E"/>
    <w:rsid w:val="004215C7"/>
    <w:rsid w:val="004216BB"/>
    <w:rsid w:val="004216E7"/>
    <w:rsid w:val="0042174D"/>
    <w:rsid w:val="00421786"/>
    <w:rsid w:val="004217AE"/>
    <w:rsid w:val="004218C1"/>
    <w:rsid w:val="004218CF"/>
    <w:rsid w:val="004218F6"/>
    <w:rsid w:val="00421910"/>
    <w:rsid w:val="00421975"/>
    <w:rsid w:val="0042198F"/>
    <w:rsid w:val="00421A59"/>
    <w:rsid w:val="00421A8E"/>
    <w:rsid w:val="00421AB4"/>
    <w:rsid w:val="00421ACB"/>
    <w:rsid w:val="00421B02"/>
    <w:rsid w:val="00421BE1"/>
    <w:rsid w:val="00421C05"/>
    <w:rsid w:val="00421D0D"/>
    <w:rsid w:val="00421D82"/>
    <w:rsid w:val="00421EBE"/>
    <w:rsid w:val="00421EDE"/>
    <w:rsid w:val="00421F39"/>
    <w:rsid w:val="00422020"/>
    <w:rsid w:val="004220B0"/>
    <w:rsid w:val="004220BE"/>
    <w:rsid w:val="0042218D"/>
    <w:rsid w:val="004221A8"/>
    <w:rsid w:val="004221E9"/>
    <w:rsid w:val="004221EB"/>
    <w:rsid w:val="00422233"/>
    <w:rsid w:val="00422303"/>
    <w:rsid w:val="0042239D"/>
    <w:rsid w:val="00422428"/>
    <w:rsid w:val="00422556"/>
    <w:rsid w:val="00422594"/>
    <w:rsid w:val="004225B2"/>
    <w:rsid w:val="004225F6"/>
    <w:rsid w:val="0042268B"/>
    <w:rsid w:val="004226EB"/>
    <w:rsid w:val="004226ED"/>
    <w:rsid w:val="0042278F"/>
    <w:rsid w:val="004227C3"/>
    <w:rsid w:val="004227D8"/>
    <w:rsid w:val="004227F8"/>
    <w:rsid w:val="0042280E"/>
    <w:rsid w:val="004228CB"/>
    <w:rsid w:val="004228DB"/>
    <w:rsid w:val="00422922"/>
    <w:rsid w:val="00422943"/>
    <w:rsid w:val="004229F7"/>
    <w:rsid w:val="004229FD"/>
    <w:rsid w:val="00422A1D"/>
    <w:rsid w:val="00422A96"/>
    <w:rsid w:val="00422C55"/>
    <w:rsid w:val="00422CFD"/>
    <w:rsid w:val="00422DC5"/>
    <w:rsid w:val="00422E01"/>
    <w:rsid w:val="00422E67"/>
    <w:rsid w:val="00422EF6"/>
    <w:rsid w:val="00422F3B"/>
    <w:rsid w:val="00422F6A"/>
    <w:rsid w:val="0042300E"/>
    <w:rsid w:val="0042305C"/>
    <w:rsid w:val="0042308D"/>
    <w:rsid w:val="0042309D"/>
    <w:rsid w:val="004230BA"/>
    <w:rsid w:val="0042312C"/>
    <w:rsid w:val="00423377"/>
    <w:rsid w:val="00423384"/>
    <w:rsid w:val="0042339B"/>
    <w:rsid w:val="004233A5"/>
    <w:rsid w:val="004233DD"/>
    <w:rsid w:val="004233EA"/>
    <w:rsid w:val="00423435"/>
    <w:rsid w:val="0042349F"/>
    <w:rsid w:val="00423516"/>
    <w:rsid w:val="0042366F"/>
    <w:rsid w:val="00423706"/>
    <w:rsid w:val="004238F3"/>
    <w:rsid w:val="004238F5"/>
    <w:rsid w:val="0042390B"/>
    <w:rsid w:val="00423969"/>
    <w:rsid w:val="00423978"/>
    <w:rsid w:val="004239E9"/>
    <w:rsid w:val="004239FE"/>
    <w:rsid w:val="00423A58"/>
    <w:rsid w:val="00423B45"/>
    <w:rsid w:val="00423BC8"/>
    <w:rsid w:val="00423BF5"/>
    <w:rsid w:val="00423C0F"/>
    <w:rsid w:val="00423C1E"/>
    <w:rsid w:val="00423C3E"/>
    <w:rsid w:val="00423C47"/>
    <w:rsid w:val="00423CAA"/>
    <w:rsid w:val="00423CAE"/>
    <w:rsid w:val="00423CE8"/>
    <w:rsid w:val="00423D2E"/>
    <w:rsid w:val="00423DA9"/>
    <w:rsid w:val="00423E1F"/>
    <w:rsid w:val="00423E90"/>
    <w:rsid w:val="00423E9F"/>
    <w:rsid w:val="00423F0F"/>
    <w:rsid w:val="00424054"/>
    <w:rsid w:val="0042417C"/>
    <w:rsid w:val="004241AD"/>
    <w:rsid w:val="004242A8"/>
    <w:rsid w:val="00424312"/>
    <w:rsid w:val="00424379"/>
    <w:rsid w:val="004245C5"/>
    <w:rsid w:val="00424606"/>
    <w:rsid w:val="00424676"/>
    <w:rsid w:val="004246D2"/>
    <w:rsid w:val="004247C1"/>
    <w:rsid w:val="004247C2"/>
    <w:rsid w:val="004247DB"/>
    <w:rsid w:val="004247F0"/>
    <w:rsid w:val="0042484B"/>
    <w:rsid w:val="0042487A"/>
    <w:rsid w:val="004249D0"/>
    <w:rsid w:val="00424B68"/>
    <w:rsid w:val="00424BC1"/>
    <w:rsid w:val="00424C90"/>
    <w:rsid w:val="00424C91"/>
    <w:rsid w:val="00424D19"/>
    <w:rsid w:val="00424DA4"/>
    <w:rsid w:val="00424DC0"/>
    <w:rsid w:val="00424E23"/>
    <w:rsid w:val="00424E3F"/>
    <w:rsid w:val="00424E9C"/>
    <w:rsid w:val="00424FAC"/>
    <w:rsid w:val="00425079"/>
    <w:rsid w:val="004250DF"/>
    <w:rsid w:val="00425126"/>
    <w:rsid w:val="00425158"/>
    <w:rsid w:val="0042519D"/>
    <w:rsid w:val="00425383"/>
    <w:rsid w:val="004253C7"/>
    <w:rsid w:val="00425455"/>
    <w:rsid w:val="004254B1"/>
    <w:rsid w:val="004254F4"/>
    <w:rsid w:val="00425545"/>
    <w:rsid w:val="00425642"/>
    <w:rsid w:val="00425690"/>
    <w:rsid w:val="0042571B"/>
    <w:rsid w:val="0042582F"/>
    <w:rsid w:val="0042589B"/>
    <w:rsid w:val="00425943"/>
    <w:rsid w:val="00425ADD"/>
    <w:rsid w:val="00425B00"/>
    <w:rsid w:val="00425B82"/>
    <w:rsid w:val="00425BBB"/>
    <w:rsid w:val="00425BDA"/>
    <w:rsid w:val="00425BEE"/>
    <w:rsid w:val="00425C02"/>
    <w:rsid w:val="00425D30"/>
    <w:rsid w:val="00425DCB"/>
    <w:rsid w:val="00425E14"/>
    <w:rsid w:val="00425FC1"/>
    <w:rsid w:val="0042601D"/>
    <w:rsid w:val="0042602A"/>
    <w:rsid w:val="00426184"/>
    <w:rsid w:val="00426209"/>
    <w:rsid w:val="00426282"/>
    <w:rsid w:val="004262D0"/>
    <w:rsid w:val="00426306"/>
    <w:rsid w:val="0042636A"/>
    <w:rsid w:val="0042638F"/>
    <w:rsid w:val="004263F7"/>
    <w:rsid w:val="004263FB"/>
    <w:rsid w:val="0042640F"/>
    <w:rsid w:val="00426449"/>
    <w:rsid w:val="0042646C"/>
    <w:rsid w:val="00426503"/>
    <w:rsid w:val="00426575"/>
    <w:rsid w:val="00426599"/>
    <w:rsid w:val="00426659"/>
    <w:rsid w:val="00426793"/>
    <w:rsid w:val="004267AB"/>
    <w:rsid w:val="004267F4"/>
    <w:rsid w:val="004268CF"/>
    <w:rsid w:val="004268DE"/>
    <w:rsid w:val="00426947"/>
    <w:rsid w:val="0042695A"/>
    <w:rsid w:val="00426A3D"/>
    <w:rsid w:val="00426B09"/>
    <w:rsid w:val="00426B30"/>
    <w:rsid w:val="00426B46"/>
    <w:rsid w:val="00426C23"/>
    <w:rsid w:val="00426C7A"/>
    <w:rsid w:val="00426D60"/>
    <w:rsid w:val="00426DAE"/>
    <w:rsid w:val="00426E28"/>
    <w:rsid w:val="00426E5B"/>
    <w:rsid w:val="00426EA8"/>
    <w:rsid w:val="00426EE4"/>
    <w:rsid w:val="00426EF6"/>
    <w:rsid w:val="00426F0C"/>
    <w:rsid w:val="00426F4B"/>
    <w:rsid w:val="00426FD6"/>
    <w:rsid w:val="00426FD9"/>
    <w:rsid w:val="004270EF"/>
    <w:rsid w:val="00427178"/>
    <w:rsid w:val="0042719A"/>
    <w:rsid w:val="004271A4"/>
    <w:rsid w:val="004271FE"/>
    <w:rsid w:val="00427207"/>
    <w:rsid w:val="004272CB"/>
    <w:rsid w:val="004272E5"/>
    <w:rsid w:val="004273CD"/>
    <w:rsid w:val="004274B1"/>
    <w:rsid w:val="00427533"/>
    <w:rsid w:val="00427589"/>
    <w:rsid w:val="0042759B"/>
    <w:rsid w:val="0042765E"/>
    <w:rsid w:val="0042768F"/>
    <w:rsid w:val="004276C2"/>
    <w:rsid w:val="00427822"/>
    <w:rsid w:val="00427844"/>
    <w:rsid w:val="00427942"/>
    <w:rsid w:val="00427951"/>
    <w:rsid w:val="0042797E"/>
    <w:rsid w:val="00427A79"/>
    <w:rsid w:val="00427AB8"/>
    <w:rsid w:val="00427B59"/>
    <w:rsid w:val="00427B72"/>
    <w:rsid w:val="00427B8F"/>
    <w:rsid w:val="00427C54"/>
    <w:rsid w:val="00427CB0"/>
    <w:rsid w:val="00427CBF"/>
    <w:rsid w:val="00427DAF"/>
    <w:rsid w:val="00427E24"/>
    <w:rsid w:val="00427E2A"/>
    <w:rsid w:val="00427E9F"/>
    <w:rsid w:val="00427F92"/>
    <w:rsid w:val="00427FEF"/>
    <w:rsid w:val="00430005"/>
    <w:rsid w:val="00430056"/>
    <w:rsid w:val="0043011B"/>
    <w:rsid w:val="0043015F"/>
    <w:rsid w:val="0043017B"/>
    <w:rsid w:val="00430197"/>
    <w:rsid w:val="004301B0"/>
    <w:rsid w:val="0043025E"/>
    <w:rsid w:val="0043033B"/>
    <w:rsid w:val="00430393"/>
    <w:rsid w:val="004303B4"/>
    <w:rsid w:val="004303EC"/>
    <w:rsid w:val="004303FB"/>
    <w:rsid w:val="00430455"/>
    <w:rsid w:val="004305E0"/>
    <w:rsid w:val="0043063B"/>
    <w:rsid w:val="004307EE"/>
    <w:rsid w:val="00430806"/>
    <w:rsid w:val="0043081B"/>
    <w:rsid w:val="00430938"/>
    <w:rsid w:val="0043095C"/>
    <w:rsid w:val="00430B55"/>
    <w:rsid w:val="00430B79"/>
    <w:rsid w:val="00430B8B"/>
    <w:rsid w:val="00430BC2"/>
    <w:rsid w:val="00430C2D"/>
    <w:rsid w:val="00430C65"/>
    <w:rsid w:val="00430D43"/>
    <w:rsid w:val="00430F2E"/>
    <w:rsid w:val="00430F87"/>
    <w:rsid w:val="00430FBC"/>
    <w:rsid w:val="00430FD0"/>
    <w:rsid w:val="00431045"/>
    <w:rsid w:val="0043108E"/>
    <w:rsid w:val="00431095"/>
    <w:rsid w:val="004311B7"/>
    <w:rsid w:val="00431218"/>
    <w:rsid w:val="0043121B"/>
    <w:rsid w:val="0043124E"/>
    <w:rsid w:val="00431277"/>
    <w:rsid w:val="004312A8"/>
    <w:rsid w:val="004312AF"/>
    <w:rsid w:val="004313AB"/>
    <w:rsid w:val="004313AE"/>
    <w:rsid w:val="00431402"/>
    <w:rsid w:val="0043146B"/>
    <w:rsid w:val="00431493"/>
    <w:rsid w:val="00431564"/>
    <w:rsid w:val="004315A7"/>
    <w:rsid w:val="0043160D"/>
    <w:rsid w:val="00431639"/>
    <w:rsid w:val="00431662"/>
    <w:rsid w:val="00431678"/>
    <w:rsid w:val="00431739"/>
    <w:rsid w:val="00431747"/>
    <w:rsid w:val="00431877"/>
    <w:rsid w:val="004318D6"/>
    <w:rsid w:val="00431926"/>
    <w:rsid w:val="00431A70"/>
    <w:rsid w:val="00431AAA"/>
    <w:rsid w:val="00431BC2"/>
    <w:rsid w:val="00431C15"/>
    <w:rsid w:val="00431C62"/>
    <w:rsid w:val="00431D35"/>
    <w:rsid w:val="00431DC0"/>
    <w:rsid w:val="00431EC6"/>
    <w:rsid w:val="00432094"/>
    <w:rsid w:val="004320B5"/>
    <w:rsid w:val="0043219E"/>
    <w:rsid w:val="004321A5"/>
    <w:rsid w:val="004321A7"/>
    <w:rsid w:val="004321C4"/>
    <w:rsid w:val="004321D1"/>
    <w:rsid w:val="00432238"/>
    <w:rsid w:val="0043228B"/>
    <w:rsid w:val="00432462"/>
    <w:rsid w:val="0043255C"/>
    <w:rsid w:val="004325A5"/>
    <w:rsid w:val="004325A8"/>
    <w:rsid w:val="00432604"/>
    <w:rsid w:val="00432742"/>
    <w:rsid w:val="004327AF"/>
    <w:rsid w:val="00432BE7"/>
    <w:rsid w:val="00432C5D"/>
    <w:rsid w:val="00432D67"/>
    <w:rsid w:val="00432F77"/>
    <w:rsid w:val="00433028"/>
    <w:rsid w:val="0043324D"/>
    <w:rsid w:val="0043327C"/>
    <w:rsid w:val="0043331F"/>
    <w:rsid w:val="0043334D"/>
    <w:rsid w:val="004333E9"/>
    <w:rsid w:val="00433503"/>
    <w:rsid w:val="00433643"/>
    <w:rsid w:val="004336AF"/>
    <w:rsid w:val="00433722"/>
    <w:rsid w:val="00433833"/>
    <w:rsid w:val="0043383C"/>
    <w:rsid w:val="004338CD"/>
    <w:rsid w:val="004338E8"/>
    <w:rsid w:val="00433A62"/>
    <w:rsid w:val="00433A7A"/>
    <w:rsid w:val="00433AAA"/>
    <w:rsid w:val="00433AB4"/>
    <w:rsid w:val="00433AB6"/>
    <w:rsid w:val="00433AE1"/>
    <w:rsid w:val="00433B0D"/>
    <w:rsid w:val="00433B6D"/>
    <w:rsid w:val="00433C2A"/>
    <w:rsid w:val="00433CA8"/>
    <w:rsid w:val="00433D5A"/>
    <w:rsid w:val="00433E65"/>
    <w:rsid w:val="00433E72"/>
    <w:rsid w:val="00434089"/>
    <w:rsid w:val="00434142"/>
    <w:rsid w:val="00434145"/>
    <w:rsid w:val="00434191"/>
    <w:rsid w:val="0043419C"/>
    <w:rsid w:val="004341F0"/>
    <w:rsid w:val="00434221"/>
    <w:rsid w:val="004342BC"/>
    <w:rsid w:val="0043430D"/>
    <w:rsid w:val="0043431D"/>
    <w:rsid w:val="0043432E"/>
    <w:rsid w:val="004343BB"/>
    <w:rsid w:val="004343C1"/>
    <w:rsid w:val="004343F3"/>
    <w:rsid w:val="004343FB"/>
    <w:rsid w:val="0043440B"/>
    <w:rsid w:val="0043449E"/>
    <w:rsid w:val="0043455E"/>
    <w:rsid w:val="004345AE"/>
    <w:rsid w:val="004345D5"/>
    <w:rsid w:val="004345F6"/>
    <w:rsid w:val="00434749"/>
    <w:rsid w:val="0043474E"/>
    <w:rsid w:val="004347BA"/>
    <w:rsid w:val="004347BB"/>
    <w:rsid w:val="004347BC"/>
    <w:rsid w:val="004347EC"/>
    <w:rsid w:val="00434840"/>
    <w:rsid w:val="0043484F"/>
    <w:rsid w:val="0043497B"/>
    <w:rsid w:val="004349E0"/>
    <w:rsid w:val="00434A0D"/>
    <w:rsid w:val="00434A76"/>
    <w:rsid w:val="00434ACA"/>
    <w:rsid w:val="00434ADD"/>
    <w:rsid w:val="00434B5E"/>
    <w:rsid w:val="00434BF8"/>
    <w:rsid w:val="00434C3A"/>
    <w:rsid w:val="00434C71"/>
    <w:rsid w:val="00434CB4"/>
    <w:rsid w:val="00434D76"/>
    <w:rsid w:val="00434DA2"/>
    <w:rsid w:val="00434E43"/>
    <w:rsid w:val="00434F24"/>
    <w:rsid w:val="00434FAE"/>
    <w:rsid w:val="00434FFA"/>
    <w:rsid w:val="0043504C"/>
    <w:rsid w:val="00435062"/>
    <w:rsid w:val="00435158"/>
    <w:rsid w:val="0043519D"/>
    <w:rsid w:val="004351A5"/>
    <w:rsid w:val="0043524A"/>
    <w:rsid w:val="00435288"/>
    <w:rsid w:val="004352A9"/>
    <w:rsid w:val="004352D6"/>
    <w:rsid w:val="004352EF"/>
    <w:rsid w:val="00435470"/>
    <w:rsid w:val="00435475"/>
    <w:rsid w:val="00435537"/>
    <w:rsid w:val="0043553F"/>
    <w:rsid w:val="00435554"/>
    <w:rsid w:val="00435573"/>
    <w:rsid w:val="00435591"/>
    <w:rsid w:val="0043564C"/>
    <w:rsid w:val="004356B1"/>
    <w:rsid w:val="00435783"/>
    <w:rsid w:val="0043582F"/>
    <w:rsid w:val="00435850"/>
    <w:rsid w:val="0043587F"/>
    <w:rsid w:val="004358B4"/>
    <w:rsid w:val="004359F7"/>
    <w:rsid w:val="00435A51"/>
    <w:rsid w:val="00435AB2"/>
    <w:rsid w:val="00435B12"/>
    <w:rsid w:val="00435B14"/>
    <w:rsid w:val="00435B1C"/>
    <w:rsid w:val="00435B23"/>
    <w:rsid w:val="00435E01"/>
    <w:rsid w:val="00435E0A"/>
    <w:rsid w:val="00435E8D"/>
    <w:rsid w:val="00435F51"/>
    <w:rsid w:val="00435F96"/>
    <w:rsid w:val="00435FA2"/>
    <w:rsid w:val="00435FCB"/>
    <w:rsid w:val="00436051"/>
    <w:rsid w:val="0043609D"/>
    <w:rsid w:val="004360B1"/>
    <w:rsid w:val="004360DB"/>
    <w:rsid w:val="00436116"/>
    <w:rsid w:val="0043614C"/>
    <w:rsid w:val="004361C4"/>
    <w:rsid w:val="0043624C"/>
    <w:rsid w:val="004362A8"/>
    <w:rsid w:val="004362E9"/>
    <w:rsid w:val="004362F1"/>
    <w:rsid w:val="00436316"/>
    <w:rsid w:val="00436352"/>
    <w:rsid w:val="00436358"/>
    <w:rsid w:val="0043639D"/>
    <w:rsid w:val="00436429"/>
    <w:rsid w:val="0043647E"/>
    <w:rsid w:val="00436529"/>
    <w:rsid w:val="00436596"/>
    <w:rsid w:val="004365B9"/>
    <w:rsid w:val="004365D4"/>
    <w:rsid w:val="004365E6"/>
    <w:rsid w:val="00436604"/>
    <w:rsid w:val="00436612"/>
    <w:rsid w:val="0043669B"/>
    <w:rsid w:val="0043669F"/>
    <w:rsid w:val="00436725"/>
    <w:rsid w:val="00436787"/>
    <w:rsid w:val="004367A5"/>
    <w:rsid w:val="00436872"/>
    <w:rsid w:val="004368A3"/>
    <w:rsid w:val="0043690F"/>
    <w:rsid w:val="00436933"/>
    <w:rsid w:val="00436954"/>
    <w:rsid w:val="0043696B"/>
    <w:rsid w:val="00436988"/>
    <w:rsid w:val="00436AD1"/>
    <w:rsid w:val="00436C32"/>
    <w:rsid w:val="00436CAB"/>
    <w:rsid w:val="00436D7C"/>
    <w:rsid w:val="00436E4F"/>
    <w:rsid w:val="00436EE7"/>
    <w:rsid w:val="00437014"/>
    <w:rsid w:val="00437134"/>
    <w:rsid w:val="00437154"/>
    <w:rsid w:val="0043737F"/>
    <w:rsid w:val="004373B1"/>
    <w:rsid w:val="004373FE"/>
    <w:rsid w:val="00437449"/>
    <w:rsid w:val="00437471"/>
    <w:rsid w:val="004374C4"/>
    <w:rsid w:val="004374DA"/>
    <w:rsid w:val="004374DE"/>
    <w:rsid w:val="00437503"/>
    <w:rsid w:val="00437556"/>
    <w:rsid w:val="00437606"/>
    <w:rsid w:val="0043762D"/>
    <w:rsid w:val="00437638"/>
    <w:rsid w:val="004376CE"/>
    <w:rsid w:val="00437760"/>
    <w:rsid w:val="00437768"/>
    <w:rsid w:val="00437793"/>
    <w:rsid w:val="00437850"/>
    <w:rsid w:val="00437943"/>
    <w:rsid w:val="00437966"/>
    <w:rsid w:val="00437BB8"/>
    <w:rsid w:val="00437BCE"/>
    <w:rsid w:val="00437C0A"/>
    <w:rsid w:val="00437C0D"/>
    <w:rsid w:val="00437D37"/>
    <w:rsid w:val="00437D6D"/>
    <w:rsid w:val="00437DA3"/>
    <w:rsid w:val="00437DB5"/>
    <w:rsid w:val="00437DC8"/>
    <w:rsid w:val="00437DEA"/>
    <w:rsid w:val="00437DF3"/>
    <w:rsid w:val="00437DF8"/>
    <w:rsid w:val="00437E17"/>
    <w:rsid w:val="00437E64"/>
    <w:rsid w:val="00437E69"/>
    <w:rsid w:val="00437EF0"/>
    <w:rsid w:val="00437F2F"/>
    <w:rsid w:val="00437F50"/>
    <w:rsid w:val="00440170"/>
    <w:rsid w:val="0044018C"/>
    <w:rsid w:val="004401A3"/>
    <w:rsid w:val="004401F4"/>
    <w:rsid w:val="004402F8"/>
    <w:rsid w:val="0044034E"/>
    <w:rsid w:val="00440355"/>
    <w:rsid w:val="00440357"/>
    <w:rsid w:val="004403A3"/>
    <w:rsid w:val="0044048B"/>
    <w:rsid w:val="004404B7"/>
    <w:rsid w:val="004404C6"/>
    <w:rsid w:val="004404F5"/>
    <w:rsid w:val="00440510"/>
    <w:rsid w:val="00440558"/>
    <w:rsid w:val="00440574"/>
    <w:rsid w:val="00440689"/>
    <w:rsid w:val="004406AA"/>
    <w:rsid w:val="004406E8"/>
    <w:rsid w:val="0044070C"/>
    <w:rsid w:val="004407E1"/>
    <w:rsid w:val="0044080D"/>
    <w:rsid w:val="00440874"/>
    <w:rsid w:val="004408DD"/>
    <w:rsid w:val="00440AE7"/>
    <w:rsid w:val="00440AEA"/>
    <w:rsid w:val="00440B45"/>
    <w:rsid w:val="00440D79"/>
    <w:rsid w:val="00440E0F"/>
    <w:rsid w:val="00440E3F"/>
    <w:rsid w:val="00441091"/>
    <w:rsid w:val="004410C7"/>
    <w:rsid w:val="0044111C"/>
    <w:rsid w:val="00441125"/>
    <w:rsid w:val="0044116F"/>
    <w:rsid w:val="0044119A"/>
    <w:rsid w:val="004411D1"/>
    <w:rsid w:val="00441202"/>
    <w:rsid w:val="0044134D"/>
    <w:rsid w:val="004413A9"/>
    <w:rsid w:val="004413D3"/>
    <w:rsid w:val="004414B0"/>
    <w:rsid w:val="004414CA"/>
    <w:rsid w:val="004414F7"/>
    <w:rsid w:val="00441545"/>
    <w:rsid w:val="00441583"/>
    <w:rsid w:val="00441621"/>
    <w:rsid w:val="00441629"/>
    <w:rsid w:val="00441659"/>
    <w:rsid w:val="0044169B"/>
    <w:rsid w:val="004416D9"/>
    <w:rsid w:val="004417C1"/>
    <w:rsid w:val="004417DF"/>
    <w:rsid w:val="004417FB"/>
    <w:rsid w:val="004418E0"/>
    <w:rsid w:val="00441919"/>
    <w:rsid w:val="0044192A"/>
    <w:rsid w:val="0044197C"/>
    <w:rsid w:val="00441989"/>
    <w:rsid w:val="004419B0"/>
    <w:rsid w:val="004419E7"/>
    <w:rsid w:val="00441BFF"/>
    <w:rsid w:val="00441C1E"/>
    <w:rsid w:val="00441C1F"/>
    <w:rsid w:val="00441CC3"/>
    <w:rsid w:val="00441CEC"/>
    <w:rsid w:val="00441D00"/>
    <w:rsid w:val="00441DCD"/>
    <w:rsid w:val="00441E07"/>
    <w:rsid w:val="00441E58"/>
    <w:rsid w:val="00441ED6"/>
    <w:rsid w:val="00441EEC"/>
    <w:rsid w:val="00441EEF"/>
    <w:rsid w:val="00442044"/>
    <w:rsid w:val="00442059"/>
    <w:rsid w:val="00442128"/>
    <w:rsid w:val="004421DB"/>
    <w:rsid w:val="004421FD"/>
    <w:rsid w:val="00442237"/>
    <w:rsid w:val="00442255"/>
    <w:rsid w:val="0044227B"/>
    <w:rsid w:val="00442288"/>
    <w:rsid w:val="004422A5"/>
    <w:rsid w:val="004422E4"/>
    <w:rsid w:val="004422F1"/>
    <w:rsid w:val="004423ED"/>
    <w:rsid w:val="00442468"/>
    <w:rsid w:val="004424A0"/>
    <w:rsid w:val="004424A6"/>
    <w:rsid w:val="004424EF"/>
    <w:rsid w:val="00442526"/>
    <w:rsid w:val="0044254D"/>
    <w:rsid w:val="00442655"/>
    <w:rsid w:val="0044268D"/>
    <w:rsid w:val="004427B7"/>
    <w:rsid w:val="004427FB"/>
    <w:rsid w:val="00442847"/>
    <w:rsid w:val="004428A1"/>
    <w:rsid w:val="004428D1"/>
    <w:rsid w:val="00442966"/>
    <w:rsid w:val="0044296C"/>
    <w:rsid w:val="0044298C"/>
    <w:rsid w:val="004429DF"/>
    <w:rsid w:val="00442A15"/>
    <w:rsid w:val="00442A5B"/>
    <w:rsid w:val="00442A8F"/>
    <w:rsid w:val="00442B88"/>
    <w:rsid w:val="00442BF5"/>
    <w:rsid w:val="00442CCD"/>
    <w:rsid w:val="00442CD1"/>
    <w:rsid w:val="00442D46"/>
    <w:rsid w:val="00442E48"/>
    <w:rsid w:val="00442E6E"/>
    <w:rsid w:val="00442F29"/>
    <w:rsid w:val="00442F2C"/>
    <w:rsid w:val="00442F3E"/>
    <w:rsid w:val="00442FAA"/>
    <w:rsid w:val="00443164"/>
    <w:rsid w:val="00443222"/>
    <w:rsid w:val="0044331D"/>
    <w:rsid w:val="0044338F"/>
    <w:rsid w:val="004433E1"/>
    <w:rsid w:val="0044347F"/>
    <w:rsid w:val="004434E4"/>
    <w:rsid w:val="00443579"/>
    <w:rsid w:val="0044359B"/>
    <w:rsid w:val="0044365D"/>
    <w:rsid w:val="004436CE"/>
    <w:rsid w:val="00443709"/>
    <w:rsid w:val="004437B9"/>
    <w:rsid w:val="0044381F"/>
    <w:rsid w:val="00443820"/>
    <w:rsid w:val="004438FA"/>
    <w:rsid w:val="00443952"/>
    <w:rsid w:val="00443A66"/>
    <w:rsid w:val="00443A71"/>
    <w:rsid w:val="00443B2E"/>
    <w:rsid w:val="00443B7B"/>
    <w:rsid w:val="00443BBE"/>
    <w:rsid w:val="00443D50"/>
    <w:rsid w:val="00443D54"/>
    <w:rsid w:val="00443D7C"/>
    <w:rsid w:val="00443DA2"/>
    <w:rsid w:val="00443E22"/>
    <w:rsid w:val="00443F06"/>
    <w:rsid w:val="00443F1E"/>
    <w:rsid w:val="00443F72"/>
    <w:rsid w:val="00444008"/>
    <w:rsid w:val="0044401A"/>
    <w:rsid w:val="0044404A"/>
    <w:rsid w:val="0044415E"/>
    <w:rsid w:val="0044417F"/>
    <w:rsid w:val="004441A2"/>
    <w:rsid w:val="00444239"/>
    <w:rsid w:val="0044429A"/>
    <w:rsid w:val="004442F0"/>
    <w:rsid w:val="00444335"/>
    <w:rsid w:val="00444374"/>
    <w:rsid w:val="004443C3"/>
    <w:rsid w:val="004444C9"/>
    <w:rsid w:val="004445B1"/>
    <w:rsid w:val="004445E7"/>
    <w:rsid w:val="00444686"/>
    <w:rsid w:val="004446C6"/>
    <w:rsid w:val="0044473B"/>
    <w:rsid w:val="00444766"/>
    <w:rsid w:val="00444878"/>
    <w:rsid w:val="004448A3"/>
    <w:rsid w:val="004448A5"/>
    <w:rsid w:val="004448B7"/>
    <w:rsid w:val="004448E0"/>
    <w:rsid w:val="004449D3"/>
    <w:rsid w:val="00444AC9"/>
    <w:rsid w:val="00444BED"/>
    <w:rsid w:val="00444CF5"/>
    <w:rsid w:val="00444D2E"/>
    <w:rsid w:val="00444D7B"/>
    <w:rsid w:val="00444DAA"/>
    <w:rsid w:val="00444DF1"/>
    <w:rsid w:val="00444E83"/>
    <w:rsid w:val="00444EBB"/>
    <w:rsid w:val="00444EDF"/>
    <w:rsid w:val="00444EE0"/>
    <w:rsid w:val="00444F00"/>
    <w:rsid w:val="00444FA5"/>
    <w:rsid w:val="00444FAF"/>
    <w:rsid w:val="00445064"/>
    <w:rsid w:val="004450C9"/>
    <w:rsid w:val="004450F8"/>
    <w:rsid w:val="0044512B"/>
    <w:rsid w:val="004451A9"/>
    <w:rsid w:val="00445221"/>
    <w:rsid w:val="0044527F"/>
    <w:rsid w:val="004452E3"/>
    <w:rsid w:val="00445323"/>
    <w:rsid w:val="00445331"/>
    <w:rsid w:val="0044533D"/>
    <w:rsid w:val="00445387"/>
    <w:rsid w:val="004453C9"/>
    <w:rsid w:val="00445409"/>
    <w:rsid w:val="004454A1"/>
    <w:rsid w:val="00445517"/>
    <w:rsid w:val="0044556F"/>
    <w:rsid w:val="004455B8"/>
    <w:rsid w:val="004455DD"/>
    <w:rsid w:val="00445771"/>
    <w:rsid w:val="00445799"/>
    <w:rsid w:val="0044579B"/>
    <w:rsid w:val="004457E6"/>
    <w:rsid w:val="0044594C"/>
    <w:rsid w:val="00445956"/>
    <w:rsid w:val="00445958"/>
    <w:rsid w:val="00445978"/>
    <w:rsid w:val="00445A7E"/>
    <w:rsid w:val="00445B2A"/>
    <w:rsid w:val="00445B6B"/>
    <w:rsid w:val="00445BB7"/>
    <w:rsid w:val="00445C4E"/>
    <w:rsid w:val="00445C95"/>
    <w:rsid w:val="00445E44"/>
    <w:rsid w:val="00445F81"/>
    <w:rsid w:val="00446031"/>
    <w:rsid w:val="0044605D"/>
    <w:rsid w:val="004460A6"/>
    <w:rsid w:val="004460EB"/>
    <w:rsid w:val="00446249"/>
    <w:rsid w:val="0044635F"/>
    <w:rsid w:val="0044646A"/>
    <w:rsid w:val="004464F6"/>
    <w:rsid w:val="0044650C"/>
    <w:rsid w:val="00446557"/>
    <w:rsid w:val="004466F2"/>
    <w:rsid w:val="00446745"/>
    <w:rsid w:val="00446878"/>
    <w:rsid w:val="004468A5"/>
    <w:rsid w:val="00446971"/>
    <w:rsid w:val="004469C4"/>
    <w:rsid w:val="00446A65"/>
    <w:rsid w:val="00446AE7"/>
    <w:rsid w:val="00446BA4"/>
    <w:rsid w:val="00446BC7"/>
    <w:rsid w:val="00446C11"/>
    <w:rsid w:val="00446C2E"/>
    <w:rsid w:val="00446C5A"/>
    <w:rsid w:val="00446C6D"/>
    <w:rsid w:val="00446D0B"/>
    <w:rsid w:val="00446D44"/>
    <w:rsid w:val="00446E83"/>
    <w:rsid w:val="00446ECC"/>
    <w:rsid w:val="00446EF0"/>
    <w:rsid w:val="00446F0F"/>
    <w:rsid w:val="00446FDD"/>
    <w:rsid w:val="004470E9"/>
    <w:rsid w:val="00447134"/>
    <w:rsid w:val="00447166"/>
    <w:rsid w:val="004471F3"/>
    <w:rsid w:val="00447237"/>
    <w:rsid w:val="00447239"/>
    <w:rsid w:val="004472A9"/>
    <w:rsid w:val="00447376"/>
    <w:rsid w:val="004473F8"/>
    <w:rsid w:val="00447550"/>
    <w:rsid w:val="00447554"/>
    <w:rsid w:val="00447572"/>
    <w:rsid w:val="00447573"/>
    <w:rsid w:val="0044757B"/>
    <w:rsid w:val="00447745"/>
    <w:rsid w:val="00447866"/>
    <w:rsid w:val="00447874"/>
    <w:rsid w:val="004479DC"/>
    <w:rsid w:val="004479E3"/>
    <w:rsid w:val="00447AF3"/>
    <w:rsid w:val="00447BB0"/>
    <w:rsid w:val="00447C78"/>
    <w:rsid w:val="00447D7B"/>
    <w:rsid w:val="00447E88"/>
    <w:rsid w:val="00447ED8"/>
    <w:rsid w:val="00447F48"/>
    <w:rsid w:val="00447F59"/>
    <w:rsid w:val="00447F6D"/>
    <w:rsid w:val="00450048"/>
    <w:rsid w:val="00450065"/>
    <w:rsid w:val="0045012E"/>
    <w:rsid w:val="0045015C"/>
    <w:rsid w:val="004501AF"/>
    <w:rsid w:val="0045024D"/>
    <w:rsid w:val="00450347"/>
    <w:rsid w:val="00450436"/>
    <w:rsid w:val="004504D4"/>
    <w:rsid w:val="0045052C"/>
    <w:rsid w:val="0045055E"/>
    <w:rsid w:val="004505CB"/>
    <w:rsid w:val="00450698"/>
    <w:rsid w:val="004506DE"/>
    <w:rsid w:val="00450713"/>
    <w:rsid w:val="004507DD"/>
    <w:rsid w:val="00450881"/>
    <w:rsid w:val="0045089C"/>
    <w:rsid w:val="00450936"/>
    <w:rsid w:val="00450A36"/>
    <w:rsid w:val="00450A3B"/>
    <w:rsid w:val="00450A71"/>
    <w:rsid w:val="00450BAF"/>
    <w:rsid w:val="00450C7A"/>
    <w:rsid w:val="00450D49"/>
    <w:rsid w:val="00450D65"/>
    <w:rsid w:val="00450E43"/>
    <w:rsid w:val="00450E65"/>
    <w:rsid w:val="00450E87"/>
    <w:rsid w:val="00450EB0"/>
    <w:rsid w:val="00450EC6"/>
    <w:rsid w:val="00450ECA"/>
    <w:rsid w:val="00450ECD"/>
    <w:rsid w:val="00451022"/>
    <w:rsid w:val="0045115B"/>
    <w:rsid w:val="00451168"/>
    <w:rsid w:val="004511B3"/>
    <w:rsid w:val="004511F8"/>
    <w:rsid w:val="0045124A"/>
    <w:rsid w:val="004514F5"/>
    <w:rsid w:val="00451594"/>
    <w:rsid w:val="00451599"/>
    <w:rsid w:val="004516C9"/>
    <w:rsid w:val="004516CB"/>
    <w:rsid w:val="004516FA"/>
    <w:rsid w:val="00451771"/>
    <w:rsid w:val="0045187B"/>
    <w:rsid w:val="004518E5"/>
    <w:rsid w:val="0045190C"/>
    <w:rsid w:val="00451924"/>
    <w:rsid w:val="004519A4"/>
    <w:rsid w:val="004519B7"/>
    <w:rsid w:val="00451A35"/>
    <w:rsid w:val="00451AE3"/>
    <w:rsid w:val="00451B7D"/>
    <w:rsid w:val="00451BB5"/>
    <w:rsid w:val="00451BC7"/>
    <w:rsid w:val="00451BF3"/>
    <w:rsid w:val="00451D32"/>
    <w:rsid w:val="00451D75"/>
    <w:rsid w:val="00451D86"/>
    <w:rsid w:val="00451E87"/>
    <w:rsid w:val="00451EE4"/>
    <w:rsid w:val="0045206E"/>
    <w:rsid w:val="004520C3"/>
    <w:rsid w:val="004521EB"/>
    <w:rsid w:val="00452220"/>
    <w:rsid w:val="00452421"/>
    <w:rsid w:val="004524F8"/>
    <w:rsid w:val="00452511"/>
    <w:rsid w:val="0045252E"/>
    <w:rsid w:val="00452535"/>
    <w:rsid w:val="00452569"/>
    <w:rsid w:val="0045268A"/>
    <w:rsid w:val="004526CF"/>
    <w:rsid w:val="004526EC"/>
    <w:rsid w:val="00452738"/>
    <w:rsid w:val="00452762"/>
    <w:rsid w:val="00452776"/>
    <w:rsid w:val="004528EC"/>
    <w:rsid w:val="00452990"/>
    <w:rsid w:val="00452995"/>
    <w:rsid w:val="004529A2"/>
    <w:rsid w:val="004529C3"/>
    <w:rsid w:val="00452A95"/>
    <w:rsid w:val="00452AF1"/>
    <w:rsid w:val="00452B06"/>
    <w:rsid w:val="00452B17"/>
    <w:rsid w:val="00452BB5"/>
    <w:rsid w:val="00452C1C"/>
    <w:rsid w:val="00452C1F"/>
    <w:rsid w:val="00452C4E"/>
    <w:rsid w:val="00452C51"/>
    <w:rsid w:val="00452CD3"/>
    <w:rsid w:val="00452CFE"/>
    <w:rsid w:val="00452E2C"/>
    <w:rsid w:val="00452E78"/>
    <w:rsid w:val="00452E7C"/>
    <w:rsid w:val="00452E8E"/>
    <w:rsid w:val="00452F91"/>
    <w:rsid w:val="00452FDD"/>
    <w:rsid w:val="0045317E"/>
    <w:rsid w:val="004532C2"/>
    <w:rsid w:val="004532E8"/>
    <w:rsid w:val="00453326"/>
    <w:rsid w:val="0045332A"/>
    <w:rsid w:val="00453337"/>
    <w:rsid w:val="0045334F"/>
    <w:rsid w:val="0045347C"/>
    <w:rsid w:val="004534E6"/>
    <w:rsid w:val="00453572"/>
    <w:rsid w:val="004535BB"/>
    <w:rsid w:val="0045369D"/>
    <w:rsid w:val="004536DE"/>
    <w:rsid w:val="004536F1"/>
    <w:rsid w:val="004536F9"/>
    <w:rsid w:val="004537C1"/>
    <w:rsid w:val="004537E3"/>
    <w:rsid w:val="00453907"/>
    <w:rsid w:val="00453914"/>
    <w:rsid w:val="00453926"/>
    <w:rsid w:val="0045396E"/>
    <w:rsid w:val="00453A06"/>
    <w:rsid w:val="00453A36"/>
    <w:rsid w:val="00453A4D"/>
    <w:rsid w:val="00453AEB"/>
    <w:rsid w:val="00453B36"/>
    <w:rsid w:val="00453B5F"/>
    <w:rsid w:val="00453B68"/>
    <w:rsid w:val="00453DF8"/>
    <w:rsid w:val="00453E63"/>
    <w:rsid w:val="00453FA2"/>
    <w:rsid w:val="00454065"/>
    <w:rsid w:val="0045409F"/>
    <w:rsid w:val="004540C6"/>
    <w:rsid w:val="004540EF"/>
    <w:rsid w:val="00454194"/>
    <w:rsid w:val="00454216"/>
    <w:rsid w:val="00454229"/>
    <w:rsid w:val="004542A8"/>
    <w:rsid w:val="00454328"/>
    <w:rsid w:val="0045432A"/>
    <w:rsid w:val="004543C6"/>
    <w:rsid w:val="004543FB"/>
    <w:rsid w:val="00454448"/>
    <w:rsid w:val="00454490"/>
    <w:rsid w:val="004544E5"/>
    <w:rsid w:val="00454535"/>
    <w:rsid w:val="0045454E"/>
    <w:rsid w:val="004545D5"/>
    <w:rsid w:val="004545DF"/>
    <w:rsid w:val="004545F2"/>
    <w:rsid w:val="004545FF"/>
    <w:rsid w:val="0045461B"/>
    <w:rsid w:val="00454666"/>
    <w:rsid w:val="004546BF"/>
    <w:rsid w:val="004546E2"/>
    <w:rsid w:val="004546EC"/>
    <w:rsid w:val="00454727"/>
    <w:rsid w:val="00454786"/>
    <w:rsid w:val="00454802"/>
    <w:rsid w:val="00454844"/>
    <w:rsid w:val="00454860"/>
    <w:rsid w:val="0045486E"/>
    <w:rsid w:val="004549B8"/>
    <w:rsid w:val="00454A31"/>
    <w:rsid w:val="00454A50"/>
    <w:rsid w:val="00454AC6"/>
    <w:rsid w:val="00454B36"/>
    <w:rsid w:val="00454BDC"/>
    <w:rsid w:val="00454BF3"/>
    <w:rsid w:val="00454BFA"/>
    <w:rsid w:val="00454C39"/>
    <w:rsid w:val="00454CA4"/>
    <w:rsid w:val="00454DC0"/>
    <w:rsid w:val="00454DC5"/>
    <w:rsid w:val="00454DCD"/>
    <w:rsid w:val="00454EA9"/>
    <w:rsid w:val="00454FEE"/>
    <w:rsid w:val="0045500A"/>
    <w:rsid w:val="00455177"/>
    <w:rsid w:val="0045519D"/>
    <w:rsid w:val="004551AA"/>
    <w:rsid w:val="004551CD"/>
    <w:rsid w:val="004551CF"/>
    <w:rsid w:val="004551D3"/>
    <w:rsid w:val="0045521C"/>
    <w:rsid w:val="004552B2"/>
    <w:rsid w:val="0045530F"/>
    <w:rsid w:val="004553D9"/>
    <w:rsid w:val="004553EF"/>
    <w:rsid w:val="00455434"/>
    <w:rsid w:val="00455439"/>
    <w:rsid w:val="004554E0"/>
    <w:rsid w:val="00455521"/>
    <w:rsid w:val="004555AC"/>
    <w:rsid w:val="004555C8"/>
    <w:rsid w:val="00455615"/>
    <w:rsid w:val="00455743"/>
    <w:rsid w:val="00455782"/>
    <w:rsid w:val="004557D6"/>
    <w:rsid w:val="00455830"/>
    <w:rsid w:val="00455894"/>
    <w:rsid w:val="004558D0"/>
    <w:rsid w:val="004558D1"/>
    <w:rsid w:val="00455A08"/>
    <w:rsid w:val="00455A80"/>
    <w:rsid w:val="00455AB5"/>
    <w:rsid w:val="00455ACB"/>
    <w:rsid w:val="00455AEC"/>
    <w:rsid w:val="00455B60"/>
    <w:rsid w:val="00455BB7"/>
    <w:rsid w:val="00455CC7"/>
    <w:rsid w:val="00455CE0"/>
    <w:rsid w:val="00455CE6"/>
    <w:rsid w:val="00455D3B"/>
    <w:rsid w:val="00455D98"/>
    <w:rsid w:val="00455E62"/>
    <w:rsid w:val="00455F47"/>
    <w:rsid w:val="00455FE9"/>
    <w:rsid w:val="0045600B"/>
    <w:rsid w:val="00456106"/>
    <w:rsid w:val="00456127"/>
    <w:rsid w:val="004561B6"/>
    <w:rsid w:val="004561BA"/>
    <w:rsid w:val="0045624D"/>
    <w:rsid w:val="00456333"/>
    <w:rsid w:val="00456369"/>
    <w:rsid w:val="0045638A"/>
    <w:rsid w:val="00456432"/>
    <w:rsid w:val="00456467"/>
    <w:rsid w:val="004565B0"/>
    <w:rsid w:val="00456613"/>
    <w:rsid w:val="00456673"/>
    <w:rsid w:val="004566AC"/>
    <w:rsid w:val="004566B6"/>
    <w:rsid w:val="004566BE"/>
    <w:rsid w:val="0045672E"/>
    <w:rsid w:val="00456790"/>
    <w:rsid w:val="004567C5"/>
    <w:rsid w:val="004567DC"/>
    <w:rsid w:val="004568B9"/>
    <w:rsid w:val="004569C2"/>
    <w:rsid w:val="004569C5"/>
    <w:rsid w:val="00456A26"/>
    <w:rsid w:val="00456A38"/>
    <w:rsid w:val="00456BA2"/>
    <w:rsid w:val="00456D8A"/>
    <w:rsid w:val="00456D94"/>
    <w:rsid w:val="00456DDE"/>
    <w:rsid w:val="00456E6F"/>
    <w:rsid w:val="00456ECE"/>
    <w:rsid w:val="00456F3D"/>
    <w:rsid w:val="00456F3E"/>
    <w:rsid w:val="00456FFB"/>
    <w:rsid w:val="004570E0"/>
    <w:rsid w:val="0045712E"/>
    <w:rsid w:val="0045716A"/>
    <w:rsid w:val="00457186"/>
    <w:rsid w:val="004572F2"/>
    <w:rsid w:val="00457334"/>
    <w:rsid w:val="00457393"/>
    <w:rsid w:val="004574D1"/>
    <w:rsid w:val="00457502"/>
    <w:rsid w:val="00457525"/>
    <w:rsid w:val="00457547"/>
    <w:rsid w:val="004575B2"/>
    <w:rsid w:val="004575CA"/>
    <w:rsid w:val="00457626"/>
    <w:rsid w:val="0045765A"/>
    <w:rsid w:val="00457747"/>
    <w:rsid w:val="00457749"/>
    <w:rsid w:val="004577B6"/>
    <w:rsid w:val="004577BE"/>
    <w:rsid w:val="004577D7"/>
    <w:rsid w:val="004578DC"/>
    <w:rsid w:val="004579F8"/>
    <w:rsid w:val="00457A1B"/>
    <w:rsid w:val="00457A2E"/>
    <w:rsid w:val="00457A42"/>
    <w:rsid w:val="00457ACF"/>
    <w:rsid w:val="00457B8C"/>
    <w:rsid w:val="00457BFC"/>
    <w:rsid w:val="00457C2A"/>
    <w:rsid w:val="00457DA0"/>
    <w:rsid w:val="00457E36"/>
    <w:rsid w:val="00457EA9"/>
    <w:rsid w:val="00457EC9"/>
    <w:rsid w:val="00457F11"/>
    <w:rsid w:val="00457FC7"/>
    <w:rsid w:val="00460030"/>
    <w:rsid w:val="0046007B"/>
    <w:rsid w:val="004600E7"/>
    <w:rsid w:val="0046012B"/>
    <w:rsid w:val="0046017C"/>
    <w:rsid w:val="00460183"/>
    <w:rsid w:val="004601C0"/>
    <w:rsid w:val="004602B7"/>
    <w:rsid w:val="004602DA"/>
    <w:rsid w:val="0046036B"/>
    <w:rsid w:val="0046041D"/>
    <w:rsid w:val="00460550"/>
    <w:rsid w:val="0046058C"/>
    <w:rsid w:val="004605D0"/>
    <w:rsid w:val="004605DD"/>
    <w:rsid w:val="00460643"/>
    <w:rsid w:val="00460671"/>
    <w:rsid w:val="00460712"/>
    <w:rsid w:val="00460764"/>
    <w:rsid w:val="004607BB"/>
    <w:rsid w:val="004607E6"/>
    <w:rsid w:val="004607F4"/>
    <w:rsid w:val="00460846"/>
    <w:rsid w:val="0046086E"/>
    <w:rsid w:val="004608A4"/>
    <w:rsid w:val="0046096F"/>
    <w:rsid w:val="00460971"/>
    <w:rsid w:val="004609CE"/>
    <w:rsid w:val="00460A6F"/>
    <w:rsid w:val="00460B93"/>
    <w:rsid w:val="00460D10"/>
    <w:rsid w:val="00460D5F"/>
    <w:rsid w:val="00460E40"/>
    <w:rsid w:val="00460E4C"/>
    <w:rsid w:val="00460EA2"/>
    <w:rsid w:val="00460EC9"/>
    <w:rsid w:val="00460F1E"/>
    <w:rsid w:val="00460FA0"/>
    <w:rsid w:val="00460FA9"/>
    <w:rsid w:val="00460FD4"/>
    <w:rsid w:val="00460FF4"/>
    <w:rsid w:val="00461003"/>
    <w:rsid w:val="0046107C"/>
    <w:rsid w:val="004610D0"/>
    <w:rsid w:val="00461146"/>
    <w:rsid w:val="004611C3"/>
    <w:rsid w:val="0046122D"/>
    <w:rsid w:val="0046134B"/>
    <w:rsid w:val="004613A3"/>
    <w:rsid w:val="00461461"/>
    <w:rsid w:val="0046168F"/>
    <w:rsid w:val="0046177F"/>
    <w:rsid w:val="00461788"/>
    <w:rsid w:val="004617D8"/>
    <w:rsid w:val="004617DD"/>
    <w:rsid w:val="0046189F"/>
    <w:rsid w:val="0046195F"/>
    <w:rsid w:val="0046199D"/>
    <w:rsid w:val="00461A02"/>
    <w:rsid w:val="00461A81"/>
    <w:rsid w:val="00461B7A"/>
    <w:rsid w:val="00461B89"/>
    <w:rsid w:val="00461BF7"/>
    <w:rsid w:val="00461C5D"/>
    <w:rsid w:val="00461C7A"/>
    <w:rsid w:val="00461D30"/>
    <w:rsid w:val="00461D55"/>
    <w:rsid w:val="00461E25"/>
    <w:rsid w:val="00461E8F"/>
    <w:rsid w:val="00461E9C"/>
    <w:rsid w:val="00461F4D"/>
    <w:rsid w:val="00461F51"/>
    <w:rsid w:val="00462065"/>
    <w:rsid w:val="00462066"/>
    <w:rsid w:val="00462085"/>
    <w:rsid w:val="00462121"/>
    <w:rsid w:val="004622C8"/>
    <w:rsid w:val="004622FD"/>
    <w:rsid w:val="004623DB"/>
    <w:rsid w:val="004623F0"/>
    <w:rsid w:val="00462419"/>
    <w:rsid w:val="0046241D"/>
    <w:rsid w:val="00462495"/>
    <w:rsid w:val="004624FB"/>
    <w:rsid w:val="00462508"/>
    <w:rsid w:val="00462533"/>
    <w:rsid w:val="004625AF"/>
    <w:rsid w:val="004625E0"/>
    <w:rsid w:val="0046262E"/>
    <w:rsid w:val="00462631"/>
    <w:rsid w:val="00462662"/>
    <w:rsid w:val="0046273F"/>
    <w:rsid w:val="00462818"/>
    <w:rsid w:val="00462834"/>
    <w:rsid w:val="0046289C"/>
    <w:rsid w:val="00462941"/>
    <w:rsid w:val="00462A05"/>
    <w:rsid w:val="00462A27"/>
    <w:rsid w:val="00462A61"/>
    <w:rsid w:val="00462C16"/>
    <w:rsid w:val="00462D0D"/>
    <w:rsid w:val="00462D6E"/>
    <w:rsid w:val="00462E0B"/>
    <w:rsid w:val="00462EE5"/>
    <w:rsid w:val="00462F1E"/>
    <w:rsid w:val="00462F64"/>
    <w:rsid w:val="00463169"/>
    <w:rsid w:val="00463172"/>
    <w:rsid w:val="0046317F"/>
    <w:rsid w:val="00463204"/>
    <w:rsid w:val="004632A0"/>
    <w:rsid w:val="0046342A"/>
    <w:rsid w:val="0046357A"/>
    <w:rsid w:val="004635CB"/>
    <w:rsid w:val="00463603"/>
    <w:rsid w:val="0046361F"/>
    <w:rsid w:val="0046363F"/>
    <w:rsid w:val="00463641"/>
    <w:rsid w:val="0046365D"/>
    <w:rsid w:val="0046367F"/>
    <w:rsid w:val="00463687"/>
    <w:rsid w:val="0046369D"/>
    <w:rsid w:val="004636B4"/>
    <w:rsid w:val="0046380D"/>
    <w:rsid w:val="0046381E"/>
    <w:rsid w:val="00463867"/>
    <w:rsid w:val="004638BF"/>
    <w:rsid w:val="004638C6"/>
    <w:rsid w:val="00463992"/>
    <w:rsid w:val="004639C3"/>
    <w:rsid w:val="00463A3D"/>
    <w:rsid w:val="00463A72"/>
    <w:rsid w:val="00463A7C"/>
    <w:rsid w:val="00463AA5"/>
    <w:rsid w:val="00463AC5"/>
    <w:rsid w:val="00463AFE"/>
    <w:rsid w:val="00463B4E"/>
    <w:rsid w:val="00463C6B"/>
    <w:rsid w:val="00463C90"/>
    <w:rsid w:val="00463CEB"/>
    <w:rsid w:val="00463D6F"/>
    <w:rsid w:val="00463D86"/>
    <w:rsid w:val="00463EAE"/>
    <w:rsid w:val="0046408B"/>
    <w:rsid w:val="004640FF"/>
    <w:rsid w:val="0046419D"/>
    <w:rsid w:val="004641D2"/>
    <w:rsid w:val="0046422E"/>
    <w:rsid w:val="00464294"/>
    <w:rsid w:val="0046429C"/>
    <w:rsid w:val="00464329"/>
    <w:rsid w:val="004643A2"/>
    <w:rsid w:val="00464412"/>
    <w:rsid w:val="00464472"/>
    <w:rsid w:val="0046450C"/>
    <w:rsid w:val="0046457C"/>
    <w:rsid w:val="0046458B"/>
    <w:rsid w:val="0046470B"/>
    <w:rsid w:val="0046471D"/>
    <w:rsid w:val="00464758"/>
    <w:rsid w:val="004647AE"/>
    <w:rsid w:val="00464880"/>
    <w:rsid w:val="004648B5"/>
    <w:rsid w:val="004649F0"/>
    <w:rsid w:val="00464A35"/>
    <w:rsid w:val="00464ACA"/>
    <w:rsid w:val="00464B9A"/>
    <w:rsid w:val="00464C0F"/>
    <w:rsid w:val="00464C24"/>
    <w:rsid w:val="00464C29"/>
    <w:rsid w:val="00464C3A"/>
    <w:rsid w:val="00464DFD"/>
    <w:rsid w:val="00464E97"/>
    <w:rsid w:val="00464EBD"/>
    <w:rsid w:val="00464EEE"/>
    <w:rsid w:val="00464F03"/>
    <w:rsid w:val="00464F9F"/>
    <w:rsid w:val="00465041"/>
    <w:rsid w:val="0046505C"/>
    <w:rsid w:val="0046505E"/>
    <w:rsid w:val="0046509C"/>
    <w:rsid w:val="00465115"/>
    <w:rsid w:val="004651A4"/>
    <w:rsid w:val="0046520B"/>
    <w:rsid w:val="00465293"/>
    <w:rsid w:val="004652BC"/>
    <w:rsid w:val="0046533B"/>
    <w:rsid w:val="00465487"/>
    <w:rsid w:val="004654AC"/>
    <w:rsid w:val="004654F6"/>
    <w:rsid w:val="00465555"/>
    <w:rsid w:val="0046557A"/>
    <w:rsid w:val="0046563C"/>
    <w:rsid w:val="00465675"/>
    <w:rsid w:val="0046568F"/>
    <w:rsid w:val="00465732"/>
    <w:rsid w:val="004657DC"/>
    <w:rsid w:val="004658C5"/>
    <w:rsid w:val="00465918"/>
    <w:rsid w:val="0046597E"/>
    <w:rsid w:val="004659B5"/>
    <w:rsid w:val="004659E1"/>
    <w:rsid w:val="00465B1E"/>
    <w:rsid w:val="00465B59"/>
    <w:rsid w:val="00465BE2"/>
    <w:rsid w:val="00465BE3"/>
    <w:rsid w:val="00465C87"/>
    <w:rsid w:val="00465CC7"/>
    <w:rsid w:val="00465D40"/>
    <w:rsid w:val="00465D5D"/>
    <w:rsid w:val="00465E1A"/>
    <w:rsid w:val="00465E1D"/>
    <w:rsid w:val="00465E2F"/>
    <w:rsid w:val="00465E9F"/>
    <w:rsid w:val="00465F98"/>
    <w:rsid w:val="00466052"/>
    <w:rsid w:val="00466132"/>
    <w:rsid w:val="004661C9"/>
    <w:rsid w:val="004661EE"/>
    <w:rsid w:val="00466246"/>
    <w:rsid w:val="00466293"/>
    <w:rsid w:val="00466342"/>
    <w:rsid w:val="00466362"/>
    <w:rsid w:val="0046644E"/>
    <w:rsid w:val="00466461"/>
    <w:rsid w:val="004664EF"/>
    <w:rsid w:val="00466541"/>
    <w:rsid w:val="00466557"/>
    <w:rsid w:val="0046658E"/>
    <w:rsid w:val="00466623"/>
    <w:rsid w:val="004666F8"/>
    <w:rsid w:val="00466765"/>
    <w:rsid w:val="0046678C"/>
    <w:rsid w:val="004667F5"/>
    <w:rsid w:val="0046682E"/>
    <w:rsid w:val="0046685F"/>
    <w:rsid w:val="0046686D"/>
    <w:rsid w:val="004668A0"/>
    <w:rsid w:val="004668A2"/>
    <w:rsid w:val="004668EF"/>
    <w:rsid w:val="00466975"/>
    <w:rsid w:val="00466AD8"/>
    <w:rsid w:val="00466B55"/>
    <w:rsid w:val="00466B8B"/>
    <w:rsid w:val="00466BA2"/>
    <w:rsid w:val="00466C32"/>
    <w:rsid w:val="00466CBD"/>
    <w:rsid w:val="00466D2A"/>
    <w:rsid w:val="00466D59"/>
    <w:rsid w:val="00466DBB"/>
    <w:rsid w:val="00466E67"/>
    <w:rsid w:val="00466E7B"/>
    <w:rsid w:val="00466E93"/>
    <w:rsid w:val="00466E9E"/>
    <w:rsid w:val="00466F41"/>
    <w:rsid w:val="00467013"/>
    <w:rsid w:val="00467055"/>
    <w:rsid w:val="004670C9"/>
    <w:rsid w:val="0046713B"/>
    <w:rsid w:val="004671A0"/>
    <w:rsid w:val="004671A5"/>
    <w:rsid w:val="004671E1"/>
    <w:rsid w:val="00467209"/>
    <w:rsid w:val="004673C3"/>
    <w:rsid w:val="00467547"/>
    <w:rsid w:val="00467576"/>
    <w:rsid w:val="004675AB"/>
    <w:rsid w:val="00467657"/>
    <w:rsid w:val="004676BC"/>
    <w:rsid w:val="004677A5"/>
    <w:rsid w:val="004677A7"/>
    <w:rsid w:val="0046782F"/>
    <w:rsid w:val="00467850"/>
    <w:rsid w:val="004678BA"/>
    <w:rsid w:val="004678E0"/>
    <w:rsid w:val="00467900"/>
    <w:rsid w:val="004679F5"/>
    <w:rsid w:val="00467A3D"/>
    <w:rsid w:val="00467AC9"/>
    <w:rsid w:val="00467AFA"/>
    <w:rsid w:val="00467B42"/>
    <w:rsid w:val="00467B5E"/>
    <w:rsid w:val="00467B69"/>
    <w:rsid w:val="00467BE6"/>
    <w:rsid w:val="00467BF9"/>
    <w:rsid w:val="00467D56"/>
    <w:rsid w:val="00467DDD"/>
    <w:rsid w:val="00467DED"/>
    <w:rsid w:val="00467E6D"/>
    <w:rsid w:val="00467ECE"/>
    <w:rsid w:val="00470025"/>
    <w:rsid w:val="00470043"/>
    <w:rsid w:val="00470136"/>
    <w:rsid w:val="00470152"/>
    <w:rsid w:val="004702CF"/>
    <w:rsid w:val="004702D3"/>
    <w:rsid w:val="00470326"/>
    <w:rsid w:val="00470335"/>
    <w:rsid w:val="0047035C"/>
    <w:rsid w:val="00470389"/>
    <w:rsid w:val="0047044F"/>
    <w:rsid w:val="00470493"/>
    <w:rsid w:val="00470547"/>
    <w:rsid w:val="004705DA"/>
    <w:rsid w:val="004705E0"/>
    <w:rsid w:val="00470611"/>
    <w:rsid w:val="00470663"/>
    <w:rsid w:val="00470686"/>
    <w:rsid w:val="004706D0"/>
    <w:rsid w:val="004706D9"/>
    <w:rsid w:val="00470811"/>
    <w:rsid w:val="0047086C"/>
    <w:rsid w:val="004708B6"/>
    <w:rsid w:val="004708DC"/>
    <w:rsid w:val="00470AA7"/>
    <w:rsid w:val="00470ADD"/>
    <w:rsid w:val="00470B35"/>
    <w:rsid w:val="00470B3D"/>
    <w:rsid w:val="00470C35"/>
    <w:rsid w:val="00470C61"/>
    <w:rsid w:val="00470E34"/>
    <w:rsid w:val="00470F56"/>
    <w:rsid w:val="00470FCD"/>
    <w:rsid w:val="004710C3"/>
    <w:rsid w:val="00471104"/>
    <w:rsid w:val="00471116"/>
    <w:rsid w:val="004711D6"/>
    <w:rsid w:val="0047126C"/>
    <w:rsid w:val="00471292"/>
    <w:rsid w:val="0047132E"/>
    <w:rsid w:val="004713D6"/>
    <w:rsid w:val="00471516"/>
    <w:rsid w:val="0047151E"/>
    <w:rsid w:val="00471550"/>
    <w:rsid w:val="00471582"/>
    <w:rsid w:val="00471596"/>
    <w:rsid w:val="004715F8"/>
    <w:rsid w:val="00471645"/>
    <w:rsid w:val="00471663"/>
    <w:rsid w:val="00471772"/>
    <w:rsid w:val="00471779"/>
    <w:rsid w:val="00471782"/>
    <w:rsid w:val="004717E9"/>
    <w:rsid w:val="00471845"/>
    <w:rsid w:val="00471A0B"/>
    <w:rsid w:val="00471B28"/>
    <w:rsid w:val="00471B68"/>
    <w:rsid w:val="00471C03"/>
    <w:rsid w:val="00471D22"/>
    <w:rsid w:val="00471D46"/>
    <w:rsid w:val="00471DAF"/>
    <w:rsid w:val="00471DCD"/>
    <w:rsid w:val="00471E0A"/>
    <w:rsid w:val="00471E32"/>
    <w:rsid w:val="00471E37"/>
    <w:rsid w:val="00471E42"/>
    <w:rsid w:val="00471E81"/>
    <w:rsid w:val="00471EC5"/>
    <w:rsid w:val="00471F30"/>
    <w:rsid w:val="00471F5A"/>
    <w:rsid w:val="00471FA5"/>
    <w:rsid w:val="00471FFD"/>
    <w:rsid w:val="00472093"/>
    <w:rsid w:val="004720BD"/>
    <w:rsid w:val="004720C5"/>
    <w:rsid w:val="00472163"/>
    <w:rsid w:val="004721A0"/>
    <w:rsid w:val="004721E4"/>
    <w:rsid w:val="00472218"/>
    <w:rsid w:val="0047231A"/>
    <w:rsid w:val="0047238B"/>
    <w:rsid w:val="004724A8"/>
    <w:rsid w:val="004724F8"/>
    <w:rsid w:val="004724F9"/>
    <w:rsid w:val="0047253A"/>
    <w:rsid w:val="00472550"/>
    <w:rsid w:val="0047262B"/>
    <w:rsid w:val="00472706"/>
    <w:rsid w:val="00472720"/>
    <w:rsid w:val="004727DD"/>
    <w:rsid w:val="00472882"/>
    <w:rsid w:val="00472ABB"/>
    <w:rsid w:val="00472C4B"/>
    <w:rsid w:val="00472CBC"/>
    <w:rsid w:val="00472CDD"/>
    <w:rsid w:val="00472D15"/>
    <w:rsid w:val="00472D73"/>
    <w:rsid w:val="00472D84"/>
    <w:rsid w:val="00472E28"/>
    <w:rsid w:val="00472E44"/>
    <w:rsid w:val="00472E6E"/>
    <w:rsid w:val="00472E80"/>
    <w:rsid w:val="00472EB6"/>
    <w:rsid w:val="00472EC5"/>
    <w:rsid w:val="00472ED4"/>
    <w:rsid w:val="00472F37"/>
    <w:rsid w:val="00472F85"/>
    <w:rsid w:val="00472F9A"/>
    <w:rsid w:val="00472FDB"/>
    <w:rsid w:val="00472FFB"/>
    <w:rsid w:val="00473052"/>
    <w:rsid w:val="00473098"/>
    <w:rsid w:val="00473103"/>
    <w:rsid w:val="00473116"/>
    <w:rsid w:val="004732A0"/>
    <w:rsid w:val="004732ED"/>
    <w:rsid w:val="0047330A"/>
    <w:rsid w:val="0047336C"/>
    <w:rsid w:val="00473392"/>
    <w:rsid w:val="004733B5"/>
    <w:rsid w:val="00473477"/>
    <w:rsid w:val="004734F0"/>
    <w:rsid w:val="004735A3"/>
    <w:rsid w:val="004735E2"/>
    <w:rsid w:val="00473697"/>
    <w:rsid w:val="004737B7"/>
    <w:rsid w:val="004737BA"/>
    <w:rsid w:val="004737F3"/>
    <w:rsid w:val="00473828"/>
    <w:rsid w:val="0047391D"/>
    <w:rsid w:val="00473922"/>
    <w:rsid w:val="004739C7"/>
    <w:rsid w:val="00473A67"/>
    <w:rsid w:val="00473A82"/>
    <w:rsid w:val="00473A95"/>
    <w:rsid w:val="00473BD5"/>
    <w:rsid w:val="00473BEB"/>
    <w:rsid w:val="00473C2A"/>
    <w:rsid w:val="00473C3D"/>
    <w:rsid w:val="00473C86"/>
    <w:rsid w:val="00473CB6"/>
    <w:rsid w:val="00473D40"/>
    <w:rsid w:val="00473D6C"/>
    <w:rsid w:val="00473D75"/>
    <w:rsid w:val="00473DC3"/>
    <w:rsid w:val="00473DF0"/>
    <w:rsid w:val="00473E45"/>
    <w:rsid w:val="00473F0A"/>
    <w:rsid w:val="00473F99"/>
    <w:rsid w:val="00474055"/>
    <w:rsid w:val="004740F7"/>
    <w:rsid w:val="00474202"/>
    <w:rsid w:val="00474294"/>
    <w:rsid w:val="00474328"/>
    <w:rsid w:val="0047435C"/>
    <w:rsid w:val="0047444F"/>
    <w:rsid w:val="004744EA"/>
    <w:rsid w:val="004746C1"/>
    <w:rsid w:val="004746E5"/>
    <w:rsid w:val="0047473E"/>
    <w:rsid w:val="004747FC"/>
    <w:rsid w:val="00474874"/>
    <w:rsid w:val="004748DC"/>
    <w:rsid w:val="0047494B"/>
    <w:rsid w:val="00474996"/>
    <w:rsid w:val="00474A01"/>
    <w:rsid w:val="00474A46"/>
    <w:rsid w:val="00474A49"/>
    <w:rsid w:val="00474AEE"/>
    <w:rsid w:val="00474AFD"/>
    <w:rsid w:val="00474B72"/>
    <w:rsid w:val="00474B7D"/>
    <w:rsid w:val="00474C2F"/>
    <w:rsid w:val="00474CF9"/>
    <w:rsid w:val="00474D54"/>
    <w:rsid w:val="00474D66"/>
    <w:rsid w:val="00474E64"/>
    <w:rsid w:val="00474EE7"/>
    <w:rsid w:val="00474F04"/>
    <w:rsid w:val="00474F0F"/>
    <w:rsid w:val="00474FBE"/>
    <w:rsid w:val="004750A7"/>
    <w:rsid w:val="004751BE"/>
    <w:rsid w:val="004751CF"/>
    <w:rsid w:val="004751DB"/>
    <w:rsid w:val="00475226"/>
    <w:rsid w:val="00475254"/>
    <w:rsid w:val="00475293"/>
    <w:rsid w:val="0047529C"/>
    <w:rsid w:val="004752C9"/>
    <w:rsid w:val="00475334"/>
    <w:rsid w:val="00475373"/>
    <w:rsid w:val="00475407"/>
    <w:rsid w:val="0047544E"/>
    <w:rsid w:val="00475453"/>
    <w:rsid w:val="00475535"/>
    <w:rsid w:val="00475582"/>
    <w:rsid w:val="00475786"/>
    <w:rsid w:val="0047580A"/>
    <w:rsid w:val="00475894"/>
    <w:rsid w:val="00475946"/>
    <w:rsid w:val="00475956"/>
    <w:rsid w:val="0047599E"/>
    <w:rsid w:val="004759A9"/>
    <w:rsid w:val="00475A00"/>
    <w:rsid w:val="00475A24"/>
    <w:rsid w:val="00475A50"/>
    <w:rsid w:val="00475A85"/>
    <w:rsid w:val="00475AAB"/>
    <w:rsid w:val="00475AEA"/>
    <w:rsid w:val="00475B0E"/>
    <w:rsid w:val="00475B5D"/>
    <w:rsid w:val="00475B87"/>
    <w:rsid w:val="00475C3A"/>
    <w:rsid w:val="00475C4A"/>
    <w:rsid w:val="00475C78"/>
    <w:rsid w:val="00475CE0"/>
    <w:rsid w:val="00475CF9"/>
    <w:rsid w:val="00475DD3"/>
    <w:rsid w:val="00475E44"/>
    <w:rsid w:val="00475E4E"/>
    <w:rsid w:val="00475E5F"/>
    <w:rsid w:val="00475ECD"/>
    <w:rsid w:val="00476011"/>
    <w:rsid w:val="0047604F"/>
    <w:rsid w:val="004760AC"/>
    <w:rsid w:val="004760FE"/>
    <w:rsid w:val="004760FF"/>
    <w:rsid w:val="00476152"/>
    <w:rsid w:val="00476159"/>
    <w:rsid w:val="00476172"/>
    <w:rsid w:val="00476183"/>
    <w:rsid w:val="00476236"/>
    <w:rsid w:val="004762D3"/>
    <w:rsid w:val="00476344"/>
    <w:rsid w:val="00476396"/>
    <w:rsid w:val="00476501"/>
    <w:rsid w:val="00476540"/>
    <w:rsid w:val="00476673"/>
    <w:rsid w:val="0047669D"/>
    <w:rsid w:val="004766C5"/>
    <w:rsid w:val="004766C7"/>
    <w:rsid w:val="004767B8"/>
    <w:rsid w:val="004768CB"/>
    <w:rsid w:val="00476A31"/>
    <w:rsid w:val="00476AEE"/>
    <w:rsid w:val="00476B0F"/>
    <w:rsid w:val="00476BBF"/>
    <w:rsid w:val="00476C11"/>
    <w:rsid w:val="00476C27"/>
    <w:rsid w:val="00476D38"/>
    <w:rsid w:val="00476D4E"/>
    <w:rsid w:val="00476E4F"/>
    <w:rsid w:val="00476EAA"/>
    <w:rsid w:val="00476F45"/>
    <w:rsid w:val="00476F4E"/>
    <w:rsid w:val="00477022"/>
    <w:rsid w:val="0047709D"/>
    <w:rsid w:val="004770DF"/>
    <w:rsid w:val="0047711E"/>
    <w:rsid w:val="00477260"/>
    <w:rsid w:val="00477297"/>
    <w:rsid w:val="004772BB"/>
    <w:rsid w:val="004772DF"/>
    <w:rsid w:val="00477311"/>
    <w:rsid w:val="00477357"/>
    <w:rsid w:val="00477393"/>
    <w:rsid w:val="0047746F"/>
    <w:rsid w:val="00477483"/>
    <w:rsid w:val="004775DE"/>
    <w:rsid w:val="004775DF"/>
    <w:rsid w:val="00477677"/>
    <w:rsid w:val="00477691"/>
    <w:rsid w:val="00477706"/>
    <w:rsid w:val="00477740"/>
    <w:rsid w:val="00477747"/>
    <w:rsid w:val="00477763"/>
    <w:rsid w:val="0047782D"/>
    <w:rsid w:val="00477897"/>
    <w:rsid w:val="004778E8"/>
    <w:rsid w:val="00477918"/>
    <w:rsid w:val="00477926"/>
    <w:rsid w:val="00477A70"/>
    <w:rsid w:val="00477ACA"/>
    <w:rsid w:val="00477B96"/>
    <w:rsid w:val="00477C0D"/>
    <w:rsid w:val="00477C1C"/>
    <w:rsid w:val="00477C87"/>
    <w:rsid w:val="00477D05"/>
    <w:rsid w:val="00477D06"/>
    <w:rsid w:val="00477D8B"/>
    <w:rsid w:val="00477E23"/>
    <w:rsid w:val="00477EC6"/>
    <w:rsid w:val="00477ECA"/>
    <w:rsid w:val="00477F54"/>
    <w:rsid w:val="0048011A"/>
    <w:rsid w:val="00480134"/>
    <w:rsid w:val="004801C1"/>
    <w:rsid w:val="004802FA"/>
    <w:rsid w:val="00480395"/>
    <w:rsid w:val="004803F1"/>
    <w:rsid w:val="00480418"/>
    <w:rsid w:val="004804EA"/>
    <w:rsid w:val="004804F6"/>
    <w:rsid w:val="00480665"/>
    <w:rsid w:val="00480672"/>
    <w:rsid w:val="004807A9"/>
    <w:rsid w:val="00480878"/>
    <w:rsid w:val="00480934"/>
    <w:rsid w:val="00480935"/>
    <w:rsid w:val="00480960"/>
    <w:rsid w:val="0048099C"/>
    <w:rsid w:val="00480A4E"/>
    <w:rsid w:val="00480A91"/>
    <w:rsid w:val="00480AB6"/>
    <w:rsid w:val="00480BE9"/>
    <w:rsid w:val="00480C28"/>
    <w:rsid w:val="00480C56"/>
    <w:rsid w:val="00480C84"/>
    <w:rsid w:val="00480D4C"/>
    <w:rsid w:val="00480DAF"/>
    <w:rsid w:val="00480E4C"/>
    <w:rsid w:val="00480EBD"/>
    <w:rsid w:val="00480F7F"/>
    <w:rsid w:val="00481072"/>
    <w:rsid w:val="004810B1"/>
    <w:rsid w:val="0048111F"/>
    <w:rsid w:val="00481216"/>
    <w:rsid w:val="0048134D"/>
    <w:rsid w:val="00481384"/>
    <w:rsid w:val="0048141A"/>
    <w:rsid w:val="004814AD"/>
    <w:rsid w:val="004814F5"/>
    <w:rsid w:val="0048156B"/>
    <w:rsid w:val="004815AB"/>
    <w:rsid w:val="004815DA"/>
    <w:rsid w:val="004815F5"/>
    <w:rsid w:val="00481642"/>
    <w:rsid w:val="00481649"/>
    <w:rsid w:val="004819C3"/>
    <w:rsid w:val="00481A0F"/>
    <w:rsid w:val="00481AB8"/>
    <w:rsid w:val="00481B47"/>
    <w:rsid w:val="00481B77"/>
    <w:rsid w:val="00481B88"/>
    <w:rsid w:val="00481BA8"/>
    <w:rsid w:val="00481C3F"/>
    <w:rsid w:val="00481C68"/>
    <w:rsid w:val="00481D11"/>
    <w:rsid w:val="00481D74"/>
    <w:rsid w:val="00481DAC"/>
    <w:rsid w:val="00481DD0"/>
    <w:rsid w:val="00481F0D"/>
    <w:rsid w:val="00481F1C"/>
    <w:rsid w:val="00481F2A"/>
    <w:rsid w:val="00481F43"/>
    <w:rsid w:val="00481FE0"/>
    <w:rsid w:val="00482044"/>
    <w:rsid w:val="00482082"/>
    <w:rsid w:val="004820A2"/>
    <w:rsid w:val="004820BD"/>
    <w:rsid w:val="0048213A"/>
    <w:rsid w:val="00482144"/>
    <w:rsid w:val="004821E1"/>
    <w:rsid w:val="00482273"/>
    <w:rsid w:val="00482277"/>
    <w:rsid w:val="004822EB"/>
    <w:rsid w:val="004822F7"/>
    <w:rsid w:val="00482344"/>
    <w:rsid w:val="00482476"/>
    <w:rsid w:val="00482527"/>
    <w:rsid w:val="004825B8"/>
    <w:rsid w:val="004825BE"/>
    <w:rsid w:val="00482622"/>
    <w:rsid w:val="0048262C"/>
    <w:rsid w:val="0048264F"/>
    <w:rsid w:val="004826B8"/>
    <w:rsid w:val="00482745"/>
    <w:rsid w:val="004827A7"/>
    <w:rsid w:val="00482831"/>
    <w:rsid w:val="0048287B"/>
    <w:rsid w:val="004829A4"/>
    <w:rsid w:val="00482AC6"/>
    <w:rsid w:val="00482B7D"/>
    <w:rsid w:val="00482C41"/>
    <w:rsid w:val="00482C6E"/>
    <w:rsid w:val="00482C7E"/>
    <w:rsid w:val="00482CA1"/>
    <w:rsid w:val="00482CB7"/>
    <w:rsid w:val="00482EF2"/>
    <w:rsid w:val="00482F8D"/>
    <w:rsid w:val="00482FF4"/>
    <w:rsid w:val="00483045"/>
    <w:rsid w:val="0048304E"/>
    <w:rsid w:val="00483148"/>
    <w:rsid w:val="00483192"/>
    <w:rsid w:val="0048319F"/>
    <w:rsid w:val="004831FB"/>
    <w:rsid w:val="00483207"/>
    <w:rsid w:val="0048320D"/>
    <w:rsid w:val="00483213"/>
    <w:rsid w:val="00483375"/>
    <w:rsid w:val="00483377"/>
    <w:rsid w:val="00483464"/>
    <w:rsid w:val="0048358E"/>
    <w:rsid w:val="004836DA"/>
    <w:rsid w:val="00483703"/>
    <w:rsid w:val="00483754"/>
    <w:rsid w:val="004837A7"/>
    <w:rsid w:val="00483967"/>
    <w:rsid w:val="004839A8"/>
    <w:rsid w:val="00483A30"/>
    <w:rsid w:val="00483A37"/>
    <w:rsid w:val="00483AF6"/>
    <w:rsid w:val="00483B3B"/>
    <w:rsid w:val="00483B74"/>
    <w:rsid w:val="00483B7C"/>
    <w:rsid w:val="00483C82"/>
    <w:rsid w:val="00483CE1"/>
    <w:rsid w:val="00483E22"/>
    <w:rsid w:val="00483E23"/>
    <w:rsid w:val="00483EAB"/>
    <w:rsid w:val="00483EBB"/>
    <w:rsid w:val="00483EEA"/>
    <w:rsid w:val="00483F2D"/>
    <w:rsid w:val="00483FE3"/>
    <w:rsid w:val="00484163"/>
    <w:rsid w:val="004841DA"/>
    <w:rsid w:val="00484266"/>
    <w:rsid w:val="0048426D"/>
    <w:rsid w:val="004842AB"/>
    <w:rsid w:val="00484349"/>
    <w:rsid w:val="0048437C"/>
    <w:rsid w:val="004843C5"/>
    <w:rsid w:val="004843D8"/>
    <w:rsid w:val="00484411"/>
    <w:rsid w:val="0048446F"/>
    <w:rsid w:val="004844A5"/>
    <w:rsid w:val="0048452A"/>
    <w:rsid w:val="00484563"/>
    <w:rsid w:val="0048465E"/>
    <w:rsid w:val="00484899"/>
    <w:rsid w:val="004848D0"/>
    <w:rsid w:val="004849D0"/>
    <w:rsid w:val="004849D5"/>
    <w:rsid w:val="00484A10"/>
    <w:rsid w:val="00484AB9"/>
    <w:rsid w:val="00484ADF"/>
    <w:rsid w:val="00484AF6"/>
    <w:rsid w:val="00484C23"/>
    <w:rsid w:val="00484D14"/>
    <w:rsid w:val="00484D58"/>
    <w:rsid w:val="00484FBE"/>
    <w:rsid w:val="00484FD4"/>
    <w:rsid w:val="0048502C"/>
    <w:rsid w:val="0048506A"/>
    <w:rsid w:val="00485174"/>
    <w:rsid w:val="00485186"/>
    <w:rsid w:val="004851B3"/>
    <w:rsid w:val="004851D0"/>
    <w:rsid w:val="0048520B"/>
    <w:rsid w:val="0048520E"/>
    <w:rsid w:val="00485222"/>
    <w:rsid w:val="004853CA"/>
    <w:rsid w:val="004854EB"/>
    <w:rsid w:val="0048559F"/>
    <w:rsid w:val="004855B3"/>
    <w:rsid w:val="004855C3"/>
    <w:rsid w:val="00485607"/>
    <w:rsid w:val="00485640"/>
    <w:rsid w:val="0048564D"/>
    <w:rsid w:val="0048580B"/>
    <w:rsid w:val="004858DA"/>
    <w:rsid w:val="004858DD"/>
    <w:rsid w:val="00485989"/>
    <w:rsid w:val="00485A3F"/>
    <w:rsid w:val="00485CE1"/>
    <w:rsid w:val="00485E90"/>
    <w:rsid w:val="00485EDD"/>
    <w:rsid w:val="00485F2F"/>
    <w:rsid w:val="00485F47"/>
    <w:rsid w:val="00485FBF"/>
    <w:rsid w:val="00486112"/>
    <w:rsid w:val="00486129"/>
    <w:rsid w:val="00486146"/>
    <w:rsid w:val="004861D5"/>
    <w:rsid w:val="00486206"/>
    <w:rsid w:val="00486227"/>
    <w:rsid w:val="00486249"/>
    <w:rsid w:val="00486269"/>
    <w:rsid w:val="0048629D"/>
    <w:rsid w:val="004862A3"/>
    <w:rsid w:val="00486343"/>
    <w:rsid w:val="00486399"/>
    <w:rsid w:val="0048652D"/>
    <w:rsid w:val="0048657B"/>
    <w:rsid w:val="0048666A"/>
    <w:rsid w:val="0048668C"/>
    <w:rsid w:val="004866C1"/>
    <w:rsid w:val="00486764"/>
    <w:rsid w:val="004867E9"/>
    <w:rsid w:val="004868C6"/>
    <w:rsid w:val="004868F4"/>
    <w:rsid w:val="004869FA"/>
    <w:rsid w:val="00486AA2"/>
    <w:rsid w:val="00486C36"/>
    <w:rsid w:val="00486CDC"/>
    <w:rsid w:val="00486D75"/>
    <w:rsid w:val="00487069"/>
    <w:rsid w:val="00487169"/>
    <w:rsid w:val="00487309"/>
    <w:rsid w:val="004874BC"/>
    <w:rsid w:val="004874F7"/>
    <w:rsid w:val="004875B8"/>
    <w:rsid w:val="004875E7"/>
    <w:rsid w:val="0048762F"/>
    <w:rsid w:val="00487714"/>
    <w:rsid w:val="0048779A"/>
    <w:rsid w:val="0048780E"/>
    <w:rsid w:val="004879A7"/>
    <w:rsid w:val="004879A9"/>
    <w:rsid w:val="00487A03"/>
    <w:rsid w:val="00487AB4"/>
    <w:rsid w:val="00487B38"/>
    <w:rsid w:val="00487B75"/>
    <w:rsid w:val="00487BDC"/>
    <w:rsid w:val="00487C02"/>
    <w:rsid w:val="00487CE2"/>
    <w:rsid w:val="00487D81"/>
    <w:rsid w:val="00487D9C"/>
    <w:rsid w:val="00487F25"/>
    <w:rsid w:val="00487F84"/>
    <w:rsid w:val="00487FC5"/>
    <w:rsid w:val="0048BC07"/>
    <w:rsid w:val="00490051"/>
    <w:rsid w:val="0049007E"/>
    <w:rsid w:val="00490151"/>
    <w:rsid w:val="00490154"/>
    <w:rsid w:val="004901D2"/>
    <w:rsid w:val="0049020A"/>
    <w:rsid w:val="00490394"/>
    <w:rsid w:val="0049045A"/>
    <w:rsid w:val="0049046E"/>
    <w:rsid w:val="004904F7"/>
    <w:rsid w:val="0049062A"/>
    <w:rsid w:val="004906BA"/>
    <w:rsid w:val="00490719"/>
    <w:rsid w:val="0049071F"/>
    <w:rsid w:val="00490739"/>
    <w:rsid w:val="004907EF"/>
    <w:rsid w:val="00490815"/>
    <w:rsid w:val="00490936"/>
    <w:rsid w:val="00490956"/>
    <w:rsid w:val="00490961"/>
    <w:rsid w:val="00490A0F"/>
    <w:rsid w:val="00490B03"/>
    <w:rsid w:val="00490D21"/>
    <w:rsid w:val="00490DCE"/>
    <w:rsid w:val="00490E72"/>
    <w:rsid w:val="00490EF6"/>
    <w:rsid w:val="00490F58"/>
    <w:rsid w:val="00490F5F"/>
    <w:rsid w:val="00490FBE"/>
    <w:rsid w:val="004911BC"/>
    <w:rsid w:val="0049125F"/>
    <w:rsid w:val="004912CD"/>
    <w:rsid w:val="00491305"/>
    <w:rsid w:val="00491313"/>
    <w:rsid w:val="00491347"/>
    <w:rsid w:val="004914D2"/>
    <w:rsid w:val="004915A4"/>
    <w:rsid w:val="004915E6"/>
    <w:rsid w:val="00491684"/>
    <w:rsid w:val="0049168B"/>
    <w:rsid w:val="00491749"/>
    <w:rsid w:val="0049177D"/>
    <w:rsid w:val="00491846"/>
    <w:rsid w:val="004918EC"/>
    <w:rsid w:val="004918F6"/>
    <w:rsid w:val="004919A4"/>
    <w:rsid w:val="004919F5"/>
    <w:rsid w:val="00491A3E"/>
    <w:rsid w:val="00491A67"/>
    <w:rsid w:val="00491AB5"/>
    <w:rsid w:val="00491ABA"/>
    <w:rsid w:val="00491B6D"/>
    <w:rsid w:val="00491B88"/>
    <w:rsid w:val="00491BD7"/>
    <w:rsid w:val="00491BF7"/>
    <w:rsid w:val="00491C45"/>
    <w:rsid w:val="00491C55"/>
    <w:rsid w:val="00491D0E"/>
    <w:rsid w:val="00491D4E"/>
    <w:rsid w:val="00491E9C"/>
    <w:rsid w:val="00491EC1"/>
    <w:rsid w:val="00491F53"/>
    <w:rsid w:val="00491F88"/>
    <w:rsid w:val="00491F8C"/>
    <w:rsid w:val="0049201B"/>
    <w:rsid w:val="00492026"/>
    <w:rsid w:val="00492094"/>
    <w:rsid w:val="004920EE"/>
    <w:rsid w:val="004921F2"/>
    <w:rsid w:val="00492309"/>
    <w:rsid w:val="00492332"/>
    <w:rsid w:val="00492348"/>
    <w:rsid w:val="004923C1"/>
    <w:rsid w:val="0049258A"/>
    <w:rsid w:val="004925E9"/>
    <w:rsid w:val="0049262F"/>
    <w:rsid w:val="004926C6"/>
    <w:rsid w:val="004926F0"/>
    <w:rsid w:val="004927E6"/>
    <w:rsid w:val="00492835"/>
    <w:rsid w:val="0049287D"/>
    <w:rsid w:val="0049291E"/>
    <w:rsid w:val="004929FB"/>
    <w:rsid w:val="00492AC9"/>
    <w:rsid w:val="00492AD1"/>
    <w:rsid w:val="00492CBD"/>
    <w:rsid w:val="00492CC3"/>
    <w:rsid w:val="00492D13"/>
    <w:rsid w:val="00492DD1"/>
    <w:rsid w:val="00492E6E"/>
    <w:rsid w:val="00492E96"/>
    <w:rsid w:val="00492F0A"/>
    <w:rsid w:val="00492FFA"/>
    <w:rsid w:val="004930AB"/>
    <w:rsid w:val="0049314A"/>
    <w:rsid w:val="00493158"/>
    <w:rsid w:val="00493167"/>
    <w:rsid w:val="004932C9"/>
    <w:rsid w:val="004932F0"/>
    <w:rsid w:val="004932F4"/>
    <w:rsid w:val="0049330D"/>
    <w:rsid w:val="00493418"/>
    <w:rsid w:val="004934C0"/>
    <w:rsid w:val="004934F7"/>
    <w:rsid w:val="00493544"/>
    <w:rsid w:val="00493571"/>
    <w:rsid w:val="004935B9"/>
    <w:rsid w:val="004935E9"/>
    <w:rsid w:val="00493642"/>
    <w:rsid w:val="0049366D"/>
    <w:rsid w:val="004936D0"/>
    <w:rsid w:val="004936F1"/>
    <w:rsid w:val="004938D0"/>
    <w:rsid w:val="00493AC1"/>
    <w:rsid w:val="00493C28"/>
    <w:rsid w:val="00493C53"/>
    <w:rsid w:val="00493CA7"/>
    <w:rsid w:val="00493D0B"/>
    <w:rsid w:val="00493D5F"/>
    <w:rsid w:val="00493D9B"/>
    <w:rsid w:val="00493DCF"/>
    <w:rsid w:val="00493E04"/>
    <w:rsid w:val="00493E50"/>
    <w:rsid w:val="00493E9C"/>
    <w:rsid w:val="00493EEC"/>
    <w:rsid w:val="00493F2A"/>
    <w:rsid w:val="00493F2F"/>
    <w:rsid w:val="00493F7D"/>
    <w:rsid w:val="00493F88"/>
    <w:rsid w:val="00493FF8"/>
    <w:rsid w:val="00494023"/>
    <w:rsid w:val="0049407B"/>
    <w:rsid w:val="004940AB"/>
    <w:rsid w:val="004940C7"/>
    <w:rsid w:val="00494113"/>
    <w:rsid w:val="0049413B"/>
    <w:rsid w:val="00494151"/>
    <w:rsid w:val="0049419D"/>
    <w:rsid w:val="00494213"/>
    <w:rsid w:val="0049430C"/>
    <w:rsid w:val="0049437D"/>
    <w:rsid w:val="004943FB"/>
    <w:rsid w:val="0049443E"/>
    <w:rsid w:val="00494447"/>
    <w:rsid w:val="0049444D"/>
    <w:rsid w:val="00494468"/>
    <w:rsid w:val="004944FE"/>
    <w:rsid w:val="00494510"/>
    <w:rsid w:val="004945B9"/>
    <w:rsid w:val="004945D5"/>
    <w:rsid w:val="00494691"/>
    <w:rsid w:val="00494746"/>
    <w:rsid w:val="00494749"/>
    <w:rsid w:val="0049475A"/>
    <w:rsid w:val="00494768"/>
    <w:rsid w:val="0049479C"/>
    <w:rsid w:val="004947E7"/>
    <w:rsid w:val="00494819"/>
    <w:rsid w:val="00494894"/>
    <w:rsid w:val="004948AB"/>
    <w:rsid w:val="004948BA"/>
    <w:rsid w:val="0049499E"/>
    <w:rsid w:val="004949B4"/>
    <w:rsid w:val="004949D5"/>
    <w:rsid w:val="00494A3D"/>
    <w:rsid w:val="00494A91"/>
    <w:rsid w:val="00494B2C"/>
    <w:rsid w:val="00494BC1"/>
    <w:rsid w:val="00494BDB"/>
    <w:rsid w:val="00494C99"/>
    <w:rsid w:val="00494CF8"/>
    <w:rsid w:val="00494D06"/>
    <w:rsid w:val="00494D41"/>
    <w:rsid w:val="00494DAD"/>
    <w:rsid w:val="00494E3D"/>
    <w:rsid w:val="00494F05"/>
    <w:rsid w:val="00494F15"/>
    <w:rsid w:val="00494F64"/>
    <w:rsid w:val="00494F89"/>
    <w:rsid w:val="00495008"/>
    <w:rsid w:val="00495092"/>
    <w:rsid w:val="004950D6"/>
    <w:rsid w:val="0049511D"/>
    <w:rsid w:val="0049512C"/>
    <w:rsid w:val="00495149"/>
    <w:rsid w:val="0049521D"/>
    <w:rsid w:val="00495262"/>
    <w:rsid w:val="00495289"/>
    <w:rsid w:val="00495327"/>
    <w:rsid w:val="00495499"/>
    <w:rsid w:val="004955ED"/>
    <w:rsid w:val="0049565F"/>
    <w:rsid w:val="00495714"/>
    <w:rsid w:val="00495751"/>
    <w:rsid w:val="00495772"/>
    <w:rsid w:val="00495817"/>
    <w:rsid w:val="00495821"/>
    <w:rsid w:val="00495893"/>
    <w:rsid w:val="004958F7"/>
    <w:rsid w:val="00495950"/>
    <w:rsid w:val="0049598A"/>
    <w:rsid w:val="00495996"/>
    <w:rsid w:val="004959CD"/>
    <w:rsid w:val="00495A65"/>
    <w:rsid w:val="00495ABE"/>
    <w:rsid w:val="00495ACB"/>
    <w:rsid w:val="00495B06"/>
    <w:rsid w:val="00495C43"/>
    <w:rsid w:val="00495CBF"/>
    <w:rsid w:val="00495D2E"/>
    <w:rsid w:val="00495D92"/>
    <w:rsid w:val="00495E0D"/>
    <w:rsid w:val="00495E2A"/>
    <w:rsid w:val="00495E78"/>
    <w:rsid w:val="00495F36"/>
    <w:rsid w:val="00495F7B"/>
    <w:rsid w:val="00495F8C"/>
    <w:rsid w:val="00496002"/>
    <w:rsid w:val="0049602E"/>
    <w:rsid w:val="00496117"/>
    <w:rsid w:val="0049611F"/>
    <w:rsid w:val="0049623E"/>
    <w:rsid w:val="0049628D"/>
    <w:rsid w:val="0049629E"/>
    <w:rsid w:val="004962FE"/>
    <w:rsid w:val="0049638A"/>
    <w:rsid w:val="004963A5"/>
    <w:rsid w:val="00496518"/>
    <w:rsid w:val="00496545"/>
    <w:rsid w:val="00496596"/>
    <w:rsid w:val="00496709"/>
    <w:rsid w:val="00496781"/>
    <w:rsid w:val="004967B0"/>
    <w:rsid w:val="0049680B"/>
    <w:rsid w:val="00496902"/>
    <w:rsid w:val="00496940"/>
    <w:rsid w:val="00496A4D"/>
    <w:rsid w:val="00496AF9"/>
    <w:rsid w:val="00496B98"/>
    <w:rsid w:val="00496BB1"/>
    <w:rsid w:val="00496D35"/>
    <w:rsid w:val="00496D6A"/>
    <w:rsid w:val="00496D6B"/>
    <w:rsid w:val="00496DD1"/>
    <w:rsid w:val="00496DFA"/>
    <w:rsid w:val="00496EFB"/>
    <w:rsid w:val="00496F9C"/>
    <w:rsid w:val="00496FA5"/>
    <w:rsid w:val="00496FEE"/>
    <w:rsid w:val="00497010"/>
    <w:rsid w:val="004971F7"/>
    <w:rsid w:val="0049723A"/>
    <w:rsid w:val="00497249"/>
    <w:rsid w:val="004972A7"/>
    <w:rsid w:val="00497300"/>
    <w:rsid w:val="0049739F"/>
    <w:rsid w:val="004973E6"/>
    <w:rsid w:val="0049746F"/>
    <w:rsid w:val="00497476"/>
    <w:rsid w:val="004974DC"/>
    <w:rsid w:val="004974E1"/>
    <w:rsid w:val="0049756A"/>
    <w:rsid w:val="00497585"/>
    <w:rsid w:val="004975F3"/>
    <w:rsid w:val="0049763D"/>
    <w:rsid w:val="004977C5"/>
    <w:rsid w:val="00497805"/>
    <w:rsid w:val="00497813"/>
    <w:rsid w:val="004978CE"/>
    <w:rsid w:val="0049790C"/>
    <w:rsid w:val="00497A0C"/>
    <w:rsid w:val="00497A3D"/>
    <w:rsid w:val="00497BDF"/>
    <w:rsid w:val="00497C57"/>
    <w:rsid w:val="00497C78"/>
    <w:rsid w:val="00497C97"/>
    <w:rsid w:val="00497D42"/>
    <w:rsid w:val="00497DAD"/>
    <w:rsid w:val="00497E09"/>
    <w:rsid w:val="00497E80"/>
    <w:rsid w:val="00497E9F"/>
    <w:rsid w:val="00497ED0"/>
    <w:rsid w:val="00497EE7"/>
    <w:rsid w:val="00497EFD"/>
    <w:rsid w:val="00497F8A"/>
    <w:rsid w:val="00497FFD"/>
    <w:rsid w:val="004A007C"/>
    <w:rsid w:val="004A016D"/>
    <w:rsid w:val="004A0242"/>
    <w:rsid w:val="004A0295"/>
    <w:rsid w:val="004A02AB"/>
    <w:rsid w:val="004A02B2"/>
    <w:rsid w:val="004A0450"/>
    <w:rsid w:val="004A0479"/>
    <w:rsid w:val="004A053E"/>
    <w:rsid w:val="004A0673"/>
    <w:rsid w:val="004A072A"/>
    <w:rsid w:val="004A0798"/>
    <w:rsid w:val="004A08E2"/>
    <w:rsid w:val="004A08F9"/>
    <w:rsid w:val="004A094D"/>
    <w:rsid w:val="004A0966"/>
    <w:rsid w:val="004A0971"/>
    <w:rsid w:val="004A0B14"/>
    <w:rsid w:val="004A0B3E"/>
    <w:rsid w:val="004A0B5F"/>
    <w:rsid w:val="004A0BFD"/>
    <w:rsid w:val="004A0C27"/>
    <w:rsid w:val="004A0CE4"/>
    <w:rsid w:val="004A0D62"/>
    <w:rsid w:val="004A0D77"/>
    <w:rsid w:val="004A0E57"/>
    <w:rsid w:val="004A0EE8"/>
    <w:rsid w:val="004A0F5A"/>
    <w:rsid w:val="004A0F99"/>
    <w:rsid w:val="004A0FE8"/>
    <w:rsid w:val="004A1049"/>
    <w:rsid w:val="004A11B3"/>
    <w:rsid w:val="004A121E"/>
    <w:rsid w:val="004A122B"/>
    <w:rsid w:val="004A122D"/>
    <w:rsid w:val="004A124F"/>
    <w:rsid w:val="004A1250"/>
    <w:rsid w:val="004A1299"/>
    <w:rsid w:val="004A1307"/>
    <w:rsid w:val="004A1319"/>
    <w:rsid w:val="004A1362"/>
    <w:rsid w:val="004A13AE"/>
    <w:rsid w:val="004A1499"/>
    <w:rsid w:val="004A156C"/>
    <w:rsid w:val="004A1594"/>
    <w:rsid w:val="004A15A7"/>
    <w:rsid w:val="004A160E"/>
    <w:rsid w:val="004A1616"/>
    <w:rsid w:val="004A1637"/>
    <w:rsid w:val="004A1650"/>
    <w:rsid w:val="004A1732"/>
    <w:rsid w:val="004A181B"/>
    <w:rsid w:val="004A185A"/>
    <w:rsid w:val="004A1969"/>
    <w:rsid w:val="004A1992"/>
    <w:rsid w:val="004A1A22"/>
    <w:rsid w:val="004A1A6B"/>
    <w:rsid w:val="004A1ABB"/>
    <w:rsid w:val="004A1AE2"/>
    <w:rsid w:val="004A1B3C"/>
    <w:rsid w:val="004A1B40"/>
    <w:rsid w:val="004A1B52"/>
    <w:rsid w:val="004A1BAB"/>
    <w:rsid w:val="004A1C33"/>
    <w:rsid w:val="004A1D00"/>
    <w:rsid w:val="004A1D3C"/>
    <w:rsid w:val="004A1D6B"/>
    <w:rsid w:val="004A1DB2"/>
    <w:rsid w:val="004A1DD1"/>
    <w:rsid w:val="004A1E00"/>
    <w:rsid w:val="004A1E0B"/>
    <w:rsid w:val="004A1F0A"/>
    <w:rsid w:val="004A208C"/>
    <w:rsid w:val="004A2141"/>
    <w:rsid w:val="004A2159"/>
    <w:rsid w:val="004A2211"/>
    <w:rsid w:val="004A222C"/>
    <w:rsid w:val="004A22B4"/>
    <w:rsid w:val="004A22E1"/>
    <w:rsid w:val="004A23C1"/>
    <w:rsid w:val="004A2442"/>
    <w:rsid w:val="004A2500"/>
    <w:rsid w:val="004A260F"/>
    <w:rsid w:val="004A26CC"/>
    <w:rsid w:val="004A27D4"/>
    <w:rsid w:val="004A2835"/>
    <w:rsid w:val="004A2844"/>
    <w:rsid w:val="004A2859"/>
    <w:rsid w:val="004A28C4"/>
    <w:rsid w:val="004A28E8"/>
    <w:rsid w:val="004A2932"/>
    <w:rsid w:val="004A2A59"/>
    <w:rsid w:val="004A2A69"/>
    <w:rsid w:val="004A2ABD"/>
    <w:rsid w:val="004A2B52"/>
    <w:rsid w:val="004A2B6A"/>
    <w:rsid w:val="004A2C15"/>
    <w:rsid w:val="004A2D21"/>
    <w:rsid w:val="004A2D87"/>
    <w:rsid w:val="004A2DA8"/>
    <w:rsid w:val="004A2E74"/>
    <w:rsid w:val="004A2F41"/>
    <w:rsid w:val="004A2FA5"/>
    <w:rsid w:val="004A3028"/>
    <w:rsid w:val="004A3061"/>
    <w:rsid w:val="004A30AA"/>
    <w:rsid w:val="004A311C"/>
    <w:rsid w:val="004A3326"/>
    <w:rsid w:val="004A3352"/>
    <w:rsid w:val="004A339F"/>
    <w:rsid w:val="004A351A"/>
    <w:rsid w:val="004A3522"/>
    <w:rsid w:val="004A3539"/>
    <w:rsid w:val="004A3567"/>
    <w:rsid w:val="004A361B"/>
    <w:rsid w:val="004A36F5"/>
    <w:rsid w:val="004A38B5"/>
    <w:rsid w:val="004A391A"/>
    <w:rsid w:val="004A3965"/>
    <w:rsid w:val="004A3B0B"/>
    <w:rsid w:val="004A3B3F"/>
    <w:rsid w:val="004A3C41"/>
    <w:rsid w:val="004A3CB5"/>
    <w:rsid w:val="004A3CCD"/>
    <w:rsid w:val="004A3D40"/>
    <w:rsid w:val="004A3DCD"/>
    <w:rsid w:val="004A3E45"/>
    <w:rsid w:val="004A3E5A"/>
    <w:rsid w:val="004A3EDD"/>
    <w:rsid w:val="004A3EE3"/>
    <w:rsid w:val="004A3F5F"/>
    <w:rsid w:val="004A407E"/>
    <w:rsid w:val="004A40BD"/>
    <w:rsid w:val="004A40C7"/>
    <w:rsid w:val="004A4101"/>
    <w:rsid w:val="004A414D"/>
    <w:rsid w:val="004A4220"/>
    <w:rsid w:val="004A429E"/>
    <w:rsid w:val="004A42CE"/>
    <w:rsid w:val="004A42E8"/>
    <w:rsid w:val="004A4337"/>
    <w:rsid w:val="004A439F"/>
    <w:rsid w:val="004A43E8"/>
    <w:rsid w:val="004A43E9"/>
    <w:rsid w:val="004A4455"/>
    <w:rsid w:val="004A448F"/>
    <w:rsid w:val="004A4491"/>
    <w:rsid w:val="004A45AC"/>
    <w:rsid w:val="004A4670"/>
    <w:rsid w:val="004A4693"/>
    <w:rsid w:val="004A46D2"/>
    <w:rsid w:val="004A49EF"/>
    <w:rsid w:val="004A4A06"/>
    <w:rsid w:val="004A4A64"/>
    <w:rsid w:val="004A4AA3"/>
    <w:rsid w:val="004A4AA7"/>
    <w:rsid w:val="004A4AE2"/>
    <w:rsid w:val="004A4C78"/>
    <w:rsid w:val="004A4CD9"/>
    <w:rsid w:val="004A4D35"/>
    <w:rsid w:val="004A4D72"/>
    <w:rsid w:val="004A4D8E"/>
    <w:rsid w:val="004A4DEF"/>
    <w:rsid w:val="004A4F0F"/>
    <w:rsid w:val="004A4FA6"/>
    <w:rsid w:val="004A4FBB"/>
    <w:rsid w:val="004A50B6"/>
    <w:rsid w:val="004A5154"/>
    <w:rsid w:val="004A51F8"/>
    <w:rsid w:val="004A5288"/>
    <w:rsid w:val="004A52BE"/>
    <w:rsid w:val="004A52DD"/>
    <w:rsid w:val="004A532F"/>
    <w:rsid w:val="004A535B"/>
    <w:rsid w:val="004A5374"/>
    <w:rsid w:val="004A5581"/>
    <w:rsid w:val="004A564D"/>
    <w:rsid w:val="004A5665"/>
    <w:rsid w:val="004A56C5"/>
    <w:rsid w:val="004A56EE"/>
    <w:rsid w:val="004A578E"/>
    <w:rsid w:val="004A57F0"/>
    <w:rsid w:val="004A5827"/>
    <w:rsid w:val="004A5940"/>
    <w:rsid w:val="004A5994"/>
    <w:rsid w:val="004A5A1A"/>
    <w:rsid w:val="004A5AB8"/>
    <w:rsid w:val="004A5B19"/>
    <w:rsid w:val="004A5B21"/>
    <w:rsid w:val="004A5B3D"/>
    <w:rsid w:val="004A5B40"/>
    <w:rsid w:val="004A5B5F"/>
    <w:rsid w:val="004A5B95"/>
    <w:rsid w:val="004A5BBD"/>
    <w:rsid w:val="004A5BD8"/>
    <w:rsid w:val="004A5BDB"/>
    <w:rsid w:val="004A5CF3"/>
    <w:rsid w:val="004A5D64"/>
    <w:rsid w:val="004A5D88"/>
    <w:rsid w:val="004A5DF0"/>
    <w:rsid w:val="004A5DF2"/>
    <w:rsid w:val="004A5E8C"/>
    <w:rsid w:val="004A5F24"/>
    <w:rsid w:val="004A5F2D"/>
    <w:rsid w:val="004A5F5C"/>
    <w:rsid w:val="004A605C"/>
    <w:rsid w:val="004A609B"/>
    <w:rsid w:val="004A60F9"/>
    <w:rsid w:val="004A613B"/>
    <w:rsid w:val="004A6164"/>
    <w:rsid w:val="004A629B"/>
    <w:rsid w:val="004A62C4"/>
    <w:rsid w:val="004A636A"/>
    <w:rsid w:val="004A63E0"/>
    <w:rsid w:val="004A64D4"/>
    <w:rsid w:val="004A6501"/>
    <w:rsid w:val="004A6521"/>
    <w:rsid w:val="004A6529"/>
    <w:rsid w:val="004A6569"/>
    <w:rsid w:val="004A65B5"/>
    <w:rsid w:val="004A6612"/>
    <w:rsid w:val="004A6664"/>
    <w:rsid w:val="004A6814"/>
    <w:rsid w:val="004A6881"/>
    <w:rsid w:val="004A68D5"/>
    <w:rsid w:val="004A68ED"/>
    <w:rsid w:val="004A6A54"/>
    <w:rsid w:val="004A6A8C"/>
    <w:rsid w:val="004A6B3A"/>
    <w:rsid w:val="004A6B5B"/>
    <w:rsid w:val="004A6B92"/>
    <w:rsid w:val="004A6BB6"/>
    <w:rsid w:val="004A6BFA"/>
    <w:rsid w:val="004A6C29"/>
    <w:rsid w:val="004A6D46"/>
    <w:rsid w:val="004A6E96"/>
    <w:rsid w:val="004A6F02"/>
    <w:rsid w:val="004A6F45"/>
    <w:rsid w:val="004A7058"/>
    <w:rsid w:val="004A7122"/>
    <w:rsid w:val="004A7188"/>
    <w:rsid w:val="004A72C8"/>
    <w:rsid w:val="004A72E7"/>
    <w:rsid w:val="004A73A6"/>
    <w:rsid w:val="004A7465"/>
    <w:rsid w:val="004A7493"/>
    <w:rsid w:val="004A7497"/>
    <w:rsid w:val="004A74AF"/>
    <w:rsid w:val="004A75BB"/>
    <w:rsid w:val="004A75E7"/>
    <w:rsid w:val="004A7667"/>
    <w:rsid w:val="004A7852"/>
    <w:rsid w:val="004A78A7"/>
    <w:rsid w:val="004A795E"/>
    <w:rsid w:val="004A79AC"/>
    <w:rsid w:val="004A79BE"/>
    <w:rsid w:val="004A79CE"/>
    <w:rsid w:val="004A7A56"/>
    <w:rsid w:val="004A7AFE"/>
    <w:rsid w:val="004A7B41"/>
    <w:rsid w:val="004A7BEC"/>
    <w:rsid w:val="004A7CD6"/>
    <w:rsid w:val="004A7D12"/>
    <w:rsid w:val="004A7D52"/>
    <w:rsid w:val="004A7D80"/>
    <w:rsid w:val="004A7DEE"/>
    <w:rsid w:val="004A7E05"/>
    <w:rsid w:val="004A7E81"/>
    <w:rsid w:val="004A7FA7"/>
    <w:rsid w:val="004A7FE5"/>
    <w:rsid w:val="004A7FF7"/>
    <w:rsid w:val="004B0054"/>
    <w:rsid w:val="004B018F"/>
    <w:rsid w:val="004B022F"/>
    <w:rsid w:val="004B0330"/>
    <w:rsid w:val="004B03D4"/>
    <w:rsid w:val="004B0436"/>
    <w:rsid w:val="004B0502"/>
    <w:rsid w:val="004B0588"/>
    <w:rsid w:val="004B05DE"/>
    <w:rsid w:val="004B0649"/>
    <w:rsid w:val="004B0885"/>
    <w:rsid w:val="004B09A2"/>
    <w:rsid w:val="004B0A0E"/>
    <w:rsid w:val="004B0A77"/>
    <w:rsid w:val="004B0A82"/>
    <w:rsid w:val="004B0B10"/>
    <w:rsid w:val="004B0B8A"/>
    <w:rsid w:val="004B0C5F"/>
    <w:rsid w:val="004B0CBF"/>
    <w:rsid w:val="004B0CDB"/>
    <w:rsid w:val="004B0E08"/>
    <w:rsid w:val="004B0E88"/>
    <w:rsid w:val="004B0F84"/>
    <w:rsid w:val="004B0FCE"/>
    <w:rsid w:val="004B0FF5"/>
    <w:rsid w:val="004B1055"/>
    <w:rsid w:val="004B106E"/>
    <w:rsid w:val="004B10E7"/>
    <w:rsid w:val="004B10F8"/>
    <w:rsid w:val="004B11A2"/>
    <w:rsid w:val="004B13EB"/>
    <w:rsid w:val="004B1458"/>
    <w:rsid w:val="004B1556"/>
    <w:rsid w:val="004B15CB"/>
    <w:rsid w:val="004B1679"/>
    <w:rsid w:val="004B167F"/>
    <w:rsid w:val="004B16BA"/>
    <w:rsid w:val="004B17B0"/>
    <w:rsid w:val="004B186B"/>
    <w:rsid w:val="004B18ED"/>
    <w:rsid w:val="004B19F7"/>
    <w:rsid w:val="004B1A4E"/>
    <w:rsid w:val="004B1A6B"/>
    <w:rsid w:val="004B1A87"/>
    <w:rsid w:val="004B1B4A"/>
    <w:rsid w:val="004B1B88"/>
    <w:rsid w:val="004B1BDB"/>
    <w:rsid w:val="004B1BEA"/>
    <w:rsid w:val="004B1C1C"/>
    <w:rsid w:val="004B1C25"/>
    <w:rsid w:val="004B1C50"/>
    <w:rsid w:val="004B1CD2"/>
    <w:rsid w:val="004B1D0B"/>
    <w:rsid w:val="004B1E27"/>
    <w:rsid w:val="004B1E53"/>
    <w:rsid w:val="004B1E83"/>
    <w:rsid w:val="004B1E96"/>
    <w:rsid w:val="004B2040"/>
    <w:rsid w:val="004B20A1"/>
    <w:rsid w:val="004B20EF"/>
    <w:rsid w:val="004B20F1"/>
    <w:rsid w:val="004B2100"/>
    <w:rsid w:val="004B21B1"/>
    <w:rsid w:val="004B221A"/>
    <w:rsid w:val="004B223C"/>
    <w:rsid w:val="004B2265"/>
    <w:rsid w:val="004B22BF"/>
    <w:rsid w:val="004B22DE"/>
    <w:rsid w:val="004B2304"/>
    <w:rsid w:val="004B2375"/>
    <w:rsid w:val="004B23B2"/>
    <w:rsid w:val="004B2410"/>
    <w:rsid w:val="004B24F6"/>
    <w:rsid w:val="004B24FA"/>
    <w:rsid w:val="004B2511"/>
    <w:rsid w:val="004B2523"/>
    <w:rsid w:val="004B25AA"/>
    <w:rsid w:val="004B25B2"/>
    <w:rsid w:val="004B25F8"/>
    <w:rsid w:val="004B269F"/>
    <w:rsid w:val="004B2712"/>
    <w:rsid w:val="004B272E"/>
    <w:rsid w:val="004B2798"/>
    <w:rsid w:val="004B2811"/>
    <w:rsid w:val="004B2863"/>
    <w:rsid w:val="004B288A"/>
    <w:rsid w:val="004B28C3"/>
    <w:rsid w:val="004B297B"/>
    <w:rsid w:val="004B29A9"/>
    <w:rsid w:val="004B29CE"/>
    <w:rsid w:val="004B2A91"/>
    <w:rsid w:val="004B2A92"/>
    <w:rsid w:val="004B2AB2"/>
    <w:rsid w:val="004B2ABE"/>
    <w:rsid w:val="004B2B17"/>
    <w:rsid w:val="004B2B55"/>
    <w:rsid w:val="004B2BA6"/>
    <w:rsid w:val="004B2BC2"/>
    <w:rsid w:val="004B2BF6"/>
    <w:rsid w:val="004B2C42"/>
    <w:rsid w:val="004B2C8A"/>
    <w:rsid w:val="004B2CC2"/>
    <w:rsid w:val="004B2DFB"/>
    <w:rsid w:val="004B2E22"/>
    <w:rsid w:val="004B2EA5"/>
    <w:rsid w:val="004B2EED"/>
    <w:rsid w:val="004B2EF6"/>
    <w:rsid w:val="004B30CE"/>
    <w:rsid w:val="004B313D"/>
    <w:rsid w:val="004B3179"/>
    <w:rsid w:val="004B323F"/>
    <w:rsid w:val="004B3242"/>
    <w:rsid w:val="004B326B"/>
    <w:rsid w:val="004B340C"/>
    <w:rsid w:val="004B3465"/>
    <w:rsid w:val="004B351F"/>
    <w:rsid w:val="004B35AA"/>
    <w:rsid w:val="004B3629"/>
    <w:rsid w:val="004B3641"/>
    <w:rsid w:val="004B36C3"/>
    <w:rsid w:val="004B388C"/>
    <w:rsid w:val="004B39C5"/>
    <w:rsid w:val="004B39CD"/>
    <w:rsid w:val="004B3A14"/>
    <w:rsid w:val="004B3A73"/>
    <w:rsid w:val="004B3B3A"/>
    <w:rsid w:val="004B3B67"/>
    <w:rsid w:val="004B3BC5"/>
    <w:rsid w:val="004B3CA2"/>
    <w:rsid w:val="004B3CB2"/>
    <w:rsid w:val="004B3CC0"/>
    <w:rsid w:val="004B3D00"/>
    <w:rsid w:val="004B3D5B"/>
    <w:rsid w:val="004B3D88"/>
    <w:rsid w:val="004B3D8D"/>
    <w:rsid w:val="004B3D99"/>
    <w:rsid w:val="004B3ECE"/>
    <w:rsid w:val="004B3EE3"/>
    <w:rsid w:val="004B3EE8"/>
    <w:rsid w:val="004B3F1C"/>
    <w:rsid w:val="004B4046"/>
    <w:rsid w:val="004B40A7"/>
    <w:rsid w:val="004B4380"/>
    <w:rsid w:val="004B43C9"/>
    <w:rsid w:val="004B4450"/>
    <w:rsid w:val="004B44A2"/>
    <w:rsid w:val="004B44E9"/>
    <w:rsid w:val="004B4567"/>
    <w:rsid w:val="004B45AB"/>
    <w:rsid w:val="004B45F0"/>
    <w:rsid w:val="004B4646"/>
    <w:rsid w:val="004B466D"/>
    <w:rsid w:val="004B4675"/>
    <w:rsid w:val="004B4692"/>
    <w:rsid w:val="004B46E5"/>
    <w:rsid w:val="004B475E"/>
    <w:rsid w:val="004B4835"/>
    <w:rsid w:val="004B485F"/>
    <w:rsid w:val="004B4893"/>
    <w:rsid w:val="004B48F9"/>
    <w:rsid w:val="004B4920"/>
    <w:rsid w:val="004B4959"/>
    <w:rsid w:val="004B49A4"/>
    <w:rsid w:val="004B49F6"/>
    <w:rsid w:val="004B4A50"/>
    <w:rsid w:val="004B4A75"/>
    <w:rsid w:val="004B4B0F"/>
    <w:rsid w:val="004B4B25"/>
    <w:rsid w:val="004B4BAE"/>
    <w:rsid w:val="004B4C22"/>
    <w:rsid w:val="004B4CE0"/>
    <w:rsid w:val="004B4D5B"/>
    <w:rsid w:val="004B4E70"/>
    <w:rsid w:val="004B4F61"/>
    <w:rsid w:val="004B4F6F"/>
    <w:rsid w:val="004B4F9E"/>
    <w:rsid w:val="004B4FC3"/>
    <w:rsid w:val="004B4FE0"/>
    <w:rsid w:val="004B5035"/>
    <w:rsid w:val="004B50A1"/>
    <w:rsid w:val="004B50C2"/>
    <w:rsid w:val="004B5117"/>
    <w:rsid w:val="004B5181"/>
    <w:rsid w:val="004B51BE"/>
    <w:rsid w:val="004B527E"/>
    <w:rsid w:val="004B52C1"/>
    <w:rsid w:val="004B52E9"/>
    <w:rsid w:val="004B5328"/>
    <w:rsid w:val="004B5340"/>
    <w:rsid w:val="004B5393"/>
    <w:rsid w:val="004B53C7"/>
    <w:rsid w:val="004B53D9"/>
    <w:rsid w:val="004B53E6"/>
    <w:rsid w:val="004B53EF"/>
    <w:rsid w:val="004B55B1"/>
    <w:rsid w:val="004B55D4"/>
    <w:rsid w:val="004B55D7"/>
    <w:rsid w:val="004B5936"/>
    <w:rsid w:val="004B59DB"/>
    <w:rsid w:val="004B59EF"/>
    <w:rsid w:val="004B5A7E"/>
    <w:rsid w:val="004B5ADF"/>
    <w:rsid w:val="004B5B2D"/>
    <w:rsid w:val="004B5B9C"/>
    <w:rsid w:val="004B5CEF"/>
    <w:rsid w:val="004B5DEB"/>
    <w:rsid w:val="004B5DEC"/>
    <w:rsid w:val="004B5E7E"/>
    <w:rsid w:val="004B5F09"/>
    <w:rsid w:val="004B5FB5"/>
    <w:rsid w:val="004B5FC8"/>
    <w:rsid w:val="004B601B"/>
    <w:rsid w:val="004B603B"/>
    <w:rsid w:val="004B6059"/>
    <w:rsid w:val="004B60A4"/>
    <w:rsid w:val="004B61C0"/>
    <w:rsid w:val="004B61FE"/>
    <w:rsid w:val="004B6252"/>
    <w:rsid w:val="004B625A"/>
    <w:rsid w:val="004B62FB"/>
    <w:rsid w:val="004B636A"/>
    <w:rsid w:val="004B6386"/>
    <w:rsid w:val="004B6391"/>
    <w:rsid w:val="004B64F6"/>
    <w:rsid w:val="004B657E"/>
    <w:rsid w:val="004B6609"/>
    <w:rsid w:val="004B6619"/>
    <w:rsid w:val="004B6677"/>
    <w:rsid w:val="004B6707"/>
    <w:rsid w:val="004B6744"/>
    <w:rsid w:val="004B6815"/>
    <w:rsid w:val="004B6823"/>
    <w:rsid w:val="004B68AB"/>
    <w:rsid w:val="004B68BB"/>
    <w:rsid w:val="004B6934"/>
    <w:rsid w:val="004B6994"/>
    <w:rsid w:val="004B69D1"/>
    <w:rsid w:val="004B69E5"/>
    <w:rsid w:val="004B6A56"/>
    <w:rsid w:val="004B6AB3"/>
    <w:rsid w:val="004B6AF0"/>
    <w:rsid w:val="004B6C13"/>
    <w:rsid w:val="004B6D77"/>
    <w:rsid w:val="004B6DD0"/>
    <w:rsid w:val="004B6DD4"/>
    <w:rsid w:val="004B6E20"/>
    <w:rsid w:val="004B6E3F"/>
    <w:rsid w:val="004B6E54"/>
    <w:rsid w:val="004B6E6F"/>
    <w:rsid w:val="004B6F21"/>
    <w:rsid w:val="004B6F66"/>
    <w:rsid w:val="004B6F7E"/>
    <w:rsid w:val="004B6FB9"/>
    <w:rsid w:val="004B6FC2"/>
    <w:rsid w:val="004B7058"/>
    <w:rsid w:val="004B7098"/>
    <w:rsid w:val="004B70A1"/>
    <w:rsid w:val="004B7130"/>
    <w:rsid w:val="004B7170"/>
    <w:rsid w:val="004B7194"/>
    <w:rsid w:val="004B7195"/>
    <w:rsid w:val="004B71BC"/>
    <w:rsid w:val="004B736D"/>
    <w:rsid w:val="004B738A"/>
    <w:rsid w:val="004B738F"/>
    <w:rsid w:val="004B746B"/>
    <w:rsid w:val="004B74A1"/>
    <w:rsid w:val="004B74D1"/>
    <w:rsid w:val="004B7591"/>
    <w:rsid w:val="004B7695"/>
    <w:rsid w:val="004B7735"/>
    <w:rsid w:val="004B7744"/>
    <w:rsid w:val="004B7783"/>
    <w:rsid w:val="004B77D2"/>
    <w:rsid w:val="004B77E5"/>
    <w:rsid w:val="004B77EE"/>
    <w:rsid w:val="004B77FB"/>
    <w:rsid w:val="004B7948"/>
    <w:rsid w:val="004B7999"/>
    <w:rsid w:val="004B7A47"/>
    <w:rsid w:val="004B7AE0"/>
    <w:rsid w:val="004B7B16"/>
    <w:rsid w:val="004B7B45"/>
    <w:rsid w:val="004B7C8D"/>
    <w:rsid w:val="004B7FFE"/>
    <w:rsid w:val="004C00C3"/>
    <w:rsid w:val="004C00D7"/>
    <w:rsid w:val="004C0115"/>
    <w:rsid w:val="004C01AF"/>
    <w:rsid w:val="004C021B"/>
    <w:rsid w:val="004C0222"/>
    <w:rsid w:val="004C0262"/>
    <w:rsid w:val="004C0284"/>
    <w:rsid w:val="004C02B5"/>
    <w:rsid w:val="004C02D5"/>
    <w:rsid w:val="004C02E5"/>
    <w:rsid w:val="004C02F0"/>
    <w:rsid w:val="004C034D"/>
    <w:rsid w:val="004C0380"/>
    <w:rsid w:val="004C03E9"/>
    <w:rsid w:val="004C045D"/>
    <w:rsid w:val="004C0472"/>
    <w:rsid w:val="004C048D"/>
    <w:rsid w:val="004C04D3"/>
    <w:rsid w:val="004C051A"/>
    <w:rsid w:val="004C052D"/>
    <w:rsid w:val="004C05AC"/>
    <w:rsid w:val="004C066D"/>
    <w:rsid w:val="004C06C8"/>
    <w:rsid w:val="004C0847"/>
    <w:rsid w:val="004C0939"/>
    <w:rsid w:val="004C095D"/>
    <w:rsid w:val="004C0A5E"/>
    <w:rsid w:val="004C0A64"/>
    <w:rsid w:val="004C0A89"/>
    <w:rsid w:val="004C0C15"/>
    <w:rsid w:val="004C0CAF"/>
    <w:rsid w:val="004C0CD9"/>
    <w:rsid w:val="004C0D34"/>
    <w:rsid w:val="004C0E0B"/>
    <w:rsid w:val="004C0F8E"/>
    <w:rsid w:val="004C10CE"/>
    <w:rsid w:val="004C1151"/>
    <w:rsid w:val="004C1167"/>
    <w:rsid w:val="004C11ED"/>
    <w:rsid w:val="004C1240"/>
    <w:rsid w:val="004C12C8"/>
    <w:rsid w:val="004C12E9"/>
    <w:rsid w:val="004C130D"/>
    <w:rsid w:val="004C131C"/>
    <w:rsid w:val="004C13A4"/>
    <w:rsid w:val="004C1501"/>
    <w:rsid w:val="004C16D2"/>
    <w:rsid w:val="004C18B4"/>
    <w:rsid w:val="004C196D"/>
    <w:rsid w:val="004C19E4"/>
    <w:rsid w:val="004C1A0D"/>
    <w:rsid w:val="004C1A6C"/>
    <w:rsid w:val="004C1BDD"/>
    <w:rsid w:val="004C1BF6"/>
    <w:rsid w:val="004C1C0F"/>
    <w:rsid w:val="004C1C14"/>
    <w:rsid w:val="004C1C23"/>
    <w:rsid w:val="004C1C6A"/>
    <w:rsid w:val="004C1E78"/>
    <w:rsid w:val="004C1E92"/>
    <w:rsid w:val="004C1FE9"/>
    <w:rsid w:val="004C2018"/>
    <w:rsid w:val="004C2059"/>
    <w:rsid w:val="004C2075"/>
    <w:rsid w:val="004C20E3"/>
    <w:rsid w:val="004C20F2"/>
    <w:rsid w:val="004C21EE"/>
    <w:rsid w:val="004C21F2"/>
    <w:rsid w:val="004C224D"/>
    <w:rsid w:val="004C229B"/>
    <w:rsid w:val="004C2342"/>
    <w:rsid w:val="004C2434"/>
    <w:rsid w:val="004C2467"/>
    <w:rsid w:val="004C278B"/>
    <w:rsid w:val="004C28CB"/>
    <w:rsid w:val="004C293C"/>
    <w:rsid w:val="004C2982"/>
    <w:rsid w:val="004C29DD"/>
    <w:rsid w:val="004C2AE8"/>
    <w:rsid w:val="004C2B81"/>
    <w:rsid w:val="004C2B8B"/>
    <w:rsid w:val="004C2BE5"/>
    <w:rsid w:val="004C2D49"/>
    <w:rsid w:val="004C2E36"/>
    <w:rsid w:val="004C2F80"/>
    <w:rsid w:val="004C304B"/>
    <w:rsid w:val="004C3067"/>
    <w:rsid w:val="004C30BF"/>
    <w:rsid w:val="004C3155"/>
    <w:rsid w:val="004C31A6"/>
    <w:rsid w:val="004C321E"/>
    <w:rsid w:val="004C3264"/>
    <w:rsid w:val="004C3270"/>
    <w:rsid w:val="004C3294"/>
    <w:rsid w:val="004C3298"/>
    <w:rsid w:val="004C32F1"/>
    <w:rsid w:val="004C3361"/>
    <w:rsid w:val="004C33F8"/>
    <w:rsid w:val="004C346E"/>
    <w:rsid w:val="004C34DB"/>
    <w:rsid w:val="004C34F9"/>
    <w:rsid w:val="004C357F"/>
    <w:rsid w:val="004C3585"/>
    <w:rsid w:val="004C358F"/>
    <w:rsid w:val="004C3599"/>
    <w:rsid w:val="004C3654"/>
    <w:rsid w:val="004C367B"/>
    <w:rsid w:val="004C3709"/>
    <w:rsid w:val="004C38DE"/>
    <w:rsid w:val="004C3929"/>
    <w:rsid w:val="004C3974"/>
    <w:rsid w:val="004C39E3"/>
    <w:rsid w:val="004C3A14"/>
    <w:rsid w:val="004C3A20"/>
    <w:rsid w:val="004C3A5F"/>
    <w:rsid w:val="004C3A7E"/>
    <w:rsid w:val="004C3AC1"/>
    <w:rsid w:val="004C3B28"/>
    <w:rsid w:val="004C3B50"/>
    <w:rsid w:val="004C3B98"/>
    <w:rsid w:val="004C3C12"/>
    <w:rsid w:val="004C3CA1"/>
    <w:rsid w:val="004C3CB4"/>
    <w:rsid w:val="004C3E53"/>
    <w:rsid w:val="004C3ED2"/>
    <w:rsid w:val="004C4101"/>
    <w:rsid w:val="004C4194"/>
    <w:rsid w:val="004C41F6"/>
    <w:rsid w:val="004C4201"/>
    <w:rsid w:val="004C42A8"/>
    <w:rsid w:val="004C42EE"/>
    <w:rsid w:val="004C4315"/>
    <w:rsid w:val="004C434A"/>
    <w:rsid w:val="004C4420"/>
    <w:rsid w:val="004C451F"/>
    <w:rsid w:val="004C464D"/>
    <w:rsid w:val="004C46B0"/>
    <w:rsid w:val="004C4717"/>
    <w:rsid w:val="004C4771"/>
    <w:rsid w:val="004C47F9"/>
    <w:rsid w:val="004C4815"/>
    <w:rsid w:val="004C4851"/>
    <w:rsid w:val="004C48A2"/>
    <w:rsid w:val="004C48FB"/>
    <w:rsid w:val="004C4935"/>
    <w:rsid w:val="004C493F"/>
    <w:rsid w:val="004C4A42"/>
    <w:rsid w:val="004C4AF6"/>
    <w:rsid w:val="004C4C62"/>
    <w:rsid w:val="004C4D8C"/>
    <w:rsid w:val="004C4DDA"/>
    <w:rsid w:val="004C4DDD"/>
    <w:rsid w:val="004C4E7A"/>
    <w:rsid w:val="004C4EBA"/>
    <w:rsid w:val="004C4ECC"/>
    <w:rsid w:val="004C4ED7"/>
    <w:rsid w:val="004C4F25"/>
    <w:rsid w:val="004C5189"/>
    <w:rsid w:val="004C51DD"/>
    <w:rsid w:val="004C525E"/>
    <w:rsid w:val="004C525F"/>
    <w:rsid w:val="004C5289"/>
    <w:rsid w:val="004C52AA"/>
    <w:rsid w:val="004C52DA"/>
    <w:rsid w:val="004C52EE"/>
    <w:rsid w:val="004C52F8"/>
    <w:rsid w:val="004C536B"/>
    <w:rsid w:val="004C53D7"/>
    <w:rsid w:val="004C549A"/>
    <w:rsid w:val="004C54CB"/>
    <w:rsid w:val="004C552D"/>
    <w:rsid w:val="004C55B3"/>
    <w:rsid w:val="004C55CC"/>
    <w:rsid w:val="004C55D1"/>
    <w:rsid w:val="004C56E5"/>
    <w:rsid w:val="004C56E8"/>
    <w:rsid w:val="004C5826"/>
    <w:rsid w:val="004C58A9"/>
    <w:rsid w:val="004C58D9"/>
    <w:rsid w:val="004C58E2"/>
    <w:rsid w:val="004C58FA"/>
    <w:rsid w:val="004C59F5"/>
    <w:rsid w:val="004C5A8A"/>
    <w:rsid w:val="004C5AC2"/>
    <w:rsid w:val="004C5ACE"/>
    <w:rsid w:val="004C5B39"/>
    <w:rsid w:val="004C5BD4"/>
    <w:rsid w:val="004C5BE6"/>
    <w:rsid w:val="004C5DB2"/>
    <w:rsid w:val="004C5DEE"/>
    <w:rsid w:val="004C5E8E"/>
    <w:rsid w:val="004C5F29"/>
    <w:rsid w:val="004C5FA0"/>
    <w:rsid w:val="004C6043"/>
    <w:rsid w:val="004C6085"/>
    <w:rsid w:val="004C60AE"/>
    <w:rsid w:val="004C60E7"/>
    <w:rsid w:val="004C6161"/>
    <w:rsid w:val="004C61C6"/>
    <w:rsid w:val="004C61C8"/>
    <w:rsid w:val="004C6208"/>
    <w:rsid w:val="004C6250"/>
    <w:rsid w:val="004C63A4"/>
    <w:rsid w:val="004C63EA"/>
    <w:rsid w:val="004C646B"/>
    <w:rsid w:val="004C647E"/>
    <w:rsid w:val="004C6528"/>
    <w:rsid w:val="004C65CF"/>
    <w:rsid w:val="004C6640"/>
    <w:rsid w:val="004C6759"/>
    <w:rsid w:val="004C6838"/>
    <w:rsid w:val="004C68A8"/>
    <w:rsid w:val="004C6900"/>
    <w:rsid w:val="004C69A8"/>
    <w:rsid w:val="004C69B9"/>
    <w:rsid w:val="004C6A5B"/>
    <w:rsid w:val="004C6B84"/>
    <w:rsid w:val="004C6BF1"/>
    <w:rsid w:val="004C6C17"/>
    <w:rsid w:val="004C6C7A"/>
    <w:rsid w:val="004C6CA1"/>
    <w:rsid w:val="004C6CA9"/>
    <w:rsid w:val="004C6D09"/>
    <w:rsid w:val="004C6D2F"/>
    <w:rsid w:val="004C6D7C"/>
    <w:rsid w:val="004C6DFB"/>
    <w:rsid w:val="004C6E2D"/>
    <w:rsid w:val="004C6E33"/>
    <w:rsid w:val="004C6E6F"/>
    <w:rsid w:val="004C6EE5"/>
    <w:rsid w:val="004C6F14"/>
    <w:rsid w:val="004C6F3E"/>
    <w:rsid w:val="004C6F86"/>
    <w:rsid w:val="004C6FD8"/>
    <w:rsid w:val="004C705C"/>
    <w:rsid w:val="004C70C2"/>
    <w:rsid w:val="004C7188"/>
    <w:rsid w:val="004C7220"/>
    <w:rsid w:val="004C72CD"/>
    <w:rsid w:val="004C73B2"/>
    <w:rsid w:val="004C74EE"/>
    <w:rsid w:val="004C750E"/>
    <w:rsid w:val="004C7533"/>
    <w:rsid w:val="004C75AE"/>
    <w:rsid w:val="004C762C"/>
    <w:rsid w:val="004C7687"/>
    <w:rsid w:val="004C769E"/>
    <w:rsid w:val="004C7730"/>
    <w:rsid w:val="004C776F"/>
    <w:rsid w:val="004C7803"/>
    <w:rsid w:val="004C781A"/>
    <w:rsid w:val="004C7858"/>
    <w:rsid w:val="004C791D"/>
    <w:rsid w:val="004C79F9"/>
    <w:rsid w:val="004C79FB"/>
    <w:rsid w:val="004C7AA7"/>
    <w:rsid w:val="004C7B2C"/>
    <w:rsid w:val="004C7BA4"/>
    <w:rsid w:val="004C7BBB"/>
    <w:rsid w:val="004C7BC2"/>
    <w:rsid w:val="004C7C47"/>
    <w:rsid w:val="004C7C67"/>
    <w:rsid w:val="004C7CF6"/>
    <w:rsid w:val="004C7CFE"/>
    <w:rsid w:val="004C7D33"/>
    <w:rsid w:val="004C7D40"/>
    <w:rsid w:val="004C7DC2"/>
    <w:rsid w:val="004C7DEB"/>
    <w:rsid w:val="004C7E51"/>
    <w:rsid w:val="004C7F05"/>
    <w:rsid w:val="004C7F2B"/>
    <w:rsid w:val="004C7F33"/>
    <w:rsid w:val="004C7F45"/>
    <w:rsid w:val="004C7FE6"/>
    <w:rsid w:val="004D0109"/>
    <w:rsid w:val="004D0197"/>
    <w:rsid w:val="004D0250"/>
    <w:rsid w:val="004D029A"/>
    <w:rsid w:val="004D02F1"/>
    <w:rsid w:val="004D03F5"/>
    <w:rsid w:val="004D040C"/>
    <w:rsid w:val="004D04AB"/>
    <w:rsid w:val="004D0584"/>
    <w:rsid w:val="004D0607"/>
    <w:rsid w:val="004D0633"/>
    <w:rsid w:val="004D0642"/>
    <w:rsid w:val="004D0717"/>
    <w:rsid w:val="004D076A"/>
    <w:rsid w:val="004D0787"/>
    <w:rsid w:val="004D0791"/>
    <w:rsid w:val="004D08AA"/>
    <w:rsid w:val="004D09F7"/>
    <w:rsid w:val="004D0A5A"/>
    <w:rsid w:val="004D0BCC"/>
    <w:rsid w:val="004D0C4D"/>
    <w:rsid w:val="004D0CF4"/>
    <w:rsid w:val="004D0D0A"/>
    <w:rsid w:val="004D0D70"/>
    <w:rsid w:val="004D0D8F"/>
    <w:rsid w:val="004D0DB4"/>
    <w:rsid w:val="004D0DCD"/>
    <w:rsid w:val="004D0EE9"/>
    <w:rsid w:val="004D0F06"/>
    <w:rsid w:val="004D0FB5"/>
    <w:rsid w:val="004D0FCF"/>
    <w:rsid w:val="004D0FE3"/>
    <w:rsid w:val="004D1134"/>
    <w:rsid w:val="004D120A"/>
    <w:rsid w:val="004D1365"/>
    <w:rsid w:val="004D1460"/>
    <w:rsid w:val="004D14D7"/>
    <w:rsid w:val="004D1507"/>
    <w:rsid w:val="004D1538"/>
    <w:rsid w:val="004D158A"/>
    <w:rsid w:val="004D1610"/>
    <w:rsid w:val="004D1647"/>
    <w:rsid w:val="004D1691"/>
    <w:rsid w:val="004D1736"/>
    <w:rsid w:val="004D1768"/>
    <w:rsid w:val="004D1809"/>
    <w:rsid w:val="004D1882"/>
    <w:rsid w:val="004D1910"/>
    <w:rsid w:val="004D1917"/>
    <w:rsid w:val="004D19DB"/>
    <w:rsid w:val="004D1A61"/>
    <w:rsid w:val="004D1AB1"/>
    <w:rsid w:val="004D1B0E"/>
    <w:rsid w:val="004D1B75"/>
    <w:rsid w:val="004D1BE6"/>
    <w:rsid w:val="004D1C87"/>
    <w:rsid w:val="004D1C9D"/>
    <w:rsid w:val="004D1D1C"/>
    <w:rsid w:val="004D1D1D"/>
    <w:rsid w:val="004D1D3E"/>
    <w:rsid w:val="004D1F11"/>
    <w:rsid w:val="004D206C"/>
    <w:rsid w:val="004D2073"/>
    <w:rsid w:val="004D2079"/>
    <w:rsid w:val="004D20BC"/>
    <w:rsid w:val="004D20DD"/>
    <w:rsid w:val="004D219F"/>
    <w:rsid w:val="004D21EE"/>
    <w:rsid w:val="004D22B5"/>
    <w:rsid w:val="004D2317"/>
    <w:rsid w:val="004D2324"/>
    <w:rsid w:val="004D23BD"/>
    <w:rsid w:val="004D23CE"/>
    <w:rsid w:val="004D23E9"/>
    <w:rsid w:val="004D240E"/>
    <w:rsid w:val="004D24E3"/>
    <w:rsid w:val="004D2502"/>
    <w:rsid w:val="004D2515"/>
    <w:rsid w:val="004D25A8"/>
    <w:rsid w:val="004D2632"/>
    <w:rsid w:val="004D2668"/>
    <w:rsid w:val="004D2684"/>
    <w:rsid w:val="004D27C7"/>
    <w:rsid w:val="004D27E9"/>
    <w:rsid w:val="004D280E"/>
    <w:rsid w:val="004D2824"/>
    <w:rsid w:val="004D2831"/>
    <w:rsid w:val="004D285C"/>
    <w:rsid w:val="004D2951"/>
    <w:rsid w:val="004D2A22"/>
    <w:rsid w:val="004D2A9F"/>
    <w:rsid w:val="004D2D12"/>
    <w:rsid w:val="004D2D43"/>
    <w:rsid w:val="004D2D48"/>
    <w:rsid w:val="004D2D7F"/>
    <w:rsid w:val="004D2D92"/>
    <w:rsid w:val="004D2D95"/>
    <w:rsid w:val="004D2DBE"/>
    <w:rsid w:val="004D2DF3"/>
    <w:rsid w:val="004D2EA0"/>
    <w:rsid w:val="004D2EEF"/>
    <w:rsid w:val="004D2F99"/>
    <w:rsid w:val="004D3084"/>
    <w:rsid w:val="004D3141"/>
    <w:rsid w:val="004D31B2"/>
    <w:rsid w:val="004D3211"/>
    <w:rsid w:val="004D337E"/>
    <w:rsid w:val="004D3386"/>
    <w:rsid w:val="004D3399"/>
    <w:rsid w:val="004D3450"/>
    <w:rsid w:val="004D3456"/>
    <w:rsid w:val="004D34ED"/>
    <w:rsid w:val="004D3514"/>
    <w:rsid w:val="004D3582"/>
    <w:rsid w:val="004D3651"/>
    <w:rsid w:val="004D369D"/>
    <w:rsid w:val="004D36C8"/>
    <w:rsid w:val="004D370A"/>
    <w:rsid w:val="004D38E2"/>
    <w:rsid w:val="004D38F7"/>
    <w:rsid w:val="004D3951"/>
    <w:rsid w:val="004D3A12"/>
    <w:rsid w:val="004D3AB6"/>
    <w:rsid w:val="004D3ABD"/>
    <w:rsid w:val="004D3AF6"/>
    <w:rsid w:val="004D3B1D"/>
    <w:rsid w:val="004D3B9D"/>
    <w:rsid w:val="004D3C08"/>
    <w:rsid w:val="004D3C1E"/>
    <w:rsid w:val="004D3C22"/>
    <w:rsid w:val="004D3D0C"/>
    <w:rsid w:val="004D3DD4"/>
    <w:rsid w:val="004D3DE9"/>
    <w:rsid w:val="004D3EDB"/>
    <w:rsid w:val="004D3EE6"/>
    <w:rsid w:val="004D3F48"/>
    <w:rsid w:val="004D3F4C"/>
    <w:rsid w:val="004D3F86"/>
    <w:rsid w:val="004D3FA3"/>
    <w:rsid w:val="004D3FC5"/>
    <w:rsid w:val="004D4089"/>
    <w:rsid w:val="004D408B"/>
    <w:rsid w:val="004D41B9"/>
    <w:rsid w:val="004D429A"/>
    <w:rsid w:val="004D42F3"/>
    <w:rsid w:val="004D432B"/>
    <w:rsid w:val="004D437D"/>
    <w:rsid w:val="004D43AE"/>
    <w:rsid w:val="004D43E0"/>
    <w:rsid w:val="004D43EE"/>
    <w:rsid w:val="004D4460"/>
    <w:rsid w:val="004D44AE"/>
    <w:rsid w:val="004D452B"/>
    <w:rsid w:val="004D4643"/>
    <w:rsid w:val="004D46E4"/>
    <w:rsid w:val="004D46E6"/>
    <w:rsid w:val="004D470C"/>
    <w:rsid w:val="004D47CC"/>
    <w:rsid w:val="004D4820"/>
    <w:rsid w:val="004D4875"/>
    <w:rsid w:val="004D4915"/>
    <w:rsid w:val="004D4943"/>
    <w:rsid w:val="004D4A69"/>
    <w:rsid w:val="004D4A8A"/>
    <w:rsid w:val="004D4ADE"/>
    <w:rsid w:val="004D4B71"/>
    <w:rsid w:val="004D4BD4"/>
    <w:rsid w:val="004D4BFA"/>
    <w:rsid w:val="004D4C2D"/>
    <w:rsid w:val="004D4C66"/>
    <w:rsid w:val="004D4C6F"/>
    <w:rsid w:val="004D4D41"/>
    <w:rsid w:val="004D4D89"/>
    <w:rsid w:val="004D4D95"/>
    <w:rsid w:val="004D4DAB"/>
    <w:rsid w:val="004D4E88"/>
    <w:rsid w:val="004D4F6E"/>
    <w:rsid w:val="004D4FA0"/>
    <w:rsid w:val="004D4FC8"/>
    <w:rsid w:val="004D50C4"/>
    <w:rsid w:val="004D50DB"/>
    <w:rsid w:val="004D5206"/>
    <w:rsid w:val="004D5264"/>
    <w:rsid w:val="004D52A9"/>
    <w:rsid w:val="004D53A7"/>
    <w:rsid w:val="004D5425"/>
    <w:rsid w:val="004D5499"/>
    <w:rsid w:val="004D551B"/>
    <w:rsid w:val="004D5524"/>
    <w:rsid w:val="004D554A"/>
    <w:rsid w:val="004D55CE"/>
    <w:rsid w:val="004D562A"/>
    <w:rsid w:val="004D5687"/>
    <w:rsid w:val="004D575F"/>
    <w:rsid w:val="004D5878"/>
    <w:rsid w:val="004D5964"/>
    <w:rsid w:val="004D5966"/>
    <w:rsid w:val="004D5971"/>
    <w:rsid w:val="004D5BCE"/>
    <w:rsid w:val="004D5C60"/>
    <w:rsid w:val="004D5CC0"/>
    <w:rsid w:val="004D5CDE"/>
    <w:rsid w:val="004D5EF0"/>
    <w:rsid w:val="004D5EFE"/>
    <w:rsid w:val="004D5F2F"/>
    <w:rsid w:val="004D5FCF"/>
    <w:rsid w:val="004D5FEF"/>
    <w:rsid w:val="004D60E6"/>
    <w:rsid w:val="004D6387"/>
    <w:rsid w:val="004D63DA"/>
    <w:rsid w:val="004D648C"/>
    <w:rsid w:val="004D64E4"/>
    <w:rsid w:val="004D6530"/>
    <w:rsid w:val="004D6593"/>
    <w:rsid w:val="004D663D"/>
    <w:rsid w:val="004D6680"/>
    <w:rsid w:val="004D66D4"/>
    <w:rsid w:val="004D6717"/>
    <w:rsid w:val="004D6824"/>
    <w:rsid w:val="004D685C"/>
    <w:rsid w:val="004D6866"/>
    <w:rsid w:val="004D686E"/>
    <w:rsid w:val="004D687C"/>
    <w:rsid w:val="004D68DB"/>
    <w:rsid w:val="004D68FF"/>
    <w:rsid w:val="004D690B"/>
    <w:rsid w:val="004D690F"/>
    <w:rsid w:val="004D6961"/>
    <w:rsid w:val="004D6B5C"/>
    <w:rsid w:val="004D6B77"/>
    <w:rsid w:val="004D6B8A"/>
    <w:rsid w:val="004D6BCA"/>
    <w:rsid w:val="004D6C33"/>
    <w:rsid w:val="004D6CC1"/>
    <w:rsid w:val="004D6CCF"/>
    <w:rsid w:val="004D6CF7"/>
    <w:rsid w:val="004D6D1A"/>
    <w:rsid w:val="004D6E1F"/>
    <w:rsid w:val="004D6E47"/>
    <w:rsid w:val="004D6E62"/>
    <w:rsid w:val="004D6E73"/>
    <w:rsid w:val="004D6EB0"/>
    <w:rsid w:val="004D6F94"/>
    <w:rsid w:val="004D7039"/>
    <w:rsid w:val="004D703F"/>
    <w:rsid w:val="004D70DB"/>
    <w:rsid w:val="004D7107"/>
    <w:rsid w:val="004D7271"/>
    <w:rsid w:val="004D72CE"/>
    <w:rsid w:val="004D7305"/>
    <w:rsid w:val="004D7374"/>
    <w:rsid w:val="004D73D2"/>
    <w:rsid w:val="004D7466"/>
    <w:rsid w:val="004D74EF"/>
    <w:rsid w:val="004D7667"/>
    <w:rsid w:val="004D76B8"/>
    <w:rsid w:val="004D76FA"/>
    <w:rsid w:val="004D7724"/>
    <w:rsid w:val="004D772C"/>
    <w:rsid w:val="004D7923"/>
    <w:rsid w:val="004D7931"/>
    <w:rsid w:val="004D7B26"/>
    <w:rsid w:val="004D7B78"/>
    <w:rsid w:val="004D7C08"/>
    <w:rsid w:val="004D7C2A"/>
    <w:rsid w:val="004D7C49"/>
    <w:rsid w:val="004D7C6C"/>
    <w:rsid w:val="004D7D11"/>
    <w:rsid w:val="004D7D6C"/>
    <w:rsid w:val="004D7F65"/>
    <w:rsid w:val="004D7FED"/>
    <w:rsid w:val="004E004B"/>
    <w:rsid w:val="004E00F6"/>
    <w:rsid w:val="004E0107"/>
    <w:rsid w:val="004E01DE"/>
    <w:rsid w:val="004E02A4"/>
    <w:rsid w:val="004E0330"/>
    <w:rsid w:val="004E0433"/>
    <w:rsid w:val="004E04CD"/>
    <w:rsid w:val="004E0618"/>
    <w:rsid w:val="004E0674"/>
    <w:rsid w:val="004E0695"/>
    <w:rsid w:val="004E0758"/>
    <w:rsid w:val="004E0781"/>
    <w:rsid w:val="004E0785"/>
    <w:rsid w:val="004E07BD"/>
    <w:rsid w:val="004E082D"/>
    <w:rsid w:val="004E0837"/>
    <w:rsid w:val="004E0899"/>
    <w:rsid w:val="004E08FB"/>
    <w:rsid w:val="004E0933"/>
    <w:rsid w:val="004E0BEE"/>
    <w:rsid w:val="004E0CE5"/>
    <w:rsid w:val="004E0D5A"/>
    <w:rsid w:val="004E0D74"/>
    <w:rsid w:val="004E0DC3"/>
    <w:rsid w:val="004E0DCA"/>
    <w:rsid w:val="004E0DE9"/>
    <w:rsid w:val="004E0E2B"/>
    <w:rsid w:val="004E0FB1"/>
    <w:rsid w:val="004E1018"/>
    <w:rsid w:val="004E101E"/>
    <w:rsid w:val="004E1079"/>
    <w:rsid w:val="004E111C"/>
    <w:rsid w:val="004E112D"/>
    <w:rsid w:val="004E1183"/>
    <w:rsid w:val="004E11FA"/>
    <w:rsid w:val="004E1275"/>
    <w:rsid w:val="004E1280"/>
    <w:rsid w:val="004E13A4"/>
    <w:rsid w:val="004E140F"/>
    <w:rsid w:val="004E1497"/>
    <w:rsid w:val="004E1499"/>
    <w:rsid w:val="004E149D"/>
    <w:rsid w:val="004E14DE"/>
    <w:rsid w:val="004E1598"/>
    <w:rsid w:val="004E15D6"/>
    <w:rsid w:val="004E15EE"/>
    <w:rsid w:val="004E161A"/>
    <w:rsid w:val="004E16C9"/>
    <w:rsid w:val="004E16CF"/>
    <w:rsid w:val="004E177E"/>
    <w:rsid w:val="004E17A5"/>
    <w:rsid w:val="004E17CD"/>
    <w:rsid w:val="004E1829"/>
    <w:rsid w:val="004E1885"/>
    <w:rsid w:val="004E18BD"/>
    <w:rsid w:val="004E1984"/>
    <w:rsid w:val="004E19BF"/>
    <w:rsid w:val="004E1ABC"/>
    <w:rsid w:val="004E1AFC"/>
    <w:rsid w:val="004E1D12"/>
    <w:rsid w:val="004E1D6F"/>
    <w:rsid w:val="004E1D94"/>
    <w:rsid w:val="004E1D9B"/>
    <w:rsid w:val="004E1DEE"/>
    <w:rsid w:val="004E1F13"/>
    <w:rsid w:val="004E1F66"/>
    <w:rsid w:val="004E20AC"/>
    <w:rsid w:val="004E20D4"/>
    <w:rsid w:val="004E20E5"/>
    <w:rsid w:val="004E20E8"/>
    <w:rsid w:val="004E20FD"/>
    <w:rsid w:val="004E215A"/>
    <w:rsid w:val="004E2169"/>
    <w:rsid w:val="004E23AA"/>
    <w:rsid w:val="004E23BF"/>
    <w:rsid w:val="004E2450"/>
    <w:rsid w:val="004E256B"/>
    <w:rsid w:val="004E25C4"/>
    <w:rsid w:val="004E25D8"/>
    <w:rsid w:val="004E2661"/>
    <w:rsid w:val="004E26E1"/>
    <w:rsid w:val="004E272E"/>
    <w:rsid w:val="004E2746"/>
    <w:rsid w:val="004E2757"/>
    <w:rsid w:val="004E2758"/>
    <w:rsid w:val="004E277B"/>
    <w:rsid w:val="004E27E3"/>
    <w:rsid w:val="004E2844"/>
    <w:rsid w:val="004E2A68"/>
    <w:rsid w:val="004E2C05"/>
    <w:rsid w:val="004E2C3B"/>
    <w:rsid w:val="004E2C62"/>
    <w:rsid w:val="004E2CC3"/>
    <w:rsid w:val="004E2CF9"/>
    <w:rsid w:val="004E2D06"/>
    <w:rsid w:val="004E2D1E"/>
    <w:rsid w:val="004E2DF5"/>
    <w:rsid w:val="004E2E26"/>
    <w:rsid w:val="004E2E46"/>
    <w:rsid w:val="004E2E61"/>
    <w:rsid w:val="004E2EB3"/>
    <w:rsid w:val="004E2EBA"/>
    <w:rsid w:val="004E2F0D"/>
    <w:rsid w:val="004E3009"/>
    <w:rsid w:val="004E302C"/>
    <w:rsid w:val="004E3043"/>
    <w:rsid w:val="004E3046"/>
    <w:rsid w:val="004E3059"/>
    <w:rsid w:val="004E3217"/>
    <w:rsid w:val="004E32F1"/>
    <w:rsid w:val="004E330F"/>
    <w:rsid w:val="004E3334"/>
    <w:rsid w:val="004E33B9"/>
    <w:rsid w:val="004E33DE"/>
    <w:rsid w:val="004E34AE"/>
    <w:rsid w:val="004E353A"/>
    <w:rsid w:val="004E3608"/>
    <w:rsid w:val="004E3680"/>
    <w:rsid w:val="004E36D3"/>
    <w:rsid w:val="004E3704"/>
    <w:rsid w:val="004E374B"/>
    <w:rsid w:val="004E3775"/>
    <w:rsid w:val="004E377F"/>
    <w:rsid w:val="004E37A5"/>
    <w:rsid w:val="004E3852"/>
    <w:rsid w:val="004E3985"/>
    <w:rsid w:val="004E39BC"/>
    <w:rsid w:val="004E39FE"/>
    <w:rsid w:val="004E3A7B"/>
    <w:rsid w:val="004E3A85"/>
    <w:rsid w:val="004E3B19"/>
    <w:rsid w:val="004E3B41"/>
    <w:rsid w:val="004E3B4B"/>
    <w:rsid w:val="004E3B58"/>
    <w:rsid w:val="004E3C0A"/>
    <w:rsid w:val="004E3C9C"/>
    <w:rsid w:val="004E3D0E"/>
    <w:rsid w:val="004E3E35"/>
    <w:rsid w:val="004E3FE0"/>
    <w:rsid w:val="004E4107"/>
    <w:rsid w:val="004E4193"/>
    <w:rsid w:val="004E41A9"/>
    <w:rsid w:val="004E420A"/>
    <w:rsid w:val="004E420B"/>
    <w:rsid w:val="004E4257"/>
    <w:rsid w:val="004E4273"/>
    <w:rsid w:val="004E42FD"/>
    <w:rsid w:val="004E437E"/>
    <w:rsid w:val="004E4451"/>
    <w:rsid w:val="004E446D"/>
    <w:rsid w:val="004E44EA"/>
    <w:rsid w:val="004E4564"/>
    <w:rsid w:val="004E45D5"/>
    <w:rsid w:val="004E462C"/>
    <w:rsid w:val="004E469D"/>
    <w:rsid w:val="004E46E9"/>
    <w:rsid w:val="004E46F9"/>
    <w:rsid w:val="004E4756"/>
    <w:rsid w:val="004E4783"/>
    <w:rsid w:val="004E482A"/>
    <w:rsid w:val="004E484A"/>
    <w:rsid w:val="004E48DA"/>
    <w:rsid w:val="004E4910"/>
    <w:rsid w:val="004E4922"/>
    <w:rsid w:val="004E4A3B"/>
    <w:rsid w:val="004E4B3C"/>
    <w:rsid w:val="004E4BC9"/>
    <w:rsid w:val="004E4C4A"/>
    <w:rsid w:val="004E4C81"/>
    <w:rsid w:val="004E4C9B"/>
    <w:rsid w:val="004E4CB6"/>
    <w:rsid w:val="004E4CBD"/>
    <w:rsid w:val="004E4CE2"/>
    <w:rsid w:val="004E4D27"/>
    <w:rsid w:val="004E4DCE"/>
    <w:rsid w:val="004E4DDD"/>
    <w:rsid w:val="004E4E71"/>
    <w:rsid w:val="004E4F3B"/>
    <w:rsid w:val="004E4F53"/>
    <w:rsid w:val="004E4FCE"/>
    <w:rsid w:val="004E501B"/>
    <w:rsid w:val="004E506C"/>
    <w:rsid w:val="004E5080"/>
    <w:rsid w:val="004E50AC"/>
    <w:rsid w:val="004E514B"/>
    <w:rsid w:val="004E5242"/>
    <w:rsid w:val="004E52A3"/>
    <w:rsid w:val="004E53FA"/>
    <w:rsid w:val="004E5428"/>
    <w:rsid w:val="004E543A"/>
    <w:rsid w:val="004E54CC"/>
    <w:rsid w:val="004E54F2"/>
    <w:rsid w:val="004E5559"/>
    <w:rsid w:val="004E564B"/>
    <w:rsid w:val="004E568C"/>
    <w:rsid w:val="004E56A6"/>
    <w:rsid w:val="004E57E2"/>
    <w:rsid w:val="004E5809"/>
    <w:rsid w:val="004E5988"/>
    <w:rsid w:val="004E59B0"/>
    <w:rsid w:val="004E5A33"/>
    <w:rsid w:val="004E5A34"/>
    <w:rsid w:val="004E5AEB"/>
    <w:rsid w:val="004E5AF6"/>
    <w:rsid w:val="004E5B1D"/>
    <w:rsid w:val="004E5B1F"/>
    <w:rsid w:val="004E5B4B"/>
    <w:rsid w:val="004E5B4F"/>
    <w:rsid w:val="004E5BEF"/>
    <w:rsid w:val="004E5C04"/>
    <w:rsid w:val="004E5CBD"/>
    <w:rsid w:val="004E5D15"/>
    <w:rsid w:val="004E5D66"/>
    <w:rsid w:val="004E5D68"/>
    <w:rsid w:val="004E5DAE"/>
    <w:rsid w:val="004E5F5D"/>
    <w:rsid w:val="004E605B"/>
    <w:rsid w:val="004E60D0"/>
    <w:rsid w:val="004E60D6"/>
    <w:rsid w:val="004E629B"/>
    <w:rsid w:val="004E62BE"/>
    <w:rsid w:val="004E62C2"/>
    <w:rsid w:val="004E634B"/>
    <w:rsid w:val="004E6396"/>
    <w:rsid w:val="004E63AE"/>
    <w:rsid w:val="004E63C9"/>
    <w:rsid w:val="004E63D8"/>
    <w:rsid w:val="004E6443"/>
    <w:rsid w:val="004E6460"/>
    <w:rsid w:val="004E6470"/>
    <w:rsid w:val="004E64E9"/>
    <w:rsid w:val="004E654A"/>
    <w:rsid w:val="004E654D"/>
    <w:rsid w:val="004E65EE"/>
    <w:rsid w:val="004E6646"/>
    <w:rsid w:val="004E6760"/>
    <w:rsid w:val="004E68A3"/>
    <w:rsid w:val="004E696A"/>
    <w:rsid w:val="004E6A1A"/>
    <w:rsid w:val="004E6B2D"/>
    <w:rsid w:val="004E6B32"/>
    <w:rsid w:val="004E6BBC"/>
    <w:rsid w:val="004E6C10"/>
    <w:rsid w:val="004E6C16"/>
    <w:rsid w:val="004E6C24"/>
    <w:rsid w:val="004E6C44"/>
    <w:rsid w:val="004E6D6A"/>
    <w:rsid w:val="004E6DE9"/>
    <w:rsid w:val="004E6E9A"/>
    <w:rsid w:val="004E6F1F"/>
    <w:rsid w:val="004E6F5A"/>
    <w:rsid w:val="004E70B4"/>
    <w:rsid w:val="004E7136"/>
    <w:rsid w:val="004E7157"/>
    <w:rsid w:val="004E719D"/>
    <w:rsid w:val="004E727E"/>
    <w:rsid w:val="004E72CD"/>
    <w:rsid w:val="004E7358"/>
    <w:rsid w:val="004E73DD"/>
    <w:rsid w:val="004E73E5"/>
    <w:rsid w:val="004E75B9"/>
    <w:rsid w:val="004E76EC"/>
    <w:rsid w:val="004E7715"/>
    <w:rsid w:val="004E774E"/>
    <w:rsid w:val="004E7810"/>
    <w:rsid w:val="004E784B"/>
    <w:rsid w:val="004E789A"/>
    <w:rsid w:val="004E790D"/>
    <w:rsid w:val="004E7983"/>
    <w:rsid w:val="004E7A5B"/>
    <w:rsid w:val="004E7AD9"/>
    <w:rsid w:val="004E7B44"/>
    <w:rsid w:val="004E7B9D"/>
    <w:rsid w:val="004E7BAE"/>
    <w:rsid w:val="004E7BB4"/>
    <w:rsid w:val="004E7BE9"/>
    <w:rsid w:val="004E7C28"/>
    <w:rsid w:val="004E7C2A"/>
    <w:rsid w:val="004E7C33"/>
    <w:rsid w:val="004E7D28"/>
    <w:rsid w:val="004E7E13"/>
    <w:rsid w:val="004E7E99"/>
    <w:rsid w:val="004E7EAF"/>
    <w:rsid w:val="004E7ECF"/>
    <w:rsid w:val="004E7F50"/>
    <w:rsid w:val="004E7F5E"/>
    <w:rsid w:val="004F0035"/>
    <w:rsid w:val="004F0079"/>
    <w:rsid w:val="004F00D7"/>
    <w:rsid w:val="004F0142"/>
    <w:rsid w:val="004F0144"/>
    <w:rsid w:val="004F0189"/>
    <w:rsid w:val="004F01C8"/>
    <w:rsid w:val="004F02D4"/>
    <w:rsid w:val="004F02E4"/>
    <w:rsid w:val="004F0363"/>
    <w:rsid w:val="004F038B"/>
    <w:rsid w:val="004F040B"/>
    <w:rsid w:val="004F057C"/>
    <w:rsid w:val="004F0821"/>
    <w:rsid w:val="004F086D"/>
    <w:rsid w:val="004F0877"/>
    <w:rsid w:val="004F08F1"/>
    <w:rsid w:val="004F09B0"/>
    <w:rsid w:val="004F0A01"/>
    <w:rsid w:val="004F0AA1"/>
    <w:rsid w:val="004F0ABA"/>
    <w:rsid w:val="004F0B1E"/>
    <w:rsid w:val="004F0BA9"/>
    <w:rsid w:val="004F0C0C"/>
    <w:rsid w:val="004F0CD5"/>
    <w:rsid w:val="004F0D7E"/>
    <w:rsid w:val="004F0D92"/>
    <w:rsid w:val="004F0E4B"/>
    <w:rsid w:val="004F0E65"/>
    <w:rsid w:val="004F0E66"/>
    <w:rsid w:val="004F0E7C"/>
    <w:rsid w:val="004F0EBD"/>
    <w:rsid w:val="004F0F41"/>
    <w:rsid w:val="004F0F5A"/>
    <w:rsid w:val="004F0F79"/>
    <w:rsid w:val="004F0F80"/>
    <w:rsid w:val="004F0FDC"/>
    <w:rsid w:val="004F10FF"/>
    <w:rsid w:val="004F1188"/>
    <w:rsid w:val="004F11A3"/>
    <w:rsid w:val="004F1294"/>
    <w:rsid w:val="004F12DC"/>
    <w:rsid w:val="004F1316"/>
    <w:rsid w:val="004F13D2"/>
    <w:rsid w:val="004F1430"/>
    <w:rsid w:val="004F14C8"/>
    <w:rsid w:val="004F14E7"/>
    <w:rsid w:val="004F14F2"/>
    <w:rsid w:val="004F14FA"/>
    <w:rsid w:val="004F1523"/>
    <w:rsid w:val="004F16B0"/>
    <w:rsid w:val="004F1723"/>
    <w:rsid w:val="004F1A69"/>
    <w:rsid w:val="004F1AAF"/>
    <w:rsid w:val="004F1B1D"/>
    <w:rsid w:val="004F1B9C"/>
    <w:rsid w:val="004F1C16"/>
    <w:rsid w:val="004F1CBE"/>
    <w:rsid w:val="004F1D61"/>
    <w:rsid w:val="004F1E54"/>
    <w:rsid w:val="004F1E59"/>
    <w:rsid w:val="004F1E88"/>
    <w:rsid w:val="004F1E9E"/>
    <w:rsid w:val="004F1EBA"/>
    <w:rsid w:val="004F1F9B"/>
    <w:rsid w:val="004F1FAE"/>
    <w:rsid w:val="004F2044"/>
    <w:rsid w:val="004F2050"/>
    <w:rsid w:val="004F2057"/>
    <w:rsid w:val="004F205E"/>
    <w:rsid w:val="004F20BB"/>
    <w:rsid w:val="004F214D"/>
    <w:rsid w:val="004F249B"/>
    <w:rsid w:val="004F24BD"/>
    <w:rsid w:val="004F2601"/>
    <w:rsid w:val="004F263F"/>
    <w:rsid w:val="004F26E2"/>
    <w:rsid w:val="004F274D"/>
    <w:rsid w:val="004F27A5"/>
    <w:rsid w:val="004F2898"/>
    <w:rsid w:val="004F2A1D"/>
    <w:rsid w:val="004F2ADC"/>
    <w:rsid w:val="004F2B43"/>
    <w:rsid w:val="004F2C32"/>
    <w:rsid w:val="004F2C74"/>
    <w:rsid w:val="004F2CD5"/>
    <w:rsid w:val="004F2EB4"/>
    <w:rsid w:val="004F2F0E"/>
    <w:rsid w:val="004F2F6C"/>
    <w:rsid w:val="004F3066"/>
    <w:rsid w:val="004F30E9"/>
    <w:rsid w:val="004F30EC"/>
    <w:rsid w:val="004F3171"/>
    <w:rsid w:val="004F319D"/>
    <w:rsid w:val="004F31D8"/>
    <w:rsid w:val="004F3219"/>
    <w:rsid w:val="004F32BA"/>
    <w:rsid w:val="004F32D7"/>
    <w:rsid w:val="004F33A9"/>
    <w:rsid w:val="004F33E4"/>
    <w:rsid w:val="004F3434"/>
    <w:rsid w:val="004F3436"/>
    <w:rsid w:val="004F351E"/>
    <w:rsid w:val="004F3575"/>
    <w:rsid w:val="004F3623"/>
    <w:rsid w:val="004F363A"/>
    <w:rsid w:val="004F36DC"/>
    <w:rsid w:val="004F36EC"/>
    <w:rsid w:val="004F3810"/>
    <w:rsid w:val="004F38DB"/>
    <w:rsid w:val="004F38E9"/>
    <w:rsid w:val="004F3A07"/>
    <w:rsid w:val="004F3A1B"/>
    <w:rsid w:val="004F3A56"/>
    <w:rsid w:val="004F3AEA"/>
    <w:rsid w:val="004F3AF1"/>
    <w:rsid w:val="004F3BAA"/>
    <w:rsid w:val="004F3BC7"/>
    <w:rsid w:val="004F3C5B"/>
    <w:rsid w:val="004F3C90"/>
    <w:rsid w:val="004F3CCA"/>
    <w:rsid w:val="004F3E18"/>
    <w:rsid w:val="004F3E3C"/>
    <w:rsid w:val="004F3F0C"/>
    <w:rsid w:val="004F3FAF"/>
    <w:rsid w:val="004F3FB2"/>
    <w:rsid w:val="004F40BD"/>
    <w:rsid w:val="004F4144"/>
    <w:rsid w:val="004F41DB"/>
    <w:rsid w:val="004F41E8"/>
    <w:rsid w:val="004F427C"/>
    <w:rsid w:val="004F4293"/>
    <w:rsid w:val="004F42E4"/>
    <w:rsid w:val="004F4366"/>
    <w:rsid w:val="004F43E4"/>
    <w:rsid w:val="004F443B"/>
    <w:rsid w:val="004F4575"/>
    <w:rsid w:val="004F45BE"/>
    <w:rsid w:val="004F45D9"/>
    <w:rsid w:val="004F4616"/>
    <w:rsid w:val="004F4653"/>
    <w:rsid w:val="004F46AC"/>
    <w:rsid w:val="004F46C6"/>
    <w:rsid w:val="004F4721"/>
    <w:rsid w:val="004F4742"/>
    <w:rsid w:val="004F4754"/>
    <w:rsid w:val="004F4760"/>
    <w:rsid w:val="004F479F"/>
    <w:rsid w:val="004F47A9"/>
    <w:rsid w:val="004F4827"/>
    <w:rsid w:val="004F4853"/>
    <w:rsid w:val="004F4922"/>
    <w:rsid w:val="004F4942"/>
    <w:rsid w:val="004F4985"/>
    <w:rsid w:val="004F4A1E"/>
    <w:rsid w:val="004F4A82"/>
    <w:rsid w:val="004F4B0B"/>
    <w:rsid w:val="004F4B59"/>
    <w:rsid w:val="004F4C22"/>
    <w:rsid w:val="004F4D04"/>
    <w:rsid w:val="004F4D84"/>
    <w:rsid w:val="004F4DDA"/>
    <w:rsid w:val="004F4E0C"/>
    <w:rsid w:val="004F4E1E"/>
    <w:rsid w:val="004F4F8E"/>
    <w:rsid w:val="004F4FA2"/>
    <w:rsid w:val="004F5014"/>
    <w:rsid w:val="004F50B6"/>
    <w:rsid w:val="004F50E1"/>
    <w:rsid w:val="004F5128"/>
    <w:rsid w:val="004F515A"/>
    <w:rsid w:val="004F51A1"/>
    <w:rsid w:val="004F51F8"/>
    <w:rsid w:val="004F52D2"/>
    <w:rsid w:val="004F5421"/>
    <w:rsid w:val="004F5442"/>
    <w:rsid w:val="004F55E8"/>
    <w:rsid w:val="004F56A7"/>
    <w:rsid w:val="004F56F9"/>
    <w:rsid w:val="004F5881"/>
    <w:rsid w:val="004F58E5"/>
    <w:rsid w:val="004F59A3"/>
    <w:rsid w:val="004F59C4"/>
    <w:rsid w:val="004F59DD"/>
    <w:rsid w:val="004F5A08"/>
    <w:rsid w:val="004F5AEE"/>
    <w:rsid w:val="004F5B91"/>
    <w:rsid w:val="004F5BDB"/>
    <w:rsid w:val="004F5BF1"/>
    <w:rsid w:val="004F5CC6"/>
    <w:rsid w:val="004F5D39"/>
    <w:rsid w:val="004F5D3F"/>
    <w:rsid w:val="004F5D7C"/>
    <w:rsid w:val="004F5F10"/>
    <w:rsid w:val="004F5F6A"/>
    <w:rsid w:val="004F600A"/>
    <w:rsid w:val="004F6039"/>
    <w:rsid w:val="004F6055"/>
    <w:rsid w:val="004F60D9"/>
    <w:rsid w:val="004F6196"/>
    <w:rsid w:val="004F6299"/>
    <w:rsid w:val="004F62C0"/>
    <w:rsid w:val="004F62D0"/>
    <w:rsid w:val="004F636D"/>
    <w:rsid w:val="004F63BB"/>
    <w:rsid w:val="004F63F1"/>
    <w:rsid w:val="004F6476"/>
    <w:rsid w:val="004F6514"/>
    <w:rsid w:val="004F65FA"/>
    <w:rsid w:val="004F667C"/>
    <w:rsid w:val="004F668E"/>
    <w:rsid w:val="004F66B6"/>
    <w:rsid w:val="004F66BF"/>
    <w:rsid w:val="004F67AB"/>
    <w:rsid w:val="004F67B5"/>
    <w:rsid w:val="004F67F4"/>
    <w:rsid w:val="004F686B"/>
    <w:rsid w:val="004F6875"/>
    <w:rsid w:val="004F68E9"/>
    <w:rsid w:val="004F6936"/>
    <w:rsid w:val="004F6A41"/>
    <w:rsid w:val="004F6B6F"/>
    <w:rsid w:val="004F6B70"/>
    <w:rsid w:val="004F6D5F"/>
    <w:rsid w:val="004F6D62"/>
    <w:rsid w:val="004F6E08"/>
    <w:rsid w:val="004F6E48"/>
    <w:rsid w:val="004F6EDC"/>
    <w:rsid w:val="004F6F40"/>
    <w:rsid w:val="004F700A"/>
    <w:rsid w:val="004F7101"/>
    <w:rsid w:val="004F7124"/>
    <w:rsid w:val="004F723A"/>
    <w:rsid w:val="004F72B9"/>
    <w:rsid w:val="004F72C3"/>
    <w:rsid w:val="004F734B"/>
    <w:rsid w:val="004F7382"/>
    <w:rsid w:val="004F742A"/>
    <w:rsid w:val="004F747C"/>
    <w:rsid w:val="004F74C3"/>
    <w:rsid w:val="004F7555"/>
    <w:rsid w:val="004F765B"/>
    <w:rsid w:val="004F77AB"/>
    <w:rsid w:val="004F7867"/>
    <w:rsid w:val="004F786D"/>
    <w:rsid w:val="004F793E"/>
    <w:rsid w:val="004F7970"/>
    <w:rsid w:val="004F79DA"/>
    <w:rsid w:val="004F7B27"/>
    <w:rsid w:val="004F7B69"/>
    <w:rsid w:val="004F7B9E"/>
    <w:rsid w:val="004F7BA3"/>
    <w:rsid w:val="004F7C47"/>
    <w:rsid w:val="004F7DAB"/>
    <w:rsid w:val="004F7E4C"/>
    <w:rsid w:val="004F7E69"/>
    <w:rsid w:val="004F7E80"/>
    <w:rsid w:val="004F7E81"/>
    <w:rsid w:val="004F7EAC"/>
    <w:rsid w:val="004F7EDB"/>
    <w:rsid w:val="004F7F40"/>
    <w:rsid w:val="004F7FB4"/>
    <w:rsid w:val="004FE78C"/>
    <w:rsid w:val="00500014"/>
    <w:rsid w:val="005000B1"/>
    <w:rsid w:val="005000C0"/>
    <w:rsid w:val="00500119"/>
    <w:rsid w:val="0050012C"/>
    <w:rsid w:val="00500161"/>
    <w:rsid w:val="005001A0"/>
    <w:rsid w:val="005001BA"/>
    <w:rsid w:val="005001D7"/>
    <w:rsid w:val="005001F0"/>
    <w:rsid w:val="005002BB"/>
    <w:rsid w:val="005003C5"/>
    <w:rsid w:val="005003DE"/>
    <w:rsid w:val="005004E2"/>
    <w:rsid w:val="00500547"/>
    <w:rsid w:val="00500566"/>
    <w:rsid w:val="005005DD"/>
    <w:rsid w:val="005005E8"/>
    <w:rsid w:val="005006EF"/>
    <w:rsid w:val="005007E8"/>
    <w:rsid w:val="005007EB"/>
    <w:rsid w:val="0050082B"/>
    <w:rsid w:val="00500833"/>
    <w:rsid w:val="00500849"/>
    <w:rsid w:val="0050085C"/>
    <w:rsid w:val="005008B4"/>
    <w:rsid w:val="00500CA0"/>
    <w:rsid w:val="00500CED"/>
    <w:rsid w:val="00500D51"/>
    <w:rsid w:val="00500DB7"/>
    <w:rsid w:val="00500DBC"/>
    <w:rsid w:val="00500DD2"/>
    <w:rsid w:val="00500DDD"/>
    <w:rsid w:val="00500E63"/>
    <w:rsid w:val="00500E76"/>
    <w:rsid w:val="00500E77"/>
    <w:rsid w:val="00500F43"/>
    <w:rsid w:val="0050102C"/>
    <w:rsid w:val="0050112B"/>
    <w:rsid w:val="0050113A"/>
    <w:rsid w:val="0050115C"/>
    <w:rsid w:val="00501246"/>
    <w:rsid w:val="0050131E"/>
    <w:rsid w:val="005013B5"/>
    <w:rsid w:val="005013E0"/>
    <w:rsid w:val="00501499"/>
    <w:rsid w:val="005014A2"/>
    <w:rsid w:val="005014D6"/>
    <w:rsid w:val="00501529"/>
    <w:rsid w:val="0050161C"/>
    <w:rsid w:val="0050163A"/>
    <w:rsid w:val="0050173B"/>
    <w:rsid w:val="005017B7"/>
    <w:rsid w:val="00501820"/>
    <w:rsid w:val="00501858"/>
    <w:rsid w:val="005018B9"/>
    <w:rsid w:val="00501917"/>
    <w:rsid w:val="00501966"/>
    <w:rsid w:val="00501A14"/>
    <w:rsid w:val="00501A71"/>
    <w:rsid w:val="00501AD2"/>
    <w:rsid w:val="00501AD6"/>
    <w:rsid w:val="00501BB2"/>
    <w:rsid w:val="00501BDE"/>
    <w:rsid w:val="00501C57"/>
    <w:rsid w:val="00501D15"/>
    <w:rsid w:val="00501DD9"/>
    <w:rsid w:val="00501DDB"/>
    <w:rsid w:val="00501E43"/>
    <w:rsid w:val="00501E59"/>
    <w:rsid w:val="00501E6D"/>
    <w:rsid w:val="00501F4A"/>
    <w:rsid w:val="00501F66"/>
    <w:rsid w:val="0050200C"/>
    <w:rsid w:val="0050208A"/>
    <w:rsid w:val="00502139"/>
    <w:rsid w:val="005022EB"/>
    <w:rsid w:val="00502410"/>
    <w:rsid w:val="00502433"/>
    <w:rsid w:val="0050249A"/>
    <w:rsid w:val="005024BA"/>
    <w:rsid w:val="005024EF"/>
    <w:rsid w:val="0050250B"/>
    <w:rsid w:val="00502512"/>
    <w:rsid w:val="00502574"/>
    <w:rsid w:val="0050274F"/>
    <w:rsid w:val="00502765"/>
    <w:rsid w:val="00502793"/>
    <w:rsid w:val="0050279E"/>
    <w:rsid w:val="005028E8"/>
    <w:rsid w:val="005029AE"/>
    <w:rsid w:val="00502ADC"/>
    <w:rsid w:val="00502B79"/>
    <w:rsid w:val="00502B98"/>
    <w:rsid w:val="00502BC5"/>
    <w:rsid w:val="00502CA2"/>
    <w:rsid w:val="00502D2C"/>
    <w:rsid w:val="00502D64"/>
    <w:rsid w:val="00502DA7"/>
    <w:rsid w:val="00502EB7"/>
    <w:rsid w:val="00502EFC"/>
    <w:rsid w:val="00502FA1"/>
    <w:rsid w:val="00502FAF"/>
    <w:rsid w:val="00502FB7"/>
    <w:rsid w:val="00502FBE"/>
    <w:rsid w:val="00502FED"/>
    <w:rsid w:val="00503024"/>
    <w:rsid w:val="0050304F"/>
    <w:rsid w:val="005030D5"/>
    <w:rsid w:val="0050311C"/>
    <w:rsid w:val="005032AD"/>
    <w:rsid w:val="00503356"/>
    <w:rsid w:val="00503397"/>
    <w:rsid w:val="005033CD"/>
    <w:rsid w:val="00503414"/>
    <w:rsid w:val="005034D1"/>
    <w:rsid w:val="00503594"/>
    <w:rsid w:val="005035C7"/>
    <w:rsid w:val="0050364D"/>
    <w:rsid w:val="00503671"/>
    <w:rsid w:val="005036BD"/>
    <w:rsid w:val="005036E2"/>
    <w:rsid w:val="00503734"/>
    <w:rsid w:val="00503753"/>
    <w:rsid w:val="00503788"/>
    <w:rsid w:val="005037A7"/>
    <w:rsid w:val="005037B3"/>
    <w:rsid w:val="005037FE"/>
    <w:rsid w:val="00503826"/>
    <w:rsid w:val="0050382C"/>
    <w:rsid w:val="00503867"/>
    <w:rsid w:val="005038FE"/>
    <w:rsid w:val="0050395D"/>
    <w:rsid w:val="0050396A"/>
    <w:rsid w:val="00503974"/>
    <w:rsid w:val="00503AC7"/>
    <w:rsid w:val="00503AD4"/>
    <w:rsid w:val="00503B12"/>
    <w:rsid w:val="00503BB2"/>
    <w:rsid w:val="00503DD2"/>
    <w:rsid w:val="00503E66"/>
    <w:rsid w:val="00503F3A"/>
    <w:rsid w:val="00503FB6"/>
    <w:rsid w:val="00503FF8"/>
    <w:rsid w:val="005040BF"/>
    <w:rsid w:val="00504189"/>
    <w:rsid w:val="00504226"/>
    <w:rsid w:val="00504290"/>
    <w:rsid w:val="005042D4"/>
    <w:rsid w:val="0050443F"/>
    <w:rsid w:val="00504471"/>
    <w:rsid w:val="0050447A"/>
    <w:rsid w:val="00504526"/>
    <w:rsid w:val="00504557"/>
    <w:rsid w:val="00504565"/>
    <w:rsid w:val="005045DE"/>
    <w:rsid w:val="005045E5"/>
    <w:rsid w:val="00504660"/>
    <w:rsid w:val="00504669"/>
    <w:rsid w:val="00504723"/>
    <w:rsid w:val="00504725"/>
    <w:rsid w:val="00504784"/>
    <w:rsid w:val="005047D7"/>
    <w:rsid w:val="005047D9"/>
    <w:rsid w:val="00504804"/>
    <w:rsid w:val="0050480D"/>
    <w:rsid w:val="00504863"/>
    <w:rsid w:val="0050487C"/>
    <w:rsid w:val="00504898"/>
    <w:rsid w:val="0050499D"/>
    <w:rsid w:val="00504A23"/>
    <w:rsid w:val="00504A71"/>
    <w:rsid w:val="00504A80"/>
    <w:rsid w:val="00504AF1"/>
    <w:rsid w:val="00504B6A"/>
    <w:rsid w:val="00504BD0"/>
    <w:rsid w:val="00504C10"/>
    <w:rsid w:val="00504D14"/>
    <w:rsid w:val="00504D36"/>
    <w:rsid w:val="00504D4C"/>
    <w:rsid w:val="00504DA7"/>
    <w:rsid w:val="00504DFC"/>
    <w:rsid w:val="00504E0A"/>
    <w:rsid w:val="00504E57"/>
    <w:rsid w:val="00504E60"/>
    <w:rsid w:val="0050503A"/>
    <w:rsid w:val="0050507E"/>
    <w:rsid w:val="0050509A"/>
    <w:rsid w:val="00505137"/>
    <w:rsid w:val="0050523A"/>
    <w:rsid w:val="00505386"/>
    <w:rsid w:val="005053AF"/>
    <w:rsid w:val="00505574"/>
    <w:rsid w:val="0050559E"/>
    <w:rsid w:val="005055C3"/>
    <w:rsid w:val="005056D3"/>
    <w:rsid w:val="00505703"/>
    <w:rsid w:val="00505730"/>
    <w:rsid w:val="00505758"/>
    <w:rsid w:val="00505767"/>
    <w:rsid w:val="00505783"/>
    <w:rsid w:val="00505796"/>
    <w:rsid w:val="0050586A"/>
    <w:rsid w:val="0050598F"/>
    <w:rsid w:val="005059E6"/>
    <w:rsid w:val="00505A77"/>
    <w:rsid w:val="00505A7A"/>
    <w:rsid w:val="00505CD2"/>
    <w:rsid w:val="00505D34"/>
    <w:rsid w:val="00505E2D"/>
    <w:rsid w:val="00505E93"/>
    <w:rsid w:val="00505EB8"/>
    <w:rsid w:val="00505EFD"/>
    <w:rsid w:val="00506116"/>
    <w:rsid w:val="0050613F"/>
    <w:rsid w:val="0050614E"/>
    <w:rsid w:val="005062C0"/>
    <w:rsid w:val="0050630C"/>
    <w:rsid w:val="0050630D"/>
    <w:rsid w:val="0050632A"/>
    <w:rsid w:val="005063D2"/>
    <w:rsid w:val="00506472"/>
    <w:rsid w:val="00506662"/>
    <w:rsid w:val="005066F0"/>
    <w:rsid w:val="0050677F"/>
    <w:rsid w:val="0050680A"/>
    <w:rsid w:val="005068FE"/>
    <w:rsid w:val="0050695A"/>
    <w:rsid w:val="0050698E"/>
    <w:rsid w:val="005069B6"/>
    <w:rsid w:val="00506AC2"/>
    <w:rsid w:val="00506B3E"/>
    <w:rsid w:val="00506C40"/>
    <w:rsid w:val="00506CCB"/>
    <w:rsid w:val="00506D16"/>
    <w:rsid w:val="00506D27"/>
    <w:rsid w:val="00506D2D"/>
    <w:rsid w:val="00506D38"/>
    <w:rsid w:val="00506DBA"/>
    <w:rsid w:val="00506DC9"/>
    <w:rsid w:val="00506DFD"/>
    <w:rsid w:val="00506E02"/>
    <w:rsid w:val="00506E19"/>
    <w:rsid w:val="00506E87"/>
    <w:rsid w:val="00506ED4"/>
    <w:rsid w:val="00506F55"/>
    <w:rsid w:val="00506F6D"/>
    <w:rsid w:val="0050703B"/>
    <w:rsid w:val="00507067"/>
    <w:rsid w:val="00507082"/>
    <w:rsid w:val="0050710A"/>
    <w:rsid w:val="005071A4"/>
    <w:rsid w:val="00507214"/>
    <w:rsid w:val="005073A0"/>
    <w:rsid w:val="005073E1"/>
    <w:rsid w:val="00507402"/>
    <w:rsid w:val="00507462"/>
    <w:rsid w:val="00507479"/>
    <w:rsid w:val="005074C3"/>
    <w:rsid w:val="005074E2"/>
    <w:rsid w:val="005075C6"/>
    <w:rsid w:val="005076AC"/>
    <w:rsid w:val="00507712"/>
    <w:rsid w:val="00507759"/>
    <w:rsid w:val="005077FD"/>
    <w:rsid w:val="00507817"/>
    <w:rsid w:val="00507871"/>
    <w:rsid w:val="00507900"/>
    <w:rsid w:val="0050790C"/>
    <w:rsid w:val="005079C8"/>
    <w:rsid w:val="00507A76"/>
    <w:rsid w:val="00507CF7"/>
    <w:rsid w:val="00507D3A"/>
    <w:rsid w:val="00507DE4"/>
    <w:rsid w:val="00507EB7"/>
    <w:rsid w:val="00507EC3"/>
    <w:rsid w:val="00507EFD"/>
    <w:rsid w:val="00507F01"/>
    <w:rsid w:val="00507F66"/>
    <w:rsid w:val="00507F6F"/>
    <w:rsid w:val="00507FCE"/>
    <w:rsid w:val="00510053"/>
    <w:rsid w:val="0051011C"/>
    <w:rsid w:val="005101F7"/>
    <w:rsid w:val="005102B1"/>
    <w:rsid w:val="00510308"/>
    <w:rsid w:val="00510318"/>
    <w:rsid w:val="0051031B"/>
    <w:rsid w:val="00510346"/>
    <w:rsid w:val="00510361"/>
    <w:rsid w:val="005103BC"/>
    <w:rsid w:val="005105BB"/>
    <w:rsid w:val="005105F8"/>
    <w:rsid w:val="00510744"/>
    <w:rsid w:val="00510945"/>
    <w:rsid w:val="00510951"/>
    <w:rsid w:val="005109DC"/>
    <w:rsid w:val="00510A44"/>
    <w:rsid w:val="00510B2C"/>
    <w:rsid w:val="00510B46"/>
    <w:rsid w:val="00510B7C"/>
    <w:rsid w:val="00510B83"/>
    <w:rsid w:val="00510B89"/>
    <w:rsid w:val="00510C0F"/>
    <w:rsid w:val="00510C7D"/>
    <w:rsid w:val="00510C84"/>
    <w:rsid w:val="00510CBD"/>
    <w:rsid w:val="00510CD7"/>
    <w:rsid w:val="00510CE7"/>
    <w:rsid w:val="00510D09"/>
    <w:rsid w:val="00510D22"/>
    <w:rsid w:val="00510D64"/>
    <w:rsid w:val="00510ECD"/>
    <w:rsid w:val="00510F24"/>
    <w:rsid w:val="00510F35"/>
    <w:rsid w:val="00510F38"/>
    <w:rsid w:val="00510F77"/>
    <w:rsid w:val="00510F8D"/>
    <w:rsid w:val="0051105A"/>
    <w:rsid w:val="0051107C"/>
    <w:rsid w:val="00511080"/>
    <w:rsid w:val="0051111C"/>
    <w:rsid w:val="0051114C"/>
    <w:rsid w:val="005111D7"/>
    <w:rsid w:val="00511257"/>
    <w:rsid w:val="005112F3"/>
    <w:rsid w:val="00511411"/>
    <w:rsid w:val="00511413"/>
    <w:rsid w:val="00511464"/>
    <w:rsid w:val="00511490"/>
    <w:rsid w:val="00511519"/>
    <w:rsid w:val="0051157F"/>
    <w:rsid w:val="005115F5"/>
    <w:rsid w:val="0051176E"/>
    <w:rsid w:val="005118A2"/>
    <w:rsid w:val="00511946"/>
    <w:rsid w:val="00511980"/>
    <w:rsid w:val="00511C0D"/>
    <w:rsid w:val="00511C25"/>
    <w:rsid w:val="00511CBC"/>
    <w:rsid w:val="00511D45"/>
    <w:rsid w:val="00511EDA"/>
    <w:rsid w:val="00511FA2"/>
    <w:rsid w:val="00511FB8"/>
    <w:rsid w:val="0051208D"/>
    <w:rsid w:val="0051219A"/>
    <w:rsid w:val="005121FB"/>
    <w:rsid w:val="00512280"/>
    <w:rsid w:val="00512398"/>
    <w:rsid w:val="0051239E"/>
    <w:rsid w:val="005123DA"/>
    <w:rsid w:val="005123FF"/>
    <w:rsid w:val="005124C3"/>
    <w:rsid w:val="005124D0"/>
    <w:rsid w:val="00512585"/>
    <w:rsid w:val="005125EF"/>
    <w:rsid w:val="0051267E"/>
    <w:rsid w:val="005126C9"/>
    <w:rsid w:val="00512810"/>
    <w:rsid w:val="0051292E"/>
    <w:rsid w:val="0051298B"/>
    <w:rsid w:val="0051299E"/>
    <w:rsid w:val="005129FA"/>
    <w:rsid w:val="00512B9E"/>
    <w:rsid w:val="00512BE2"/>
    <w:rsid w:val="00512C14"/>
    <w:rsid w:val="00512C63"/>
    <w:rsid w:val="00512CAD"/>
    <w:rsid w:val="00512CEF"/>
    <w:rsid w:val="00512CF0"/>
    <w:rsid w:val="00512D71"/>
    <w:rsid w:val="00512DEE"/>
    <w:rsid w:val="00512EA6"/>
    <w:rsid w:val="00512F6D"/>
    <w:rsid w:val="00513030"/>
    <w:rsid w:val="00513163"/>
    <w:rsid w:val="005131EF"/>
    <w:rsid w:val="00513224"/>
    <w:rsid w:val="00513565"/>
    <w:rsid w:val="0051359E"/>
    <w:rsid w:val="005135A1"/>
    <w:rsid w:val="005135FA"/>
    <w:rsid w:val="00513671"/>
    <w:rsid w:val="00513702"/>
    <w:rsid w:val="00513754"/>
    <w:rsid w:val="00513921"/>
    <w:rsid w:val="00513948"/>
    <w:rsid w:val="00513977"/>
    <w:rsid w:val="00513979"/>
    <w:rsid w:val="00513A67"/>
    <w:rsid w:val="00513B7B"/>
    <w:rsid w:val="00513BB1"/>
    <w:rsid w:val="00513C4C"/>
    <w:rsid w:val="00513CD3"/>
    <w:rsid w:val="00513DCC"/>
    <w:rsid w:val="00513E9E"/>
    <w:rsid w:val="00513F8A"/>
    <w:rsid w:val="00513FF9"/>
    <w:rsid w:val="00514031"/>
    <w:rsid w:val="00514074"/>
    <w:rsid w:val="005140D9"/>
    <w:rsid w:val="00514199"/>
    <w:rsid w:val="0051424A"/>
    <w:rsid w:val="005142B8"/>
    <w:rsid w:val="005142CF"/>
    <w:rsid w:val="005142E8"/>
    <w:rsid w:val="00514318"/>
    <w:rsid w:val="00514355"/>
    <w:rsid w:val="0051436B"/>
    <w:rsid w:val="005144AF"/>
    <w:rsid w:val="005144EB"/>
    <w:rsid w:val="0051455E"/>
    <w:rsid w:val="00514590"/>
    <w:rsid w:val="005146AC"/>
    <w:rsid w:val="005146CE"/>
    <w:rsid w:val="0051474E"/>
    <w:rsid w:val="005147EE"/>
    <w:rsid w:val="00514838"/>
    <w:rsid w:val="00514898"/>
    <w:rsid w:val="0051493F"/>
    <w:rsid w:val="005149A0"/>
    <w:rsid w:val="005149E3"/>
    <w:rsid w:val="00514A36"/>
    <w:rsid w:val="00514B2D"/>
    <w:rsid w:val="00514B30"/>
    <w:rsid w:val="00514B35"/>
    <w:rsid w:val="00514B7B"/>
    <w:rsid w:val="00514BF6"/>
    <w:rsid w:val="00514D4D"/>
    <w:rsid w:val="00514DBB"/>
    <w:rsid w:val="00514E0F"/>
    <w:rsid w:val="00514E57"/>
    <w:rsid w:val="00514E91"/>
    <w:rsid w:val="00514EBC"/>
    <w:rsid w:val="00514F37"/>
    <w:rsid w:val="00514F84"/>
    <w:rsid w:val="00514FA0"/>
    <w:rsid w:val="0051509B"/>
    <w:rsid w:val="005151B9"/>
    <w:rsid w:val="0051523D"/>
    <w:rsid w:val="0051523E"/>
    <w:rsid w:val="0051528F"/>
    <w:rsid w:val="005152E4"/>
    <w:rsid w:val="0051531D"/>
    <w:rsid w:val="00515368"/>
    <w:rsid w:val="00515371"/>
    <w:rsid w:val="0051538C"/>
    <w:rsid w:val="00515392"/>
    <w:rsid w:val="00515394"/>
    <w:rsid w:val="00515435"/>
    <w:rsid w:val="0051548B"/>
    <w:rsid w:val="0051548C"/>
    <w:rsid w:val="005154FB"/>
    <w:rsid w:val="0051554C"/>
    <w:rsid w:val="00515561"/>
    <w:rsid w:val="0051556E"/>
    <w:rsid w:val="0051568A"/>
    <w:rsid w:val="005156ED"/>
    <w:rsid w:val="00515867"/>
    <w:rsid w:val="005158AE"/>
    <w:rsid w:val="005158C5"/>
    <w:rsid w:val="00515915"/>
    <w:rsid w:val="005159AA"/>
    <w:rsid w:val="005159CE"/>
    <w:rsid w:val="005159E8"/>
    <w:rsid w:val="00515B23"/>
    <w:rsid w:val="00515B88"/>
    <w:rsid w:val="00515CB4"/>
    <w:rsid w:val="00515D5D"/>
    <w:rsid w:val="00515DC7"/>
    <w:rsid w:val="00515E4A"/>
    <w:rsid w:val="00516063"/>
    <w:rsid w:val="005160A1"/>
    <w:rsid w:val="005160E9"/>
    <w:rsid w:val="005160FC"/>
    <w:rsid w:val="00516132"/>
    <w:rsid w:val="00516231"/>
    <w:rsid w:val="005162BC"/>
    <w:rsid w:val="00516319"/>
    <w:rsid w:val="00516357"/>
    <w:rsid w:val="005163CD"/>
    <w:rsid w:val="00516434"/>
    <w:rsid w:val="00516459"/>
    <w:rsid w:val="00516462"/>
    <w:rsid w:val="005164A0"/>
    <w:rsid w:val="005164D8"/>
    <w:rsid w:val="005164F7"/>
    <w:rsid w:val="00516501"/>
    <w:rsid w:val="00516530"/>
    <w:rsid w:val="0051658A"/>
    <w:rsid w:val="00516619"/>
    <w:rsid w:val="0051673B"/>
    <w:rsid w:val="005167D7"/>
    <w:rsid w:val="00516876"/>
    <w:rsid w:val="005168C4"/>
    <w:rsid w:val="005168C6"/>
    <w:rsid w:val="005168D2"/>
    <w:rsid w:val="005168D5"/>
    <w:rsid w:val="005168EC"/>
    <w:rsid w:val="00516962"/>
    <w:rsid w:val="00516967"/>
    <w:rsid w:val="005169BE"/>
    <w:rsid w:val="00516AAF"/>
    <w:rsid w:val="00516C01"/>
    <w:rsid w:val="00516C0A"/>
    <w:rsid w:val="00516C1A"/>
    <w:rsid w:val="00516C77"/>
    <w:rsid w:val="00516E98"/>
    <w:rsid w:val="00516EA4"/>
    <w:rsid w:val="00516EED"/>
    <w:rsid w:val="00516F07"/>
    <w:rsid w:val="00516F70"/>
    <w:rsid w:val="00517081"/>
    <w:rsid w:val="005170DE"/>
    <w:rsid w:val="00517197"/>
    <w:rsid w:val="0051728F"/>
    <w:rsid w:val="005172F2"/>
    <w:rsid w:val="00517307"/>
    <w:rsid w:val="0051733F"/>
    <w:rsid w:val="005173AB"/>
    <w:rsid w:val="005173D7"/>
    <w:rsid w:val="005173DF"/>
    <w:rsid w:val="005173EE"/>
    <w:rsid w:val="005173F5"/>
    <w:rsid w:val="0051741C"/>
    <w:rsid w:val="00517461"/>
    <w:rsid w:val="00517518"/>
    <w:rsid w:val="00517561"/>
    <w:rsid w:val="0051760B"/>
    <w:rsid w:val="00517622"/>
    <w:rsid w:val="005177F1"/>
    <w:rsid w:val="005177F2"/>
    <w:rsid w:val="00517874"/>
    <w:rsid w:val="005178AE"/>
    <w:rsid w:val="005178CF"/>
    <w:rsid w:val="0051798C"/>
    <w:rsid w:val="00517994"/>
    <w:rsid w:val="00517997"/>
    <w:rsid w:val="005179D3"/>
    <w:rsid w:val="00517A0D"/>
    <w:rsid w:val="00517AD4"/>
    <w:rsid w:val="00517BE5"/>
    <w:rsid w:val="00517BEC"/>
    <w:rsid w:val="00517C06"/>
    <w:rsid w:val="00517C8E"/>
    <w:rsid w:val="00517D25"/>
    <w:rsid w:val="00517E50"/>
    <w:rsid w:val="00517EE7"/>
    <w:rsid w:val="00517F09"/>
    <w:rsid w:val="00517F0D"/>
    <w:rsid w:val="00517F41"/>
    <w:rsid w:val="00517F77"/>
    <w:rsid w:val="00517FB6"/>
    <w:rsid w:val="00517FE0"/>
    <w:rsid w:val="00517FE1"/>
    <w:rsid w:val="005201F7"/>
    <w:rsid w:val="00520242"/>
    <w:rsid w:val="00520270"/>
    <w:rsid w:val="00520284"/>
    <w:rsid w:val="005202B8"/>
    <w:rsid w:val="005202D5"/>
    <w:rsid w:val="00520312"/>
    <w:rsid w:val="0052039A"/>
    <w:rsid w:val="005203C9"/>
    <w:rsid w:val="005203CE"/>
    <w:rsid w:val="0052044D"/>
    <w:rsid w:val="005204C9"/>
    <w:rsid w:val="005204E1"/>
    <w:rsid w:val="005204FC"/>
    <w:rsid w:val="0052057D"/>
    <w:rsid w:val="0052062B"/>
    <w:rsid w:val="00520689"/>
    <w:rsid w:val="005206E2"/>
    <w:rsid w:val="0052070F"/>
    <w:rsid w:val="00520794"/>
    <w:rsid w:val="005207B3"/>
    <w:rsid w:val="005207CE"/>
    <w:rsid w:val="005207F1"/>
    <w:rsid w:val="00520839"/>
    <w:rsid w:val="00520840"/>
    <w:rsid w:val="00520931"/>
    <w:rsid w:val="00520961"/>
    <w:rsid w:val="005209DF"/>
    <w:rsid w:val="005209E3"/>
    <w:rsid w:val="00520AAD"/>
    <w:rsid w:val="00520AC1"/>
    <w:rsid w:val="00520AE6"/>
    <w:rsid w:val="00520C25"/>
    <w:rsid w:val="00520C93"/>
    <w:rsid w:val="00520CB2"/>
    <w:rsid w:val="00520CD8"/>
    <w:rsid w:val="00520CFF"/>
    <w:rsid w:val="00520D11"/>
    <w:rsid w:val="00520D80"/>
    <w:rsid w:val="00520DA0"/>
    <w:rsid w:val="00520DAB"/>
    <w:rsid w:val="00520E2B"/>
    <w:rsid w:val="00520E3A"/>
    <w:rsid w:val="00521010"/>
    <w:rsid w:val="00521071"/>
    <w:rsid w:val="00521080"/>
    <w:rsid w:val="005210B1"/>
    <w:rsid w:val="0052113C"/>
    <w:rsid w:val="00521276"/>
    <w:rsid w:val="00521310"/>
    <w:rsid w:val="0052134E"/>
    <w:rsid w:val="00521366"/>
    <w:rsid w:val="00521403"/>
    <w:rsid w:val="005214CD"/>
    <w:rsid w:val="005214CE"/>
    <w:rsid w:val="005214EB"/>
    <w:rsid w:val="005214FB"/>
    <w:rsid w:val="0052153F"/>
    <w:rsid w:val="005215DC"/>
    <w:rsid w:val="005215FF"/>
    <w:rsid w:val="005216AB"/>
    <w:rsid w:val="005216F6"/>
    <w:rsid w:val="0052180A"/>
    <w:rsid w:val="0052180D"/>
    <w:rsid w:val="0052185E"/>
    <w:rsid w:val="005218EB"/>
    <w:rsid w:val="00521979"/>
    <w:rsid w:val="005219C1"/>
    <w:rsid w:val="00521A31"/>
    <w:rsid w:val="00521AD2"/>
    <w:rsid w:val="00521B6D"/>
    <w:rsid w:val="00521B9F"/>
    <w:rsid w:val="00521C19"/>
    <w:rsid w:val="00521D1B"/>
    <w:rsid w:val="00521D74"/>
    <w:rsid w:val="00521DA8"/>
    <w:rsid w:val="00521DBB"/>
    <w:rsid w:val="00521DCB"/>
    <w:rsid w:val="00521E96"/>
    <w:rsid w:val="00521EA0"/>
    <w:rsid w:val="00521F77"/>
    <w:rsid w:val="00521FC9"/>
    <w:rsid w:val="00521FCC"/>
    <w:rsid w:val="005220A7"/>
    <w:rsid w:val="00522177"/>
    <w:rsid w:val="00522186"/>
    <w:rsid w:val="005221F7"/>
    <w:rsid w:val="00522237"/>
    <w:rsid w:val="0052225A"/>
    <w:rsid w:val="00522269"/>
    <w:rsid w:val="0052226B"/>
    <w:rsid w:val="00522440"/>
    <w:rsid w:val="00522482"/>
    <w:rsid w:val="0052250E"/>
    <w:rsid w:val="0052257C"/>
    <w:rsid w:val="005225CC"/>
    <w:rsid w:val="005226D4"/>
    <w:rsid w:val="00522762"/>
    <w:rsid w:val="00522772"/>
    <w:rsid w:val="00522791"/>
    <w:rsid w:val="00522798"/>
    <w:rsid w:val="005227BC"/>
    <w:rsid w:val="005227DA"/>
    <w:rsid w:val="00522820"/>
    <w:rsid w:val="00522863"/>
    <w:rsid w:val="0052293A"/>
    <w:rsid w:val="005229ED"/>
    <w:rsid w:val="00522A98"/>
    <w:rsid w:val="00522AE6"/>
    <w:rsid w:val="00522B14"/>
    <w:rsid w:val="00522B4E"/>
    <w:rsid w:val="00522B5F"/>
    <w:rsid w:val="00522C29"/>
    <w:rsid w:val="00522C4F"/>
    <w:rsid w:val="00522C6C"/>
    <w:rsid w:val="00522D39"/>
    <w:rsid w:val="00522DD6"/>
    <w:rsid w:val="00522DDC"/>
    <w:rsid w:val="00522E4A"/>
    <w:rsid w:val="00522F0C"/>
    <w:rsid w:val="00522F80"/>
    <w:rsid w:val="0052303C"/>
    <w:rsid w:val="005230B2"/>
    <w:rsid w:val="00523206"/>
    <w:rsid w:val="0052327D"/>
    <w:rsid w:val="005232A2"/>
    <w:rsid w:val="005232A9"/>
    <w:rsid w:val="00523348"/>
    <w:rsid w:val="0052336E"/>
    <w:rsid w:val="00523394"/>
    <w:rsid w:val="00523439"/>
    <w:rsid w:val="0052354D"/>
    <w:rsid w:val="005235D3"/>
    <w:rsid w:val="00523637"/>
    <w:rsid w:val="0052363B"/>
    <w:rsid w:val="0052367A"/>
    <w:rsid w:val="00523740"/>
    <w:rsid w:val="005237C6"/>
    <w:rsid w:val="005237CA"/>
    <w:rsid w:val="005237E4"/>
    <w:rsid w:val="00523822"/>
    <w:rsid w:val="00523A0C"/>
    <w:rsid w:val="00523A4C"/>
    <w:rsid w:val="00523A77"/>
    <w:rsid w:val="00523AB0"/>
    <w:rsid w:val="00523B3B"/>
    <w:rsid w:val="00523B5E"/>
    <w:rsid w:val="00523BB9"/>
    <w:rsid w:val="00523D2A"/>
    <w:rsid w:val="00523D3A"/>
    <w:rsid w:val="00523DAF"/>
    <w:rsid w:val="00523DB3"/>
    <w:rsid w:val="00523E08"/>
    <w:rsid w:val="00523E99"/>
    <w:rsid w:val="00523EC0"/>
    <w:rsid w:val="00523F5D"/>
    <w:rsid w:val="00524019"/>
    <w:rsid w:val="00524036"/>
    <w:rsid w:val="00524127"/>
    <w:rsid w:val="00524156"/>
    <w:rsid w:val="005241D7"/>
    <w:rsid w:val="005242F4"/>
    <w:rsid w:val="00524394"/>
    <w:rsid w:val="005243E4"/>
    <w:rsid w:val="00524429"/>
    <w:rsid w:val="0052444B"/>
    <w:rsid w:val="005244E4"/>
    <w:rsid w:val="005245C3"/>
    <w:rsid w:val="005245E1"/>
    <w:rsid w:val="00524646"/>
    <w:rsid w:val="00524649"/>
    <w:rsid w:val="00524653"/>
    <w:rsid w:val="005246D2"/>
    <w:rsid w:val="00524743"/>
    <w:rsid w:val="0052478A"/>
    <w:rsid w:val="0052481D"/>
    <w:rsid w:val="00524882"/>
    <w:rsid w:val="005248D2"/>
    <w:rsid w:val="005248FC"/>
    <w:rsid w:val="00524A55"/>
    <w:rsid w:val="00524A76"/>
    <w:rsid w:val="00524AFB"/>
    <w:rsid w:val="00524BAB"/>
    <w:rsid w:val="00524BD2"/>
    <w:rsid w:val="00524C0A"/>
    <w:rsid w:val="00524C2C"/>
    <w:rsid w:val="00524CD2"/>
    <w:rsid w:val="00524CD3"/>
    <w:rsid w:val="00524CFA"/>
    <w:rsid w:val="00524E19"/>
    <w:rsid w:val="00524E47"/>
    <w:rsid w:val="00524EC3"/>
    <w:rsid w:val="00524EC4"/>
    <w:rsid w:val="00524FA3"/>
    <w:rsid w:val="00524FC4"/>
    <w:rsid w:val="00524FFE"/>
    <w:rsid w:val="00525001"/>
    <w:rsid w:val="00525006"/>
    <w:rsid w:val="0052500C"/>
    <w:rsid w:val="00525010"/>
    <w:rsid w:val="00525020"/>
    <w:rsid w:val="0052504E"/>
    <w:rsid w:val="005250DD"/>
    <w:rsid w:val="00525220"/>
    <w:rsid w:val="00525242"/>
    <w:rsid w:val="0052528D"/>
    <w:rsid w:val="005252A8"/>
    <w:rsid w:val="0052532F"/>
    <w:rsid w:val="00525382"/>
    <w:rsid w:val="005253AC"/>
    <w:rsid w:val="00525420"/>
    <w:rsid w:val="00525439"/>
    <w:rsid w:val="00525481"/>
    <w:rsid w:val="005254E6"/>
    <w:rsid w:val="005255A2"/>
    <w:rsid w:val="005255CA"/>
    <w:rsid w:val="0052566E"/>
    <w:rsid w:val="0052567C"/>
    <w:rsid w:val="005256FE"/>
    <w:rsid w:val="005257BD"/>
    <w:rsid w:val="005258EE"/>
    <w:rsid w:val="00525905"/>
    <w:rsid w:val="0052596D"/>
    <w:rsid w:val="00525ABF"/>
    <w:rsid w:val="00525AF8"/>
    <w:rsid w:val="00525B2E"/>
    <w:rsid w:val="00525B33"/>
    <w:rsid w:val="00525B4B"/>
    <w:rsid w:val="00525B7C"/>
    <w:rsid w:val="00525B98"/>
    <w:rsid w:val="00525C53"/>
    <w:rsid w:val="00525C8D"/>
    <w:rsid w:val="00525CC0"/>
    <w:rsid w:val="00525CFF"/>
    <w:rsid w:val="00525D7E"/>
    <w:rsid w:val="00525E55"/>
    <w:rsid w:val="00526014"/>
    <w:rsid w:val="00526081"/>
    <w:rsid w:val="005260A1"/>
    <w:rsid w:val="005260CF"/>
    <w:rsid w:val="005260FA"/>
    <w:rsid w:val="00526157"/>
    <w:rsid w:val="0052618D"/>
    <w:rsid w:val="00526198"/>
    <w:rsid w:val="00526206"/>
    <w:rsid w:val="00526271"/>
    <w:rsid w:val="0052634B"/>
    <w:rsid w:val="005263B7"/>
    <w:rsid w:val="00526453"/>
    <w:rsid w:val="005264AE"/>
    <w:rsid w:val="00526537"/>
    <w:rsid w:val="00526618"/>
    <w:rsid w:val="00526623"/>
    <w:rsid w:val="00526687"/>
    <w:rsid w:val="005266DB"/>
    <w:rsid w:val="005266EB"/>
    <w:rsid w:val="00526723"/>
    <w:rsid w:val="0052673E"/>
    <w:rsid w:val="00526783"/>
    <w:rsid w:val="005267F7"/>
    <w:rsid w:val="0052681F"/>
    <w:rsid w:val="0052692E"/>
    <w:rsid w:val="00526958"/>
    <w:rsid w:val="00526A0D"/>
    <w:rsid w:val="00526A45"/>
    <w:rsid w:val="00526AFD"/>
    <w:rsid w:val="00526B13"/>
    <w:rsid w:val="00526B1E"/>
    <w:rsid w:val="00526C94"/>
    <w:rsid w:val="00526CD1"/>
    <w:rsid w:val="00526E4D"/>
    <w:rsid w:val="00526E5B"/>
    <w:rsid w:val="00526EC4"/>
    <w:rsid w:val="00526EF2"/>
    <w:rsid w:val="00526FDB"/>
    <w:rsid w:val="00527462"/>
    <w:rsid w:val="00527538"/>
    <w:rsid w:val="005275EA"/>
    <w:rsid w:val="00527626"/>
    <w:rsid w:val="0052772C"/>
    <w:rsid w:val="00527780"/>
    <w:rsid w:val="005277AD"/>
    <w:rsid w:val="005277BB"/>
    <w:rsid w:val="005277FC"/>
    <w:rsid w:val="005278A5"/>
    <w:rsid w:val="005278AE"/>
    <w:rsid w:val="005278E7"/>
    <w:rsid w:val="005279A1"/>
    <w:rsid w:val="005279DD"/>
    <w:rsid w:val="005279E5"/>
    <w:rsid w:val="00527A32"/>
    <w:rsid w:val="00527B23"/>
    <w:rsid w:val="00527B66"/>
    <w:rsid w:val="00527BA4"/>
    <w:rsid w:val="00527CF4"/>
    <w:rsid w:val="00527D44"/>
    <w:rsid w:val="00527D53"/>
    <w:rsid w:val="00527D5F"/>
    <w:rsid w:val="00527E41"/>
    <w:rsid w:val="00527FCA"/>
    <w:rsid w:val="00530141"/>
    <w:rsid w:val="0053017A"/>
    <w:rsid w:val="00530238"/>
    <w:rsid w:val="0053030E"/>
    <w:rsid w:val="00530366"/>
    <w:rsid w:val="005305B6"/>
    <w:rsid w:val="005306D1"/>
    <w:rsid w:val="0053072E"/>
    <w:rsid w:val="00530743"/>
    <w:rsid w:val="00530744"/>
    <w:rsid w:val="005307B5"/>
    <w:rsid w:val="005307C2"/>
    <w:rsid w:val="005307C4"/>
    <w:rsid w:val="00530832"/>
    <w:rsid w:val="005308CD"/>
    <w:rsid w:val="00530968"/>
    <w:rsid w:val="00530A04"/>
    <w:rsid w:val="00530A9E"/>
    <w:rsid w:val="00530B1F"/>
    <w:rsid w:val="00530B3E"/>
    <w:rsid w:val="00530B62"/>
    <w:rsid w:val="00530B87"/>
    <w:rsid w:val="00530BB1"/>
    <w:rsid w:val="00530C29"/>
    <w:rsid w:val="00530C64"/>
    <w:rsid w:val="00530E6A"/>
    <w:rsid w:val="00530ECB"/>
    <w:rsid w:val="00530F20"/>
    <w:rsid w:val="00530F4F"/>
    <w:rsid w:val="00530FDB"/>
    <w:rsid w:val="00531046"/>
    <w:rsid w:val="005310AD"/>
    <w:rsid w:val="0053114C"/>
    <w:rsid w:val="005311B0"/>
    <w:rsid w:val="0053129C"/>
    <w:rsid w:val="005312BB"/>
    <w:rsid w:val="00531334"/>
    <w:rsid w:val="0053135D"/>
    <w:rsid w:val="00531479"/>
    <w:rsid w:val="00531491"/>
    <w:rsid w:val="005314D6"/>
    <w:rsid w:val="005314E8"/>
    <w:rsid w:val="0053154A"/>
    <w:rsid w:val="00531577"/>
    <w:rsid w:val="00531651"/>
    <w:rsid w:val="005316FD"/>
    <w:rsid w:val="00531765"/>
    <w:rsid w:val="005317CC"/>
    <w:rsid w:val="005317D2"/>
    <w:rsid w:val="005318E7"/>
    <w:rsid w:val="00531951"/>
    <w:rsid w:val="0053195D"/>
    <w:rsid w:val="005319A3"/>
    <w:rsid w:val="005319E6"/>
    <w:rsid w:val="00531ABF"/>
    <w:rsid w:val="00531AD0"/>
    <w:rsid w:val="00531B64"/>
    <w:rsid w:val="00531BCE"/>
    <w:rsid w:val="00531C06"/>
    <w:rsid w:val="00531C70"/>
    <w:rsid w:val="00531C77"/>
    <w:rsid w:val="00531C8D"/>
    <w:rsid w:val="00531C93"/>
    <w:rsid w:val="00531CC6"/>
    <w:rsid w:val="00531D41"/>
    <w:rsid w:val="00531EBF"/>
    <w:rsid w:val="00531F37"/>
    <w:rsid w:val="00531F5E"/>
    <w:rsid w:val="00532070"/>
    <w:rsid w:val="005320A6"/>
    <w:rsid w:val="005320BD"/>
    <w:rsid w:val="00532117"/>
    <w:rsid w:val="0053220D"/>
    <w:rsid w:val="005323D7"/>
    <w:rsid w:val="00532451"/>
    <w:rsid w:val="00532523"/>
    <w:rsid w:val="00532565"/>
    <w:rsid w:val="005325CF"/>
    <w:rsid w:val="0053260E"/>
    <w:rsid w:val="005326CB"/>
    <w:rsid w:val="00532780"/>
    <w:rsid w:val="005327A0"/>
    <w:rsid w:val="005327D0"/>
    <w:rsid w:val="00532826"/>
    <w:rsid w:val="0053284D"/>
    <w:rsid w:val="0053289D"/>
    <w:rsid w:val="005328E5"/>
    <w:rsid w:val="00532952"/>
    <w:rsid w:val="0053297A"/>
    <w:rsid w:val="005329A3"/>
    <w:rsid w:val="00532A5D"/>
    <w:rsid w:val="00532B51"/>
    <w:rsid w:val="00532B95"/>
    <w:rsid w:val="00532B9E"/>
    <w:rsid w:val="00532BC6"/>
    <w:rsid w:val="00532C8C"/>
    <w:rsid w:val="00532C9D"/>
    <w:rsid w:val="00532CE6"/>
    <w:rsid w:val="00532DDB"/>
    <w:rsid w:val="00532DEF"/>
    <w:rsid w:val="00532E20"/>
    <w:rsid w:val="00532E25"/>
    <w:rsid w:val="00532E76"/>
    <w:rsid w:val="00532EA1"/>
    <w:rsid w:val="00532FDB"/>
    <w:rsid w:val="00533061"/>
    <w:rsid w:val="00533262"/>
    <w:rsid w:val="00533299"/>
    <w:rsid w:val="005332CB"/>
    <w:rsid w:val="005332D5"/>
    <w:rsid w:val="0053330F"/>
    <w:rsid w:val="0053333B"/>
    <w:rsid w:val="00533496"/>
    <w:rsid w:val="005335FB"/>
    <w:rsid w:val="00533605"/>
    <w:rsid w:val="0053362B"/>
    <w:rsid w:val="0053365E"/>
    <w:rsid w:val="00533685"/>
    <w:rsid w:val="00533716"/>
    <w:rsid w:val="00533762"/>
    <w:rsid w:val="00533829"/>
    <w:rsid w:val="0053396D"/>
    <w:rsid w:val="0053397B"/>
    <w:rsid w:val="00533A07"/>
    <w:rsid w:val="00533A7A"/>
    <w:rsid w:val="00533AEB"/>
    <w:rsid w:val="00533B19"/>
    <w:rsid w:val="00533B98"/>
    <w:rsid w:val="00533BB9"/>
    <w:rsid w:val="00533C31"/>
    <w:rsid w:val="00533D94"/>
    <w:rsid w:val="00533DC1"/>
    <w:rsid w:val="00533E2E"/>
    <w:rsid w:val="00533EAB"/>
    <w:rsid w:val="00533FAE"/>
    <w:rsid w:val="00533FB2"/>
    <w:rsid w:val="00533FBD"/>
    <w:rsid w:val="0053400D"/>
    <w:rsid w:val="00534084"/>
    <w:rsid w:val="005340AA"/>
    <w:rsid w:val="0053413C"/>
    <w:rsid w:val="00534176"/>
    <w:rsid w:val="0053417B"/>
    <w:rsid w:val="0053418D"/>
    <w:rsid w:val="00534266"/>
    <w:rsid w:val="0053436B"/>
    <w:rsid w:val="00534395"/>
    <w:rsid w:val="005343C0"/>
    <w:rsid w:val="005343D6"/>
    <w:rsid w:val="00534400"/>
    <w:rsid w:val="00534455"/>
    <w:rsid w:val="00534482"/>
    <w:rsid w:val="005344A5"/>
    <w:rsid w:val="005345CC"/>
    <w:rsid w:val="00534648"/>
    <w:rsid w:val="0053469A"/>
    <w:rsid w:val="00534767"/>
    <w:rsid w:val="0053477C"/>
    <w:rsid w:val="005347E7"/>
    <w:rsid w:val="0053498B"/>
    <w:rsid w:val="005349F2"/>
    <w:rsid w:val="00534A63"/>
    <w:rsid w:val="00534AA1"/>
    <w:rsid w:val="00534B3D"/>
    <w:rsid w:val="00534BF6"/>
    <w:rsid w:val="00534C5B"/>
    <w:rsid w:val="00534CC2"/>
    <w:rsid w:val="00534D6A"/>
    <w:rsid w:val="00534DD5"/>
    <w:rsid w:val="00534DDC"/>
    <w:rsid w:val="00534DEF"/>
    <w:rsid w:val="00534E93"/>
    <w:rsid w:val="00534EB3"/>
    <w:rsid w:val="00534EF0"/>
    <w:rsid w:val="00534F8A"/>
    <w:rsid w:val="00535008"/>
    <w:rsid w:val="005350EA"/>
    <w:rsid w:val="005350EF"/>
    <w:rsid w:val="005350F4"/>
    <w:rsid w:val="005351CC"/>
    <w:rsid w:val="005351D8"/>
    <w:rsid w:val="00535244"/>
    <w:rsid w:val="00535321"/>
    <w:rsid w:val="005353C7"/>
    <w:rsid w:val="00535493"/>
    <w:rsid w:val="005355F1"/>
    <w:rsid w:val="00535635"/>
    <w:rsid w:val="0053572B"/>
    <w:rsid w:val="005357BD"/>
    <w:rsid w:val="005357FE"/>
    <w:rsid w:val="00535851"/>
    <w:rsid w:val="00535898"/>
    <w:rsid w:val="005358B9"/>
    <w:rsid w:val="005358D5"/>
    <w:rsid w:val="0053590E"/>
    <w:rsid w:val="00535AE2"/>
    <w:rsid w:val="00535B36"/>
    <w:rsid w:val="00535B7F"/>
    <w:rsid w:val="00535BBA"/>
    <w:rsid w:val="00535D2B"/>
    <w:rsid w:val="00535D48"/>
    <w:rsid w:val="00535DA3"/>
    <w:rsid w:val="00535EE7"/>
    <w:rsid w:val="00535F47"/>
    <w:rsid w:val="00535FAD"/>
    <w:rsid w:val="00535FF3"/>
    <w:rsid w:val="00536060"/>
    <w:rsid w:val="0053609E"/>
    <w:rsid w:val="005360CB"/>
    <w:rsid w:val="0053620E"/>
    <w:rsid w:val="00536285"/>
    <w:rsid w:val="00536387"/>
    <w:rsid w:val="005363AE"/>
    <w:rsid w:val="005363FD"/>
    <w:rsid w:val="00536557"/>
    <w:rsid w:val="00536568"/>
    <w:rsid w:val="00536593"/>
    <w:rsid w:val="005366BD"/>
    <w:rsid w:val="005366F3"/>
    <w:rsid w:val="00536724"/>
    <w:rsid w:val="00536757"/>
    <w:rsid w:val="005367DA"/>
    <w:rsid w:val="00536895"/>
    <w:rsid w:val="0053690E"/>
    <w:rsid w:val="00536956"/>
    <w:rsid w:val="0053696C"/>
    <w:rsid w:val="005369D6"/>
    <w:rsid w:val="00536A35"/>
    <w:rsid w:val="00536AE4"/>
    <w:rsid w:val="00536C6B"/>
    <w:rsid w:val="00536D93"/>
    <w:rsid w:val="00536DF4"/>
    <w:rsid w:val="00536E32"/>
    <w:rsid w:val="00536F3F"/>
    <w:rsid w:val="00536F98"/>
    <w:rsid w:val="00536FFE"/>
    <w:rsid w:val="005370AC"/>
    <w:rsid w:val="00537203"/>
    <w:rsid w:val="0053729E"/>
    <w:rsid w:val="005372C1"/>
    <w:rsid w:val="005372C6"/>
    <w:rsid w:val="005373FF"/>
    <w:rsid w:val="0053741D"/>
    <w:rsid w:val="00537460"/>
    <w:rsid w:val="005374BE"/>
    <w:rsid w:val="00537614"/>
    <w:rsid w:val="00537695"/>
    <w:rsid w:val="00537765"/>
    <w:rsid w:val="005377AF"/>
    <w:rsid w:val="00537832"/>
    <w:rsid w:val="00537862"/>
    <w:rsid w:val="005378E7"/>
    <w:rsid w:val="005378F1"/>
    <w:rsid w:val="00537A47"/>
    <w:rsid w:val="00537A6C"/>
    <w:rsid w:val="00537AB7"/>
    <w:rsid w:val="00537ACD"/>
    <w:rsid w:val="00537AD7"/>
    <w:rsid w:val="00537B67"/>
    <w:rsid w:val="00537C0B"/>
    <w:rsid w:val="00537D15"/>
    <w:rsid w:val="00537D36"/>
    <w:rsid w:val="00537D79"/>
    <w:rsid w:val="00537D8A"/>
    <w:rsid w:val="00537DB9"/>
    <w:rsid w:val="00537EC9"/>
    <w:rsid w:val="00537F6A"/>
    <w:rsid w:val="00540026"/>
    <w:rsid w:val="0054003A"/>
    <w:rsid w:val="00540262"/>
    <w:rsid w:val="00540271"/>
    <w:rsid w:val="00540278"/>
    <w:rsid w:val="005402EE"/>
    <w:rsid w:val="00540308"/>
    <w:rsid w:val="00540369"/>
    <w:rsid w:val="00540379"/>
    <w:rsid w:val="005403A5"/>
    <w:rsid w:val="005403B6"/>
    <w:rsid w:val="00540401"/>
    <w:rsid w:val="0054042C"/>
    <w:rsid w:val="0054046B"/>
    <w:rsid w:val="00540560"/>
    <w:rsid w:val="005405C9"/>
    <w:rsid w:val="0054063F"/>
    <w:rsid w:val="00540641"/>
    <w:rsid w:val="00540670"/>
    <w:rsid w:val="0054073E"/>
    <w:rsid w:val="005407BB"/>
    <w:rsid w:val="005409F5"/>
    <w:rsid w:val="00540A35"/>
    <w:rsid w:val="00540AB0"/>
    <w:rsid w:val="00540B9D"/>
    <w:rsid w:val="00540C19"/>
    <w:rsid w:val="00540C21"/>
    <w:rsid w:val="00540CBB"/>
    <w:rsid w:val="00540CED"/>
    <w:rsid w:val="00540DEE"/>
    <w:rsid w:val="00540E32"/>
    <w:rsid w:val="00540E71"/>
    <w:rsid w:val="00541186"/>
    <w:rsid w:val="0054123F"/>
    <w:rsid w:val="005412CA"/>
    <w:rsid w:val="00541362"/>
    <w:rsid w:val="0054136C"/>
    <w:rsid w:val="005413B9"/>
    <w:rsid w:val="0054142F"/>
    <w:rsid w:val="00541448"/>
    <w:rsid w:val="00541495"/>
    <w:rsid w:val="00541554"/>
    <w:rsid w:val="0054164C"/>
    <w:rsid w:val="00541673"/>
    <w:rsid w:val="00541749"/>
    <w:rsid w:val="005418A2"/>
    <w:rsid w:val="005418CF"/>
    <w:rsid w:val="005418D0"/>
    <w:rsid w:val="00541904"/>
    <w:rsid w:val="005419F2"/>
    <w:rsid w:val="00541AD7"/>
    <w:rsid w:val="00541B04"/>
    <w:rsid w:val="00541B45"/>
    <w:rsid w:val="00541C19"/>
    <w:rsid w:val="00541CA2"/>
    <w:rsid w:val="00541E1F"/>
    <w:rsid w:val="00541E6C"/>
    <w:rsid w:val="00541F4B"/>
    <w:rsid w:val="00541F5B"/>
    <w:rsid w:val="00541F75"/>
    <w:rsid w:val="00541F8A"/>
    <w:rsid w:val="0054200D"/>
    <w:rsid w:val="0054200F"/>
    <w:rsid w:val="0054203C"/>
    <w:rsid w:val="005420A1"/>
    <w:rsid w:val="0054216B"/>
    <w:rsid w:val="005421C8"/>
    <w:rsid w:val="0054224C"/>
    <w:rsid w:val="005422AA"/>
    <w:rsid w:val="00542372"/>
    <w:rsid w:val="00542418"/>
    <w:rsid w:val="0054242A"/>
    <w:rsid w:val="00542430"/>
    <w:rsid w:val="00542459"/>
    <w:rsid w:val="00542463"/>
    <w:rsid w:val="00542486"/>
    <w:rsid w:val="005424AA"/>
    <w:rsid w:val="00542500"/>
    <w:rsid w:val="0054258E"/>
    <w:rsid w:val="00542655"/>
    <w:rsid w:val="00542728"/>
    <w:rsid w:val="005427CD"/>
    <w:rsid w:val="005429C4"/>
    <w:rsid w:val="00542A41"/>
    <w:rsid w:val="00542AA8"/>
    <w:rsid w:val="00542AC6"/>
    <w:rsid w:val="00542B78"/>
    <w:rsid w:val="00542BE8"/>
    <w:rsid w:val="00542CC8"/>
    <w:rsid w:val="00542CCB"/>
    <w:rsid w:val="00542DD2"/>
    <w:rsid w:val="00542EAC"/>
    <w:rsid w:val="00542F64"/>
    <w:rsid w:val="00542FAB"/>
    <w:rsid w:val="0054304D"/>
    <w:rsid w:val="00543121"/>
    <w:rsid w:val="00543137"/>
    <w:rsid w:val="0054314E"/>
    <w:rsid w:val="00543188"/>
    <w:rsid w:val="00543220"/>
    <w:rsid w:val="0054323F"/>
    <w:rsid w:val="00543387"/>
    <w:rsid w:val="00543502"/>
    <w:rsid w:val="00543503"/>
    <w:rsid w:val="00543541"/>
    <w:rsid w:val="005435A9"/>
    <w:rsid w:val="005435F3"/>
    <w:rsid w:val="00543652"/>
    <w:rsid w:val="005436A7"/>
    <w:rsid w:val="005436B2"/>
    <w:rsid w:val="005436FA"/>
    <w:rsid w:val="0054371E"/>
    <w:rsid w:val="00543747"/>
    <w:rsid w:val="0054377B"/>
    <w:rsid w:val="0054378C"/>
    <w:rsid w:val="005437C4"/>
    <w:rsid w:val="005438ED"/>
    <w:rsid w:val="0054390F"/>
    <w:rsid w:val="00543974"/>
    <w:rsid w:val="00543986"/>
    <w:rsid w:val="00543B01"/>
    <w:rsid w:val="00543B5F"/>
    <w:rsid w:val="00543B79"/>
    <w:rsid w:val="00543B9B"/>
    <w:rsid w:val="00543CC0"/>
    <w:rsid w:val="00543CEE"/>
    <w:rsid w:val="00543E3A"/>
    <w:rsid w:val="00543E41"/>
    <w:rsid w:val="00543E73"/>
    <w:rsid w:val="00543F13"/>
    <w:rsid w:val="00543F21"/>
    <w:rsid w:val="00543F34"/>
    <w:rsid w:val="0054403B"/>
    <w:rsid w:val="0054405B"/>
    <w:rsid w:val="005440EA"/>
    <w:rsid w:val="005440FF"/>
    <w:rsid w:val="00544111"/>
    <w:rsid w:val="0054419C"/>
    <w:rsid w:val="00544244"/>
    <w:rsid w:val="00544263"/>
    <w:rsid w:val="00544279"/>
    <w:rsid w:val="005442A2"/>
    <w:rsid w:val="005442AB"/>
    <w:rsid w:val="005442E1"/>
    <w:rsid w:val="00544319"/>
    <w:rsid w:val="00544334"/>
    <w:rsid w:val="0054433B"/>
    <w:rsid w:val="00544351"/>
    <w:rsid w:val="005443D1"/>
    <w:rsid w:val="00544437"/>
    <w:rsid w:val="005445DE"/>
    <w:rsid w:val="00544621"/>
    <w:rsid w:val="0054475B"/>
    <w:rsid w:val="005447BF"/>
    <w:rsid w:val="0054480D"/>
    <w:rsid w:val="0054486E"/>
    <w:rsid w:val="005448D0"/>
    <w:rsid w:val="005448D5"/>
    <w:rsid w:val="005448EC"/>
    <w:rsid w:val="00544918"/>
    <w:rsid w:val="0054495A"/>
    <w:rsid w:val="00544AA6"/>
    <w:rsid w:val="00544B9F"/>
    <w:rsid w:val="00544BF3"/>
    <w:rsid w:val="00544C3A"/>
    <w:rsid w:val="00544C47"/>
    <w:rsid w:val="00544C68"/>
    <w:rsid w:val="00544C8D"/>
    <w:rsid w:val="00544CB6"/>
    <w:rsid w:val="00544E42"/>
    <w:rsid w:val="00544E78"/>
    <w:rsid w:val="00544E8F"/>
    <w:rsid w:val="00544F7E"/>
    <w:rsid w:val="00544FA2"/>
    <w:rsid w:val="00544FA5"/>
    <w:rsid w:val="0054500A"/>
    <w:rsid w:val="005450B8"/>
    <w:rsid w:val="005450D8"/>
    <w:rsid w:val="005450E6"/>
    <w:rsid w:val="00545173"/>
    <w:rsid w:val="00545188"/>
    <w:rsid w:val="005451B6"/>
    <w:rsid w:val="00545225"/>
    <w:rsid w:val="00545233"/>
    <w:rsid w:val="0054523F"/>
    <w:rsid w:val="0054524F"/>
    <w:rsid w:val="005453AA"/>
    <w:rsid w:val="005453F6"/>
    <w:rsid w:val="0054542F"/>
    <w:rsid w:val="00545474"/>
    <w:rsid w:val="005454C3"/>
    <w:rsid w:val="00545540"/>
    <w:rsid w:val="005456EC"/>
    <w:rsid w:val="005456FB"/>
    <w:rsid w:val="00545710"/>
    <w:rsid w:val="0054572C"/>
    <w:rsid w:val="00545794"/>
    <w:rsid w:val="005457BE"/>
    <w:rsid w:val="005457E3"/>
    <w:rsid w:val="00545865"/>
    <w:rsid w:val="005458B9"/>
    <w:rsid w:val="005458BF"/>
    <w:rsid w:val="00545946"/>
    <w:rsid w:val="00545976"/>
    <w:rsid w:val="00545978"/>
    <w:rsid w:val="00545A83"/>
    <w:rsid w:val="00545B21"/>
    <w:rsid w:val="00545BBA"/>
    <w:rsid w:val="00545BC3"/>
    <w:rsid w:val="00545BC4"/>
    <w:rsid w:val="00545C05"/>
    <w:rsid w:val="00545C87"/>
    <w:rsid w:val="00545D3A"/>
    <w:rsid w:val="00545DB4"/>
    <w:rsid w:val="00545E12"/>
    <w:rsid w:val="00545E3F"/>
    <w:rsid w:val="00545EA9"/>
    <w:rsid w:val="00545EFB"/>
    <w:rsid w:val="00545F3C"/>
    <w:rsid w:val="00545F50"/>
    <w:rsid w:val="00545F59"/>
    <w:rsid w:val="00545FD1"/>
    <w:rsid w:val="0054603E"/>
    <w:rsid w:val="0054621B"/>
    <w:rsid w:val="0054622C"/>
    <w:rsid w:val="00546253"/>
    <w:rsid w:val="0054626D"/>
    <w:rsid w:val="00546350"/>
    <w:rsid w:val="005463B0"/>
    <w:rsid w:val="00546441"/>
    <w:rsid w:val="0054645A"/>
    <w:rsid w:val="00546552"/>
    <w:rsid w:val="00546613"/>
    <w:rsid w:val="005466DA"/>
    <w:rsid w:val="00546729"/>
    <w:rsid w:val="005467C2"/>
    <w:rsid w:val="00546817"/>
    <w:rsid w:val="0054686B"/>
    <w:rsid w:val="0054686C"/>
    <w:rsid w:val="005468A9"/>
    <w:rsid w:val="005468DB"/>
    <w:rsid w:val="005468EE"/>
    <w:rsid w:val="00546A31"/>
    <w:rsid w:val="00546A7C"/>
    <w:rsid w:val="00546CEC"/>
    <w:rsid w:val="00546E31"/>
    <w:rsid w:val="00546EC8"/>
    <w:rsid w:val="00546F1A"/>
    <w:rsid w:val="00546F54"/>
    <w:rsid w:val="0054700B"/>
    <w:rsid w:val="0054709F"/>
    <w:rsid w:val="005470BF"/>
    <w:rsid w:val="005470E8"/>
    <w:rsid w:val="00547122"/>
    <w:rsid w:val="00547139"/>
    <w:rsid w:val="005471CA"/>
    <w:rsid w:val="005471F8"/>
    <w:rsid w:val="0054723C"/>
    <w:rsid w:val="00547292"/>
    <w:rsid w:val="00547302"/>
    <w:rsid w:val="005474D7"/>
    <w:rsid w:val="00547528"/>
    <w:rsid w:val="005475A4"/>
    <w:rsid w:val="0054760F"/>
    <w:rsid w:val="0054766F"/>
    <w:rsid w:val="005476D6"/>
    <w:rsid w:val="00547733"/>
    <w:rsid w:val="005477A0"/>
    <w:rsid w:val="005477CB"/>
    <w:rsid w:val="005477F0"/>
    <w:rsid w:val="00547840"/>
    <w:rsid w:val="00547877"/>
    <w:rsid w:val="005478BB"/>
    <w:rsid w:val="00547932"/>
    <w:rsid w:val="00547933"/>
    <w:rsid w:val="0054799E"/>
    <w:rsid w:val="005479A1"/>
    <w:rsid w:val="00547A40"/>
    <w:rsid w:val="00547C29"/>
    <w:rsid w:val="00547C32"/>
    <w:rsid w:val="00547C4C"/>
    <w:rsid w:val="00547D13"/>
    <w:rsid w:val="00547D82"/>
    <w:rsid w:val="00547DAD"/>
    <w:rsid w:val="00547DF5"/>
    <w:rsid w:val="00547E5C"/>
    <w:rsid w:val="00547EDA"/>
    <w:rsid w:val="00547F42"/>
    <w:rsid w:val="00547FA7"/>
    <w:rsid w:val="00547FAA"/>
    <w:rsid w:val="00550029"/>
    <w:rsid w:val="0055003B"/>
    <w:rsid w:val="0055004A"/>
    <w:rsid w:val="0055005C"/>
    <w:rsid w:val="00550123"/>
    <w:rsid w:val="00550129"/>
    <w:rsid w:val="005502D0"/>
    <w:rsid w:val="00550321"/>
    <w:rsid w:val="005503C7"/>
    <w:rsid w:val="00550420"/>
    <w:rsid w:val="0055048F"/>
    <w:rsid w:val="005505A8"/>
    <w:rsid w:val="005505D1"/>
    <w:rsid w:val="005505D9"/>
    <w:rsid w:val="0055069E"/>
    <w:rsid w:val="005506DA"/>
    <w:rsid w:val="00550722"/>
    <w:rsid w:val="00550746"/>
    <w:rsid w:val="0055074B"/>
    <w:rsid w:val="00550847"/>
    <w:rsid w:val="005508B5"/>
    <w:rsid w:val="005509FC"/>
    <w:rsid w:val="00550A1A"/>
    <w:rsid w:val="00550A50"/>
    <w:rsid w:val="00550AE6"/>
    <w:rsid w:val="00550C39"/>
    <w:rsid w:val="00550CB1"/>
    <w:rsid w:val="00550D30"/>
    <w:rsid w:val="00550DC2"/>
    <w:rsid w:val="00550E31"/>
    <w:rsid w:val="00550E50"/>
    <w:rsid w:val="00550FDF"/>
    <w:rsid w:val="0055106B"/>
    <w:rsid w:val="005510B7"/>
    <w:rsid w:val="0055112D"/>
    <w:rsid w:val="005511A2"/>
    <w:rsid w:val="0055130B"/>
    <w:rsid w:val="005513F7"/>
    <w:rsid w:val="0055141F"/>
    <w:rsid w:val="005514A1"/>
    <w:rsid w:val="0055155B"/>
    <w:rsid w:val="00551581"/>
    <w:rsid w:val="005515E0"/>
    <w:rsid w:val="00551668"/>
    <w:rsid w:val="0055167F"/>
    <w:rsid w:val="00551686"/>
    <w:rsid w:val="005517D9"/>
    <w:rsid w:val="0055180F"/>
    <w:rsid w:val="005518B7"/>
    <w:rsid w:val="005519F4"/>
    <w:rsid w:val="005519F5"/>
    <w:rsid w:val="00551B2F"/>
    <w:rsid w:val="00551B33"/>
    <w:rsid w:val="00551B49"/>
    <w:rsid w:val="00551CC1"/>
    <w:rsid w:val="00551CDF"/>
    <w:rsid w:val="00551E10"/>
    <w:rsid w:val="00551EFA"/>
    <w:rsid w:val="00551F69"/>
    <w:rsid w:val="00552041"/>
    <w:rsid w:val="00552091"/>
    <w:rsid w:val="00552120"/>
    <w:rsid w:val="0055213C"/>
    <w:rsid w:val="005521EE"/>
    <w:rsid w:val="00552266"/>
    <w:rsid w:val="00552395"/>
    <w:rsid w:val="00552469"/>
    <w:rsid w:val="0055250C"/>
    <w:rsid w:val="0055266E"/>
    <w:rsid w:val="0055267B"/>
    <w:rsid w:val="005526B7"/>
    <w:rsid w:val="00552755"/>
    <w:rsid w:val="005527E3"/>
    <w:rsid w:val="0055287B"/>
    <w:rsid w:val="00552B75"/>
    <w:rsid w:val="00552D26"/>
    <w:rsid w:val="00552DC1"/>
    <w:rsid w:val="00552E34"/>
    <w:rsid w:val="00552EB7"/>
    <w:rsid w:val="00552F59"/>
    <w:rsid w:val="005530D8"/>
    <w:rsid w:val="005530E5"/>
    <w:rsid w:val="00553102"/>
    <w:rsid w:val="005532CA"/>
    <w:rsid w:val="0055348B"/>
    <w:rsid w:val="00553494"/>
    <w:rsid w:val="005534A8"/>
    <w:rsid w:val="00553530"/>
    <w:rsid w:val="0055362B"/>
    <w:rsid w:val="0055365E"/>
    <w:rsid w:val="00553664"/>
    <w:rsid w:val="00553760"/>
    <w:rsid w:val="00553832"/>
    <w:rsid w:val="005538CC"/>
    <w:rsid w:val="005538DF"/>
    <w:rsid w:val="005538FE"/>
    <w:rsid w:val="00553904"/>
    <w:rsid w:val="00553941"/>
    <w:rsid w:val="005539B4"/>
    <w:rsid w:val="005539C6"/>
    <w:rsid w:val="00553A18"/>
    <w:rsid w:val="00553A60"/>
    <w:rsid w:val="00553A69"/>
    <w:rsid w:val="00553B32"/>
    <w:rsid w:val="00553B38"/>
    <w:rsid w:val="00553B7A"/>
    <w:rsid w:val="00553C44"/>
    <w:rsid w:val="00553C6F"/>
    <w:rsid w:val="00553C85"/>
    <w:rsid w:val="00553CBA"/>
    <w:rsid w:val="00553D77"/>
    <w:rsid w:val="00553DAB"/>
    <w:rsid w:val="00553E67"/>
    <w:rsid w:val="00553E8C"/>
    <w:rsid w:val="00553EB8"/>
    <w:rsid w:val="00553F53"/>
    <w:rsid w:val="00553F95"/>
    <w:rsid w:val="00553FA4"/>
    <w:rsid w:val="00553FD4"/>
    <w:rsid w:val="005540B3"/>
    <w:rsid w:val="005540BC"/>
    <w:rsid w:val="0055411D"/>
    <w:rsid w:val="0055422B"/>
    <w:rsid w:val="0055424F"/>
    <w:rsid w:val="005542AA"/>
    <w:rsid w:val="00554335"/>
    <w:rsid w:val="00554366"/>
    <w:rsid w:val="00554572"/>
    <w:rsid w:val="00554586"/>
    <w:rsid w:val="005545DD"/>
    <w:rsid w:val="005545EF"/>
    <w:rsid w:val="005546B2"/>
    <w:rsid w:val="005546B4"/>
    <w:rsid w:val="005546BE"/>
    <w:rsid w:val="005546FD"/>
    <w:rsid w:val="0055475E"/>
    <w:rsid w:val="005547D4"/>
    <w:rsid w:val="005547D6"/>
    <w:rsid w:val="005548A6"/>
    <w:rsid w:val="00554AC0"/>
    <w:rsid w:val="00554ADE"/>
    <w:rsid w:val="00554B34"/>
    <w:rsid w:val="00554B46"/>
    <w:rsid w:val="00554B4B"/>
    <w:rsid w:val="00554CB3"/>
    <w:rsid w:val="00554CE2"/>
    <w:rsid w:val="00554DBF"/>
    <w:rsid w:val="00554DCF"/>
    <w:rsid w:val="00554E30"/>
    <w:rsid w:val="00554EFE"/>
    <w:rsid w:val="00554F1C"/>
    <w:rsid w:val="00554F46"/>
    <w:rsid w:val="00554F96"/>
    <w:rsid w:val="00555067"/>
    <w:rsid w:val="00555097"/>
    <w:rsid w:val="00555116"/>
    <w:rsid w:val="0055513D"/>
    <w:rsid w:val="00555193"/>
    <w:rsid w:val="0055519A"/>
    <w:rsid w:val="005551A3"/>
    <w:rsid w:val="005551DC"/>
    <w:rsid w:val="005551E3"/>
    <w:rsid w:val="00555255"/>
    <w:rsid w:val="0055525B"/>
    <w:rsid w:val="0055544D"/>
    <w:rsid w:val="00555477"/>
    <w:rsid w:val="005554F3"/>
    <w:rsid w:val="00555545"/>
    <w:rsid w:val="005555DE"/>
    <w:rsid w:val="005555E3"/>
    <w:rsid w:val="0055561E"/>
    <w:rsid w:val="005556A8"/>
    <w:rsid w:val="005556FB"/>
    <w:rsid w:val="00555720"/>
    <w:rsid w:val="0055575D"/>
    <w:rsid w:val="00555792"/>
    <w:rsid w:val="005557A6"/>
    <w:rsid w:val="00555816"/>
    <w:rsid w:val="0055583C"/>
    <w:rsid w:val="0055585A"/>
    <w:rsid w:val="00555874"/>
    <w:rsid w:val="005558E8"/>
    <w:rsid w:val="0055599E"/>
    <w:rsid w:val="00555A42"/>
    <w:rsid w:val="00555A5C"/>
    <w:rsid w:val="00555A75"/>
    <w:rsid w:val="00555ABA"/>
    <w:rsid w:val="00555B59"/>
    <w:rsid w:val="00555C8E"/>
    <w:rsid w:val="00555CF2"/>
    <w:rsid w:val="00555D3A"/>
    <w:rsid w:val="00555DB8"/>
    <w:rsid w:val="00555F5D"/>
    <w:rsid w:val="00555F85"/>
    <w:rsid w:val="00555F8E"/>
    <w:rsid w:val="00555FCE"/>
    <w:rsid w:val="00556016"/>
    <w:rsid w:val="00556030"/>
    <w:rsid w:val="0055607F"/>
    <w:rsid w:val="005560D8"/>
    <w:rsid w:val="00556125"/>
    <w:rsid w:val="00556172"/>
    <w:rsid w:val="0055623F"/>
    <w:rsid w:val="005562FE"/>
    <w:rsid w:val="0055636A"/>
    <w:rsid w:val="00556551"/>
    <w:rsid w:val="005565B4"/>
    <w:rsid w:val="005565C4"/>
    <w:rsid w:val="005565F5"/>
    <w:rsid w:val="005566F7"/>
    <w:rsid w:val="005566FA"/>
    <w:rsid w:val="00556741"/>
    <w:rsid w:val="005567F8"/>
    <w:rsid w:val="00556849"/>
    <w:rsid w:val="00556859"/>
    <w:rsid w:val="00556941"/>
    <w:rsid w:val="0055696C"/>
    <w:rsid w:val="005569A6"/>
    <w:rsid w:val="00556AC3"/>
    <w:rsid w:val="00556B4D"/>
    <w:rsid w:val="00556BBE"/>
    <w:rsid w:val="00556BCD"/>
    <w:rsid w:val="00556C72"/>
    <w:rsid w:val="00556D36"/>
    <w:rsid w:val="00556D97"/>
    <w:rsid w:val="00556E92"/>
    <w:rsid w:val="00556EA3"/>
    <w:rsid w:val="00556EE4"/>
    <w:rsid w:val="00556F04"/>
    <w:rsid w:val="00556F81"/>
    <w:rsid w:val="00557057"/>
    <w:rsid w:val="005570EF"/>
    <w:rsid w:val="0055720F"/>
    <w:rsid w:val="0055721F"/>
    <w:rsid w:val="0055728A"/>
    <w:rsid w:val="005572AA"/>
    <w:rsid w:val="00557309"/>
    <w:rsid w:val="0055732F"/>
    <w:rsid w:val="00557449"/>
    <w:rsid w:val="0055747D"/>
    <w:rsid w:val="005574A1"/>
    <w:rsid w:val="0055751B"/>
    <w:rsid w:val="00557542"/>
    <w:rsid w:val="0055759A"/>
    <w:rsid w:val="00557668"/>
    <w:rsid w:val="00557674"/>
    <w:rsid w:val="005576D3"/>
    <w:rsid w:val="005576FF"/>
    <w:rsid w:val="0055773F"/>
    <w:rsid w:val="00557763"/>
    <w:rsid w:val="005577D7"/>
    <w:rsid w:val="00557A1D"/>
    <w:rsid w:val="00557A65"/>
    <w:rsid w:val="00557A80"/>
    <w:rsid w:val="00557ADC"/>
    <w:rsid w:val="00557B41"/>
    <w:rsid w:val="00557B9A"/>
    <w:rsid w:val="00557C2E"/>
    <w:rsid w:val="00557C4E"/>
    <w:rsid w:val="00557CFE"/>
    <w:rsid w:val="00557E4A"/>
    <w:rsid w:val="00557E4D"/>
    <w:rsid w:val="00557E74"/>
    <w:rsid w:val="00557F9E"/>
    <w:rsid w:val="00557FA0"/>
    <w:rsid w:val="00560015"/>
    <w:rsid w:val="0056001C"/>
    <w:rsid w:val="00560154"/>
    <w:rsid w:val="005601A9"/>
    <w:rsid w:val="005601E1"/>
    <w:rsid w:val="0056029B"/>
    <w:rsid w:val="005602F4"/>
    <w:rsid w:val="00560476"/>
    <w:rsid w:val="00560478"/>
    <w:rsid w:val="005604A9"/>
    <w:rsid w:val="005604D2"/>
    <w:rsid w:val="0056052A"/>
    <w:rsid w:val="00560542"/>
    <w:rsid w:val="0056066B"/>
    <w:rsid w:val="00560775"/>
    <w:rsid w:val="0056077A"/>
    <w:rsid w:val="00560783"/>
    <w:rsid w:val="0056086A"/>
    <w:rsid w:val="00560896"/>
    <w:rsid w:val="00560921"/>
    <w:rsid w:val="00560A36"/>
    <w:rsid w:val="00560A47"/>
    <w:rsid w:val="00560AC7"/>
    <w:rsid w:val="00560ADD"/>
    <w:rsid w:val="00560B79"/>
    <w:rsid w:val="00560B93"/>
    <w:rsid w:val="00560C6B"/>
    <w:rsid w:val="00560CE0"/>
    <w:rsid w:val="00560D3D"/>
    <w:rsid w:val="00560DC0"/>
    <w:rsid w:val="00560E28"/>
    <w:rsid w:val="00560EE6"/>
    <w:rsid w:val="00560EEE"/>
    <w:rsid w:val="00560EFC"/>
    <w:rsid w:val="00560F76"/>
    <w:rsid w:val="00560FAA"/>
    <w:rsid w:val="00560FDC"/>
    <w:rsid w:val="0056102B"/>
    <w:rsid w:val="00561066"/>
    <w:rsid w:val="00561134"/>
    <w:rsid w:val="00561150"/>
    <w:rsid w:val="005611FB"/>
    <w:rsid w:val="0056127E"/>
    <w:rsid w:val="005612E8"/>
    <w:rsid w:val="005612F9"/>
    <w:rsid w:val="0056143B"/>
    <w:rsid w:val="00561490"/>
    <w:rsid w:val="0056149A"/>
    <w:rsid w:val="005615A4"/>
    <w:rsid w:val="00561662"/>
    <w:rsid w:val="005616EE"/>
    <w:rsid w:val="00561759"/>
    <w:rsid w:val="00561789"/>
    <w:rsid w:val="00561798"/>
    <w:rsid w:val="00561860"/>
    <w:rsid w:val="0056187B"/>
    <w:rsid w:val="00561890"/>
    <w:rsid w:val="005618C9"/>
    <w:rsid w:val="0056190A"/>
    <w:rsid w:val="005619E6"/>
    <w:rsid w:val="00561A08"/>
    <w:rsid w:val="00561B20"/>
    <w:rsid w:val="00561B8A"/>
    <w:rsid w:val="00561BB1"/>
    <w:rsid w:val="00561BC3"/>
    <w:rsid w:val="00561C8D"/>
    <w:rsid w:val="00561D21"/>
    <w:rsid w:val="00561E1B"/>
    <w:rsid w:val="00561E4D"/>
    <w:rsid w:val="00561EA3"/>
    <w:rsid w:val="00561EFC"/>
    <w:rsid w:val="00561F2E"/>
    <w:rsid w:val="00561F7F"/>
    <w:rsid w:val="00562055"/>
    <w:rsid w:val="0056205F"/>
    <w:rsid w:val="00562061"/>
    <w:rsid w:val="00562090"/>
    <w:rsid w:val="005620CA"/>
    <w:rsid w:val="0056210C"/>
    <w:rsid w:val="0056223A"/>
    <w:rsid w:val="005622B9"/>
    <w:rsid w:val="0056231D"/>
    <w:rsid w:val="0056232E"/>
    <w:rsid w:val="0056237F"/>
    <w:rsid w:val="00562399"/>
    <w:rsid w:val="005623BE"/>
    <w:rsid w:val="005623CB"/>
    <w:rsid w:val="00562438"/>
    <w:rsid w:val="00562458"/>
    <w:rsid w:val="005624AC"/>
    <w:rsid w:val="005624B3"/>
    <w:rsid w:val="0056258C"/>
    <w:rsid w:val="00562657"/>
    <w:rsid w:val="00562661"/>
    <w:rsid w:val="00562668"/>
    <w:rsid w:val="0056266D"/>
    <w:rsid w:val="00562681"/>
    <w:rsid w:val="005626DE"/>
    <w:rsid w:val="0056277A"/>
    <w:rsid w:val="00562787"/>
    <w:rsid w:val="005628DB"/>
    <w:rsid w:val="00562903"/>
    <w:rsid w:val="0056299E"/>
    <w:rsid w:val="00562A9A"/>
    <w:rsid w:val="00562AA2"/>
    <w:rsid w:val="00562BA0"/>
    <w:rsid w:val="00562C01"/>
    <w:rsid w:val="00562C45"/>
    <w:rsid w:val="00562D49"/>
    <w:rsid w:val="00562DBB"/>
    <w:rsid w:val="00562DC3"/>
    <w:rsid w:val="00562E64"/>
    <w:rsid w:val="00562F39"/>
    <w:rsid w:val="00563117"/>
    <w:rsid w:val="00563176"/>
    <w:rsid w:val="005631A6"/>
    <w:rsid w:val="005632DF"/>
    <w:rsid w:val="005633EC"/>
    <w:rsid w:val="005635A8"/>
    <w:rsid w:val="005636CF"/>
    <w:rsid w:val="005636D4"/>
    <w:rsid w:val="0056380B"/>
    <w:rsid w:val="005638E1"/>
    <w:rsid w:val="005638FD"/>
    <w:rsid w:val="00563973"/>
    <w:rsid w:val="00563A58"/>
    <w:rsid w:val="00563A74"/>
    <w:rsid w:val="00563B16"/>
    <w:rsid w:val="00563B26"/>
    <w:rsid w:val="00563B3F"/>
    <w:rsid w:val="00563D36"/>
    <w:rsid w:val="00563D97"/>
    <w:rsid w:val="00563EFD"/>
    <w:rsid w:val="0056410C"/>
    <w:rsid w:val="00564150"/>
    <w:rsid w:val="0056418D"/>
    <w:rsid w:val="00564266"/>
    <w:rsid w:val="005642D8"/>
    <w:rsid w:val="00564324"/>
    <w:rsid w:val="00564383"/>
    <w:rsid w:val="005643C4"/>
    <w:rsid w:val="005643E9"/>
    <w:rsid w:val="00564403"/>
    <w:rsid w:val="005645B2"/>
    <w:rsid w:val="005645C7"/>
    <w:rsid w:val="005645F4"/>
    <w:rsid w:val="00564605"/>
    <w:rsid w:val="00564726"/>
    <w:rsid w:val="00564778"/>
    <w:rsid w:val="005647FC"/>
    <w:rsid w:val="005649F9"/>
    <w:rsid w:val="00564A77"/>
    <w:rsid w:val="00564B6A"/>
    <w:rsid w:val="00564B84"/>
    <w:rsid w:val="00564C05"/>
    <w:rsid w:val="00564C19"/>
    <w:rsid w:val="00564C31"/>
    <w:rsid w:val="00564D33"/>
    <w:rsid w:val="00564D6B"/>
    <w:rsid w:val="00564DDE"/>
    <w:rsid w:val="00564E10"/>
    <w:rsid w:val="00564EE4"/>
    <w:rsid w:val="00564F8C"/>
    <w:rsid w:val="00564FE1"/>
    <w:rsid w:val="00565092"/>
    <w:rsid w:val="005650C2"/>
    <w:rsid w:val="00565272"/>
    <w:rsid w:val="005652CD"/>
    <w:rsid w:val="005652D0"/>
    <w:rsid w:val="005652D4"/>
    <w:rsid w:val="00565300"/>
    <w:rsid w:val="0056534C"/>
    <w:rsid w:val="00565360"/>
    <w:rsid w:val="00565364"/>
    <w:rsid w:val="00565382"/>
    <w:rsid w:val="005653F4"/>
    <w:rsid w:val="005654CF"/>
    <w:rsid w:val="005655ED"/>
    <w:rsid w:val="0056560E"/>
    <w:rsid w:val="00565639"/>
    <w:rsid w:val="00565678"/>
    <w:rsid w:val="0056568C"/>
    <w:rsid w:val="005656EE"/>
    <w:rsid w:val="0056574D"/>
    <w:rsid w:val="00565764"/>
    <w:rsid w:val="0056576A"/>
    <w:rsid w:val="005657AC"/>
    <w:rsid w:val="005658A5"/>
    <w:rsid w:val="00565A35"/>
    <w:rsid w:val="00565ABB"/>
    <w:rsid w:val="00565C5F"/>
    <w:rsid w:val="00565CFC"/>
    <w:rsid w:val="00565D12"/>
    <w:rsid w:val="00565DCF"/>
    <w:rsid w:val="00565F03"/>
    <w:rsid w:val="00565F6E"/>
    <w:rsid w:val="00566029"/>
    <w:rsid w:val="00566059"/>
    <w:rsid w:val="005660AD"/>
    <w:rsid w:val="00566161"/>
    <w:rsid w:val="00566191"/>
    <w:rsid w:val="0056620E"/>
    <w:rsid w:val="00566284"/>
    <w:rsid w:val="0056628A"/>
    <w:rsid w:val="00566417"/>
    <w:rsid w:val="00566543"/>
    <w:rsid w:val="0056659B"/>
    <w:rsid w:val="0056665F"/>
    <w:rsid w:val="005666AC"/>
    <w:rsid w:val="005667A4"/>
    <w:rsid w:val="005667BC"/>
    <w:rsid w:val="0056688B"/>
    <w:rsid w:val="005669B3"/>
    <w:rsid w:val="005669CF"/>
    <w:rsid w:val="00566A06"/>
    <w:rsid w:val="00566A68"/>
    <w:rsid w:val="00566B6F"/>
    <w:rsid w:val="00566B77"/>
    <w:rsid w:val="00566B9F"/>
    <w:rsid w:val="00566C15"/>
    <w:rsid w:val="00566C2E"/>
    <w:rsid w:val="00566C4D"/>
    <w:rsid w:val="00566C5A"/>
    <w:rsid w:val="00566D33"/>
    <w:rsid w:val="00566E1A"/>
    <w:rsid w:val="00566E52"/>
    <w:rsid w:val="00566E7C"/>
    <w:rsid w:val="00566ED0"/>
    <w:rsid w:val="00566F90"/>
    <w:rsid w:val="00566FF4"/>
    <w:rsid w:val="005670E1"/>
    <w:rsid w:val="005670FD"/>
    <w:rsid w:val="00567108"/>
    <w:rsid w:val="0056711E"/>
    <w:rsid w:val="00567149"/>
    <w:rsid w:val="005671BB"/>
    <w:rsid w:val="0056725F"/>
    <w:rsid w:val="0056728C"/>
    <w:rsid w:val="005673B8"/>
    <w:rsid w:val="0056740A"/>
    <w:rsid w:val="00567431"/>
    <w:rsid w:val="00567482"/>
    <w:rsid w:val="005674C4"/>
    <w:rsid w:val="005674DC"/>
    <w:rsid w:val="005674EC"/>
    <w:rsid w:val="00567543"/>
    <w:rsid w:val="00567626"/>
    <w:rsid w:val="00567648"/>
    <w:rsid w:val="0056767B"/>
    <w:rsid w:val="005676C8"/>
    <w:rsid w:val="0056774B"/>
    <w:rsid w:val="005678B6"/>
    <w:rsid w:val="00567948"/>
    <w:rsid w:val="005679FD"/>
    <w:rsid w:val="00567A12"/>
    <w:rsid w:val="00567A3B"/>
    <w:rsid w:val="00567BA7"/>
    <w:rsid w:val="00567BF4"/>
    <w:rsid w:val="00567D16"/>
    <w:rsid w:val="00567D4A"/>
    <w:rsid w:val="00567F04"/>
    <w:rsid w:val="00567F3A"/>
    <w:rsid w:val="00567FCC"/>
    <w:rsid w:val="00567FD1"/>
    <w:rsid w:val="00567FE1"/>
    <w:rsid w:val="0056FA52"/>
    <w:rsid w:val="00570049"/>
    <w:rsid w:val="00570080"/>
    <w:rsid w:val="00570264"/>
    <w:rsid w:val="00570334"/>
    <w:rsid w:val="00570367"/>
    <w:rsid w:val="005703A3"/>
    <w:rsid w:val="005703D1"/>
    <w:rsid w:val="00570438"/>
    <w:rsid w:val="0057045D"/>
    <w:rsid w:val="00570495"/>
    <w:rsid w:val="005704C6"/>
    <w:rsid w:val="00570566"/>
    <w:rsid w:val="0057056C"/>
    <w:rsid w:val="005705BC"/>
    <w:rsid w:val="00570660"/>
    <w:rsid w:val="00570732"/>
    <w:rsid w:val="00570738"/>
    <w:rsid w:val="0057077B"/>
    <w:rsid w:val="0057078E"/>
    <w:rsid w:val="005707CF"/>
    <w:rsid w:val="0057081E"/>
    <w:rsid w:val="00570856"/>
    <w:rsid w:val="00570881"/>
    <w:rsid w:val="00570A7D"/>
    <w:rsid w:val="00570A8D"/>
    <w:rsid w:val="00570AA8"/>
    <w:rsid w:val="00570ADB"/>
    <w:rsid w:val="00570B96"/>
    <w:rsid w:val="00570BDE"/>
    <w:rsid w:val="00570BF6"/>
    <w:rsid w:val="00570CFA"/>
    <w:rsid w:val="00570D03"/>
    <w:rsid w:val="00570D18"/>
    <w:rsid w:val="00570D1E"/>
    <w:rsid w:val="00570D44"/>
    <w:rsid w:val="00570D48"/>
    <w:rsid w:val="00570D75"/>
    <w:rsid w:val="00570DFD"/>
    <w:rsid w:val="00570E26"/>
    <w:rsid w:val="00570E36"/>
    <w:rsid w:val="00570E44"/>
    <w:rsid w:val="00570F93"/>
    <w:rsid w:val="00571005"/>
    <w:rsid w:val="0057100F"/>
    <w:rsid w:val="005710B2"/>
    <w:rsid w:val="005710FE"/>
    <w:rsid w:val="00571153"/>
    <w:rsid w:val="00571166"/>
    <w:rsid w:val="0057121F"/>
    <w:rsid w:val="0057127C"/>
    <w:rsid w:val="0057132A"/>
    <w:rsid w:val="005713DE"/>
    <w:rsid w:val="005713F7"/>
    <w:rsid w:val="0057143C"/>
    <w:rsid w:val="00571448"/>
    <w:rsid w:val="0057158D"/>
    <w:rsid w:val="00571699"/>
    <w:rsid w:val="005716B0"/>
    <w:rsid w:val="0057179A"/>
    <w:rsid w:val="00571817"/>
    <w:rsid w:val="00571875"/>
    <w:rsid w:val="005718B0"/>
    <w:rsid w:val="005718D6"/>
    <w:rsid w:val="005718E8"/>
    <w:rsid w:val="00571ABC"/>
    <w:rsid w:val="00571BC4"/>
    <w:rsid w:val="00571C33"/>
    <w:rsid w:val="00571C51"/>
    <w:rsid w:val="00571C8F"/>
    <w:rsid w:val="00571CAB"/>
    <w:rsid w:val="00571E36"/>
    <w:rsid w:val="00571EED"/>
    <w:rsid w:val="00571F8B"/>
    <w:rsid w:val="00571FF8"/>
    <w:rsid w:val="00572004"/>
    <w:rsid w:val="0057200B"/>
    <w:rsid w:val="0057203C"/>
    <w:rsid w:val="005720C7"/>
    <w:rsid w:val="00572100"/>
    <w:rsid w:val="00572159"/>
    <w:rsid w:val="00572194"/>
    <w:rsid w:val="005721A5"/>
    <w:rsid w:val="00572213"/>
    <w:rsid w:val="00572276"/>
    <w:rsid w:val="00572290"/>
    <w:rsid w:val="00572305"/>
    <w:rsid w:val="00572312"/>
    <w:rsid w:val="00572344"/>
    <w:rsid w:val="005725A0"/>
    <w:rsid w:val="00572629"/>
    <w:rsid w:val="00572652"/>
    <w:rsid w:val="005726EF"/>
    <w:rsid w:val="0057273F"/>
    <w:rsid w:val="005727E3"/>
    <w:rsid w:val="00572885"/>
    <w:rsid w:val="005728D3"/>
    <w:rsid w:val="005729B2"/>
    <w:rsid w:val="005729D0"/>
    <w:rsid w:val="005729E3"/>
    <w:rsid w:val="005729F8"/>
    <w:rsid w:val="00572A15"/>
    <w:rsid w:val="00572B26"/>
    <w:rsid w:val="00572B32"/>
    <w:rsid w:val="00572B9A"/>
    <w:rsid w:val="00572C6C"/>
    <w:rsid w:val="00572D8A"/>
    <w:rsid w:val="00572F36"/>
    <w:rsid w:val="00572F8E"/>
    <w:rsid w:val="00572FB5"/>
    <w:rsid w:val="00572FE4"/>
    <w:rsid w:val="0057301A"/>
    <w:rsid w:val="00573257"/>
    <w:rsid w:val="00573273"/>
    <w:rsid w:val="00573276"/>
    <w:rsid w:val="00573326"/>
    <w:rsid w:val="005733A5"/>
    <w:rsid w:val="005733E1"/>
    <w:rsid w:val="0057341D"/>
    <w:rsid w:val="0057352F"/>
    <w:rsid w:val="0057353D"/>
    <w:rsid w:val="00573582"/>
    <w:rsid w:val="0057358D"/>
    <w:rsid w:val="005736D3"/>
    <w:rsid w:val="005736F3"/>
    <w:rsid w:val="005737BD"/>
    <w:rsid w:val="005739A4"/>
    <w:rsid w:val="00573A69"/>
    <w:rsid w:val="00573AA6"/>
    <w:rsid w:val="00573BBC"/>
    <w:rsid w:val="00573C7F"/>
    <w:rsid w:val="00573C8E"/>
    <w:rsid w:val="00573DC6"/>
    <w:rsid w:val="00573E9A"/>
    <w:rsid w:val="00574002"/>
    <w:rsid w:val="005740F9"/>
    <w:rsid w:val="00574109"/>
    <w:rsid w:val="00574169"/>
    <w:rsid w:val="0057421C"/>
    <w:rsid w:val="00574295"/>
    <w:rsid w:val="005742B5"/>
    <w:rsid w:val="005743F0"/>
    <w:rsid w:val="00574452"/>
    <w:rsid w:val="00574576"/>
    <w:rsid w:val="00574765"/>
    <w:rsid w:val="00574854"/>
    <w:rsid w:val="005748D6"/>
    <w:rsid w:val="005748DF"/>
    <w:rsid w:val="005748E3"/>
    <w:rsid w:val="00574A5F"/>
    <w:rsid w:val="00574AA2"/>
    <w:rsid w:val="00574ABC"/>
    <w:rsid w:val="00574B83"/>
    <w:rsid w:val="00574C19"/>
    <w:rsid w:val="00574C58"/>
    <w:rsid w:val="00574CBE"/>
    <w:rsid w:val="00574E7D"/>
    <w:rsid w:val="00574E9E"/>
    <w:rsid w:val="00574EA0"/>
    <w:rsid w:val="00574EB5"/>
    <w:rsid w:val="00574F6F"/>
    <w:rsid w:val="00574FAB"/>
    <w:rsid w:val="005752E8"/>
    <w:rsid w:val="0057536B"/>
    <w:rsid w:val="00575382"/>
    <w:rsid w:val="00575388"/>
    <w:rsid w:val="005754AA"/>
    <w:rsid w:val="005754DD"/>
    <w:rsid w:val="0057556C"/>
    <w:rsid w:val="00575577"/>
    <w:rsid w:val="005755D4"/>
    <w:rsid w:val="00575693"/>
    <w:rsid w:val="005756AB"/>
    <w:rsid w:val="00575733"/>
    <w:rsid w:val="00575794"/>
    <w:rsid w:val="0057582E"/>
    <w:rsid w:val="0057589F"/>
    <w:rsid w:val="005758D3"/>
    <w:rsid w:val="0057591E"/>
    <w:rsid w:val="00575952"/>
    <w:rsid w:val="005759E3"/>
    <w:rsid w:val="00575AE9"/>
    <w:rsid w:val="00575AFE"/>
    <w:rsid w:val="00575B25"/>
    <w:rsid w:val="00575BE1"/>
    <w:rsid w:val="00575C36"/>
    <w:rsid w:val="00575C3D"/>
    <w:rsid w:val="00575DB7"/>
    <w:rsid w:val="00575DC6"/>
    <w:rsid w:val="00575DDD"/>
    <w:rsid w:val="00575ED8"/>
    <w:rsid w:val="00575F76"/>
    <w:rsid w:val="005760F7"/>
    <w:rsid w:val="00576158"/>
    <w:rsid w:val="005761A3"/>
    <w:rsid w:val="005761DB"/>
    <w:rsid w:val="0057624C"/>
    <w:rsid w:val="005762BD"/>
    <w:rsid w:val="00576352"/>
    <w:rsid w:val="00576384"/>
    <w:rsid w:val="00576462"/>
    <w:rsid w:val="0057649F"/>
    <w:rsid w:val="005765BF"/>
    <w:rsid w:val="00576670"/>
    <w:rsid w:val="00576675"/>
    <w:rsid w:val="005766CC"/>
    <w:rsid w:val="0057676B"/>
    <w:rsid w:val="005767CF"/>
    <w:rsid w:val="00576857"/>
    <w:rsid w:val="005768E9"/>
    <w:rsid w:val="00576998"/>
    <w:rsid w:val="005769FD"/>
    <w:rsid w:val="00576AF3"/>
    <w:rsid w:val="00576AFB"/>
    <w:rsid w:val="00576C1D"/>
    <w:rsid w:val="00576CCB"/>
    <w:rsid w:val="00576CD5"/>
    <w:rsid w:val="00576CF4"/>
    <w:rsid w:val="00576E29"/>
    <w:rsid w:val="00576E35"/>
    <w:rsid w:val="00576E37"/>
    <w:rsid w:val="00576EE2"/>
    <w:rsid w:val="00576FA1"/>
    <w:rsid w:val="00576FB7"/>
    <w:rsid w:val="0057708F"/>
    <w:rsid w:val="005770A6"/>
    <w:rsid w:val="005770C0"/>
    <w:rsid w:val="005770C7"/>
    <w:rsid w:val="005770C8"/>
    <w:rsid w:val="005770CB"/>
    <w:rsid w:val="0057712D"/>
    <w:rsid w:val="005771F5"/>
    <w:rsid w:val="005771FB"/>
    <w:rsid w:val="0057739C"/>
    <w:rsid w:val="005773A3"/>
    <w:rsid w:val="005773EB"/>
    <w:rsid w:val="00577536"/>
    <w:rsid w:val="005775B2"/>
    <w:rsid w:val="0057769F"/>
    <w:rsid w:val="005776FD"/>
    <w:rsid w:val="005776FF"/>
    <w:rsid w:val="00577721"/>
    <w:rsid w:val="0057776B"/>
    <w:rsid w:val="00577785"/>
    <w:rsid w:val="0057778F"/>
    <w:rsid w:val="00577797"/>
    <w:rsid w:val="00577812"/>
    <w:rsid w:val="00577836"/>
    <w:rsid w:val="005778A7"/>
    <w:rsid w:val="005778F3"/>
    <w:rsid w:val="0057798C"/>
    <w:rsid w:val="005779AD"/>
    <w:rsid w:val="005779EF"/>
    <w:rsid w:val="00577A4F"/>
    <w:rsid w:val="00577A50"/>
    <w:rsid w:val="00577C30"/>
    <w:rsid w:val="00577C39"/>
    <w:rsid w:val="00577CEC"/>
    <w:rsid w:val="00577D6D"/>
    <w:rsid w:val="00577DB7"/>
    <w:rsid w:val="00577E16"/>
    <w:rsid w:val="00577F44"/>
    <w:rsid w:val="00577F62"/>
    <w:rsid w:val="00577F90"/>
    <w:rsid w:val="00577FC9"/>
    <w:rsid w:val="00580010"/>
    <w:rsid w:val="00580013"/>
    <w:rsid w:val="00580023"/>
    <w:rsid w:val="00580083"/>
    <w:rsid w:val="0058019F"/>
    <w:rsid w:val="005801AD"/>
    <w:rsid w:val="005801FD"/>
    <w:rsid w:val="00580219"/>
    <w:rsid w:val="005802E5"/>
    <w:rsid w:val="00580345"/>
    <w:rsid w:val="005804DD"/>
    <w:rsid w:val="0058056C"/>
    <w:rsid w:val="0058060B"/>
    <w:rsid w:val="00580696"/>
    <w:rsid w:val="005806F1"/>
    <w:rsid w:val="005806F7"/>
    <w:rsid w:val="005806F9"/>
    <w:rsid w:val="005807F8"/>
    <w:rsid w:val="00580817"/>
    <w:rsid w:val="00580844"/>
    <w:rsid w:val="005808A3"/>
    <w:rsid w:val="005808AE"/>
    <w:rsid w:val="00580903"/>
    <w:rsid w:val="005809B8"/>
    <w:rsid w:val="005809C5"/>
    <w:rsid w:val="005809F9"/>
    <w:rsid w:val="00580A17"/>
    <w:rsid w:val="00580A3E"/>
    <w:rsid w:val="00580B19"/>
    <w:rsid w:val="00580B59"/>
    <w:rsid w:val="00580BF9"/>
    <w:rsid w:val="00580CB7"/>
    <w:rsid w:val="00580CBE"/>
    <w:rsid w:val="00580D19"/>
    <w:rsid w:val="00580D29"/>
    <w:rsid w:val="00580D89"/>
    <w:rsid w:val="00580D9A"/>
    <w:rsid w:val="00580EA3"/>
    <w:rsid w:val="00580EE7"/>
    <w:rsid w:val="00580F05"/>
    <w:rsid w:val="00580F7C"/>
    <w:rsid w:val="00580F87"/>
    <w:rsid w:val="00580FCC"/>
    <w:rsid w:val="0058102E"/>
    <w:rsid w:val="005810C8"/>
    <w:rsid w:val="0058116F"/>
    <w:rsid w:val="005811E8"/>
    <w:rsid w:val="005811ED"/>
    <w:rsid w:val="0058123F"/>
    <w:rsid w:val="00581252"/>
    <w:rsid w:val="00581273"/>
    <w:rsid w:val="00581279"/>
    <w:rsid w:val="005812AE"/>
    <w:rsid w:val="0058132D"/>
    <w:rsid w:val="00581394"/>
    <w:rsid w:val="0058144F"/>
    <w:rsid w:val="00581462"/>
    <w:rsid w:val="005814AC"/>
    <w:rsid w:val="0058152D"/>
    <w:rsid w:val="00581569"/>
    <w:rsid w:val="00581619"/>
    <w:rsid w:val="0058161C"/>
    <w:rsid w:val="005816EA"/>
    <w:rsid w:val="00581765"/>
    <w:rsid w:val="0058179C"/>
    <w:rsid w:val="005818A0"/>
    <w:rsid w:val="005818BA"/>
    <w:rsid w:val="005818C3"/>
    <w:rsid w:val="0058190D"/>
    <w:rsid w:val="00581929"/>
    <w:rsid w:val="0058199C"/>
    <w:rsid w:val="005819ED"/>
    <w:rsid w:val="00581A2D"/>
    <w:rsid w:val="00581A5C"/>
    <w:rsid w:val="00581AE5"/>
    <w:rsid w:val="00581AF8"/>
    <w:rsid w:val="00581AFE"/>
    <w:rsid w:val="00581B09"/>
    <w:rsid w:val="00581B62"/>
    <w:rsid w:val="00581C28"/>
    <w:rsid w:val="00581C2A"/>
    <w:rsid w:val="00581C85"/>
    <w:rsid w:val="00581D24"/>
    <w:rsid w:val="00581D37"/>
    <w:rsid w:val="00581D61"/>
    <w:rsid w:val="00581DDF"/>
    <w:rsid w:val="00581E94"/>
    <w:rsid w:val="00581F32"/>
    <w:rsid w:val="0058203F"/>
    <w:rsid w:val="00582165"/>
    <w:rsid w:val="0058219F"/>
    <w:rsid w:val="00582247"/>
    <w:rsid w:val="0058225A"/>
    <w:rsid w:val="005822BB"/>
    <w:rsid w:val="00582394"/>
    <w:rsid w:val="0058249E"/>
    <w:rsid w:val="00582521"/>
    <w:rsid w:val="00582585"/>
    <w:rsid w:val="0058259B"/>
    <w:rsid w:val="005825B3"/>
    <w:rsid w:val="005825BD"/>
    <w:rsid w:val="005825CD"/>
    <w:rsid w:val="005825F2"/>
    <w:rsid w:val="00582627"/>
    <w:rsid w:val="0058262B"/>
    <w:rsid w:val="005827C0"/>
    <w:rsid w:val="005829C4"/>
    <w:rsid w:val="00582A10"/>
    <w:rsid w:val="00582AE0"/>
    <w:rsid w:val="00582B77"/>
    <w:rsid w:val="00582B9D"/>
    <w:rsid w:val="00582BBB"/>
    <w:rsid w:val="00582C09"/>
    <w:rsid w:val="00582D36"/>
    <w:rsid w:val="00582D50"/>
    <w:rsid w:val="00582DC8"/>
    <w:rsid w:val="00582DCF"/>
    <w:rsid w:val="00582E44"/>
    <w:rsid w:val="00582ECE"/>
    <w:rsid w:val="00582F2B"/>
    <w:rsid w:val="00582F4C"/>
    <w:rsid w:val="00582F50"/>
    <w:rsid w:val="00582FD3"/>
    <w:rsid w:val="00582FDE"/>
    <w:rsid w:val="00583037"/>
    <w:rsid w:val="0058313B"/>
    <w:rsid w:val="00583238"/>
    <w:rsid w:val="00583335"/>
    <w:rsid w:val="00583371"/>
    <w:rsid w:val="005833CA"/>
    <w:rsid w:val="005834A9"/>
    <w:rsid w:val="00583500"/>
    <w:rsid w:val="0058364A"/>
    <w:rsid w:val="0058369E"/>
    <w:rsid w:val="005836B0"/>
    <w:rsid w:val="00583755"/>
    <w:rsid w:val="0058376D"/>
    <w:rsid w:val="00583782"/>
    <w:rsid w:val="005837CA"/>
    <w:rsid w:val="005837E3"/>
    <w:rsid w:val="005837ED"/>
    <w:rsid w:val="0058383F"/>
    <w:rsid w:val="005838A9"/>
    <w:rsid w:val="0058399D"/>
    <w:rsid w:val="005839EC"/>
    <w:rsid w:val="005839F6"/>
    <w:rsid w:val="00583B12"/>
    <w:rsid w:val="00583B33"/>
    <w:rsid w:val="00583BCF"/>
    <w:rsid w:val="00583BF7"/>
    <w:rsid w:val="00583C03"/>
    <w:rsid w:val="00583C05"/>
    <w:rsid w:val="00583C0A"/>
    <w:rsid w:val="00583C15"/>
    <w:rsid w:val="00583C68"/>
    <w:rsid w:val="00583C6B"/>
    <w:rsid w:val="00583C97"/>
    <w:rsid w:val="00583D08"/>
    <w:rsid w:val="00583D23"/>
    <w:rsid w:val="00583E0A"/>
    <w:rsid w:val="00583E4E"/>
    <w:rsid w:val="00583F55"/>
    <w:rsid w:val="00583FD8"/>
    <w:rsid w:val="00583FE2"/>
    <w:rsid w:val="00584057"/>
    <w:rsid w:val="005840B3"/>
    <w:rsid w:val="00584110"/>
    <w:rsid w:val="005841ED"/>
    <w:rsid w:val="00584223"/>
    <w:rsid w:val="0058439C"/>
    <w:rsid w:val="005843F5"/>
    <w:rsid w:val="00584461"/>
    <w:rsid w:val="00584486"/>
    <w:rsid w:val="005844C9"/>
    <w:rsid w:val="005844FD"/>
    <w:rsid w:val="0058454C"/>
    <w:rsid w:val="005846D6"/>
    <w:rsid w:val="00584737"/>
    <w:rsid w:val="0058474E"/>
    <w:rsid w:val="00584788"/>
    <w:rsid w:val="00584795"/>
    <w:rsid w:val="0058483F"/>
    <w:rsid w:val="0058484A"/>
    <w:rsid w:val="0058489C"/>
    <w:rsid w:val="00584A67"/>
    <w:rsid w:val="00584A7C"/>
    <w:rsid w:val="00584B08"/>
    <w:rsid w:val="00584BA4"/>
    <w:rsid w:val="00584C04"/>
    <w:rsid w:val="00584C35"/>
    <w:rsid w:val="00584C95"/>
    <w:rsid w:val="00584C97"/>
    <w:rsid w:val="00584D7D"/>
    <w:rsid w:val="00584D7F"/>
    <w:rsid w:val="00584E07"/>
    <w:rsid w:val="00584ED2"/>
    <w:rsid w:val="00584F88"/>
    <w:rsid w:val="005850A4"/>
    <w:rsid w:val="005851DF"/>
    <w:rsid w:val="00585247"/>
    <w:rsid w:val="005852F1"/>
    <w:rsid w:val="00585315"/>
    <w:rsid w:val="00585345"/>
    <w:rsid w:val="005853B1"/>
    <w:rsid w:val="005853B6"/>
    <w:rsid w:val="00585410"/>
    <w:rsid w:val="0058549A"/>
    <w:rsid w:val="0058555F"/>
    <w:rsid w:val="005855BF"/>
    <w:rsid w:val="005855D0"/>
    <w:rsid w:val="005855EC"/>
    <w:rsid w:val="005856B2"/>
    <w:rsid w:val="0058571C"/>
    <w:rsid w:val="005857AB"/>
    <w:rsid w:val="00585878"/>
    <w:rsid w:val="005858AC"/>
    <w:rsid w:val="00585965"/>
    <w:rsid w:val="0058596E"/>
    <w:rsid w:val="00585980"/>
    <w:rsid w:val="00585988"/>
    <w:rsid w:val="00585A65"/>
    <w:rsid w:val="00585A76"/>
    <w:rsid w:val="00585A87"/>
    <w:rsid w:val="00585BF8"/>
    <w:rsid w:val="00585CCC"/>
    <w:rsid w:val="00585CED"/>
    <w:rsid w:val="00585E90"/>
    <w:rsid w:val="00585EA3"/>
    <w:rsid w:val="00585FE3"/>
    <w:rsid w:val="005860CC"/>
    <w:rsid w:val="005860E0"/>
    <w:rsid w:val="0058614D"/>
    <w:rsid w:val="00586161"/>
    <w:rsid w:val="005861EE"/>
    <w:rsid w:val="0058625C"/>
    <w:rsid w:val="00586300"/>
    <w:rsid w:val="005863F2"/>
    <w:rsid w:val="0058641F"/>
    <w:rsid w:val="00586628"/>
    <w:rsid w:val="00586631"/>
    <w:rsid w:val="005866C2"/>
    <w:rsid w:val="005867DB"/>
    <w:rsid w:val="00586888"/>
    <w:rsid w:val="005868A0"/>
    <w:rsid w:val="005868C7"/>
    <w:rsid w:val="005869CE"/>
    <w:rsid w:val="00586A06"/>
    <w:rsid w:val="00586A5A"/>
    <w:rsid w:val="00586A8C"/>
    <w:rsid w:val="00586BB2"/>
    <w:rsid w:val="00586BC5"/>
    <w:rsid w:val="00586BF2"/>
    <w:rsid w:val="00586CB7"/>
    <w:rsid w:val="00586D55"/>
    <w:rsid w:val="00586DEC"/>
    <w:rsid w:val="00586DFC"/>
    <w:rsid w:val="00586E4E"/>
    <w:rsid w:val="00586F3A"/>
    <w:rsid w:val="00586FF6"/>
    <w:rsid w:val="00587013"/>
    <w:rsid w:val="0058707A"/>
    <w:rsid w:val="00587080"/>
    <w:rsid w:val="005870A5"/>
    <w:rsid w:val="00587104"/>
    <w:rsid w:val="00587148"/>
    <w:rsid w:val="0058719A"/>
    <w:rsid w:val="005871E9"/>
    <w:rsid w:val="005871FF"/>
    <w:rsid w:val="00587377"/>
    <w:rsid w:val="00587391"/>
    <w:rsid w:val="005873E7"/>
    <w:rsid w:val="0058750A"/>
    <w:rsid w:val="00587578"/>
    <w:rsid w:val="0058759F"/>
    <w:rsid w:val="0058763C"/>
    <w:rsid w:val="00587692"/>
    <w:rsid w:val="005876B2"/>
    <w:rsid w:val="00587755"/>
    <w:rsid w:val="00587777"/>
    <w:rsid w:val="00587786"/>
    <w:rsid w:val="0058779B"/>
    <w:rsid w:val="005877C0"/>
    <w:rsid w:val="005877CC"/>
    <w:rsid w:val="005877CD"/>
    <w:rsid w:val="005877DD"/>
    <w:rsid w:val="0058785A"/>
    <w:rsid w:val="005879B9"/>
    <w:rsid w:val="00587AE6"/>
    <w:rsid w:val="00587B02"/>
    <w:rsid w:val="00587B9D"/>
    <w:rsid w:val="00587BC4"/>
    <w:rsid w:val="00587C53"/>
    <w:rsid w:val="00587D12"/>
    <w:rsid w:val="00587D39"/>
    <w:rsid w:val="00587FA1"/>
    <w:rsid w:val="00590016"/>
    <w:rsid w:val="00590034"/>
    <w:rsid w:val="00590048"/>
    <w:rsid w:val="005900F7"/>
    <w:rsid w:val="0059015A"/>
    <w:rsid w:val="00590195"/>
    <w:rsid w:val="005902B9"/>
    <w:rsid w:val="005902BB"/>
    <w:rsid w:val="0059032D"/>
    <w:rsid w:val="00590334"/>
    <w:rsid w:val="00590343"/>
    <w:rsid w:val="0059036D"/>
    <w:rsid w:val="00590397"/>
    <w:rsid w:val="0059047D"/>
    <w:rsid w:val="005904DE"/>
    <w:rsid w:val="00590553"/>
    <w:rsid w:val="00590593"/>
    <w:rsid w:val="005905A3"/>
    <w:rsid w:val="005905BC"/>
    <w:rsid w:val="00590625"/>
    <w:rsid w:val="005906D4"/>
    <w:rsid w:val="0059078B"/>
    <w:rsid w:val="005907DF"/>
    <w:rsid w:val="0059086A"/>
    <w:rsid w:val="0059088F"/>
    <w:rsid w:val="00590972"/>
    <w:rsid w:val="00590A49"/>
    <w:rsid w:val="00590A93"/>
    <w:rsid w:val="00590AD4"/>
    <w:rsid w:val="00590ADC"/>
    <w:rsid w:val="00590B58"/>
    <w:rsid w:val="00590BC4"/>
    <w:rsid w:val="00590BD5"/>
    <w:rsid w:val="00590BD6"/>
    <w:rsid w:val="00590C62"/>
    <w:rsid w:val="00590D03"/>
    <w:rsid w:val="00590D1D"/>
    <w:rsid w:val="00590DEF"/>
    <w:rsid w:val="00590E51"/>
    <w:rsid w:val="00591094"/>
    <w:rsid w:val="005910F6"/>
    <w:rsid w:val="00591136"/>
    <w:rsid w:val="005911B9"/>
    <w:rsid w:val="005911E4"/>
    <w:rsid w:val="005911F5"/>
    <w:rsid w:val="00591241"/>
    <w:rsid w:val="0059125B"/>
    <w:rsid w:val="005912B7"/>
    <w:rsid w:val="005912DE"/>
    <w:rsid w:val="005912E0"/>
    <w:rsid w:val="00591361"/>
    <w:rsid w:val="005913A1"/>
    <w:rsid w:val="00591440"/>
    <w:rsid w:val="005914B2"/>
    <w:rsid w:val="00591696"/>
    <w:rsid w:val="005916D4"/>
    <w:rsid w:val="005916FF"/>
    <w:rsid w:val="00591797"/>
    <w:rsid w:val="005917E6"/>
    <w:rsid w:val="0059181D"/>
    <w:rsid w:val="00591826"/>
    <w:rsid w:val="005918BB"/>
    <w:rsid w:val="005918C1"/>
    <w:rsid w:val="0059193F"/>
    <w:rsid w:val="005919D5"/>
    <w:rsid w:val="00591A45"/>
    <w:rsid w:val="00591A4C"/>
    <w:rsid w:val="00591AFB"/>
    <w:rsid w:val="00591B03"/>
    <w:rsid w:val="00591BBB"/>
    <w:rsid w:val="00591BEB"/>
    <w:rsid w:val="00591C80"/>
    <w:rsid w:val="00591D25"/>
    <w:rsid w:val="00591F1F"/>
    <w:rsid w:val="00591F20"/>
    <w:rsid w:val="00592134"/>
    <w:rsid w:val="00592153"/>
    <w:rsid w:val="00592192"/>
    <w:rsid w:val="005921AD"/>
    <w:rsid w:val="005921BD"/>
    <w:rsid w:val="00592258"/>
    <w:rsid w:val="005923DB"/>
    <w:rsid w:val="005923F1"/>
    <w:rsid w:val="0059242C"/>
    <w:rsid w:val="005924E1"/>
    <w:rsid w:val="00592519"/>
    <w:rsid w:val="0059253A"/>
    <w:rsid w:val="005926DB"/>
    <w:rsid w:val="005926F1"/>
    <w:rsid w:val="0059277D"/>
    <w:rsid w:val="005927E8"/>
    <w:rsid w:val="005927FD"/>
    <w:rsid w:val="00592805"/>
    <w:rsid w:val="0059286C"/>
    <w:rsid w:val="00592898"/>
    <w:rsid w:val="0059297D"/>
    <w:rsid w:val="005929DB"/>
    <w:rsid w:val="00592A64"/>
    <w:rsid w:val="00592A83"/>
    <w:rsid w:val="00592AAD"/>
    <w:rsid w:val="00592AD6"/>
    <w:rsid w:val="00592B2D"/>
    <w:rsid w:val="00592C09"/>
    <w:rsid w:val="00592C1B"/>
    <w:rsid w:val="00592C34"/>
    <w:rsid w:val="00592C47"/>
    <w:rsid w:val="00592C60"/>
    <w:rsid w:val="00592C73"/>
    <w:rsid w:val="00592C84"/>
    <w:rsid w:val="00592CF8"/>
    <w:rsid w:val="00592D0E"/>
    <w:rsid w:val="00592DF2"/>
    <w:rsid w:val="00592EB7"/>
    <w:rsid w:val="00592F7F"/>
    <w:rsid w:val="00592F94"/>
    <w:rsid w:val="00593050"/>
    <w:rsid w:val="00593139"/>
    <w:rsid w:val="00593147"/>
    <w:rsid w:val="00593149"/>
    <w:rsid w:val="0059314A"/>
    <w:rsid w:val="005931A8"/>
    <w:rsid w:val="0059323F"/>
    <w:rsid w:val="00593271"/>
    <w:rsid w:val="005932A8"/>
    <w:rsid w:val="00593416"/>
    <w:rsid w:val="0059345E"/>
    <w:rsid w:val="00593520"/>
    <w:rsid w:val="005935B0"/>
    <w:rsid w:val="00593603"/>
    <w:rsid w:val="005936AC"/>
    <w:rsid w:val="00593766"/>
    <w:rsid w:val="005937BC"/>
    <w:rsid w:val="005937D1"/>
    <w:rsid w:val="0059381A"/>
    <w:rsid w:val="0059388D"/>
    <w:rsid w:val="005938AD"/>
    <w:rsid w:val="005938E9"/>
    <w:rsid w:val="005939D8"/>
    <w:rsid w:val="00593A15"/>
    <w:rsid w:val="00593A68"/>
    <w:rsid w:val="00593B9E"/>
    <w:rsid w:val="00593BE9"/>
    <w:rsid w:val="00593C04"/>
    <w:rsid w:val="00593C14"/>
    <w:rsid w:val="00593CAA"/>
    <w:rsid w:val="00593D1B"/>
    <w:rsid w:val="00593DB9"/>
    <w:rsid w:val="00593DCE"/>
    <w:rsid w:val="00593DE0"/>
    <w:rsid w:val="00593E0F"/>
    <w:rsid w:val="00593E38"/>
    <w:rsid w:val="00593ED4"/>
    <w:rsid w:val="00593EF7"/>
    <w:rsid w:val="00594101"/>
    <w:rsid w:val="00594137"/>
    <w:rsid w:val="005941D4"/>
    <w:rsid w:val="0059429A"/>
    <w:rsid w:val="00594304"/>
    <w:rsid w:val="00594374"/>
    <w:rsid w:val="00594393"/>
    <w:rsid w:val="00594458"/>
    <w:rsid w:val="005945B2"/>
    <w:rsid w:val="005946D7"/>
    <w:rsid w:val="0059475A"/>
    <w:rsid w:val="00594880"/>
    <w:rsid w:val="00594892"/>
    <w:rsid w:val="005948D3"/>
    <w:rsid w:val="00594917"/>
    <w:rsid w:val="005949B7"/>
    <w:rsid w:val="00594ABF"/>
    <w:rsid w:val="00594B6D"/>
    <w:rsid w:val="00594BEC"/>
    <w:rsid w:val="00594C34"/>
    <w:rsid w:val="00594C3C"/>
    <w:rsid w:val="00594C63"/>
    <w:rsid w:val="00594E31"/>
    <w:rsid w:val="00594E54"/>
    <w:rsid w:val="00594E83"/>
    <w:rsid w:val="00594F3A"/>
    <w:rsid w:val="00594FF2"/>
    <w:rsid w:val="0059500A"/>
    <w:rsid w:val="00595114"/>
    <w:rsid w:val="00595247"/>
    <w:rsid w:val="0059524B"/>
    <w:rsid w:val="00595293"/>
    <w:rsid w:val="00595297"/>
    <w:rsid w:val="005952AA"/>
    <w:rsid w:val="0059534F"/>
    <w:rsid w:val="005953C6"/>
    <w:rsid w:val="0059540D"/>
    <w:rsid w:val="005954E2"/>
    <w:rsid w:val="005954F7"/>
    <w:rsid w:val="00595519"/>
    <w:rsid w:val="00595552"/>
    <w:rsid w:val="005955BD"/>
    <w:rsid w:val="00595602"/>
    <w:rsid w:val="00595643"/>
    <w:rsid w:val="0059576B"/>
    <w:rsid w:val="00595807"/>
    <w:rsid w:val="00595907"/>
    <w:rsid w:val="0059590D"/>
    <w:rsid w:val="0059594E"/>
    <w:rsid w:val="00595A72"/>
    <w:rsid w:val="00595AC0"/>
    <w:rsid w:val="00595B69"/>
    <w:rsid w:val="00595C57"/>
    <w:rsid w:val="00595C87"/>
    <w:rsid w:val="00595CBA"/>
    <w:rsid w:val="00595ECB"/>
    <w:rsid w:val="00595F14"/>
    <w:rsid w:val="00595F88"/>
    <w:rsid w:val="00596250"/>
    <w:rsid w:val="005962D9"/>
    <w:rsid w:val="005962DC"/>
    <w:rsid w:val="00596344"/>
    <w:rsid w:val="005963C0"/>
    <w:rsid w:val="00596478"/>
    <w:rsid w:val="005964F1"/>
    <w:rsid w:val="0059659B"/>
    <w:rsid w:val="00596612"/>
    <w:rsid w:val="005966C0"/>
    <w:rsid w:val="005966D5"/>
    <w:rsid w:val="005966DF"/>
    <w:rsid w:val="0059671E"/>
    <w:rsid w:val="00596924"/>
    <w:rsid w:val="00596948"/>
    <w:rsid w:val="0059697D"/>
    <w:rsid w:val="00596983"/>
    <w:rsid w:val="005969D0"/>
    <w:rsid w:val="00596A3A"/>
    <w:rsid w:val="00596AF6"/>
    <w:rsid w:val="00596B14"/>
    <w:rsid w:val="00596BE7"/>
    <w:rsid w:val="00596C29"/>
    <w:rsid w:val="00596CBE"/>
    <w:rsid w:val="00596D02"/>
    <w:rsid w:val="00596D86"/>
    <w:rsid w:val="00596E2C"/>
    <w:rsid w:val="00596E66"/>
    <w:rsid w:val="00596EE0"/>
    <w:rsid w:val="00596F20"/>
    <w:rsid w:val="00596F79"/>
    <w:rsid w:val="00596F88"/>
    <w:rsid w:val="00596FF1"/>
    <w:rsid w:val="00597135"/>
    <w:rsid w:val="0059713A"/>
    <w:rsid w:val="00597175"/>
    <w:rsid w:val="0059727E"/>
    <w:rsid w:val="005972B0"/>
    <w:rsid w:val="005972F9"/>
    <w:rsid w:val="00597380"/>
    <w:rsid w:val="0059753C"/>
    <w:rsid w:val="005976F4"/>
    <w:rsid w:val="00597750"/>
    <w:rsid w:val="00597823"/>
    <w:rsid w:val="00597858"/>
    <w:rsid w:val="005978EE"/>
    <w:rsid w:val="00597922"/>
    <w:rsid w:val="005979DB"/>
    <w:rsid w:val="00597AE3"/>
    <w:rsid w:val="00597B91"/>
    <w:rsid w:val="00597C01"/>
    <w:rsid w:val="00597C4B"/>
    <w:rsid w:val="00597CF6"/>
    <w:rsid w:val="00597CF7"/>
    <w:rsid w:val="00597D3F"/>
    <w:rsid w:val="00597D94"/>
    <w:rsid w:val="00597E4F"/>
    <w:rsid w:val="00597F12"/>
    <w:rsid w:val="00597F24"/>
    <w:rsid w:val="00597F2A"/>
    <w:rsid w:val="005A0016"/>
    <w:rsid w:val="005A0019"/>
    <w:rsid w:val="005A001C"/>
    <w:rsid w:val="005A0088"/>
    <w:rsid w:val="005A009E"/>
    <w:rsid w:val="005A00D7"/>
    <w:rsid w:val="005A00E3"/>
    <w:rsid w:val="005A00F8"/>
    <w:rsid w:val="005A020F"/>
    <w:rsid w:val="005A0373"/>
    <w:rsid w:val="005A0382"/>
    <w:rsid w:val="005A0487"/>
    <w:rsid w:val="005A049A"/>
    <w:rsid w:val="005A058C"/>
    <w:rsid w:val="005A05E3"/>
    <w:rsid w:val="005A069D"/>
    <w:rsid w:val="005A0776"/>
    <w:rsid w:val="005A082B"/>
    <w:rsid w:val="005A086D"/>
    <w:rsid w:val="005A08B0"/>
    <w:rsid w:val="005A08C0"/>
    <w:rsid w:val="005A09F9"/>
    <w:rsid w:val="005A0A92"/>
    <w:rsid w:val="005A0AC9"/>
    <w:rsid w:val="005A0C68"/>
    <w:rsid w:val="005A0C7D"/>
    <w:rsid w:val="005A0DB6"/>
    <w:rsid w:val="005A0E22"/>
    <w:rsid w:val="005A0E33"/>
    <w:rsid w:val="005A0F3F"/>
    <w:rsid w:val="005A0FA4"/>
    <w:rsid w:val="005A0FA6"/>
    <w:rsid w:val="005A1004"/>
    <w:rsid w:val="005A1040"/>
    <w:rsid w:val="005A114D"/>
    <w:rsid w:val="005A124B"/>
    <w:rsid w:val="005A1325"/>
    <w:rsid w:val="005A13A6"/>
    <w:rsid w:val="005A13BD"/>
    <w:rsid w:val="005A1414"/>
    <w:rsid w:val="005A1462"/>
    <w:rsid w:val="005A14A1"/>
    <w:rsid w:val="005A14A2"/>
    <w:rsid w:val="005A1504"/>
    <w:rsid w:val="005A15E3"/>
    <w:rsid w:val="005A15E5"/>
    <w:rsid w:val="005A163A"/>
    <w:rsid w:val="005A1693"/>
    <w:rsid w:val="005A17D0"/>
    <w:rsid w:val="005A18BE"/>
    <w:rsid w:val="005A18F6"/>
    <w:rsid w:val="005A191D"/>
    <w:rsid w:val="005A191F"/>
    <w:rsid w:val="005A19CC"/>
    <w:rsid w:val="005A1A0C"/>
    <w:rsid w:val="005A1A45"/>
    <w:rsid w:val="005A1A59"/>
    <w:rsid w:val="005A1AFB"/>
    <w:rsid w:val="005A1B1A"/>
    <w:rsid w:val="005A1B3B"/>
    <w:rsid w:val="005A1B72"/>
    <w:rsid w:val="005A1BF6"/>
    <w:rsid w:val="005A1CF1"/>
    <w:rsid w:val="005A1D3D"/>
    <w:rsid w:val="005A1D6E"/>
    <w:rsid w:val="005A2017"/>
    <w:rsid w:val="005A201F"/>
    <w:rsid w:val="005A20AB"/>
    <w:rsid w:val="005A20AD"/>
    <w:rsid w:val="005A21A8"/>
    <w:rsid w:val="005A2280"/>
    <w:rsid w:val="005A244B"/>
    <w:rsid w:val="005A248B"/>
    <w:rsid w:val="005A24AB"/>
    <w:rsid w:val="005A253B"/>
    <w:rsid w:val="005A2560"/>
    <w:rsid w:val="005A25B1"/>
    <w:rsid w:val="005A2617"/>
    <w:rsid w:val="005A263A"/>
    <w:rsid w:val="005A26E0"/>
    <w:rsid w:val="005A2748"/>
    <w:rsid w:val="005A276F"/>
    <w:rsid w:val="005A28E8"/>
    <w:rsid w:val="005A2901"/>
    <w:rsid w:val="005A2A33"/>
    <w:rsid w:val="005A2B60"/>
    <w:rsid w:val="005A2BDB"/>
    <w:rsid w:val="005A2C0C"/>
    <w:rsid w:val="005A2D2C"/>
    <w:rsid w:val="005A2DA7"/>
    <w:rsid w:val="005A2E3A"/>
    <w:rsid w:val="005A2E3B"/>
    <w:rsid w:val="005A2F30"/>
    <w:rsid w:val="005A2FEE"/>
    <w:rsid w:val="005A3027"/>
    <w:rsid w:val="005A3180"/>
    <w:rsid w:val="005A3197"/>
    <w:rsid w:val="005A31CB"/>
    <w:rsid w:val="005A32CC"/>
    <w:rsid w:val="005A32E6"/>
    <w:rsid w:val="005A32ED"/>
    <w:rsid w:val="005A3301"/>
    <w:rsid w:val="005A3309"/>
    <w:rsid w:val="005A3364"/>
    <w:rsid w:val="005A343A"/>
    <w:rsid w:val="005A34E3"/>
    <w:rsid w:val="005A35BA"/>
    <w:rsid w:val="005A35C0"/>
    <w:rsid w:val="005A35CE"/>
    <w:rsid w:val="005A35D1"/>
    <w:rsid w:val="005A3638"/>
    <w:rsid w:val="005A363A"/>
    <w:rsid w:val="005A366D"/>
    <w:rsid w:val="005A3688"/>
    <w:rsid w:val="005A38DB"/>
    <w:rsid w:val="005A392B"/>
    <w:rsid w:val="005A3939"/>
    <w:rsid w:val="005A396A"/>
    <w:rsid w:val="005A39A4"/>
    <w:rsid w:val="005A3A01"/>
    <w:rsid w:val="005A3A4D"/>
    <w:rsid w:val="005A3A90"/>
    <w:rsid w:val="005A3B4C"/>
    <w:rsid w:val="005A3BC5"/>
    <w:rsid w:val="005A3BF8"/>
    <w:rsid w:val="005A3C42"/>
    <w:rsid w:val="005A3CA2"/>
    <w:rsid w:val="005A3CBB"/>
    <w:rsid w:val="005A3CE3"/>
    <w:rsid w:val="005A3D38"/>
    <w:rsid w:val="005A3E7D"/>
    <w:rsid w:val="005A3E85"/>
    <w:rsid w:val="005A3F44"/>
    <w:rsid w:val="005A3F74"/>
    <w:rsid w:val="005A4070"/>
    <w:rsid w:val="005A412C"/>
    <w:rsid w:val="005A420B"/>
    <w:rsid w:val="005A425C"/>
    <w:rsid w:val="005A42A4"/>
    <w:rsid w:val="005A42ED"/>
    <w:rsid w:val="005A4398"/>
    <w:rsid w:val="005A440E"/>
    <w:rsid w:val="005A441F"/>
    <w:rsid w:val="005A4457"/>
    <w:rsid w:val="005A4513"/>
    <w:rsid w:val="005A4518"/>
    <w:rsid w:val="005A4520"/>
    <w:rsid w:val="005A4542"/>
    <w:rsid w:val="005A460F"/>
    <w:rsid w:val="005A467B"/>
    <w:rsid w:val="005A4738"/>
    <w:rsid w:val="005A4742"/>
    <w:rsid w:val="005A4942"/>
    <w:rsid w:val="005A4975"/>
    <w:rsid w:val="005A497D"/>
    <w:rsid w:val="005A499D"/>
    <w:rsid w:val="005A499E"/>
    <w:rsid w:val="005A49ED"/>
    <w:rsid w:val="005A4A1F"/>
    <w:rsid w:val="005A4A93"/>
    <w:rsid w:val="005A4ABC"/>
    <w:rsid w:val="005A4AC4"/>
    <w:rsid w:val="005A4ADD"/>
    <w:rsid w:val="005A4C2A"/>
    <w:rsid w:val="005A4C49"/>
    <w:rsid w:val="005A4CBE"/>
    <w:rsid w:val="005A4E1D"/>
    <w:rsid w:val="005A4E76"/>
    <w:rsid w:val="005A4EFA"/>
    <w:rsid w:val="005A4FA2"/>
    <w:rsid w:val="005A5134"/>
    <w:rsid w:val="005A5166"/>
    <w:rsid w:val="005A51F2"/>
    <w:rsid w:val="005A5236"/>
    <w:rsid w:val="005A5291"/>
    <w:rsid w:val="005A5363"/>
    <w:rsid w:val="005A540B"/>
    <w:rsid w:val="005A5445"/>
    <w:rsid w:val="005A54BA"/>
    <w:rsid w:val="005A552B"/>
    <w:rsid w:val="005A5530"/>
    <w:rsid w:val="005A5581"/>
    <w:rsid w:val="005A5582"/>
    <w:rsid w:val="005A55DE"/>
    <w:rsid w:val="005A55ED"/>
    <w:rsid w:val="005A563F"/>
    <w:rsid w:val="005A572E"/>
    <w:rsid w:val="005A574E"/>
    <w:rsid w:val="005A5783"/>
    <w:rsid w:val="005A5854"/>
    <w:rsid w:val="005A585A"/>
    <w:rsid w:val="005A5860"/>
    <w:rsid w:val="005A5890"/>
    <w:rsid w:val="005A58F1"/>
    <w:rsid w:val="005A5958"/>
    <w:rsid w:val="005A597C"/>
    <w:rsid w:val="005A5A09"/>
    <w:rsid w:val="005A5A23"/>
    <w:rsid w:val="005A5A9A"/>
    <w:rsid w:val="005A5AFF"/>
    <w:rsid w:val="005A5B7A"/>
    <w:rsid w:val="005A5BEC"/>
    <w:rsid w:val="005A5C5E"/>
    <w:rsid w:val="005A5CE1"/>
    <w:rsid w:val="005A5E5B"/>
    <w:rsid w:val="005A5ED9"/>
    <w:rsid w:val="005A5F21"/>
    <w:rsid w:val="005A5F33"/>
    <w:rsid w:val="005A5F7B"/>
    <w:rsid w:val="005A5FE0"/>
    <w:rsid w:val="005A608C"/>
    <w:rsid w:val="005A60BE"/>
    <w:rsid w:val="005A6119"/>
    <w:rsid w:val="005A615F"/>
    <w:rsid w:val="005A617B"/>
    <w:rsid w:val="005A63C7"/>
    <w:rsid w:val="005A642B"/>
    <w:rsid w:val="005A6492"/>
    <w:rsid w:val="005A64E8"/>
    <w:rsid w:val="005A662A"/>
    <w:rsid w:val="005A66AF"/>
    <w:rsid w:val="005A66F7"/>
    <w:rsid w:val="005A67FB"/>
    <w:rsid w:val="005A6904"/>
    <w:rsid w:val="005A691C"/>
    <w:rsid w:val="005A693B"/>
    <w:rsid w:val="005A6A08"/>
    <w:rsid w:val="005A6B37"/>
    <w:rsid w:val="005A6C3C"/>
    <w:rsid w:val="005A6C43"/>
    <w:rsid w:val="005A6CEC"/>
    <w:rsid w:val="005A6D25"/>
    <w:rsid w:val="005A6D7E"/>
    <w:rsid w:val="005A6DA6"/>
    <w:rsid w:val="005A6E2E"/>
    <w:rsid w:val="005A6ECF"/>
    <w:rsid w:val="005A6ED0"/>
    <w:rsid w:val="005A6EF3"/>
    <w:rsid w:val="005A7108"/>
    <w:rsid w:val="005A7148"/>
    <w:rsid w:val="005A71E4"/>
    <w:rsid w:val="005A7288"/>
    <w:rsid w:val="005A728F"/>
    <w:rsid w:val="005A72C1"/>
    <w:rsid w:val="005A7315"/>
    <w:rsid w:val="005A737E"/>
    <w:rsid w:val="005A73CF"/>
    <w:rsid w:val="005A7426"/>
    <w:rsid w:val="005A749E"/>
    <w:rsid w:val="005A7528"/>
    <w:rsid w:val="005A7550"/>
    <w:rsid w:val="005A7557"/>
    <w:rsid w:val="005A765E"/>
    <w:rsid w:val="005A7664"/>
    <w:rsid w:val="005A7698"/>
    <w:rsid w:val="005A76C9"/>
    <w:rsid w:val="005A76D7"/>
    <w:rsid w:val="005A76FE"/>
    <w:rsid w:val="005A77CC"/>
    <w:rsid w:val="005A77EF"/>
    <w:rsid w:val="005A7877"/>
    <w:rsid w:val="005A7887"/>
    <w:rsid w:val="005A78EB"/>
    <w:rsid w:val="005A790C"/>
    <w:rsid w:val="005A7915"/>
    <w:rsid w:val="005A79D4"/>
    <w:rsid w:val="005A79ED"/>
    <w:rsid w:val="005A7A42"/>
    <w:rsid w:val="005A7A95"/>
    <w:rsid w:val="005A7AEA"/>
    <w:rsid w:val="005A7BE1"/>
    <w:rsid w:val="005A7C11"/>
    <w:rsid w:val="005A7CD6"/>
    <w:rsid w:val="005A7CFD"/>
    <w:rsid w:val="005A7D14"/>
    <w:rsid w:val="005A7DC5"/>
    <w:rsid w:val="005A7F61"/>
    <w:rsid w:val="005A7FCC"/>
    <w:rsid w:val="005B02F1"/>
    <w:rsid w:val="005B0404"/>
    <w:rsid w:val="005B04CA"/>
    <w:rsid w:val="005B0507"/>
    <w:rsid w:val="005B0521"/>
    <w:rsid w:val="005B0558"/>
    <w:rsid w:val="005B0679"/>
    <w:rsid w:val="005B0689"/>
    <w:rsid w:val="005B077A"/>
    <w:rsid w:val="005B0781"/>
    <w:rsid w:val="005B085B"/>
    <w:rsid w:val="005B0907"/>
    <w:rsid w:val="005B091D"/>
    <w:rsid w:val="005B092E"/>
    <w:rsid w:val="005B09CB"/>
    <w:rsid w:val="005B0B67"/>
    <w:rsid w:val="005B0C32"/>
    <w:rsid w:val="005B0D56"/>
    <w:rsid w:val="005B0EBE"/>
    <w:rsid w:val="005B0EF2"/>
    <w:rsid w:val="005B0F6F"/>
    <w:rsid w:val="005B0F89"/>
    <w:rsid w:val="005B104C"/>
    <w:rsid w:val="005B1058"/>
    <w:rsid w:val="005B1083"/>
    <w:rsid w:val="005B10E9"/>
    <w:rsid w:val="005B121D"/>
    <w:rsid w:val="005B1231"/>
    <w:rsid w:val="005B128D"/>
    <w:rsid w:val="005B136C"/>
    <w:rsid w:val="005B13BD"/>
    <w:rsid w:val="005B157D"/>
    <w:rsid w:val="005B15DB"/>
    <w:rsid w:val="005B1657"/>
    <w:rsid w:val="005B176B"/>
    <w:rsid w:val="005B1773"/>
    <w:rsid w:val="005B1827"/>
    <w:rsid w:val="005B1841"/>
    <w:rsid w:val="005B18A3"/>
    <w:rsid w:val="005B18AB"/>
    <w:rsid w:val="005B1902"/>
    <w:rsid w:val="005B19A4"/>
    <w:rsid w:val="005B19D1"/>
    <w:rsid w:val="005B19EB"/>
    <w:rsid w:val="005B19FA"/>
    <w:rsid w:val="005B1A32"/>
    <w:rsid w:val="005B1A38"/>
    <w:rsid w:val="005B1B1C"/>
    <w:rsid w:val="005B1B32"/>
    <w:rsid w:val="005B1B5E"/>
    <w:rsid w:val="005B1BB6"/>
    <w:rsid w:val="005B1BCE"/>
    <w:rsid w:val="005B1C5A"/>
    <w:rsid w:val="005B1C79"/>
    <w:rsid w:val="005B1CB3"/>
    <w:rsid w:val="005B1CE8"/>
    <w:rsid w:val="005B1D26"/>
    <w:rsid w:val="005B1D61"/>
    <w:rsid w:val="005B1EC2"/>
    <w:rsid w:val="005B1F72"/>
    <w:rsid w:val="005B1F9C"/>
    <w:rsid w:val="005B1F9F"/>
    <w:rsid w:val="005B2000"/>
    <w:rsid w:val="005B20B0"/>
    <w:rsid w:val="005B20E1"/>
    <w:rsid w:val="005B21CE"/>
    <w:rsid w:val="005B22AC"/>
    <w:rsid w:val="005B22D7"/>
    <w:rsid w:val="005B22DB"/>
    <w:rsid w:val="005B239B"/>
    <w:rsid w:val="005B23AD"/>
    <w:rsid w:val="005B249C"/>
    <w:rsid w:val="005B24C8"/>
    <w:rsid w:val="005B2552"/>
    <w:rsid w:val="005B264D"/>
    <w:rsid w:val="005B2707"/>
    <w:rsid w:val="005B2759"/>
    <w:rsid w:val="005B27F9"/>
    <w:rsid w:val="005B27FD"/>
    <w:rsid w:val="005B28C2"/>
    <w:rsid w:val="005B2970"/>
    <w:rsid w:val="005B2A24"/>
    <w:rsid w:val="005B2B38"/>
    <w:rsid w:val="005B2B48"/>
    <w:rsid w:val="005B2BA4"/>
    <w:rsid w:val="005B2C70"/>
    <w:rsid w:val="005B2C88"/>
    <w:rsid w:val="005B2CF4"/>
    <w:rsid w:val="005B2E20"/>
    <w:rsid w:val="005B2EA1"/>
    <w:rsid w:val="005B2F0E"/>
    <w:rsid w:val="005B2FCA"/>
    <w:rsid w:val="005B2FFD"/>
    <w:rsid w:val="005B3076"/>
    <w:rsid w:val="005B30A2"/>
    <w:rsid w:val="005B30FC"/>
    <w:rsid w:val="005B31E3"/>
    <w:rsid w:val="005B31E7"/>
    <w:rsid w:val="005B31EC"/>
    <w:rsid w:val="005B31F1"/>
    <w:rsid w:val="005B32F5"/>
    <w:rsid w:val="005B33A4"/>
    <w:rsid w:val="005B33BA"/>
    <w:rsid w:val="005B33D4"/>
    <w:rsid w:val="005B33FB"/>
    <w:rsid w:val="005B3593"/>
    <w:rsid w:val="005B35AB"/>
    <w:rsid w:val="005B38D7"/>
    <w:rsid w:val="005B38FA"/>
    <w:rsid w:val="005B392A"/>
    <w:rsid w:val="005B3987"/>
    <w:rsid w:val="005B398B"/>
    <w:rsid w:val="005B39BB"/>
    <w:rsid w:val="005B39D4"/>
    <w:rsid w:val="005B39FF"/>
    <w:rsid w:val="005B3AE5"/>
    <w:rsid w:val="005B3B08"/>
    <w:rsid w:val="005B3B3C"/>
    <w:rsid w:val="005B3B85"/>
    <w:rsid w:val="005B3B8B"/>
    <w:rsid w:val="005B3B94"/>
    <w:rsid w:val="005B3BED"/>
    <w:rsid w:val="005B3C4F"/>
    <w:rsid w:val="005B3D03"/>
    <w:rsid w:val="005B3D4C"/>
    <w:rsid w:val="005B3D7A"/>
    <w:rsid w:val="005B3DAE"/>
    <w:rsid w:val="005B3DBF"/>
    <w:rsid w:val="005B3E39"/>
    <w:rsid w:val="005B3E4C"/>
    <w:rsid w:val="005B3E55"/>
    <w:rsid w:val="005B3EA8"/>
    <w:rsid w:val="005B3EE0"/>
    <w:rsid w:val="005B3EFE"/>
    <w:rsid w:val="005B404B"/>
    <w:rsid w:val="005B41C9"/>
    <w:rsid w:val="005B41E8"/>
    <w:rsid w:val="005B4283"/>
    <w:rsid w:val="005B4404"/>
    <w:rsid w:val="005B4423"/>
    <w:rsid w:val="005B4436"/>
    <w:rsid w:val="005B45E2"/>
    <w:rsid w:val="005B4696"/>
    <w:rsid w:val="005B46DA"/>
    <w:rsid w:val="005B472B"/>
    <w:rsid w:val="005B475C"/>
    <w:rsid w:val="005B4778"/>
    <w:rsid w:val="005B47DC"/>
    <w:rsid w:val="005B487A"/>
    <w:rsid w:val="005B489A"/>
    <w:rsid w:val="005B49DE"/>
    <w:rsid w:val="005B4A20"/>
    <w:rsid w:val="005B4A82"/>
    <w:rsid w:val="005B4AB2"/>
    <w:rsid w:val="005B4BBC"/>
    <w:rsid w:val="005B4BCC"/>
    <w:rsid w:val="005B4CB6"/>
    <w:rsid w:val="005B4CBC"/>
    <w:rsid w:val="005B4DE6"/>
    <w:rsid w:val="005B4E15"/>
    <w:rsid w:val="005B4E1F"/>
    <w:rsid w:val="005B4EA3"/>
    <w:rsid w:val="005B4ECF"/>
    <w:rsid w:val="005B4F01"/>
    <w:rsid w:val="005B4F5D"/>
    <w:rsid w:val="005B4FA3"/>
    <w:rsid w:val="005B50EF"/>
    <w:rsid w:val="005B5187"/>
    <w:rsid w:val="005B51EE"/>
    <w:rsid w:val="005B51F0"/>
    <w:rsid w:val="005B52C0"/>
    <w:rsid w:val="005B5316"/>
    <w:rsid w:val="005B53A1"/>
    <w:rsid w:val="005B54A9"/>
    <w:rsid w:val="005B55A4"/>
    <w:rsid w:val="005B55B3"/>
    <w:rsid w:val="005B561E"/>
    <w:rsid w:val="005B573F"/>
    <w:rsid w:val="005B57C3"/>
    <w:rsid w:val="005B57EC"/>
    <w:rsid w:val="005B582E"/>
    <w:rsid w:val="005B588A"/>
    <w:rsid w:val="005B5891"/>
    <w:rsid w:val="005B5924"/>
    <w:rsid w:val="005B5BF1"/>
    <w:rsid w:val="005B5C5D"/>
    <w:rsid w:val="005B5C93"/>
    <w:rsid w:val="005B5CA8"/>
    <w:rsid w:val="005B5CBE"/>
    <w:rsid w:val="005B5D01"/>
    <w:rsid w:val="005B5D44"/>
    <w:rsid w:val="005B5D87"/>
    <w:rsid w:val="005B5E2E"/>
    <w:rsid w:val="005B5FA7"/>
    <w:rsid w:val="005B60CA"/>
    <w:rsid w:val="005B60E0"/>
    <w:rsid w:val="005B6117"/>
    <w:rsid w:val="005B6213"/>
    <w:rsid w:val="005B6269"/>
    <w:rsid w:val="005B626D"/>
    <w:rsid w:val="005B63E7"/>
    <w:rsid w:val="005B6422"/>
    <w:rsid w:val="005B642F"/>
    <w:rsid w:val="005B643C"/>
    <w:rsid w:val="005B643E"/>
    <w:rsid w:val="005B6442"/>
    <w:rsid w:val="005B6467"/>
    <w:rsid w:val="005B64F3"/>
    <w:rsid w:val="005B6821"/>
    <w:rsid w:val="005B684A"/>
    <w:rsid w:val="005B685D"/>
    <w:rsid w:val="005B6924"/>
    <w:rsid w:val="005B6A3C"/>
    <w:rsid w:val="005B6AB8"/>
    <w:rsid w:val="005B6AC7"/>
    <w:rsid w:val="005B6BBC"/>
    <w:rsid w:val="005B6C8F"/>
    <w:rsid w:val="005B6CE4"/>
    <w:rsid w:val="005B6D5D"/>
    <w:rsid w:val="005B6D99"/>
    <w:rsid w:val="005B6DBA"/>
    <w:rsid w:val="005B6F03"/>
    <w:rsid w:val="005B6F45"/>
    <w:rsid w:val="005B6F69"/>
    <w:rsid w:val="005B6F72"/>
    <w:rsid w:val="005B70A6"/>
    <w:rsid w:val="005B70D9"/>
    <w:rsid w:val="005B7113"/>
    <w:rsid w:val="005B715C"/>
    <w:rsid w:val="005B7178"/>
    <w:rsid w:val="005B71E6"/>
    <w:rsid w:val="005B72A7"/>
    <w:rsid w:val="005B7334"/>
    <w:rsid w:val="005B73CE"/>
    <w:rsid w:val="005B7444"/>
    <w:rsid w:val="005B746F"/>
    <w:rsid w:val="005B74B1"/>
    <w:rsid w:val="005B759A"/>
    <w:rsid w:val="005B759F"/>
    <w:rsid w:val="005B7618"/>
    <w:rsid w:val="005B761F"/>
    <w:rsid w:val="005B7623"/>
    <w:rsid w:val="005B77C7"/>
    <w:rsid w:val="005B77CA"/>
    <w:rsid w:val="005B77F2"/>
    <w:rsid w:val="005B77F3"/>
    <w:rsid w:val="005B78C0"/>
    <w:rsid w:val="005B78C3"/>
    <w:rsid w:val="005B78D0"/>
    <w:rsid w:val="005B78E2"/>
    <w:rsid w:val="005B7A5D"/>
    <w:rsid w:val="005B7B59"/>
    <w:rsid w:val="005B7B90"/>
    <w:rsid w:val="005B7B93"/>
    <w:rsid w:val="005B7BB8"/>
    <w:rsid w:val="005B7CFF"/>
    <w:rsid w:val="005B7D94"/>
    <w:rsid w:val="005B7DF6"/>
    <w:rsid w:val="005B7E6E"/>
    <w:rsid w:val="005B7EC0"/>
    <w:rsid w:val="005B7FA9"/>
    <w:rsid w:val="005B7FDD"/>
    <w:rsid w:val="005C0051"/>
    <w:rsid w:val="005C006E"/>
    <w:rsid w:val="005C00B6"/>
    <w:rsid w:val="005C026A"/>
    <w:rsid w:val="005C0271"/>
    <w:rsid w:val="005C0301"/>
    <w:rsid w:val="005C0342"/>
    <w:rsid w:val="005C0360"/>
    <w:rsid w:val="005C0389"/>
    <w:rsid w:val="005C038B"/>
    <w:rsid w:val="005C03E4"/>
    <w:rsid w:val="005C06C7"/>
    <w:rsid w:val="005C06F4"/>
    <w:rsid w:val="005C0779"/>
    <w:rsid w:val="005C08C0"/>
    <w:rsid w:val="005C09BB"/>
    <w:rsid w:val="005C0A3A"/>
    <w:rsid w:val="005C0A5B"/>
    <w:rsid w:val="005C0AAA"/>
    <w:rsid w:val="005C0AFC"/>
    <w:rsid w:val="005C0C48"/>
    <w:rsid w:val="005C0CD0"/>
    <w:rsid w:val="005C0D0A"/>
    <w:rsid w:val="005C0D41"/>
    <w:rsid w:val="005C0D4D"/>
    <w:rsid w:val="005C0EFB"/>
    <w:rsid w:val="005C0F39"/>
    <w:rsid w:val="005C0F5A"/>
    <w:rsid w:val="005C0F6C"/>
    <w:rsid w:val="005C0F82"/>
    <w:rsid w:val="005C0FAE"/>
    <w:rsid w:val="005C0FC8"/>
    <w:rsid w:val="005C109E"/>
    <w:rsid w:val="005C10B6"/>
    <w:rsid w:val="005C10BA"/>
    <w:rsid w:val="005C1122"/>
    <w:rsid w:val="005C11BB"/>
    <w:rsid w:val="005C139C"/>
    <w:rsid w:val="005C13E2"/>
    <w:rsid w:val="005C14CE"/>
    <w:rsid w:val="005C14D7"/>
    <w:rsid w:val="005C1565"/>
    <w:rsid w:val="005C156B"/>
    <w:rsid w:val="005C1604"/>
    <w:rsid w:val="005C1647"/>
    <w:rsid w:val="005C173A"/>
    <w:rsid w:val="005C1783"/>
    <w:rsid w:val="005C1834"/>
    <w:rsid w:val="005C1857"/>
    <w:rsid w:val="005C18D0"/>
    <w:rsid w:val="005C1946"/>
    <w:rsid w:val="005C1A66"/>
    <w:rsid w:val="005C1A9A"/>
    <w:rsid w:val="005C1AA7"/>
    <w:rsid w:val="005C1AE4"/>
    <w:rsid w:val="005C1B0A"/>
    <w:rsid w:val="005C1B43"/>
    <w:rsid w:val="005C1CEC"/>
    <w:rsid w:val="005C1DA1"/>
    <w:rsid w:val="005C1DA7"/>
    <w:rsid w:val="005C1DBB"/>
    <w:rsid w:val="005C1DC3"/>
    <w:rsid w:val="005C1E90"/>
    <w:rsid w:val="005C1E9A"/>
    <w:rsid w:val="005C1EA0"/>
    <w:rsid w:val="005C1F8C"/>
    <w:rsid w:val="005C1F97"/>
    <w:rsid w:val="005C2052"/>
    <w:rsid w:val="005C20AF"/>
    <w:rsid w:val="005C21BC"/>
    <w:rsid w:val="005C21BD"/>
    <w:rsid w:val="005C22CE"/>
    <w:rsid w:val="005C231A"/>
    <w:rsid w:val="005C2342"/>
    <w:rsid w:val="005C2365"/>
    <w:rsid w:val="005C23CD"/>
    <w:rsid w:val="005C254B"/>
    <w:rsid w:val="005C2587"/>
    <w:rsid w:val="005C25E6"/>
    <w:rsid w:val="005C265E"/>
    <w:rsid w:val="005C2696"/>
    <w:rsid w:val="005C26A2"/>
    <w:rsid w:val="005C294A"/>
    <w:rsid w:val="005C297B"/>
    <w:rsid w:val="005C2996"/>
    <w:rsid w:val="005C2CB7"/>
    <w:rsid w:val="005C2D35"/>
    <w:rsid w:val="005C2D3D"/>
    <w:rsid w:val="005C2D7A"/>
    <w:rsid w:val="005C2D84"/>
    <w:rsid w:val="005C2DE3"/>
    <w:rsid w:val="005C2F7F"/>
    <w:rsid w:val="005C3067"/>
    <w:rsid w:val="005C309B"/>
    <w:rsid w:val="005C30B5"/>
    <w:rsid w:val="005C3151"/>
    <w:rsid w:val="005C31DD"/>
    <w:rsid w:val="005C3259"/>
    <w:rsid w:val="005C32BA"/>
    <w:rsid w:val="005C3387"/>
    <w:rsid w:val="005C33C4"/>
    <w:rsid w:val="005C3474"/>
    <w:rsid w:val="005C355F"/>
    <w:rsid w:val="005C356E"/>
    <w:rsid w:val="005C3637"/>
    <w:rsid w:val="005C36A2"/>
    <w:rsid w:val="005C3724"/>
    <w:rsid w:val="005C372C"/>
    <w:rsid w:val="005C3761"/>
    <w:rsid w:val="005C377B"/>
    <w:rsid w:val="005C3834"/>
    <w:rsid w:val="005C3839"/>
    <w:rsid w:val="005C38F6"/>
    <w:rsid w:val="005C3949"/>
    <w:rsid w:val="005C3965"/>
    <w:rsid w:val="005C3A08"/>
    <w:rsid w:val="005C3A3A"/>
    <w:rsid w:val="005C3AC1"/>
    <w:rsid w:val="005C3B1A"/>
    <w:rsid w:val="005C3B21"/>
    <w:rsid w:val="005C3B61"/>
    <w:rsid w:val="005C3BB7"/>
    <w:rsid w:val="005C3CE4"/>
    <w:rsid w:val="005C3D14"/>
    <w:rsid w:val="005C3D86"/>
    <w:rsid w:val="005C3DCF"/>
    <w:rsid w:val="005C3DF8"/>
    <w:rsid w:val="005C3EBD"/>
    <w:rsid w:val="005C3FD2"/>
    <w:rsid w:val="005C4054"/>
    <w:rsid w:val="005C40BE"/>
    <w:rsid w:val="005C4140"/>
    <w:rsid w:val="005C4159"/>
    <w:rsid w:val="005C41B3"/>
    <w:rsid w:val="005C430E"/>
    <w:rsid w:val="005C4329"/>
    <w:rsid w:val="005C436F"/>
    <w:rsid w:val="005C43A3"/>
    <w:rsid w:val="005C445F"/>
    <w:rsid w:val="005C4498"/>
    <w:rsid w:val="005C44EB"/>
    <w:rsid w:val="005C4646"/>
    <w:rsid w:val="005C46E0"/>
    <w:rsid w:val="005C4715"/>
    <w:rsid w:val="005C4717"/>
    <w:rsid w:val="005C4751"/>
    <w:rsid w:val="005C47C8"/>
    <w:rsid w:val="005C4834"/>
    <w:rsid w:val="005C4840"/>
    <w:rsid w:val="005C4859"/>
    <w:rsid w:val="005C485A"/>
    <w:rsid w:val="005C49CB"/>
    <w:rsid w:val="005C4A4F"/>
    <w:rsid w:val="005C4A98"/>
    <w:rsid w:val="005C4BC8"/>
    <w:rsid w:val="005C4BF1"/>
    <w:rsid w:val="005C4C65"/>
    <w:rsid w:val="005C4C8A"/>
    <w:rsid w:val="005C4C8D"/>
    <w:rsid w:val="005C4D3F"/>
    <w:rsid w:val="005C4D69"/>
    <w:rsid w:val="005C4E14"/>
    <w:rsid w:val="005C4E68"/>
    <w:rsid w:val="005C4EFD"/>
    <w:rsid w:val="005C505C"/>
    <w:rsid w:val="005C50EF"/>
    <w:rsid w:val="005C50F9"/>
    <w:rsid w:val="005C511C"/>
    <w:rsid w:val="005C5125"/>
    <w:rsid w:val="005C516C"/>
    <w:rsid w:val="005C524A"/>
    <w:rsid w:val="005C5333"/>
    <w:rsid w:val="005C5387"/>
    <w:rsid w:val="005C538E"/>
    <w:rsid w:val="005C53ED"/>
    <w:rsid w:val="005C5447"/>
    <w:rsid w:val="005C5472"/>
    <w:rsid w:val="005C54A9"/>
    <w:rsid w:val="005C54B6"/>
    <w:rsid w:val="005C5546"/>
    <w:rsid w:val="005C55AF"/>
    <w:rsid w:val="005C561E"/>
    <w:rsid w:val="005C5657"/>
    <w:rsid w:val="005C56AA"/>
    <w:rsid w:val="005C56EE"/>
    <w:rsid w:val="005C5771"/>
    <w:rsid w:val="005C57D0"/>
    <w:rsid w:val="005C5898"/>
    <w:rsid w:val="005C59E8"/>
    <w:rsid w:val="005C5A21"/>
    <w:rsid w:val="005C5A30"/>
    <w:rsid w:val="005C5B34"/>
    <w:rsid w:val="005C5B43"/>
    <w:rsid w:val="005C5BC4"/>
    <w:rsid w:val="005C5CA3"/>
    <w:rsid w:val="005C5CFD"/>
    <w:rsid w:val="005C5D39"/>
    <w:rsid w:val="005C5D73"/>
    <w:rsid w:val="005C60AC"/>
    <w:rsid w:val="005C60EE"/>
    <w:rsid w:val="005C6111"/>
    <w:rsid w:val="005C6190"/>
    <w:rsid w:val="005C6228"/>
    <w:rsid w:val="005C6234"/>
    <w:rsid w:val="005C6354"/>
    <w:rsid w:val="005C6359"/>
    <w:rsid w:val="005C6378"/>
    <w:rsid w:val="005C63F2"/>
    <w:rsid w:val="005C6421"/>
    <w:rsid w:val="005C64CD"/>
    <w:rsid w:val="005C65C4"/>
    <w:rsid w:val="005C65DE"/>
    <w:rsid w:val="005C6625"/>
    <w:rsid w:val="005C6668"/>
    <w:rsid w:val="005C67F0"/>
    <w:rsid w:val="005C684D"/>
    <w:rsid w:val="005C6902"/>
    <w:rsid w:val="005C6960"/>
    <w:rsid w:val="005C69F2"/>
    <w:rsid w:val="005C6AE2"/>
    <w:rsid w:val="005C6B10"/>
    <w:rsid w:val="005C6B70"/>
    <w:rsid w:val="005C6BBC"/>
    <w:rsid w:val="005C6BC7"/>
    <w:rsid w:val="005C6C42"/>
    <w:rsid w:val="005C6CD5"/>
    <w:rsid w:val="005C6CE1"/>
    <w:rsid w:val="005C6D50"/>
    <w:rsid w:val="005C6E09"/>
    <w:rsid w:val="005C6EED"/>
    <w:rsid w:val="005C6F0C"/>
    <w:rsid w:val="005C6FC2"/>
    <w:rsid w:val="005C6FD8"/>
    <w:rsid w:val="005C6FF8"/>
    <w:rsid w:val="005C7215"/>
    <w:rsid w:val="005C7396"/>
    <w:rsid w:val="005C73C9"/>
    <w:rsid w:val="005C742B"/>
    <w:rsid w:val="005C7471"/>
    <w:rsid w:val="005C752D"/>
    <w:rsid w:val="005C75A9"/>
    <w:rsid w:val="005C76A4"/>
    <w:rsid w:val="005C7700"/>
    <w:rsid w:val="005C7707"/>
    <w:rsid w:val="005C774A"/>
    <w:rsid w:val="005C778A"/>
    <w:rsid w:val="005C779F"/>
    <w:rsid w:val="005C7811"/>
    <w:rsid w:val="005C7868"/>
    <w:rsid w:val="005C7907"/>
    <w:rsid w:val="005C7935"/>
    <w:rsid w:val="005C7937"/>
    <w:rsid w:val="005C798C"/>
    <w:rsid w:val="005C79E9"/>
    <w:rsid w:val="005C79F6"/>
    <w:rsid w:val="005C7B19"/>
    <w:rsid w:val="005C7B47"/>
    <w:rsid w:val="005C7B5A"/>
    <w:rsid w:val="005C7BBD"/>
    <w:rsid w:val="005C7C46"/>
    <w:rsid w:val="005C7C87"/>
    <w:rsid w:val="005C7CE7"/>
    <w:rsid w:val="005C7D4B"/>
    <w:rsid w:val="005C7D4C"/>
    <w:rsid w:val="005C7DD8"/>
    <w:rsid w:val="005C7DEF"/>
    <w:rsid w:val="005C7E42"/>
    <w:rsid w:val="005C7E87"/>
    <w:rsid w:val="005C7EA7"/>
    <w:rsid w:val="005C7EAB"/>
    <w:rsid w:val="005C7F51"/>
    <w:rsid w:val="005C7F7C"/>
    <w:rsid w:val="005D000C"/>
    <w:rsid w:val="005D000E"/>
    <w:rsid w:val="005D00F9"/>
    <w:rsid w:val="005D010D"/>
    <w:rsid w:val="005D0121"/>
    <w:rsid w:val="005D0205"/>
    <w:rsid w:val="005D0265"/>
    <w:rsid w:val="005D02CD"/>
    <w:rsid w:val="005D02E1"/>
    <w:rsid w:val="005D02E7"/>
    <w:rsid w:val="005D02EE"/>
    <w:rsid w:val="005D04B5"/>
    <w:rsid w:val="005D04D8"/>
    <w:rsid w:val="005D052B"/>
    <w:rsid w:val="005D075D"/>
    <w:rsid w:val="005D07F6"/>
    <w:rsid w:val="005D0817"/>
    <w:rsid w:val="005D0836"/>
    <w:rsid w:val="005D0864"/>
    <w:rsid w:val="005D08C8"/>
    <w:rsid w:val="005D097D"/>
    <w:rsid w:val="005D0A90"/>
    <w:rsid w:val="005D0A94"/>
    <w:rsid w:val="005D0B30"/>
    <w:rsid w:val="005D0B64"/>
    <w:rsid w:val="005D0C1E"/>
    <w:rsid w:val="005D0C60"/>
    <w:rsid w:val="005D0C7E"/>
    <w:rsid w:val="005D0D8E"/>
    <w:rsid w:val="005D0DB2"/>
    <w:rsid w:val="005D0E94"/>
    <w:rsid w:val="005D0EA4"/>
    <w:rsid w:val="005D0F32"/>
    <w:rsid w:val="005D0F41"/>
    <w:rsid w:val="005D0F43"/>
    <w:rsid w:val="005D0F5D"/>
    <w:rsid w:val="005D1008"/>
    <w:rsid w:val="005D1041"/>
    <w:rsid w:val="005D10A3"/>
    <w:rsid w:val="005D10F5"/>
    <w:rsid w:val="005D110E"/>
    <w:rsid w:val="005D118A"/>
    <w:rsid w:val="005D1211"/>
    <w:rsid w:val="005D1292"/>
    <w:rsid w:val="005D12F7"/>
    <w:rsid w:val="005D1310"/>
    <w:rsid w:val="005D1313"/>
    <w:rsid w:val="005D13F7"/>
    <w:rsid w:val="005D1408"/>
    <w:rsid w:val="005D1541"/>
    <w:rsid w:val="005D158E"/>
    <w:rsid w:val="005D159F"/>
    <w:rsid w:val="005D15B7"/>
    <w:rsid w:val="005D15DF"/>
    <w:rsid w:val="005D165B"/>
    <w:rsid w:val="005D1662"/>
    <w:rsid w:val="005D1711"/>
    <w:rsid w:val="005D1747"/>
    <w:rsid w:val="005D1791"/>
    <w:rsid w:val="005D17A4"/>
    <w:rsid w:val="005D189C"/>
    <w:rsid w:val="005D1902"/>
    <w:rsid w:val="005D1922"/>
    <w:rsid w:val="005D1939"/>
    <w:rsid w:val="005D1A81"/>
    <w:rsid w:val="005D1B51"/>
    <w:rsid w:val="005D1B7C"/>
    <w:rsid w:val="005D1CC0"/>
    <w:rsid w:val="005D1CF6"/>
    <w:rsid w:val="005D1D2C"/>
    <w:rsid w:val="005D1D8C"/>
    <w:rsid w:val="005D1E69"/>
    <w:rsid w:val="005D1E8C"/>
    <w:rsid w:val="005D1F1B"/>
    <w:rsid w:val="005D1F60"/>
    <w:rsid w:val="005D1F82"/>
    <w:rsid w:val="005D1FA5"/>
    <w:rsid w:val="005D2019"/>
    <w:rsid w:val="005D2023"/>
    <w:rsid w:val="005D20BF"/>
    <w:rsid w:val="005D2138"/>
    <w:rsid w:val="005D2142"/>
    <w:rsid w:val="005D2177"/>
    <w:rsid w:val="005D21CA"/>
    <w:rsid w:val="005D2243"/>
    <w:rsid w:val="005D2413"/>
    <w:rsid w:val="005D241F"/>
    <w:rsid w:val="005D243E"/>
    <w:rsid w:val="005D24DE"/>
    <w:rsid w:val="005D25C2"/>
    <w:rsid w:val="005D261D"/>
    <w:rsid w:val="005D265D"/>
    <w:rsid w:val="005D279B"/>
    <w:rsid w:val="005D2804"/>
    <w:rsid w:val="005D28F4"/>
    <w:rsid w:val="005D29D4"/>
    <w:rsid w:val="005D29E6"/>
    <w:rsid w:val="005D2A39"/>
    <w:rsid w:val="005D2A3D"/>
    <w:rsid w:val="005D2A73"/>
    <w:rsid w:val="005D2B6E"/>
    <w:rsid w:val="005D2B7B"/>
    <w:rsid w:val="005D2BDD"/>
    <w:rsid w:val="005D2C0E"/>
    <w:rsid w:val="005D2CCF"/>
    <w:rsid w:val="005D2CDA"/>
    <w:rsid w:val="005D2D1C"/>
    <w:rsid w:val="005D2D4E"/>
    <w:rsid w:val="005D2DFB"/>
    <w:rsid w:val="005D2F27"/>
    <w:rsid w:val="005D2F35"/>
    <w:rsid w:val="005D30F3"/>
    <w:rsid w:val="005D30F5"/>
    <w:rsid w:val="005D3111"/>
    <w:rsid w:val="005D314A"/>
    <w:rsid w:val="005D3166"/>
    <w:rsid w:val="005D3192"/>
    <w:rsid w:val="005D31A1"/>
    <w:rsid w:val="005D31DF"/>
    <w:rsid w:val="005D3243"/>
    <w:rsid w:val="005D3258"/>
    <w:rsid w:val="005D3282"/>
    <w:rsid w:val="005D329E"/>
    <w:rsid w:val="005D3389"/>
    <w:rsid w:val="005D34E0"/>
    <w:rsid w:val="005D3565"/>
    <w:rsid w:val="005D35EF"/>
    <w:rsid w:val="005D3636"/>
    <w:rsid w:val="005D3650"/>
    <w:rsid w:val="005D367E"/>
    <w:rsid w:val="005D379D"/>
    <w:rsid w:val="005D384A"/>
    <w:rsid w:val="005D3864"/>
    <w:rsid w:val="005D386B"/>
    <w:rsid w:val="005D38F0"/>
    <w:rsid w:val="005D39D7"/>
    <w:rsid w:val="005D39E7"/>
    <w:rsid w:val="005D39EE"/>
    <w:rsid w:val="005D3ADB"/>
    <w:rsid w:val="005D3B05"/>
    <w:rsid w:val="005D3B2F"/>
    <w:rsid w:val="005D3BFD"/>
    <w:rsid w:val="005D3C82"/>
    <w:rsid w:val="005D3CB9"/>
    <w:rsid w:val="005D3CDA"/>
    <w:rsid w:val="005D3DD1"/>
    <w:rsid w:val="005D3E4A"/>
    <w:rsid w:val="005D3E68"/>
    <w:rsid w:val="005D3E7A"/>
    <w:rsid w:val="005D3F1B"/>
    <w:rsid w:val="005D3F46"/>
    <w:rsid w:val="005D3F99"/>
    <w:rsid w:val="005D4099"/>
    <w:rsid w:val="005D4124"/>
    <w:rsid w:val="005D413C"/>
    <w:rsid w:val="005D4181"/>
    <w:rsid w:val="005D41A2"/>
    <w:rsid w:val="005D422E"/>
    <w:rsid w:val="005D4259"/>
    <w:rsid w:val="005D428B"/>
    <w:rsid w:val="005D4290"/>
    <w:rsid w:val="005D435F"/>
    <w:rsid w:val="005D43BE"/>
    <w:rsid w:val="005D43F9"/>
    <w:rsid w:val="005D4453"/>
    <w:rsid w:val="005D44BC"/>
    <w:rsid w:val="005D450C"/>
    <w:rsid w:val="005D45B6"/>
    <w:rsid w:val="005D4617"/>
    <w:rsid w:val="005D4667"/>
    <w:rsid w:val="005D46AE"/>
    <w:rsid w:val="005D471A"/>
    <w:rsid w:val="005D488B"/>
    <w:rsid w:val="005D4947"/>
    <w:rsid w:val="005D4959"/>
    <w:rsid w:val="005D4A27"/>
    <w:rsid w:val="005D4A64"/>
    <w:rsid w:val="005D4AD3"/>
    <w:rsid w:val="005D4B2D"/>
    <w:rsid w:val="005D4B34"/>
    <w:rsid w:val="005D4C07"/>
    <w:rsid w:val="005D4CAD"/>
    <w:rsid w:val="005D4D3A"/>
    <w:rsid w:val="005D4D57"/>
    <w:rsid w:val="005D4E67"/>
    <w:rsid w:val="005D4E86"/>
    <w:rsid w:val="005D4EC9"/>
    <w:rsid w:val="005D4ECC"/>
    <w:rsid w:val="005D4EDE"/>
    <w:rsid w:val="005D4F0F"/>
    <w:rsid w:val="005D4F4D"/>
    <w:rsid w:val="005D4F52"/>
    <w:rsid w:val="005D4F54"/>
    <w:rsid w:val="005D4F5F"/>
    <w:rsid w:val="005D4F6E"/>
    <w:rsid w:val="005D4FCB"/>
    <w:rsid w:val="005D5001"/>
    <w:rsid w:val="005D50EB"/>
    <w:rsid w:val="005D51DF"/>
    <w:rsid w:val="005D52DC"/>
    <w:rsid w:val="005D53D8"/>
    <w:rsid w:val="005D53F2"/>
    <w:rsid w:val="005D5400"/>
    <w:rsid w:val="005D557A"/>
    <w:rsid w:val="005D562A"/>
    <w:rsid w:val="005D56C6"/>
    <w:rsid w:val="005D5717"/>
    <w:rsid w:val="005D5805"/>
    <w:rsid w:val="005D584F"/>
    <w:rsid w:val="005D5952"/>
    <w:rsid w:val="005D59FF"/>
    <w:rsid w:val="005D5A26"/>
    <w:rsid w:val="005D5ADE"/>
    <w:rsid w:val="005D5B21"/>
    <w:rsid w:val="005D5BB4"/>
    <w:rsid w:val="005D5C3A"/>
    <w:rsid w:val="005D5C56"/>
    <w:rsid w:val="005D5D12"/>
    <w:rsid w:val="005D5F1B"/>
    <w:rsid w:val="005D5FAB"/>
    <w:rsid w:val="005D60D0"/>
    <w:rsid w:val="005D6183"/>
    <w:rsid w:val="005D6276"/>
    <w:rsid w:val="005D6289"/>
    <w:rsid w:val="005D63C5"/>
    <w:rsid w:val="005D63F3"/>
    <w:rsid w:val="005D63FC"/>
    <w:rsid w:val="005D6734"/>
    <w:rsid w:val="005D677F"/>
    <w:rsid w:val="005D6851"/>
    <w:rsid w:val="005D6876"/>
    <w:rsid w:val="005D6919"/>
    <w:rsid w:val="005D69FC"/>
    <w:rsid w:val="005D69FF"/>
    <w:rsid w:val="005D6ABD"/>
    <w:rsid w:val="005D6AD8"/>
    <w:rsid w:val="005D6B6B"/>
    <w:rsid w:val="005D6B90"/>
    <w:rsid w:val="005D6C3F"/>
    <w:rsid w:val="005D6CA1"/>
    <w:rsid w:val="005D6CB4"/>
    <w:rsid w:val="005D6D06"/>
    <w:rsid w:val="005D6DA9"/>
    <w:rsid w:val="005D6DC4"/>
    <w:rsid w:val="005D6E06"/>
    <w:rsid w:val="005D6E0E"/>
    <w:rsid w:val="005D6E98"/>
    <w:rsid w:val="005D6EA5"/>
    <w:rsid w:val="005D6EFF"/>
    <w:rsid w:val="005D6F1D"/>
    <w:rsid w:val="005D6F75"/>
    <w:rsid w:val="005D6F81"/>
    <w:rsid w:val="005D6FD0"/>
    <w:rsid w:val="005D70BE"/>
    <w:rsid w:val="005D7139"/>
    <w:rsid w:val="005D7180"/>
    <w:rsid w:val="005D71E0"/>
    <w:rsid w:val="005D72AA"/>
    <w:rsid w:val="005D72BE"/>
    <w:rsid w:val="005D72E7"/>
    <w:rsid w:val="005D72F3"/>
    <w:rsid w:val="005D734A"/>
    <w:rsid w:val="005D734F"/>
    <w:rsid w:val="005D7417"/>
    <w:rsid w:val="005D74C5"/>
    <w:rsid w:val="005D751F"/>
    <w:rsid w:val="005D7598"/>
    <w:rsid w:val="005D75E8"/>
    <w:rsid w:val="005D7682"/>
    <w:rsid w:val="005D7751"/>
    <w:rsid w:val="005D77B2"/>
    <w:rsid w:val="005D7892"/>
    <w:rsid w:val="005D794B"/>
    <w:rsid w:val="005D797D"/>
    <w:rsid w:val="005D7982"/>
    <w:rsid w:val="005D798A"/>
    <w:rsid w:val="005D7A00"/>
    <w:rsid w:val="005D7A38"/>
    <w:rsid w:val="005D7AC1"/>
    <w:rsid w:val="005D7AC7"/>
    <w:rsid w:val="005D7B3B"/>
    <w:rsid w:val="005D7B51"/>
    <w:rsid w:val="005D7CDC"/>
    <w:rsid w:val="005D7EFB"/>
    <w:rsid w:val="005D7F6A"/>
    <w:rsid w:val="005E0053"/>
    <w:rsid w:val="005E0082"/>
    <w:rsid w:val="005E00CA"/>
    <w:rsid w:val="005E010F"/>
    <w:rsid w:val="005E021F"/>
    <w:rsid w:val="005E0273"/>
    <w:rsid w:val="005E032E"/>
    <w:rsid w:val="005E035C"/>
    <w:rsid w:val="005E0399"/>
    <w:rsid w:val="005E04E6"/>
    <w:rsid w:val="005E04F7"/>
    <w:rsid w:val="005E05DF"/>
    <w:rsid w:val="005E06EA"/>
    <w:rsid w:val="005E0707"/>
    <w:rsid w:val="005E0757"/>
    <w:rsid w:val="005E0778"/>
    <w:rsid w:val="005E077F"/>
    <w:rsid w:val="005E079A"/>
    <w:rsid w:val="005E07B3"/>
    <w:rsid w:val="005E07B8"/>
    <w:rsid w:val="005E090D"/>
    <w:rsid w:val="005E0BD7"/>
    <w:rsid w:val="005E0C45"/>
    <w:rsid w:val="005E0C69"/>
    <w:rsid w:val="005E0D22"/>
    <w:rsid w:val="005E0D6E"/>
    <w:rsid w:val="005E0DA5"/>
    <w:rsid w:val="005E0DC3"/>
    <w:rsid w:val="005E0E01"/>
    <w:rsid w:val="005E0E16"/>
    <w:rsid w:val="005E0E2B"/>
    <w:rsid w:val="005E0E54"/>
    <w:rsid w:val="005E0E94"/>
    <w:rsid w:val="005E0EA4"/>
    <w:rsid w:val="005E0F2B"/>
    <w:rsid w:val="005E0F69"/>
    <w:rsid w:val="005E0FAA"/>
    <w:rsid w:val="005E103F"/>
    <w:rsid w:val="005E1146"/>
    <w:rsid w:val="005E11B2"/>
    <w:rsid w:val="005E1231"/>
    <w:rsid w:val="005E1356"/>
    <w:rsid w:val="005E13A4"/>
    <w:rsid w:val="005E13FC"/>
    <w:rsid w:val="005E157D"/>
    <w:rsid w:val="005E1580"/>
    <w:rsid w:val="005E15A2"/>
    <w:rsid w:val="005E1601"/>
    <w:rsid w:val="005E1638"/>
    <w:rsid w:val="005E1676"/>
    <w:rsid w:val="005E16B9"/>
    <w:rsid w:val="005E17B7"/>
    <w:rsid w:val="005E198B"/>
    <w:rsid w:val="005E1A1A"/>
    <w:rsid w:val="005E1B8C"/>
    <w:rsid w:val="005E1C1E"/>
    <w:rsid w:val="005E1C82"/>
    <w:rsid w:val="005E1CD0"/>
    <w:rsid w:val="005E1D24"/>
    <w:rsid w:val="005E1E32"/>
    <w:rsid w:val="005E1E53"/>
    <w:rsid w:val="005E1E7A"/>
    <w:rsid w:val="005E1EB2"/>
    <w:rsid w:val="005E1EB9"/>
    <w:rsid w:val="005E1F47"/>
    <w:rsid w:val="005E1FF6"/>
    <w:rsid w:val="005E201A"/>
    <w:rsid w:val="005E2050"/>
    <w:rsid w:val="005E20C5"/>
    <w:rsid w:val="005E20E7"/>
    <w:rsid w:val="005E210C"/>
    <w:rsid w:val="005E2194"/>
    <w:rsid w:val="005E2278"/>
    <w:rsid w:val="005E235A"/>
    <w:rsid w:val="005E2382"/>
    <w:rsid w:val="005E23C2"/>
    <w:rsid w:val="005E2464"/>
    <w:rsid w:val="005E24D1"/>
    <w:rsid w:val="005E25CA"/>
    <w:rsid w:val="005E2630"/>
    <w:rsid w:val="005E26AC"/>
    <w:rsid w:val="005E26F7"/>
    <w:rsid w:val="005E2775"/>
    <w:rsid w:val="005E277E"/>
    <w:rsid w:val="005E27E4"/>
    <w:rsid w:val="005E27ED"/>
    <w:rsid w:val="005E27F7"/>
    <w:rsid w:val="005E28B1"/>
    <w:rsid w:val="005E297D"/>
    <w:rsid w:val="005E29C2"/>
    <w:rsid w:val="005E2A0F"/>
    <w:rsid w:val="005E2A28"/>
    <w:rsid w:val="005E2A50"/>
    <w:rsid w:val="005E2A8C"/>
    <w:rsid w:val="005E2B01"/>
    <w:rsid w:val="005E2BA2"/>
    <w:rsid w:val="005E2C03"/>
    <w:rsid w:val="005E2C7E"/>
    <w:rsid w:val="005E2CAE"/>
    <w:rsid w:val="005E2CF8"/>
    <w:rsid w:val="005E2D98"/>
    <w:rsid w:val="005E2DAC"/>
    <w:rsid w:val="005E2E05"/>
    <w:rsid w:val="005E2E0F"/>
    <w:rsid w:val="005E2E6A"/>
    <w:rsid w:val="005E2ED2"/>
    <w:rsid w:val="005E2F21"/>
    <w:rsid w:val="005E3165"/>
    <w:rsid w:val="005E316D"/>
    <w:rsid w:val="005E31E6"/>
    <w:rsid w:val="005E320E"/>
    <w:rsid w:val="005E3298"/>
    <w:rsid w:val="005E32FE"/>
    <w:rsid w:val="005E3364"/>
    <w:rsid w:val="005E336F"/>
    <w:rsid w:val="005E33C9"/>
    <w:rsid w:val="005E3439"/>
    <w:rsid w:val="005E343C"/>
    <w:rsid w:val="005E351C"/>
    <w:rsid w:val="005E3540"/>
    <w:rsid w:val="005E35B7"/>
    <w:rsid w:val="005E35BE"/>
    <w:rsid w:val="005E35D0"/>
    <w:rsid w:val="005E35E9"/>
    <w:rsid w:val="005E3625"/>
    <w:rsid w:val="005E377B"/>
    <w:rsid w:val="005E3929"/>
    <w:rsid w:val="005E394B"/>
    <w:rsid w:val="005E3971"/>
    <w:rsid w:val="005E3A0E"/>
    <w:rsid w:val="005E3A88"/>
    <w:rsid w:val="005E3AC6"/>
    <w:rsid w:val="005E3D33"/>
    <w:rsid w:val="005E3D85"/>
    <w:rsid w:val="005E3E14"/>
    <w:rsid w:val="005E3EFD"/>
    <w:rsid w:val="005E4033"/>
    <w:rsid w:val="005E406A"/>
    <w:rsid w:val="005E4080"/>
    <w:rsid w:val="005E40DF"/>
    <w:rsid w:val="005E4179"/>
    <w:rsid w:val="005E41CD"/>
    <w:rsid w:val="005E41FB"/>
    <w:rsid w:val="005E4231"/>
    <w:rsid w:val="005E4289"/>
    <w:rsid w:val="005E438A"/>
    <w:rsid w:val="005E441E"/>
    <w:rsid w:val="005E4428"/>
    <w:rsid w:val="005E44A5"/>
    <w:rsid w:val="005E456E"/>
    <w:rsid w:val="005E46BB"/>
    <w:rsid w:val="005E46CF"/>
    <w:rsid w:val="005E4732"/>
    <w:rsid w:val="005E474E"/>
    <w:rsid w:val="005E47FD"/>
    <w:rsid w:val="005E499F"/>
    <w:rsid w:val="005E4B15"/>
    <w:rsid w:val="005E4BC9"/>
    <w:rsid w:val="005E4C62"/>
    <w:rsid w:val="005E4C64"/>
    <w:rsid w:val="005E4CB0"/>
    <w:rsid w:val="005E4D14"/>
    <w:rsid w:val="005E4D52"/>
    <w:rsid w:val="005E4DB7"/>
    <w:rsid w:val="005E4DFC"/>
    <w:rsid w:val="005E4E2F"/>
    <w:rsid w:val="005E4E62"/>
    <w:rsid w:val="005E4E75"/>
    <w:rsid w:val="005E4ED8"/>
    <w:rsid w:val="005E4F18"/>
    <w:rsid w:val="005E4F43"/>
    <w:rsid w:val="005E4FBB"/>
    <w:rsid w:val="005E5002"/>
    <w:rsid w:val="005E5005"/>
    <w:rsid w:val="005E5072"/>
    <w:rsid w:val="005E5073"/>
    <w:rsid w:val="005E50B1"/>
    <w:rsid w:val="005E516E"/>
    <w:rsid w:val="005E5318"/>
    <w:rsid w:val="005E534E"/>
    <w:rsid w:val="005E5387"/>
    <w:rsid w:val="005E5444"/>
    <w:rsid w:val="005E544A"/>
    <w:rsid w:val="005E54E3"/>
    <w:rsid w:val="005E553E"/>
    <w:rsid w:val="005E55B9"/>
    <w:rsid w:val="005E56F0"/>
    <w:rsid w:val="005E56FD"/>
    <w:rsid w:val="005E5720"/>
    <w:rsid w:val="005E5786"/>
    <w:rsid w:val="005E57ED"/>
    <w:rsid w:val="005E57FE"/>
    <w:rsid w:val="005E580E"/>
    <w:rsid w:val="005E588D"/>
    <w:rsid w:val="005E58AC"/>
    <w:rsid w:val="005E5904"/>
    <w:rsid w:val="005E592A"/>
    <w:rsid w:val="005E5A6E"/>
    <w:rsid w:val="005E5ACA"/>
    <w:rsid w:val="005E5ADB"/>
    <w:rsid w:val="005E5B27"/>
    <w:rsid w:val="005E5B4B"/>
    <w:rsid w:val="005E5BB9"/>
    <w:rsid w:val="005E5BDB"/>
    <w:rsid w:val="005E5BEF"/>
    <w:rsid w:val="005E5BFC"/>
    <w:rsid w:val="005E5C28"/>
    <w:rsid w:val="005E5C64"/>
    <w:rsid w:val="005E5CDA"/>
    <w:rsid w:val="005E5D5A"/>
    <w:rsid w:val="005E5E4A"/>
    <w:rsid w:val="005E5E4C"/>
    <w:rsid w:val="005E5E6C"/>
    <w:rsid w:val="005E5F0C"/>
    <w:rsid w:val="005E5F37"/>
    <w:rsid w:val="005E601C"/>
    <w:rsid w:val="005E6161"/>
    <w:rsid w:val="005E6215"/>
    <w:rsid w:val="005E62EF"/>
    <w:rsid w:val="005E6335"/>
    <w:rsid w:val="005E64DC"/>
    <w:rsid w:val="005E65A7"/>
    <w:rsid w:val="005E673B"/>
    <w:rsid w:val="005E6776"/>
    <w:rsid w:val="005E67CE"/>
    <w:rsid w:val="005E67EE"/>
    <w:rsid w:val="005E6870"/>
    <w:rsid w:val="005E68F6"/>
    <w:rsid w:val="005E6A0B"/>
    <w:rsid w:val="005E6A4B"/>
    <w:rsid w:val="005E6AC6"/>
    <w:rsid w:val="005E6AFA"/>
    <w:rsid w:val="005E6B54"/>
    <w:rsid w:val="005E6C48"/>
    <w:rsid w:val="005E6C4B"/>
    <w:rsid w:val="005E6CE4"/>
    <w:rsid w:val="005E6D5D"/>
    <w:rsid w:val="005E6D69"/>
    <w:rsid w:val="005E6DFB"/>
    <w:rsid w:val="005E6E05"/>
    <w:rsid w:val="005E6E1F"/>
    <w:rsid w:val="005E6E70"/>
    <w:rsid w:val="005E6E8D"/>
    <w:rsid w:val="005E6E9C"/>
    <w:rsid w:val="005E6F22"/>
    <w:rsid w:val="005E6F3A"/>
    <w:rsid w:val="005E6F84"/>
    <w:rsid w:val="005E6F86"/>
    <w:rsid w:val="005E6F9A"/>
    <w:rsid w:val="005E6FB1"/>
    <w:rsid w:val="005E707B"/>
    <w:rsid w:val="005E70B6"/>
    <w:rsid w:val="005E70C3"/>
    <w:rsid w:val="005E718F"/>
    <w:rsid w:val="005E719A"/>
    <w:rsid w:val="005E7291"/>
    <w:rsid w:val="005E734D"/>
    <w:rsid w:val="005E7415"/>
    <w:rsid w:val="005E74AA"/>
    <w:rsid w:val="005E758C"/>
    <w:rsid w:val="005E75E8"/>
    <w:rsid w:val="005E7611"/>
    <w:rsid w:val="005E7661"/>
    <w:rsid w:val="005E7802"/>
    <w:rsid w:val="005E7820"/>
    <w:rsid w:val="005E7882"/>
    <w:rsid w:val="005E78FF"/>
    <w:rsid w:val="005E7901"/>
    <w:rsid w:val="005E793D"/>
    <w:rsid w:val="005E799B"/>
    <w:rsid w:val="005E79AF"/>
    <w:rsid w:val="005E7A08"/>
    <w:rsid w:val="005E7A51"/>
    <w:rsid w:val="005E7A6C"/>
    <w:rsid w:val="005E7B02"/>
    <w:rsid w:val="005E7B15"/>
    <w:rsid w:val="005E7C2E"/>
    <w:rsid w:val="005E7D0C"/>
    <w:rsid w:val="005E7D53"/>
    <w:rsid w:val="005E7E63"/>
    <w:rsid w:val="005E7E8E"/>
    <w:rsid w:val="005E7FC4"/>
    <w:rsid w:val="005F0086"/>
    <w:rsid w:val="005F009A"/>
    <w:rsid w:val="005F009C"/>
    <w:rsid w:val="005F0235"/>
    <w:rsid w:val="005F0282"/>
    <w:rsid w:val="005F0322"/>
    <w:rsid w:val="005F03BD"/>
    <w:rsid w:val="005F0404"/>
    <w:rsid w:val="005F051A"/>
    <w:rsid w:val="005F05E2"/>
    <w:rsid w:val="005F05E7"/>
    <w:rsid w:val="005F05FE"/>
    <w:rsid w:val="005F070B"/>
    <w:rsid w:val="005F083F"/>
    <w:rsid w:val="005F08E8"/>
    <w:rsid w:val="005F098F"/>
    <w:rsid w:val="005F09C4"/>
    <w:rsid w:val="005F0A2C"/>
    <w:rsid w:val="005F0AD5"/>
    <w:rsid w:val="005F0AD6"/>
    <w:rsid w:val="005F0B0C"/>
    <w:rsid w:val="005F0B11"/>
    <w:rsid w:val="005F0B27"/>
    <w:rsid w:val="005F0B6C"/>
    <w:rsid w:val="005F0CBA"/>
    <w:rsid w:val="005F0CD0"/>
    <w:rsid w:val="005F0D95"/>
    <w:rsid w:val="005F0EA0"/>
    <w:rsid w:val="005F0EB2"/>
    <w:rsid w:val="005F0EDA"/>
    <w:rsid w:val="005F0F01"/>
    <w:rsid w:val="005F0F2F"/>
    <w:rsid w:val="005F0F91"/>
    <w:rsid w:val="005F0F9E"/>
    <w:rsid w:val="005F0FE7"/>
    <w:rsid w:val="005F0FF2"/>
    <w:rsid w:val="005F1085"/>
    <w:rsid w:val="005F1104"/>
    <w:rsid w:val="005F112C"/>
    <w:rsid w:val="005F1176"/>
    <w:rsid w:val="005F123B"/>
    <w:rsid w:val="005F1266"/>
    <w:rsid w:val="005F126F"/>
    <w:rsid w:val="005F132B"/>
    <w:rsid w:val="005F134F"/>
    <w:rsid w:val="005F13C8"/>
    <w:rsid w:val="005F1474"/>
    <w:rsid w:val="005F147D"/>
    <w:rsid w:val="005F148A"/>
    <w:rsid w:val="005F1584"/>
    <w:rsid w:val="005F1615"/>
    <w:rsid w:val="005F1886"/>
    <w:rsid w:val="005F1A25"/>
    <w:rsid w:val="005F1AE0"/>
    <w:rsid w:val="005F1B76"/>
    <w:rsid w:val="005F1B8F"/>
    <w:rsid w:val="005F1BF3"/>
    <w:rsid w:val="005F1C15"/>
    <w:rsid w:val="005F1C5D"/>
    <w:rsid w:val="005F1D71"/>
    <w:rsid w:val="005F1DFD"/>
    <w:rsid w:val="005F1E92"/>
    <w:rsid w:val="005F1EAD"/>
    <w:rsid w:val="005F1EE4"/>
    <w:rsid w:val="005F1EEA"/>
    <w:rsid w:val="005F1EF9"/>
    <w:rsid w:val="005F1EFD"/>
    <w:rsid w:val="005F1F28"/>
    <w:rsid w:val="005F1F6D"/>
    <w:rsid w:val="005F204A"/>
    <w:rsid w:val="005F2053"/>
    <w:rsid w:val="005F2101"/>
    <w:rsid w:val="005F2143"/>
    <w:rsid w:val="005F2259"/>
    <w:rsid w:val="005F22F1"/>
    <w:rsid w:val="005F22F6"/>
    <w:rsid w:val="005F2349"/>
    <w:rsid w:val="005F23CC"/>
    <w:rsid w:val="005F23E3"/>
    <w:rsid w:val="005F245E"/>
    <w:rsid w:val="005F250F"/>
    <w:rsid w:val="005F25EB"/>
    <w:rsid w:val="005F264E"/>
    <w:rsid w:val="005F26EE"/>
    <w:rsid w:val="005F273C"/>
    <w:rsid w:val="005F2770"/>
    <w:rsid w:val="005F2799"/>
    <w:rsid w:val="005F27A5"/>
    <w:rsid w:val="005F27DC"/>
    <w:rsid w:val="005F28C4"/>
    <w:rsid w:val="005F2907"/>
    <w:rsid w:val="005F298F"/>
    <w:rsid w:val="005F2A32"/>
    <w:rsid w:val="005F2AC1"/>
    <w:rsid w:val="005F2B6D"/>
    <w:rsid w:val="005F2C1A"/>
    <w:rsid w:val="005F2D34"/>
    <w:rsid w:val="005F2D63"/>
    <w:rsid w:val="005F2D8F"/>
    <w:rsid w:val="005F2E3B"/>
    <w:rsid w:val="005F2E5B"/>
    <w:rsid w:val="005F2E8A"/>
    <w:rsid w:val="005F2ED1"/>
    <w:rsid w:val="005F2EF1"/>
    <w:rsid w:val="005F2F08"/>
    <w:rsid w:val="005F2F24"/>
    <w:rsid w:val="005F2F49"/>
    <w:rsid w:val="005F301B"/>
    <w:rsid w:val="005F3062"/>
    <w:rsid w:val="005F3076"/>
    <w:rsid w:val="005F30D7"/>
    <w:rsid w:val="005F316A"/>
    <w:rsid w:val="005F3190"/>
    <w:rsid w:val="005F319F"/>
    <w:rsid w:val="005F31CF"/>
    <w:rsid w:val="005F3263"/>
    <w:rsid w:val="005F3306"/>
    <w:rsid w:val="005F33A0"/>
    <w:rsid w:val="005F3401"/>
    <w:rsid w:val="005F3470"/>
    <w:rsid w:val="005F35C7"/>
    <w:rsid w:val="005F3606"/>
    <w:rsid w:val="005F3678"/>
    <w:rsid w:val="005F3727"/>
    <w:rsid w:val="005F3774"/>
    <w:rsid w:val="005F37BD"/>
    <w:rsid w:val="005F38A5"/>
    <w:rsid w:val="005F38BF"/>
    <w:rsid w:val="005F39DB"/>
    <w:rsid w:val="005F3A9C"/>
    <w:rsid w:val="005F3B53"/>
    <w:rsid w:val="005F3B55"/>
    <w:rsid w:val="005F3B78"/>
    <w:rsid w:val="005F3BCA"/>
    <w:rsid w:val="005F3C4C"/>
    <w:rsid w:val="005F3C53"/>
    <w:rsid w:val="005F3CC2"/>
    <w:rsid w:val="005F3D57"/>
    <w:rsid w:val="005F3E76"/>
    <w:rsid w:val="005F3EBB"/>
    <w:rsid w:val="005F3F03"/>
    <w:rsid w:val="005F3F29"/>
    <w:rsid w:val="005F3F34"/>
    <w:rsid w:val="005F3FB9"/>
    <w:rsid w:val="005F3FCF"/>
    <w:rsid w:val="005F403D"/>
    <w:rsid w:val="005F40D8"/>
    <w:rsid w:val="005F419C"/>
    <w:rsid w:val="005F41A8"/>
    <w:rsid w:val="005F41D7"/>
    <w:rsid w:val="005F423F"/>
    <w:rsid w:val="005F42CE"/>
    <w:rsid w:val="005F42D7"/>
    <w:rsid w:val="005F42DB"/>
    <w:rsid w:val="005F42E5"/>
    <w:rsid w:val="005F42EC"/>
    <w:rsid w:val="005F4331"/>
    <w:rsid w:val="005F451E"/>
    <w:rsid w:val="005F4573"/>
    <w:rsid w:val="005F45C9"/>
    <w:rsid w:val="005F464A"/>
    <w:rsid w:val="005F4652"/>
    <w:rsid w:val="005F46C7"/>
    <w:rsid w:val="005F47A7"/>
    <w:rsid w:val="005F4809"/>
    <w:rsid w:val="005F483B"/>
    <w:rsid w:val="005F4893"/>
    <w:rsid w:val="005F48A4"/>
    <w:rsid w:val="005F48EB"/>
    <w:rsid w:val="005F4940"/>
    <w:rsid w:val="005F4990"/>
    <w:rsid w:val="005F4A9E"/>
    <w:rsid w:val="005F4DAB"/>
    <w:rsid w:val="005F4E4F"/>
    <w:rsid w:val="005F4E7B"/>
    <w:rsid w:val="005F4F2D"/>
    <w:rsid w:val="005F4F4F"/>
    <w:rsid w:val="005F507C"/>
    <w:rsid w:val="005F50D5"/>
    <w:rsid w:val="005F50E7"/>
    <w:rsid w:val="005F5117"/>
    <w:rsid w:val="005F5126"/>
    <w:rsid w:val="005F515C"/>
    <w:rsid w:val="005F5187"/>
    <w:rsid w:val="005F51BA"/>
    <w:rsid w:val="005F51D2"/>
    <w:rsid w:val="005F5275"/>
    <w:rsid w:val="005F527C"/>
    <w:rsid w:val="005F5297"/>
    <w:rsid w:val="005F52BB"/>
    <w:rsid w:val="005F52D1"/>
    <w:rsid w:val="005F53C9"/>
    <w:rsid w:val="005F541A"/>
    <w:rsid w:val="005F5420"/>
    <w:rsid w:val="005F5425"/>
    <w:rsid w:val="005F5499"/>
    <w:rsid w:val="005F555D"/>
    <w:rsid w:val="005F556B"/>
    <w:rsid w:val="005F5632"/>
    <w:rsid w:val="005F570E"/>
    <w:rsid w:val="005F5718"/>
    <w:rsid w:val="005F575B"/>
    <w:rsid w:val="005F577C"/>
    <w:rsid w:val="005F57A2"/>
    <w:rsid w:val="005F57D1"/>
    <w:rsid w:val="005F57E7"/>
    <w:rsid w:val="005F57FF"/>
    <w:rsid w:val="005F5887"/>
    <w:rsid w:val="005F58A3"/>
    <w:rsid w:val="005F58C9"/>
    <w:rsid w:val="005F58F7"/>
    <w:rsid w:val="005F5962"/>
    <w:rsid w:val="005F5A31"/>
    <w:rsid w:val="005F5A9E"/>
    <w:rsid w:val="005F5B3E"/>
    <w:rsid w:val="005F5B90"/>
    <w:rsid w:val="005F5B9E"/>
    <w:rsid w:val="005F5BF8"/>
    <w:rsid w:val="005F5C3B"/>
    <w:rsid w:val="005F5C7A"/>
    <w:rsid w:val="005F5CEA"/>
    <w:rsid w:val="005F5D63"/>
    <w:rsid w:val="005F5D6D"/>
    <w:rsid w:val="005F5DD8"/>
    <w:rsid w:val="005F5E0F"/>
    <w:rsid w:val="005F5E58"/>
    <w:rsid w:val="005F5F6A"/>
    <w:rsid w:val="005F5FAD"/>
    <w:rsid w:val="005F601B"/>
    <w:rsid w:val="005F6059"/>
    <w:rsid w:val="005F60D7"/>
    <w:rsid w:val="005F60EF"/>
    <w:rsid w:val="005F6170"/>
    <w:rsid w:val="005F61CE"/>
    <w:rsid w:val="005F623F"/>
    <w:rsid w:val="005F62E9"/>
    <w:rsid w:val="005F6313"/>
    <w:rsid w:val="005F6463"/>
    <w:rsid w:val="005F64A7"/>
    <w:rsid w:val="005F64F3"/>
    <w:rsid w:val="005F65FB"/>
    <w:rsid w:val="005F6606"/>
    <w:rsid w:val="005F66A3"/>
    <w:rsid w:val="005F66CF"/>
    <w:rsid w:val="005F66DE"/>
    <w:rsid w:val="005F6881"/>
    <w:rsid w:val="005F68AC"/>
    <w:rsid w:val="005F68B6"/>
    <w:rsid w:val="005F6952"/>
    <w:rsid w:val="005F69BD"/>
    <w:rsid w:val="005F6AC6"/>
    <w:rsid w:val="005F6B78"/>
    <w:rsid w:val="005F6BF8"/>
    <w:rsid w:val="005F6CC0"/>
    <w:rsid w:val="005F6DBF"/>
    <w:rsid w:val="005F6E36"/>
    <w:rsid w:val="005F6F72"/>
    <w:rsid w:val="005F7057"/>
    <w:rsid w:val="005F7121"/>
    <w:rsid w:val="005F71A1"/>
    <w:rsid w:val="005F71DA"/>
    <w:rsid w:val="005F7210"/>
    <w:rsid w:val="005F72D6"/>
    <w:rsid w:val="005F730F"/>
    <w:rsid w:val="005F7313"/>
    <w:rsid w:val="005F73B9"/>
    <w:rsid w:val="005F7432"/>
    <w:rsid w:val="005F7449"/>
    <w:rsid w:val="005F7458"/>
    <w:rsid w:val="005F7573"/>
    <w:rsid w:val="005F7633"/>
    <w:rsid w:val="005F7673"/>
    <w:rsid w:val="005F76CF"/>
    <w:rsid w:val="005F776A"/>
    <w:rsid w:val="005F7788"/>
    <w:rsid w:val="005F779F"/>
    <w:rsid w:val="005F7820"/>
    <w:rsid w:val="005F7822"/>
    <w:rsid w:val="005F78E7"/>
    <w:rsid w:val="005F7911"/>
    <w:rsid w:val="005F7919"/>
    <w:rsid w:val="005F799C"/>
    <w:rsid w:val="005F7B75"/>
    <w:rsid w:val="005F7B7C"/>
    <w:rsid w:val="005F7C3E"/>
    <w:rsid w:val="005F7C9C"/>
    <w:rsid w:val="005F7CD2"/>
    <w:rsid w:val="005F7CF1"/>
    <w:rsid w:val="005F7D02"/>
    <w:rsid w:val="005F7D0B"/>
    <w:rsid w:val="005F7E85"/>
    <w:rsid w:val="005F7EBC"/>
    <w:rsid w:val="005F7EF6"/>
    <w:rsid w:val="005F7FFA"/>
    <w:rsid w:val="005FF127"/>
    <w:rsid w:val="00600059"/>
    <w:rsid w:val="006000B3"/>
    <w:rsid w:val="00600103"/>
    <w:rsid w:val="00600196"/>
    <w:rsid w:val="00600232"/>
    <w:rsid w:val="0060023D"/>
    <w:rsid w:val="00600260"/>
    <w:rsid w:val="00600264"/>
    <w:rsid w:val="00600274"/>
    <w:rsid w:val="006002D7"/>
    <w:rsid w:val="00600340"/>
    <w:rsid w:val="00600357"/>
    <w:rsid w:val="0060039B"/>
    <w:rsid w:val="006003FC"/>
    <w:rsid w:val="00600440"/>
    <w:rsid w:val="006004C6"/>
    <w:rsid w:val="006005A9"/>
    <w:rsid w:val="006005C2"/>
    <w:rsid w:val="0060070F"/>
    <w:rsid w:val="0060079E"/>
    <w:rsid w:val="00600848"/>
    <w:rsid w:val="0060084C"/>
    <w:rsid w:val="00600860"/>
    <w:rsid w:val="00600872"/>
    <w:rsid w:val="00600877"/>
    <w:rsid w:val="0060089E"/>
    <w:rsid w:val="006008BA"/>
    <w:rsid w:val="006008E4"/>
    <w:rsid w:val="00600907"/>
    <w:rsid w:val="0060090B"/>
    <w:rsid w:val="006009DD"/>
    <w:rsid w:val="006009DE"/>
    <w:rsid w:val="006009F7"/>
    <w:rsid w:val="00600A27"/>
    <w:rsid w:val="00600A5B"/>
    <w:rsid w:val="00600A86"/>
    <w:rsid w:val="00600B43"/>
    <w:rsid w:val="00600B7A"/>
    <w:rsid w:val="00600BFF"/>
    <w:rsid w:val="00600CBD"/>
    <w:rsid w:val="00600D7A"/>
    <w:rsid w:val="00600DE9"/>
    <w:rsid w:val="00600E21"/>
    <w:rsid w:val="00600E25"/>
    <w:rsid w:val="00600E95"/>
    <w:rsid w:val="00600F14"/>
    <w:rsid w:val="00600F1D"/>
    <w:rsid w:val="00600FC8"/>
    <w:rsid w:val="006010EF"/>
    <w:rsid w:val="0060113D"/>
    <w:rsid w:val="00601178"/>
    <w:rsid w:val="006011BB"/>
    <w:rsid w:val="006011BE"/>
    <w:rsid w:val="0060129E"/>
    <w:rsid w:val="0060129F"/>
    <w:rsid w:val="0060131B"/>
    <w:rsid w:val="0060138D"/>
    <w:rsid w:val="00601395"/>
    <w:rsid w:val="00601433"/>
    <w:rsid w:val="00601439"/>
    <w:rsid w:val="00601463"/>
    <w:rsid w:val="006014E6"/>
    <w:rsid w:val="0060159B"/>
    <w:rsid w:val="006015BE"/>
    <w:rsid w:val="00601623"/>
    <w:rsid w:val="0060163B"/>
    <w:rsid w:val="0060167B"/>
    <w:rsid w:val="006016AC"/>
    <w:rsid w:val="006016B8"/>
    <w:rsid w:val="006016E3"/>
    <w:rsid w:val="0060176B"/>
    <w:rsid w:val="00601792"/>
    <w:rsid w:val="006017DA"/>
    <w:rsid w:val="0060180B"/>
    <w:rsid w:val="00601817"/>
    <w:rsid w:val="00601838"/>
    <w:rsid w:val="00601846"/>
    <w:rsid w:val="0060185D"/>
    <w:rsid w:val="0060195A"/>
    <w:rsid w:val="00601975"/>
    <w:rsid w:val="00601ABC"/>
    <w:rsid w:val="00601AE7"/>
    <w:rsid w:val="00601C0E"/>
    <w:rsid w:val="00601C24"/>
    <w:rsid w:val="00601D1B"/>
    <w:rsid w:val="00601D24"/>
    <w:rsid w:val="00601DA6"/>
    <w:rsid w:val="00601DDD"/>
    <w:rsid w:val="00601E0E"/>
    <w:rsid w:val="00601E24"/>
    <w:rsid w:val="00601E26"/>
    <w:rsid w:val="00601E2E"/>
    <w:rsid w:val="00601ECC"/>
    <w:rsid w:val="00601F4A"/>
    <w:rsid w:val="00601F74"/>
    <w:rsid w:val="00601FBA"/>
    <w:rsid w:val="00602051"/>
    <w:rsid w:val="0060205B"/>
    <w:rsid w:val="00602088"/>
    <w:rsid w:val="0060208E"/>
    <w:rsid w:val="006020D6"/>
    <w:rsid w:val="00602219"/>
    <w:rsid w:val="00602229"/>
    <w:rsid w:val="0060227C"/>
    <w:rsid w:val="006023BD"/>
    <w:rsid w:val="00602440"/>
    <w:rsid w:val="006024C0"/>
    <w:rsid w:val="00602576"/>
    <w:rsid w:val="006025E6"/>
    <w:rsid w:val="0060264F"/>
    <w:rsid w:val="00602699"/>
    <w:rsid w:val="006027CB"/>
    <w:rsid w:val="00602865"/>
    <w:rsid w:val="0060295C"/>
    <w:rsid w:val="00602A1B"/>
    <w:rsid w:val="00602A3E"/>
    <w:rsid w:val="00602B01"/>
    <w:rsid w:val="00602B99"/>
    <w:rsid w:val="00602BBE"/>
    <w:rsid w:val="00602C80"/>
    <w:rsid w:val="00602D44"/>
    <w:rsid w:val="00602E7B"/>
    <w:rsid w:val="00602EE7"/>
    <w:rsid w:val="00603081"/>
    <w:rsid w:val="00603097"/>
    <w:rsid w:val="00603131"/>
    <w:rsid w:val="00603276"/>
    <w:rsid w:val="006032AA"/>
    <w:rsid w:val="006033A0"/>
    <w:rsid w:val="006033B6"/>
    <w:rsid w:val="006033BA"/>
    <w:rsid w:val="0060342E"/>
    <w:rsid w:val="00603563"/>
    <w:rsid w:val="0060358C"/>
    <w:rsid w:val="0060371B"/>
    <w:rsid w:val="0060374F"/>
    <w:rsid w:val="006038E1"/>
    <w:rsid w:val="0060397A"/>
    <w:rsid w:val="00603A83"/>
    <w:rsid w:val="00603B00"/>
    <w:rsid w:val="00603B36"/>
    <w:rsid w:val="00603C6D"/>
    <w:rsid w:val="00603CF2"/>
    <w:rsid w:val="00603D79"/>
    <w:rsid w:val="00603DA7"/>
    <w:rsid w:val="00603DA8"/>
    <w:rsid w:val="00603DD6"/>
    <w:rsid w:val="00603E05"/>
    <w:rsid w:val="00603E9A"/>
    <w:rsid w:val="00603F0E"/>
    <w:rsid w:val="00604095"/>
    <w:rsid w:val="006040BC"/>
    <w:rsid w:val="00604101"/>
    <w:rsid w:val="00604118"/>
    <w:rsid w:val="00604121"/>
    <w:rsid w:val="00604173"/>
    <w:rsid w:val="006042D6"/>
    <w:rsid w:val="0060432E"/>
    <w:rsid w:val="006043E3"/>
    <w:rsid w:val="006044A1"/>
    <w:rsid w:val="006044C7"/>
    <w:rsid w:val="006044D5"/>
    <w:rsid w:val="00604615"/>
    <w:rsid w:val="00604777"/>
    <w:rsid w:val="006047D9"/>
    <w:rsid w:val="00604801"/>
    <w:rsid w:val="0060487D"/>
    <w:rsid w:val="006048C9"/>
    <w:rsid w:val="0060493F"/>
    <w:rsid w:val="00604981"/>
    <w:rsid w:val="0060498E"/>
    <w:rsid w:val="00604A2E"/>
    <w:rsid w:val="00604A31"/>
    <w:rsid w:val="00604AED"/>
    <w:rsid w:val="00604B15"/>
    <w:rsid w:val="00604B29"/>
    <w:rsid w:val="00604B6E"/>
    <w:rsid w:val="00604BE4"/>
    <w:rsid w:val="00604BFE"/>
    <w:rsid w:val="00604C09"/>
    <w:rsid w:val="00604C4A"/>
    <w:rsid w:val="00604C81"/>
    <w:rsid w:val="00604CAB"/>
    <w:rsid w:val="00604D81"/>
    <w:rsid w:val="00604DD9"/>
    <w:rsid w:val="006050F5"/>
    <w:rsid w:val="00605120"/>
    <w:rsid w:val="0060519C"/>
    <w:rsid w:val="00605215"/>
    <w:rsid w:val="00605241"/>
    <w:rsid w:val="00605281"/>
    <w:rsid w:val="006052FA"/>
    <w:rsid w:val="0060534B"/>
    <w:rsid w:val="00605473"/>
    <w:rsid w:val="0060547B"/>
    <w:rsid w:val="006054DD"/>
    <w:rsid w:val="006055AA"/>
    <w:rsid w:val="0060560F"/>
    <w:rsid w:val="00605668"/>
    <w:rsid w:val="006056DD"/>
    <w:rsid w:val="00605796"/>
    <w:rsid w:val="006057AF"/>
    <w:rsid w:val="006057F8"/>
    <w:rsid w:val="00605850"/>
    <w:rsid w:val="006058CD"/>
    <w:rsid w:val="0060596E"/>
    <w:rsid w:val="00605A17"/>
    <w:rsid w:val="00605A1E"/>
    <w:rsid w:val="00605A71"/>
    <w:rsid w:val="00605ADC"/>
    <w:rsid w:val="00605B32"/>
    <w:rsid w:val="00605BA0"/>
    <w:rsid w:val="00605C28"/>
    <w:rsid w:val="00605C4B"/>
    <w:rsid w:val="00605C5D"/>
    <w:rsid w:val="00605D3F"/>
    <w:rsid w:val="00605E15"/>
    <w:rsid w:val="00605E5E"/>
    <w:rsid w:val="00605EA2"/>
    <w:rsid w:val="00605EFA"/>
    <w:rsid w:val="00605F07"/>
    <w:rsid w:val="00605FF1"/>
    <w:rsid w:val="0060604D"/>
    <w:rsid w:val="0060607B"/>
    <w:rsid w:val="006060BC"/>
    <w:rsid w:val="006060C4"/>
    <w:rsid w:val="00606125"/>
    <w:rsid w:val="0060619C"/>
    <w:rsid w:val="006061CC"/>
    <w:rsid w:val="006062D6"/>
    <w:rsid w:val="006062E8"/>
    <w:rsid w:val="00606307"/>
    <w:rsid w:val="0060636B"/>
    <w:rsid w:val="0060639A"/>
    <w:rsid w:val="006063A3"/>
    <w:rsid w:val="0060643E"/>
    <w:rsid w:val="00606485"/>
    <w:rsid w:val="006064E7"/>
    <w:rsid w:val="006064EA"/>
    <w:rsid w:val="0060654B"/>
    <w:rsid w:val="00606555"/>
    <w:rsid w:val="00606581"/>
    <w:rsid w:val="006065A1"/>
    <w:rsid w:val="006065CA"/>
    <w:rsid w:val="006065F3"/>
    <w:rsid w:val="00606617"/>
    <w:rsid w:val="00606633"/>
    <w:rsid w:val="00606661"/>
    <w:rsid w:val="006066B3"/>
    <w:rsid w:val="0060677F"/>
    <w:rsid w:val="006067F2"/>
    <w:rsid w:val="006069B5"/>
    <w:rsid w:val="00606A23"/>
    <w:rsid w:val="00606A50"/>
    <w:rsid w:val="00606A55"/>
    <w:rsid w:val="00606AA3"/>
    <w:rsid w:val="00606BBC"/>
    <w:rsid w:val="00606C8F"/>
    <w:rsid w:val="006070D0"/>
    <w:rsid w:val="0060718A"/>
    <w:rsid w:val="006071F6"/>
    <w:rsid w:val="00607219"/>
    <w:rsid w:val="0060726B"/>
    <w:rsid w:val="006072E7"/>
    <w:rsid w:val="00607361"/>
    <w:rsid w:val="0060736B"/>
    <w:rsid w:val="00607376"/>
    <w:rsid w:val="006073CC"/>
    <w:rsid w:val="00607445"/>
    <w:rsid w:val="00607476"/>
    <w:rsid w:val="006074D0"/>
    <w:rsid w:val="006074ED"/>
    <w:rsid w:val="00607505"/>
    <w:rsid w:val="00607517"/>
    <w:rsid w:val="0060756C"/>
    <w:rsid w:val="00607578"/>
    <w:rsid w:val="0060764F"/>
    <w:rsid w:val="00607653"/>
    <w:rsid w:val="00607701"/>
    <w:rsid w:val="006077DC"/>
    <w:rsid w:val="00607819"/>
    <w:rsid w:val="006078DA"/>
    <w:rsid w:val="0060794A"/>
    <w:rsid w:val="00607987"/>
    <w:rsid w:val="00607ADD"/>
    <w:rsid w:val="00607B45"/>
    <w:rsid w:val="00607B6D"/>
    <w:rsid w:val="00607B87"/>
    <w:rsid w:val="00607B9D"/>
    <w:rsid w:val="00607BA1"/>
    <w:rsid w:val="00607BD9"/>
    <w:rsid w:val="00607C04"/>
    <w:rsid w:val="00607C2C"/>
    <w:rsid w:val="00607C32"/>
    <w:rsid w:val="00607CFE"/>
    <w:rsid w:val="00607DD6"/>
    <w:rsid w:val="00607EA8"/>
    <w:rsid w:val="00607FBC"/>
    <w:rsid w:val="0061005B"/>
    <w:rsid w:val="006100BD"/>
    <w:rsid w:val="006100C0"/>
    <w:rsid w:val="006100E6"/>
    <w:rsid w:val="006100EB"/>
    <w:rsid w:val="00610191"/>
    <w:rsid w:val="006102C1"/>
    <w:rsid w:val="00610369"/>
    <w:rsid w:val="006103B2"/>
    <w:rsid w:val="006103B7"/>
    <w:rsid w:val="0061041F"/>
    <w:rsid w:val="0061043F"/>
    <w:rsid w:val="00610475"/>
    <w:rsid w:val="00610485"/>
    <w:rsid w:val="006104D5"/>
    <w:rsid w:val="006104E5"/>
    <w:rsid w:val="00610537"/>
    <w:rsid w:val="0061059B"/>
    <w:rsid w:val="006105E3"/>
    <w:rsid w:val="0061060C"/>
    <w:rsid w:val="006107B4"/>
    <w:rsid w:val="006107E6"/>
    <w:rsid w:val="006107E8"/>
    <w:rsid w:val="00610870"/>
    <w:rsid w:val="006108EF"/>
    <w:rsid w:val="006109A1"/>
    <w:rsid w:val="00610AA2"/>
    <w:rsid w:val="00610B83"/>
    <w:rsid w:val="00610B9B"/>
    <w:rsid w:val="00610CBA"/>
    <w:rsid w:val="00610D4A"/>
    <w:rsid w:val="00610DEA"/>
    <w:rsid w:val="00610E01"/>
    <w:rsid w:val="00610EDE"/>
    <w:rsid w:val="00610F23"/>
    <w:rsid w:val="00610FF4"/>
    <w:rsid w:val="0061109E"/>
    <w:rsid w:val="00611110"/>
    <w:rsid w:val="006111A9"/>
    <w:rsid w:val="006111BB"/>
    <w:rsid w:val="006111EC"/>
    <w:rsid w:val="006112B9"/>
    <w:rsid w:val="0061136C"/>
    <w:rsid w:val="0061139C"/>
    <w:rsid w:val="0061147E"/>
    <w:rsid w:val="006114BB"/>
    <w:rsid w:val="006114C9"/>
    <w:rsid w:val="006114EF"/>
    <w:rsid w:val="00611597"/>
    <w:rsid w:val="006115E4"/>
    <w:rsid w:val="00611605"/>
    <w:rsid w:val="00611630"/>
    <w:rsid w:val="006117C1"/>
    <w:rsid w:val="00611862"/>
    <w:rsid w:val="00611895"/>
    <w:rsid w:val="00611964"/>
    <w:rsid w:val="006119B6"/>
    <w:rsid w:val="006119F6"/>
    <w:rsid w:val="00611A01"/>
    <w:rsid w:val="00611A48"/>
    <w:rsid w:val="00611A5E"/>
    <w:rsid w:val="00611A86"/>
    <w:rsid w:val="00611B98"/>
    <w:rsid w:val="00611BC6"/>
    <w:rsid w:val="00611BE8"/>
    <w:rsid w:val="00611C22"/>
    <w:rsid w:val="00611C3C"/>
    <w:rsid w:val="00611D13"/>
    <w:rsid w:val="00611D3F"/>
    <w:rsid w:val="00611D65"/>
    <w:rsid w:val="00611F59"/>
    <w:rsid w:val="00611F95"/>
    <w:rsid w:val="00611FC1"/>
    <w:rsid w:val="00611FDC"/>
    <w:rsid w:val="00611FF7"/>
    <w:rsid w:val="0061206E"/>
    <w:rsid w:val="006120D8"/>
    <w:rsid w:val="0061213D"/>
    <w:rsid w:val="0061217D"/>
    <w:rsid w:val="006122D9"/>
    <w:rsid w:val="00612393"/>
    <w:rsid w:val="00612407"/>
    <w:rsid w:val="00612440"/>
    <w:rsid w:val="006124E1"/>
    <w:rsid w:val="00612568"/>
    <w:rsid w:val="006125AF"/>
    <w:rsid w:val="006125BD"/>
    <w:rsid w:val="006125E2"/>
    <w:rsid w:val="00612610"/>
    <w:rsid w:val="00612614"/>
    <w:rsid w:val="006127AF"/>
    <w:rsid w:val="00612820"/>
    <w:rsid w:val="0061284A"/>
    <w:rsid w:val="00612872"/>
    <w:rsid w:val="006128A1"/>
    <w:rsid w:val="00612986"/>
    <w:rsid w:val="006129FC"/>
    <w:rsid w:val="00612AC5"/>
    <w:rsid w:val="00612ADC"/>
    <w:rsid w:val="00612AE8"/>
    <w:rsid w:val="00612BEA"/>
    <w:rsid w:val="00612C49"/>
    <w:rsid w:val="00612CA2"/>
    <w:rsid w:val="00612CCF"/>
    <w:rsid w:val="00612CE0"/>
    <w:rsid w:val="00612D31"/>
    <w:rsid w:val="00612DD5"/>
    <w:rsid w:val="00612DF0"/>
    <w:rsid w:val="00612DF9"/>
    <w:rsid w:val="00612E20"/>
    <w:rsid w:val="00612EB1"/>
    <w:rsid w:val="00612EC5"/>
    <w:rsid w:val="00612F37"/>
    <w:rsid w:val="00612F9A"/>
    <w:rsid w:val="00612FD6"/>
    <w:rsid w:val="00613008"/>
    <w:rsid w:val="00613134"/>
    <w:rsid w:val="0061314D"/>
    <w:rsid w:val="00613195"/>
    <w:rsid w:val="006131DF"/>
    <w:rsid w:val="0061325A"/>
    <w:rsid w:val="0061334F"/>
    <w:rsid w:val="006133BD"/>
    <w:rsid w:val="006133FF"/>
    <w:rsid w:val="00613453"/>
    <w:rsid w:val="00613521"/>
    <w:rsid w:val="006135AB"/>
    <w:rsid w:val="006135EF"/>
    <w:rsid w:val="0061362B"/>
    <w:rsid w:val="0061362E"/>
    <w:rsid w:val="0061368D"/>
    <w:rsid w:val="006136D4"/>
    <w:rsid w:val="00613755"/>
    <w:rsid w:val="006137B7"/>
    <w:rsid w:val="006137D0"/>
    <w:rsid w:val="00613841"/>
    <w:rsid w:val="0061385F"/>
    <w:rsid w:val="00613891"/>
    <w:rsid w:val="006138D7"/>
    <w:rsid w:val="0061397F"/>
    <w:rsid w:val="006139DE"/>
    <w:rsid w:val="00613A99"/>
    <w:rsid w:val="00613ACB"/>
    <w:rsid w:val="00613ADD"/>
    <w:rsid w:val="00613B69"/>
    <w:rsid w:val="00613B80"/>
    <w:rsid w:val="00613BA0"/>
    <w:rsid w:val="00613BB3"/>
    <w:rsid w:val="00613C46"/>
    <w:rsid w:val="00613D20"/>
    <w:rsid w:val="00613D48"/>
    <w:rsid w:val="00613E4A"/>
    <w:rsid w:val="00613E9D"/>
    <w:rsid w:val="00613EA6"/>
    <w:rsid w:val="00613F7E"/>
    <w:rsid w:val="00614002"/>
    <w:rsid w:val="0061401C"/>
    <w:rsid w:val="00614049"/>
    <w:rsid w:val="0061409E"/>
    <w:rsid w:val="006140CA"/>
    <w:rsid w:val="00614198"/>
    <w:rsid w:val="006141CC"/>
    <w:rsid w:val="006141FA"/>
    <w:rsid w:val="006142D9"/>
    <w:rsid w:val="00614314"/>
    <w:rsid w:val="0061431B"/>
    <w:rsid w:val="0061447C"/>
    <w:rsid w:val="00614507"/>
    <w:rsid w:val="0061451E"/>
    <w:rsid w:val="0061457F"/>
    <w:rsid w:val="006145D6"/>
    <w:rsid w:val="00614611"/>
    <w:rsid w:val="00614669"/>
    <w:rsid w:val="00614765"/>
    <w:rsid w:val="0061486A"/>
    <w:rsid w:val="00614884"/>
    <w:rsid w:val="0061488F"/>
    <w:rsid w:val="006148BD"/>
    <w:rsid w:val="006148F5"/>
    <w:rsid w:val="00614954"/>
    <w:rsid w:val="00614960"/>
    <w:rsid w:val="00614983"/>
    <w:rsid w:val="00614A9C"/>
    <w:rsid w:val="00614ABB"/>
    <w:rsid w:val="00614ABD"/>
    <w:rsid w:val="00614AEA"/>
    <w:rsid w:val="00614BD3"/>
    <w:rsid w:val="00614BDD"/>
    <w:rsid w:val="00614C0D"/>
    <w:rsid w:val="00614C30"/>
    <w:rsid w:val="00614C6C"/>
    <w:rsid w:val="00614C83"/>
    <w:rsid w:val="00614CC8"/>
    <w:rsid w:val="00614CF6"/>
    <w:rsid w:val="00614D25"/>
    <w:rsid w:val="00614DBA"/>
    <w:rsid w:val="00614DDE"/>
    <w:rsid w:val="00614E3A"/>
    <w:rsid w:val="00614E7F"/>
    <w:rsid w:val="00614EAB"/>
    <w:rsid w:val="00614FA7"/>
    <w:rsid w:val="0061504A"/>
    <w:rsid w:val="00615089"/>
    <w:rsid w:val="00615093"/>
    <w:rsid w:val="00615227"/>
    <w:rsid w:val="00615296"/>
    <w:rsid w:val="006152DF"/>
    <w:rsid w:val="006153C3"/>
    <w:rsid w:val="006153C8"/>
    <w:rsid w:val="006153EA"/>
    <w:rsid w:val="006154B2"/>
    <w:rsid w:val="00615562"/>
    <w:rsid w:val="0061558E"/>
    <w:rsid w:val="006155A9"/>
    <w:rsid w:val="006155B7"/>
    <w:rsid w:val="006155E9"/>
    <w:rsid w:val="00615624"/>
    <w:rsid w:val="00615651"/>
    <w:rsid w:val="006156C0"/>
    <w:rsid w:val="00615711"/>
    <w:rsid w:val="0061571C"/>
    <w:rsid w:val="00615797"/>
    <w:rsid w:val="00615810"/>
    <w:rsid w:val="0061588B"/>
    <w:rsid w:val="006158A6"/>
    <w:rsid w:val="006158AB"/>
    <w:rsid w:val="006158B5"/>
    <w:rsid w:val="006158C5"/>
    <w:rsid w:val="00615A1B"/>
    <w:rsid w:val="00615A1D"/>
    <w:rsid w:val="00615A3A"/>
    <w:rsid w:val="00615B05"/>
    <w:rsid w:val="00615CCF"/>
    <w:rsid w:val="00615E23"/>
    <w:rsid w:val="00615E4E"/>
    <w:rsid w:val="00615E52"/>
    <w:rsid w:val="00616075"/>
    <w:rsid w:val="006160AE"/>
    <w:rsid w:val="006160C5"/>
    <w:rsid w:val="006160ED"/>
    <w:rsid w:val="00616175"/>
    <w:rsid w:val="006161AB"/>
    <w:rsid w:val="006161CD"/>
    <w:rsid w:val="006161E0"/>
    <w:rsid w:val="00616202"/>
    <w:rsid w:val="00616270"/>
    <w:rsid w:val="006164E7"/>
    <w:rsid w:val="0061653C"/>
    <w:rsid w:val="006165F9"/>
    <w:rsid w:val="00616639"/>
    <w:rsid w:val="0061669D"/>
    <w:rsid w:val="0061670C"/>
    <w:rsid w:val="00616765"/>
    <w:rsid w:val="00616770"/>
    <w:rsid w:val="00616801"/>
    <w:rsid w:val="0061682C"/>
    <w:rsid w:val="006168DE"/>
    <w:rsid w:val="006168E3"/>
    <w:rsid w:val="00616923"/>
    <w:rsid w:val="006169F5"/>
    <w:rsid w:val="00616BB3"/>
    <w:rsid w:val="00616C6C"/>
    <w:rsid w:val="00616D7B"/>
    <w:rsid w:val="00616D89"/>
    <w:rsid w:val="00616F93"/>
    <w:rsid w:val="00616FCC"/>
    <w:rsid w:val="0061704C"/>
    <w:rsid w:val="006170D6"/>
    <w:rsid w:val="00617184"/>
    <w:rsid w:val="006171BF"/>
    <w:rsid w:val="0061725F"/>
    <w:rsid w:val="0061728C"/>
    <w:rsid w:val="0061728F"/>
    <w:rsid w:val="0061731E"/>
    <w:rsid w:val="00617399"/>
    <w:rsid w:val="0061741D"/>
    <w:rsid w:val="00617431"/>
    <w:rsid w:val="00617458"/>
    <w:rsid w:val="006174C4"/>
    <w:rsid w:val="00617505"/>
    <w:rsid w:val="006176A3"/>
    <w:rsid w:val="00617760"/>
    <w:rsid w:val="006177AE"/>
    <w:rsid w:val="006178B9"/>
    <w:rsid w:val="006178EE"/>
    <w:rsid w:val="0061791F"/>
    <w:rsid w:val="0061793C"/>
    <w:rsid w:val="00617A28"/>
    <w:rsid w:val="00617A66"/>
    <w:rsid w:val="00617B04"/>
    <w:rsid w:val="00617BD1"/>
    <w:rsid w:val="00617C14"/>
    <w:rsid w:val="00617CAB"/>
    <w:rsid w:val="00617D5B"/>
    <w:rsid w:val="00617DFB"/>
    <w:rsid w:val="00617EE4"/>
    <w:rsid w:val="00617F0C"/>
    <w:rsid w:val="00617FBB"/>
    <w:rsid w:val="00620001"/>
    <w:rsid w:val="0062005E"/>
    <w:rsid w:val="0062008C"/>
    <w:rsid w:val="006200EA"/>
    <w:rsid w:val="006200F6"/>
    <w:rsid w:val="006201E4"/>
    <w:rsid w:val="006201F6"/>
    <w:rsid w:val="006202CC"/>
    <w:rsid w:val="006202F4"/>
    <w:rsid w:val="00620303"/>
    <w:rsid w:val="0062033E"/>
    <w:rsid w:val="00620363"/>
    <w:rsid w:val="0062039F"/>
    <w:rsid w:val="006203B8"/>
    <w:rsid w:val="00620420"/>
    <w:rsid w:val="006204A4"/>
    <w:rsid w:val="006204C3"/>
    <w:rsid w:val="006204E1"/>
    <w:rsid w:val="0062050D"/>
    <w:rsid w:val="00620561"/>
    <w:rsid w:val="0062064C"/>
    <w:rsid w:val="00620658"/>
    <w:rsid w:val="0062077C"/>
    <w:rsid w:val="006207BF"/>
    <w:rsid w:val="00620817"/>
    <w:rsid w:val="00620976"/>
    <w:rsid w:val="00620A50"/>
    <w:rsid w:val="00620A83"/>
    <w:rsid w:val="00620BDE"/>
    <w:rsid w:val="00620C55"/>
    <w:rsid w:val="00620D05"/>
    <w:rsid w:val="00620D3F"/>
    <w:rsid w:val="00620D52"/>
    <w:rsid w:val="00620E69"/>
    <w:rsid w:val="00620E95"/>
    <w:rsid w:val="00620EEF"/>
    <w:rsid w:val="00621025"/>
    <w:rsid w:val="006210A5"/>
    <w:rsid w:val="00621110"/>
    <w:rsid w:val="0062113A"/>
    <w:rsid w:val="00621174"/>
    <w:rsid w:val="00621182"/>
    <w:rsid w:val="006211ED"/>
    <w:rsid w:val="006211F6"/>
    <w:rsid w:val="0062128D"/>
    <w:rsid w:val="0062129C"/>
    <w:rsid w:val="00621382"/>
    <w:rsid w:val="00621391"/>
    <w:rsid w:val="0062139F"/>
    <w:rsid w:val="006213F0"/>
    <w:rsid w:val="00621433"/>
    <w:rsid w:val="0062149A"/>
    <w:rsid w:val="006214E4"/>
    <w:rsid w:val="0062151B"/>
    <w:rsid w:val="006216B7"/>
    <w:rsid w:val="006216FB"/>
    <w:rsid w:val="0062178F"/>
    <w:rsid w:val="00621813"/>
    <w:rsid w:val="0062187A"/>
    <w:rsid w:val="00621884"/>
    <w:rsid w:val="0062192A"/>
    <w:rsid w:val="0062196D"/>
    <w:rsid w:val="0062199E"/>
    <w:rsid w:val="00621A09"/>
    <w:rsid w:val="00621A29"/>
    <w:rsid w:val="00621A44"/>
    <w:rsid w:val="00621A7F"/>
    <w:rsid w:val="00621A88"/>
    <w:rsid w:val="00621B96"/>
    <w:rsid w:val="00621BA1"/>
    <w:rsid w:val="00621BD8"/>
    <w:rsid w:val="00621CC1"/>
    <w:rsid w:val="00621CDA"/>
    <w:rsid w:val="00621CDE"/>
    <w:rsid w:val="00621D34"/>
    <w:rsid w:val="00621D5D"/>
    <w:rsid w:val="00621D83"/>
    <w:rsid w:val="00621E2E"/>
    <w:rsid w:val="00621E3E"/>
    <w:rsid w:val="00621E56"/>
    <w:rsid w:val="00621E5C"/>
    <w:rsid w:val="00621E9C"/>
    <w:rsid w:val="00621EDD"/>
    <w:rsid w:val="00621F1D"/>
    <w:rsid w:val="00621F3D"/>
    <w:rsid w:val="00621FB3"/>
    <w:rsid w:val="006220CE"/>
    <w:rsid w:val="0062218A"/>
    <w:rsid w:val="0062218C"/>
    <w:rsid w:val="006222D6"/>
    <w:rsid w:val="006222F7"/>
    <w:rsid w:val="0062230B"/>
    <w:rsid w:val="0062234B"/>
    <w:rsid w:val="0062236A"/>
    <w:rsid w:val="006223D8"/>
    <w:rsid w:val="00622477"/>
    <w:rsid w:val="00622505"/>
    <w:rsid w:val="00622512"/>
    <w:rsid w:val="00622586"/>
    <w:rsid w:val="0062258D"/>
    <w:rsid w:val="006225E7"/>
    <w:rsid w:val="00622647"/>
    <w:rsid w:val="00622693"/>
    <w:rsid w:val="0062275D"/>
    <w:rsid w:val="00622807"/>
    <w:rsid w:val="00622810"/>
    <w:rsid w:val="006228CA"/>
    <w:rsid w:val="00622931"/>
    <w:rsid w:val="00622936"/>
    <w:rsid w:val="00622998"/>
    <w:rsid w:val="00622999"/>
    <w:rsid w:val="006229CB"/>
    <w:rsid w:val="00622B95"/>
    <w:rsid w:val="00622BAB"/>
    <w:rsid w:val="00622C8F"/>
    <w:rsid w:val="00622CBE"/>
    <w:rsid w:val="00622DD2"/>
    <w:rsid w:val="00622E21"/>
    <w:rsid w:val="00622E62"/>
    <w:rsid w:val="00622EA0"/>
    <w:rsid w:val="00622F4D"/>
    <w:rsid w:val="00622F51"/>
    <w:rsid w:val="00622F6B"/>
    <w:rsid w:val="00622FCE"/>
    <w:rsid w:val="00623023"/>
    <w:rsid w:val="0062302F"/>
    <w:rsid w:val="0062305F"/>
    <w:rsid w:val="00623078"/>
    <w:rsid w:val="00623103"/>
    <w:rsid w:val="00623111"/>
    <w:rsid w:val="0062315E"/>
    <w:rsid w:val="00623232"/>
    <w:rsid w:val="0062329C"/>
    <w:rsid w:val="0062335B"/>
    <w:rsid w:val="00623375"/>
    <w:rsid w:val="0062337B"/>
    <w:rsid w:val="006233DC"/>
    <w:rsid w:val="00623402"/>
    <w:rsid w:val="0062340A"/>
    <w:rsid w:val="00623427"/>
    <w:rsid w:val="00623448"/>
    <w:rsid w:val="00623518"/>
    <w:rsid w:val="00623565"/>
    <w:rsid w:val="00623570"/>
    <w:rsid w:val="006235E4"/>
    <w:rsid w:val="0062363B"/>
    <w:rsid w:val="006236AA"/>
    <w:rsid w:val="00623752"/>
    <w:rsid w:val="00623789"/>
    <w:rsid w:val="006237A6"/>
    <w:rsid w:val="006237B0"/>
    <w:rsid w:val="00623847"/>
    <w:rsid w:val="0062389C"/>
    <w:rsid w:val="00623942"/>
    <w:rsid w:val="006239FC"/>
    <w:rsid w:val="00623A37"/>
    <w:rsid w:val="00623A3B"/>
    <w:rsid w:val="00623A72"/>
    <w:rsid w:val="00623AB8"/>
    <w:rsid w:val="00623B07"/>
    <w:rsid w:val="00623B96"/>
    <w:rsid w:val="00623BBA"/>
    <w:rsid w:val="00623BD7"/>
    <w:rsid w:val="00623C7B"/>
    <w:rsid w:val="00623CE3"/>
    <w:rsid w:val="00623CFE"/>
    <w:rsid w:val="00623DC9"/>
    <w:rsid w:val="00623DDA"/>
    <w:rsid w:val="00623DF9"/>
    <w:rsid w:val="00623E1B"/>
    <w:rsid w:val="00623E82"/>
    <w:rsid w:val="00623EBC"/>
    <w:rsid w:val="00623F07"/>
    <w:rsid w:val="00623F2D"/>
    <w:rsid w:val="00623F77"/>
    <w:rsid w:val="00623FC2"/>
    <w:rsid w:val="00623FEC"/>
    <w:rsid w:val="00623FED"/>
    <w:rsid w:val="0062402C"/>
    <w:rsid w:val="00624241"/>
    <w:rsid w:val="0062427D"/>
    <w:rsid w:val="0062437C"/>
    <w:rsid w:val="006243D0"/>
    <w:rsid w:val="006244AD"/>
    <w:rsid w:val="0062456B"/>
    <w:rsid w:val="00624595"/>
    <w:rsid w:val="00624627"/>
    <w:rsid w:val="0062462F"/>
    <w:rsid w:val="006246DD"/>
    <w:rsid w:val="00624744"/>
    <w:rsid w:val="006247AF"/>
    <w:rsid w:val="006247D4"/>
    <w:rsid w:val="0062485F"/>
    <w:rsid w:val="0062487B"/>
    <w:rsid w:val="0062498E"/>
    <w:rsid w:val="00624A57"/>
    <w:rsid w:val="00624B04"/>
    <w:rsid w:val="00624B8B"/>
    <w:rsid w:val="00624BC5"/>
    <w:rsid w:val="00624BEA"/>
    <w:rsid w:val="00624C32"/>
    <w:rsid w:val="00624C9F"/>
    <w:rsid w:val="00624D51"/>
    <w:rsid w:val="00624D52"/>
    <w:rsid w:val="00624DDF"/>
    <w:rsid w:val="00624E83"/>
    <w:rsid w:val="00624EA8"/>
    <w:rsid w:val="00624EE5"/>
    <w:rsid w:val="00624F57"/>
    <w:rsid w:val="00624F8E"/>
    <w:rsid w:val="00625102"/>
    <w:rsid w:val="0062517C"/>
    <w:rsid w:val="006251F6"/>
    <w:rsid w:val="0062527B"/>
    <w:rsid w:val="006252C7"/>
    <w:rsid w:val="006252D5"/>
    <w:rsid w:val="006252E1"/>
    <w:rsid w:val="006252F1"/>
    <w:rsid w:val="006253AF"/>
    <w:rsid w:val="006253C8"/>
    <w:rsid w:val="006253DC"/>
    <w:rsid w:val="006253FE"/>
    <w:rsid w:val="006254E2"/>
    <w:rsid w:val="006254EC"/>
    <w:rsid w:val="00625515"/>
    <w:rsid w:val="00625543"/>
    <w:rsid w:val="00625583"/>
    <w:rsid w:val="00625593"/>
    <w:rsid w:val="006255BE"/>
    <w:rsid w:val="006255DF"/>
    <w:rsid w:val="0062575F"/>
    <w:rsid w:val="00625834"/>
    <w:rsid w:val="006258B0"/>
    <w:rsid w:val="00625A04"/>
    <w:rsid w:val="00625A5D"/>
    <w:rsid w:val="00625AA2"/>
    <w:rsid w:val="00625C15"/>
    <w:rsid w:val="00625C80"/>
    <w:rsid w:val="00625D6D"/>
    <w:rsid w:val="00625DDB"/>
    <w:rsid w:val="00625DDC"/>
    <w:rsid w:val="00625DF8"/>
    <w:rsid w:val="00625ED2"/>
    <w:rsid w:val="00625F72"/>
    <w:rsid w:val="006260C9"/>
    <w:rsid w:val="0062610B"/>
    <w:rsid w:val="00626256"/>
    <w:rsid w:val="006262A5"/>
    <w:rsid w:val="006262BA"/>
    <w:rsid w:val="0062639A"/>
    <w:rsid w:val="006263A9"/>
    <w:rsid w:val="006263C6"/>
    <w:rsid w:val="0062641B"/>
    <w:rsid w:val="00626431"/>
    <w:rsid w:val="00626495"/>
    <w:rsid w:val="006264C6"/>
    <w:rsid w:val="0062651F"/>
    <w:rsid w:val="0062653B"/>
    <w:rsid w:val="0062655F"/>
    <w:rsid w:val="0062656F"/>
    <w:rsid w:val="00626594"/>
    <w:rsid w:val="00626602"/>
    <w:rsid w:val="0062669F"/>
    <w:rsid w:val="006266FB"/>
    <w:rsid w:val="00626716"/>
    <w:rsid w:val="0062677D"/>
    <w:rsid w:val="0062678A"/>
    <w:rsid w:val="00626834"/>
    <w:rsid w:val="006268C9"/>
    <w:rsid w:val="006268D0"/>
    <w:rsid w:val="00626902"/>
    <w:rsid w:val="00626A00"/>
    <w:rsid w:val="00626AD3"/>
    <w:rsid w:val="00626AF1"/>
    <w:rsid w:val="00626B5E"/>
    <w:rsid w:val="00626CE0"/>
    <w:rsid w:val="00626D23"/>
    <w:rsid w:val="00626D44"/>
    <w:rsid w:val="00626E04"/>
    <w:rsid w:val="00626E70"/>
    <w:rsid w:val="00626F2D"/>
    <w:rsid w:val="00626FA0"/>
    <w:rsid w:val="0062717F"/>
    <w:rsid w:val="006271D8"/>
    <w:rsid w:val="00627390"/>
    <w:rsid w:val="006273A5"/>
    <w:rsid w:val="0062743B"/>
    <w:rsid w:val="006274B5"/>
    <w:rsid w:val="006274F3"/>
    <w:rsid w:val="00627567"/>
    <w:rsid w:val="0062760B"/>
    <w:rsid w:val="0062773A"/>
    <w:rsid w:val="00627816"/>
    <w:rsid w:val="0062785E"/>
    <w:rsid w:val="006278A0"/>
    <w:rsid w:val="006278CC"/>
    <w:rsid w:val="00627965"/>
    <w:rsid w:val="0062796D"/>
    <w:rsid w:val="00627A8A"/>
    <w:rsid w:val="00627A96"/>
    <w:rsid w:val="00627A97"/>
    <w:rsid w:val="00627ACF"/>
    <w:rsid w:val="00627B86"/>
    <w:rsid w:val="00627BF2"/>
    <w:rsid w:val="00627C34"/>
    <w:rsid w:val="00627E88"/>
    <w:rsid w:val="00627EE8"/>
    <w:rsid w:val="00630017"/>
    <w:rsid w:val="00630050"/>
    <w:rsid w:val="00630059"/>
    <w:rsid w:val="00630061"/>
    <w:rsid w:val="006300AC"/>
    <w:rsid w:val="006300E0"/>
    <w:rsid w:val="0063010D"/>
    <w:rsid w:val="00630110"/>
    <w:rsid w:val="006301B1"/>
    <w:rsid w:val="006301DF"/>
    <w:rsid w:val="00630226"/>
    <w:rsid w:val="0063029E"/>
    <w:rsid w:val="0063034B"/>
    <w:rsid w:val="0063035A"/>
    <w:rsid w:val="006303A8"/>
    <w:rsid w:val="0063042B"/>
    <w:rsid w:val="006304B3"/>
    <w:rsid w:val="00630511"/>
    <w:rsid w:val="00630543"/>
    <w:rsid w:val="00630590"/>
    <w:rsid w:val="00630594"/>
    <w:rsid w:val="006305D7"/>
    <w:rsid w:val="00630670"/>
    <w:rsid w:val="00630686"/>
    <w:rsid w:val="006307D1"/>
    <w:rsid w:val="006307D8"/>
    <w:rsid w:val="006307F8"/>
    <w:rsid w:val="00630805"/>
    <w:rsid w:val="0063086E"/>
    <w:rsid w:val="00630957"/>
    <w:rsid w:val="006309F1"/>
    <w:rsid w:val="00630A0D"/>
    <w:rsid w:val="00630A6D"/>
    <w:rsid w:val="00630BD6"/>
    <w:rsid w:val="00630BEC"/>
    <w:rsid w:val="00630CA0"/>
    <w:rsid w:val="00630CEF"/>
    <w:rsid w:val="00630D19"/>
    <w:rsid w:val="00630E2A"/>
    <w:rsid w:val="00630E7F"/>
    <w:rsid w:val="00630E9B"/>
    <w:rsid w:val="00630F71"/>
    <w:rsid w:val="00630FD2"/>
    <w:rsid w:val="00631019"/>
    <w:rsid w:val="006312A8"/>
    <w:rsid w:val="00631359"/>
    <w:rsid w:val="006313D3"/>
    <w:rsid w:val="006314BC"/>
    <w:rsid w:val="00631529"/>
    <w:rsid w:val="00631563"/>
    <w:rsid w:val="00631592"/>
    <w:rsid w:val="0063162C"/>
    <w:rsid w:val="00631917"/>
    <w:rsid w:val="0063197D"/>
    <w:rsid w:val="006319A0"/>
    <w:rsid w:val="00631A44"/>
    <w:rsid w:val="00631AEC"/>
    <w:rsid w:val="00631B24"/>
    <w:rsid w:val="00631B86"/>
    <w:rsid w:val="00631C12"/>
    <w:rsid w:val="00631D1E"/>
    <w:rsid w:val="00631D69"/>
    <w:rsid w:val="00631EFD"/>
    <w:rsid w:val="00631F0B"/>
    <w:rsid w:val="00631F8E"/>
    <w:rsid w:val="00631F92"/>
    <w:rsid w:val="00631F95"/>
    <w:rsid w:val="00631F9A"/>
    <w:rsid w:val="00631FCD"/>
    <w:rsid w:val="00632003"/>
    <w:rsid w:val="0063200E"/>
    <w:rsid w:val="0063201D"/>
    <w:rsid w:val="006320D2"/>
    <w:rsid w:val="00632117"/>
    <w:rsid w:val="00632161"/>
    <w:rsid w:val="0063218A"/>
    <w:rsid w:val="0063223C"/>
    <w:rsid w:val="006322AC"/>
    <w:rsid w:val="00632300"/>
    <w:rsid w:val="0063235E"/>
    <w:rsid w:val="006323AA"/>
    <w:rsid w:val="006323DC"/>
    <w:rsid w:val="006323EF"/>
    <w:rsid w:val="0063240A"/>
    <w:rsid w:val="00632412"/>
    <w:rsid w:val="0063243B"/>
    <w:rsid w:val="00632467"/>
    <w:rsid w:val="006324AC"/>
    <w:rsid w:val="006324D7"/>
    <w:rsid w:val="006325A7"/>
    <w:rsid w:val="006325FD"/>
    <w:rsid w:val="006326C1"/>
    <w:rsid w:val="0063278F"/>
    <w:rsid w:val="00632834"/>
    <w:rsid w:val="00632A76"/>
    <w:rsid w:val="00632AC5"/>
    <w:rsid w:val="00632B99"/>
    <w:rsid w:val="00632C07"/>
    <w:rsid w:val="00632CD5"/>
    <w:rsid w:val="00632D31"/>
    <w:rsid w:val="00632DAF"/>
    <w:rsid w:val="00632E0F"/>
    <w:rsid w:val="00632EA5"/>
    <w:rsid w:val="00632EAC"/>
    <w:rsid w:val="00632EC2"/>
    <w:rsid w:val="00632F81"/>
    <w:rsid w:val="00632F87"/>
    <w:rsid w:val="00632FCE"/>
    <w:rsid w:val="00632FD8"/>
    <w:rsid w:val="00633007"/>
    <w:rsid w:val="00633043"/>
    <w:rsid w:val="00633070"/>
    <w:rsid w:val="00633087"/>
    <w:rsid w:val="006330D4"/>
    <w:rsid w:val="006331A2"/>
    <w:rsid w:val="006331ED"/>
    <w:rsid w:val="00633212"/>
    <w:rsid w:val="0063326C"/>
    <w:rsid w:val="00633270"/>
    <w:rsid w:val="0063330E"/>
    <w:rsid w:val="006333DD"/>
    <w:rsid w:val="00633440"/>
    <w:rsid w:val="00633462"/>
    <w:rsid w:val="0063351A"/>
    <w:rsid w:val="0063354C"/>
    <w:rsid w:val="006335B7"/>
    <w:rsid w:val="00633621"/>
    <w:rsid w:val="00633667"/>
    <w:rsid w:val="006337DA"/>
    <w:rsid w:val="0063381D"/>
    <w:rsid w:val="0063385C"/>
    <w:rsid w:val="006338A6"/>
    <w:rsid w:val="00633911"/>
    <w:rsid w:val="00633989"/>
    <w:rsid w:val="006339FF"/>
    <w:rsid w:val="00633A5A"/>
    <w:rsid w:val="00633A8E"/>
    <w:rsid w:val="00633B5E"/>
    <w:rsid w:val="00633B8D"/>
    <w:rsid w:val="00633BA1"/>
    <w:rsid w:val="00633BB3"/>
    <w:rsid w:val="00633C5D"/>
    <w:rsid w:val="00633C71"/>
    <w:rsid w:val="00633CBE"/>
    <w:rsid w:val="00633D5A"/>
    <w:rsid w:val="00633DC5"/>
    <w:rsid w:val="00633DD7"/>
    <w:rsid w:val="00633E31"/>
    <w:rsid w:val="00633EBD"/>
    <w:rsid w:val="00633F94"/>
    <w:rsid w:val="00634007"/>
    <w:rsid w:val="00634016"/>
    <w:rsid w:val="00634100"/>
    <w:rsid w:val="0063411F"/>
    <w:rsid w:val="006341C6"/>
    <w:rsid w:val="0063434E"/>
    <w:rsid w:val="00634353"/>
    <w:rsid w:val="00634386"/>
    <w:rsid w:val="00634482"/>
    <w:rsid w:val="00634582"/>
    <w:rsid w:val="006345B3"/>
    <w:rsid w:val="0063460A"/>
    <w:rsid w:val="0063466D"/>
    <w:rsid w:val="006346D0"/>
    <w:rsid w:val="0063470C"/>
    <w:rsid w:val="0063472C"/>
    <w:rsid w:val="00634851"/>
    <w:rsid w:val="00634859"/>
    <w:rsid w:val="0063488C"/>
    <w:rsid w:val="00634982"/>
    <w:rsid w:val="00634A39"/>
    <w:rsid w:val="00634AA3"/>
    <w:rsid w:val="00634BCC"/>
    <w:rsid w:val="00634C17"/>
    <w:rsid w:val="00634D69"/>
    <w:rsid w:val="00634DD6"/>
    <w:rsid w:val="00634DD8"/>
    <w:rsid w:val="00634E49"/>
    <w:rsid w:val="00634E5A"/>
    <w:rsid w:val="00634EE2"/>
    <w:rsid w:val="00634F47"/>
    <w:rsid w:val="00634F9C"/>
    <w:rsid w:val="00634FC2"/>
    <w:rsid w:val="0063513B"/>
    <w:rsid w:val="00635167"/>
    <w:rsid w:val="00635180"/>
    <w:rsid w:val="006351A5"/>
    <w:rsid w:val="006351C2"/>
    <w:rsid w:val="006351DA"/>
    <w:rsid w:val="006351E3"/>
    <w:rsid w:val="006352D0"/>
    <w:rsid w:val="006352E8"/>
    <w:rsid w:val="006353FD"/>
    <w:rsid w:val="00635475"/>
    <w:rsid w:val="006354E8"/>
    <w:rsid w:val="0063560B"/>
    <w:rsid w:val="00635638"/>
    <w:rsid w:val="0063582F"/>
    <w:rsid w:val="0063586A"/>
    <w:rsid w:val="00635883"/>
    <w:rsid w:val="006358D4"/>
    <w:rsid w:val="006358E3"/>
    <w:rsid w:val="00635933"/>
    <w:rsid w:val="0063596A"/>
    <w:rsid w:val="006359EC"/>
    <w:rsid w:val="00635A00"/>
    <w:rsid w:val="00635A84"/>
    <w:rsid w:val="00635ABA"/>
    <w:rsid w:val="00635AC9"/>
    <w:rsid w:val="00635B28"/>
    <w:rsid w:val="00635B46"/>
    <w:rsid w:val="00635C64"/>
    <w:rsid w:val="00635C9D"/>
    <w:rsid w:val="00635E7F"/>
    <w:rsid w:val="00635F3B"/>
    <w:rsid w:val="00635FA8"/>
    <w:rsid w:val="00635FFB"/>
    <w:rsid w:val="00635FFE"/>
    <w:rsid w:val="00636055"/>
    <w:rsid w:val="0063606D"/>
    <w:rsid w:val="006360B7"/>
    <w:rsid w:val="00636134"/>
    <w:rsid w:val="0063616A"/>
    <w:rsid w:val="0063617A"/>
    <w:rsid w:val="00636191"/>
    <w:rsid w:val="006361B8"/>
    <w:rsid w:val="00636246"/>
    <w:rsid w:val="006362DA"/>
    <w:rsid w:val="0063630E"/>
    <w:rsid w:val="0063633B"/>
    <w:rsid w:val="0063634D"/>
    <w:rsid w:val="00636379"/>
    <w:rsid w:val="0063646B"/>
    <w:rsid w:val="006364D0"/>
    <w:rsid w:val="0063652C"/>
    <w:rsid w:val="00636580"/>
    <w:rsid w:val="0063666F"/>
    <w:rsid w:val="00636684"/>
    <w:rsid w:val="00636693"/>
    <w:rsid w:val="0063671B"/>
    <w:rsid w:val="006367F4"/>
    <w:rsid w:val="00636854"/>
    <w:rsid w:val="0063689A"/>
    <w:rsid w:val="006368C6"/>
    <w:rsid w:val="0063694D"/>
    <w:rsid w:val="006369DB"/>
    <w:rsid w:val="00636B6B"/>
    <w:rsid w:val="00636B8D"/>
    <w:rsid w:val="00636C11"/>
    <w:rsid w:val="00636C66"/>
    <w:rsid w:val="00636CBB"/>
    <w:rsid w:val="00636CDA"/>
    <w:rsid w:val="00636CEF"/>
    <w:rsid w:val="00636D2C"/>
    <w:rsid w:val="00636D8B"/>
    <w:rsid w:val="00636DD2"/>
    <w:rsid w:val="00636DEA"/>
    <w:rsid w:val="00636E20"/>
    <w:rsid w:val="00636FB4"/>
    <w:rsid w:val="00636FE8"/>
    <w:rsid w:val="0063707C"/>
    <w:rsid w:val="006370A1"/>
    <w:rsid w:val="006371B6"/>
    <w:rsid w:val="0063722E"/>
    <w:rsid w:val="00637230"/>
    <w:rsid w:val="00637260"/>
    <w:rsid w:val="0063727D"/>
    <w:rsid w:val="0063729D"/>
    <w:rsid w:val="006372E0"/>
    <w:rsid w:val="00637493"/>
    <w:rsid w:val="006374E1"/>
    <w:rsid w:val="006375F9"/>
    <w:rsid w:val="00637629"/>
    <w:rsid w:val="00637666"/>
    <w:rsid w:val="006376AC"/>
    <w:rsid w:val="00637730"/>
    <w:rsid w:val="006378B8"/>
    <w:rsid w:val="006379C7"/>
    <w:rsid w:val="006379D0"/>
    <w:rsid w:val="00637A11"/>
    <w:rsid w:val="00637A19"/>
    <w:rsid w:val="00637A4F"/>
    <w:rsid w:val="00637A5E"/>
    <w:rsid w:val="00637AAB"/>
    <w:rsid w:val="00637B37"/>
    <w:rsid w:val="00637BE0"/>
    <w:rsid w:val="00637BFA"/>
    <w:rsid w:val="00637D3A"/>
    <w:rsid w:val="00637DBA"/>
    <w:rsid w:val="00637F05"/>
    <w:rsid w:val="00637F27"/>
    <w:rsid w:val="00640003"/>
    <w:rsid w:val="00640023"/>
    <w:rsid w:val="00640059"/>
    <w:rsid w:val="00640064"/>
    <w:rsid w:val="00640099"/>
    <w:rsid w:val="006401B3"/>
    <w:rsid w:val="0064022F"/>
    <w:rsid w:val="0064024E"/>
    <w:rsid w:val="00640256"/>
    <w:rsid w:val="006402D6"/>
    <w:rsid w:val="006403A7"/>
    <w:rsid w:val="006403F8"/>
    <w:rsid w:val="006404AC"/>
    <w:rsid w:val="0064058D"/>
    <w:rsid w:val="0064062F"/>
    <w:rsid w:val="006406B9"/>
    <w:rsid w:val="0064070A"/>
    <w:rsid w:val="0064079B"/>
    <w:rsid w:val="00640885"/>
    <w:rsid w:val="0064092D"/>
    <w:rsid w:val="0064095B"/>
    <w:rsid w:val="00640995"/>
    <w:rsid w:val="00640A0B"/>
    <w:rsid w:val="00640A61"/>
    <w:rsid w:val="00640AD3"/>
    <w:rsid w:val="00640BAD"/>
    <w:rsid w:val="00640C6F"/>
    <w:rsid w:val="00640C9B"/>
    <w:rsid w:val="00640CB6"/>
    <w:rsid w:val="00640D51"/>
    <w:rsid w:val="00640D85"/>
    <w:rsid w:val="00640D93"/>
    <w:rsid w:val="00640DAF"/>
    <w:rsid w:val="00640E14"/>
    <w:rsid w:val="00640EFF"/>
    <w:rsid w:val="00640F24"/>
    <w:rsid w:val="00640F25"/>
    <w:rsid w:val="0064108D"/>
    <w:rsid w:val="006410B6"/>
    <w:rsid w:val="006410FF"/>
    <w:rsid w:val="00641167"/>
    <w:rsid w:val="0064122F"/>
    <w:rsid w:val="00641318"/>
    <w:rsid w:val="00641374"/>
    <w:rsid w:val="006413FB"/>
    <w:rsid w:val="00641403"/>
    <w:rsid w:val="00641434"/>
    <w:rsid w:val="006414BC"/>
    <w:rsid w:val="006414E6"/>
    <w:rsid w:val="00641725"/>
    <w:rsid w:val="0064176A"/>
    <w:rsid w:val="00641886"/>
    <w:rsid w:val="0064189F"/>
    <w:rsid w:val="00641920"/>
    <w:rsid w:val="0064193E"/>
    <w:rsid w:val="0064194D"/>
    <w:rsid w:val="00641A09"/>
    <w:rsid w:val="00641A69"/>
    <w:rsid w:val="00641A75"/>
    <w:rsid w:val="00641A90"/>
    <w:rsid w:val="00641AE0"/>
    <w:rsid w:val="00641C22"/>
    <w:rsid w:val="00641C23"/>
    <w:rsid w:val="00641C54"/>
    <w:rsid w:val="00641C7B"/>
    <w:rsid w:val="00641CAB"/>
    <w:rsid w:val="00641CAC"/>
    <w:rsid w:val="00641CB7"/>
    <w:rsid w:val="00641CCD"/>
    <w:rsid w:val="00641D23"/>
    <w:rsid w:val="00641D98"/>
    <w:rsid w:val="00641E2E"/>
    <w:rsid w:val="00641E67"/>
    <w:rsid w:val="00641EED"/>
    <w:rsid w:val="00641F07"/>
    <w:rsid w:val="00641F0F"/>
    <w:rsid w:val="00641FF6"/>
    <w:rsid w:val="0064204F"/>
    <w:rsid w:val="00642251"/>
    <w:rsid w:val="006422DC"/>
    <w:rsid w:val="00642302"/>
    <w:rsid w:val="00642435"/>
    <w:rsid w:val="0064248B"/>
    <w:rsid w:val="0064253F"/>
    <w:rsid w:val="006425A8"/>
    <w:rsid w:val="006426CD"/>
    <w:rsid w:val="00642713"/>
    <w:rsid w:val="0064275E"/>
    <w:rsid w:val="006427B8"/>
    <w:rsid w:val="0064282A"/>
    <w:rsid w:val="0064287A"/>
    <w:rsid w:val="006428AB"/>
    <w:rsid w:val="00642955"/>
    <w:rsid w:val="00642992"/>
    <w:rsid w:val="006429FC"/>
    <w:rsid w:val="00642A21"/>
    <w:rsid w:val="00642A33"/>
    <w:rsid w:val="00642A5A"/>
    <w:rsid w:val="00642B26"/>
    <w:rsid w:val="00642B5B"/>
    <w:rsid w:val="00642B8C"/>
    <w:rsid w:val="00642BD8"/>
    <w:rsid w:val="00642BF5"/>
    <w:rsid w:val="00642C33"/>
    <w:rsid w:val="00642C52"/>
    <w:rsid w:val="00642C69"/>
    <w:rsid w:val="00642CBD"/>
    <w:rsid w:val="00642D94"/>
    <w:rsid w:val="00642E32"/>
    <w:rsid w:val="00642F86"/>
    <w:rsid w:val="00643037"/>
    <w:rsid w:val="00643081"/>
    <w:rsid w:val="006430A3"/>
    <w:rsid w:val="00643160"/>
    <w:rsid w:val="00643162"/>
    <w:rsid w:val="006431DB"/>
    <w:rsid w:val="006431F2"/>
    <w:rsid w:val="006431F5"/>
    <w:rsid w:val="0064324C"/>
    <w:rsid w:val="0064333B"/>
    <w:rsid w:val="0064334B"/>
    <w:rsid w:val="00643376"/>
    <w:rsid w:val="006435BD"/>
    <w:rsid w:val="00643630"/>
    <w:rsid w:val="00643689"/>
    <w:rsid w:val="00643783"/>
    <w:rsid w:val="006437A4"/>
    <w:rsid w:val="0064386A"/>
    <w:rsid w:val="006438F6"/>
    <w:rsid w:val="00643924"/>
    <w:rsid w:val="0064397D"/>
    <w:rsid w:val="006439C8"/>
    <w:rsid w:val="00643A70"/>
    <w:rsid w:val="00643AEB"/>
    <w:rsid w:val="00643BAE"/>
    <w:rsid w:val="00643BE9"/>
    <w:rsid w:val="00643C00"/>
    <w:rsid w:val="00643CB4"/>
    <w:rsid w:val="00643CB7"/>
    <w:rsid w:val="00643D2B"/>
    <w:rsid w:val="00643D40"/>
    <w:rsid w:val="00643DB7"/>
    <w:rsid w:val="00643DFE"/>
    <w:rsid w:val="00643E6C"/>
    <w:rsid w:val="00643E88"/>
    <w:rsid w:val="0064408D"/>
    <w:rsid w:val="006440A5"/>
    <w:rsid w:val="006441F6"/>
    <w:rsid w:val="0064423E"/>
    <w:rsid w:val="0064426E"/>
    <w:rsid w:val="006443E7"/>
    <w:rsid w:val="006443F8"/>
    <w:rsid w:val="00644400"/>
    <w:rsid w:val="00644490"/>
    <w:rsid w:val="00644519"/>
    <w:rsid w:val="00644542"/>
    <w:rsid w:val="0064456A"/>
    <w:rsid w:val="00644594"/>
    <w:rsid w:val="00644604"/>
    <w:rsid w:val="006446CD"/>
    <w:rsid w:val="00644770"/>
    <w:rsid w:val="00644772"/>
    <w:rsid w:val="006447D9"/>
    <w:rsid w:val="0064497C"/>
    <w:rsid w:val="006449EC"/>
    <w:rsid w:val="00644A4D"/>
    <w:rsid w:val="00644A5A"/>
    <w:rsid w:val="00644B3D"/>
    <w:rsid w:val="00644B56"/>
    <w:rsid w:val="00644B97"/>
    <w:rsid w:val="00644CD6"/>
    <w:rsid w:val="00644D02"/>
    <w:rsid w:val="00644D75"/>
    <w:rsid w:val="00644D9D"/>
    <w:rsid w:val="00644E5A"/>
    <w:rsid w:val="00644E5E"/>
    <w:rsid w:val="00644E86"/>
    <w:rsid w:val="00644EA1"/>
    <w:rsid w:val="00644EDB"/>
    <w:rsid w:val="00644EE8"/>
    <w:rsid w:val="00644F70"/>
    <w:rsid w:val="00644FFD"/>
    <w:rsid w:val="00645029"/>
    <w:rsid w:val="00645032"/>
    <w:rsid w:val="006450BD"/>
    <w:rsid w:val="006451DE"/>
    <w:rsid w:val="006453B2"/>
    <w:rsid w:val="0064548C"/>
    <w:rsid w:val="00645582"/>
    <w:rsid w:val="00645597"/>
    <w:rsid w:val="0064565E"/>
    <w:rsid w:val="00645675"/>
    <w:rsid w:val="006456A0"/>
    <w:rsid w:val="006456B1"/>
    <w:rsid w:val="006456B2"/>
    <w:rsid w:val="006457A8"/>
    <w:rsid w:val="00645800"/>
    <w:rsid w:val="00645814"/>
    <w:rsid w:val="0064586B"/>
    <w:rsid w:val="006458E1"/>
    <w:rsid w:val="00645901"/>
    <w:rsid w:val="006459D0"/>
    <w:rsid w:val="006459F9"/>
    <w:rsid w:val="00645A0F"/>
    <w:rsid w:val="00645A43"/>
    <w:rsid w:val="00645AAF"/>
    <w:rsid w:val="00645AE1"/>
    <w:rsid w:val="00645AEF"/>
    <w:rsid w:val="00645B51"/>
    <w:rsid w:val="00645C5C"/>
    <w:rsid w:val="00645C86"/>
    <w:rsid w:val="00645CE5"/>
    <w:rsid w:val="00645DB9"/>
    <w:rsid w:val="00645E9E"/>
    <w:rsid w:val="00645F1B"/>
    <w:rsid w:val="00645F34"/>
    <w:rsid w:val="00645F41"/>
    <w:rsid w:val="00645FCB"/>
    <w:rsid w:val="0064607A"/>
    <w:rsid w:val="006460D4"/>
    <w:rsid w:val="00646117"/>
    <w:rsid w:val="0064615D"/>
    <w:rsid w:val="00646207"/>
    <w:rsid w:val="006462ED"/>
    <w:rsid w:val="0064659A"/>
    <w:rsid w:val="00646615"/>
    <w:rsid w:val="00646696"/>
    <w:rsid w:val="006466C9"/>
    <w:rsid w:val="006466E2"/>
    <w:rsid w:val="00646766"/>
    <w:rsid w:val="006467C8"/>
    <w:rsid w:val="0064682E"/>
    <w:rsid w:val="00646841"/>
    <w:rsid w:val="0064694F"/>
    <w:rsid w:val="00646A67"/>
    <w:rsid w:val="00646BA5"/>
    <w:rsid w:val="00646BB1"/>
    <w:rsid w:val="00646CCA"/>
    <w:rsid w:val="00646DEA"/>
    <w:rsid w:val="00646E6C"/>
    <w:rsid w:val="00646ED3"/>
    <w:rsid w:val="00646FAC"/>
    <w:rsid w:val="00646FB5"/>
    <w:rsid w:val="00646FF1"/>
    <w:rsid w:val="0064704F"/>
    <w:rsid w:val="00647059"/>
    <w:rsid w:val="0064707D"/>
    <w:rsid w:val="006470A6"/>
    <w:rsid w:val="00647131"/>
    <w:rsid w:val="00647134"/>
    <w:rsid w:val="00647274"/>
    <w:rsid w:val="006472D4"/>
    <w:rsid w:val="00647327"/>
    <w:rsid w:val="0064734A"/>
    <w:rsid w:val="00647374"/>
    <w:rsid w:val="006473C6"/>
    <w:rsid w:val="006473CF"/>
    <w:rsid w:val="006474B7"/>
    <w:rsid w:val="006474EC"/>
    <w:rsid w:val="00647561"/>
    <w:rsid w:val="0064761C"/>
    <w:rsid w:val="0064768B"/>
    <w:rsid w:val="006476A9"/>
    <w:rsid w:val="0064773E"/>
    <w:rsid w:val="006477AF"/>
    <w:rsid w:val="0064781F"/>
    <w:rsid w:val="006478C7"/>
    <w:rsid w:val="00647968"/>
    <w:rsid w:val="0064796E"/>
    <w:rsid w:val="006479AE"/>
    <w:rsid w:val="00647A14"/>
    <w:rsid w:val="00647AF6"/>
    <w:rsid w:val="00647BB5"/>
    <w:rsid w:val="00647BDB"/>
    <w:rsid w:val="00647C3B"/>
    <w:rsid w:val="00647CB2"/>
    <w:rsid w:val="00647CB3"/>
    <w:rsid w:val="00647CBD"/>
    <w:rsid w:val="00647D8B"/>
    <w:rsid w:val="00647DE3"/>
    <w:rsid w:val="00647DE5"/>
    <w:rsid w:val="00647E0D"/>
    <w:rsid w:val="00647EAB"/>
    <w:rsid w:val="00647EF6"/>
    <w:rsid w:val="00647F5D"/>
    <w:rsid w:val="00647F65"/>
    <w:rsid w:val="00647F68"/>
    <w:rsid w:val="0065001F"/>
    <w:rsid w:val="00650063"/>
    <w:rsid w:val="0065006C"/>
    <w:rsid w:val="006500D2"/>
    <w:rsid w:val="006501A4"/>
    <w:rsid w:val="006501C5"/>
    <w:rsid w:val="006501F1"/>
    <w:rsid w:val="00650217"/>
    <w:rsid w:val="0065025D"/>
    <w:rsid w:val="0065027E"/>
    <w:rsid w:val="006502ED"/>
    <w:rsid w:val="00650345"/>
    <w:rsid w:val="006503A7"/>
    <w:rsid w:val="006503CD"/>
    <w:rsid w:val="006503DF"/>
    <w:rsid w:val="00650454"/>
    <w:rsid w:val="00650487"/>
    <w:rsid w:val="0065051D"/>
    <w:rsid w:val="00650625"/>
    <w:rsid w:val="006506FF"/>
    <w:rsid w:val="0065078D"/>
    <w:rsid w:val="006507A5"/>
    <w:rsid w:val="006507F9"/>
    <w:rsid w:val="00650875"/>
    <w:rsid w:val="00650959"/>
    <w:rsid w:val="0065098D"/>
    <w:rsid w:val="00650A17"/>
    <w:rsid w:val="00650A8F"/>
    <w:rsid w:val="00650AA5"/>
    <w:rsid w:val="00650BA4"/>
    <w:rsid w:val="00650C2E"/>
    <w:rsid w:val="00650C5C"/>
    <w:rsid w:val="00650DF8"/>
    <w:rsid w:val="00650FB1"/>
    <w:rsid w:val="00651018"/>
    <w:rsid w:val="0065105B"/>
    <w:rsid w:val="0065108D"/>
    <w:rsid w:val="00651105"/>
    <w:rsid w:val="0065117A"/>
    <w:rsid w:val="006511D9"/>
    <w:rsid w:val="00651298"/>
    <w:rsid w:val="006512A0"/>
    <w:rsid w:val="006512A5"/>
    <w:rsid w:val="006512A9"/>
    <w:rsid w:val="006514CA"/>
    <w:rsid w:val="0065164C"/>
    <w:rsid w:val="0065167C"/>
    <w:rsid w:val="0065168E"/>
    <w:rsid w:val="00651741"/>
    <w:rsid w:val="006517A4"/>
    <w:rsid w:val="0065182A"/>
    <w:rsid w:val="006518F0"/>
    <w:rsid w:val="00651921"/>
    <w:rsid w:val="0065193B"/>
    <w:rsid w:val="0065196F"/>
    <w:rsid w:val="00651AEC"/>
    <w:rsid w:val="00651B9D"/>
    <w:rsid w:val="00651CD9"/>
    <w:rsid w:val="00651D0E"/>
    <w:rsid w:val="00651DA5"/>
    <w:rsid w:val="00651DB1"/>
    <w:rsid w:val="00651E13"/>
    <w:rsid w:val="00651EBB"/>
    <w:rsid w:val="00651F03"/>
    <w:rsid w:val="00651F17"/>
    <w:rsid w:val="00651F34"/>
    <w:rsid w:val="00651F69"/>
    <w:rsid w:val="0065204B"/>
    <w:rsid w:val="00652127"/>
    <w:rsid w:val="00652250"/>
    <w:rsid w:val="006523EB"/>
    <w:rsid w:val="006523F0"/>
    <w:rsid w:val="0065243C"/>
    <w:rsid w:val="00652471"/>
    <w:rsid w:val="00652496"/>
    <w:rsid w:val="006524E1"/>
    <w:rsid w:val="006524EC"/>
    <w:rsid w:val="006526B1"/>
    <w:rsid w:val="0065271E"/>
    <w:rsid w:val="006528FE"/>
    <w:rsid w:val="00652994"/>
    <w:rsid w:val="0065299F"/>
    <w:rsid w:val="00652A0B"/>
    <w:rsid w:val="00652B9E"/>
    <w:rsid w:val="00652BAB"/>
    <w:rsid w:val="00652C89"/>
    <w:rsid w:val="00652F6F"/>
    <w:rsid w:val="00653034"/>
    <w:rsid w:val="0065313B"/>
    <w:rsid w:val="00653197"/>
    <w:rsid w:val="006532AA"/>
    <w:rsid w:val="006532F6"/>
    <w:rsid w:val="0065330E"/>
    <w:rsid w:val="00653426"/>
    <w:rsid w:val="0065347C"/>
    <w:rsid w:val="00653517"/>
    <w:rsid w:val="00653564"/>
    <w:rsid w:val="006535D8"/>
    <w:rsid w:val="006536AE"/>
    <w:rsid w:val="00653842"/>
    <w:rsid w:val="0065392A"/>
    <w:rsid w:val="0065395F"/>
    <w:rsid w:val="0065396E"/>
    <w:rsid w:val="00653986"/>
    <w:rsid w:val="006539A4"/>
    <w:rsid w:val="006539AE"/>
    <w:rsid w:val="006539F3"/>
    <w:rsid w:val="00653A9F"/>
    <w:rsid w:val="00653AD7"/>
    <w:rsid w:val="00653B24"/>
    <w:rsid w:val="00653B2A"/>
    <w:rsid w:val="00653B4C"/>
    <w:rsid w:val="00653B8A"/>
    <w:rsid w:val="00653BDC"/>
    <w:rsid w:val="00653BE0"/>
    <w:rsid w:val="00653CF8"/>
    <w:rsid w:val="00653D54"/>
    <w:rsid w:val="00653D8E"/>
    <w:rsid w:val="00653D98"/>
    <w:rsid w:val="00653DAB"/>
    <w:rsid w:val="00653DC2"/>
    <w:rsid w:val="00653DE3"/>
    <w:rsid w:val="00653E7D"/>
    <w:rsid w:val="00653E94"/>
    <w:rsid w:val="00653EA8"/>
    <w:rsid w:val="00654095"/>
    <w:rsid w:val="00654101"/>
    <w:rsid w:val="00654193"/>
    <w:rsid w:val="0065439C"/>
    <w:rsid w:val="006543AE"/>
    <w:rsid w:val="00654486"/>
    <w:rsid w:val="006545A9"/>
    <w:rsid w:val="006545F5"/>
    <w:rsid w:val="006545F9"/>
    <w:rsid w:val="00654686"/>
    <w:rsid w:val="0065474E"/>
    <w:rsid w:val="00654752"/>
    <w:rsid w:val="00654810"/>
    <w:rsid w:val="006548C5"/>
    <w:rsid w:val="00654912"/>
    <w:rsid w:val="00654918"/>
    <w:rsid w:val="0065498E"/>
    <w:rsid w:val="006549F0"/>
    <w:rsid w:val="00654A9F"/>
    <w:rsid w:val="00654B1E"/>
    <w:rsid w:val="00654B81"/>
    <w:rsid w:val="00654C52"/>
    <w:rsid w:val="00654C68"/>
    <w:rsid w:val="00654CEC"/>
    <w:rsid w:val="00654D00"/>
    <w:rsid w:val="00654D5C"/>
    <w:rsid w:val="00654E4E"/>
    <w:rsid w:val="00654EAF"/>
    <w:rsid w:val="00654EE0"/>
    <w:rsid w:val="00654FBD"/>
    <w:rsid w:val="00654FC7"/>
    <w:rsid w:val="0065502F"/>
    <w:rsid w:val="00655051"/>
    <w:rsid w:val="00655099"/>
    <w:rsid w:val="0065519F"/>
    <w:rsid w:val="006551B1"/>
    <w:rsid w:val="00655220"/>
    <w:rsid w:val="00655223"/>
    <w:rsid w:val="0065523D"/>
    <w:rsid w:val="00655296"/>
    <w:rsid w:val="006552B2"/>
    <w:rsid w:val="006554C9"/>
    <w:rsid w:val="0065551C"/>
    <w:rsid w:val="00655566"/>
    <w:rsid w:val="006555BF"/>
    <w:rsid w:val="006555EC"/>
    <w:rsid w:val="006556EB"/>
    <w:rsid w:val="006557AF"/>
    <w:rsid w:val="006557C0"/>
    <w:rsid w:val="006557E5"/>
    <w:rsid w:val="0065589B"/>
    <w:rsid w:val="00655920"/>
    <w:rsid w:val="00655A13"/>
    <w:rsid w:val="00655A4F"/>
    <w:rsid w:val="00655AA2"/>
    <w:rsid w:val="00655AB1"/>
    <w:rsid w:val="00655B27"/>
    <w:rsid w:val="00655D77"/>
    <w:rsid w:val="00655EBF"/>
    <w:rsid w:val="00655F0B"/>
    <w:rsid w:val="00655F12"/>
    <w:rsid w:val="00656017"/>
    <w:rsid w:val="0065602E"/>
    <w:rsid w:val="00656059"/>
    <w:rsid w:val="0065605F"/>
    <w:rsid w:val="00656096"/>
    <w:rsid w:val="006560A9"/>
    <w:rsid w:val="00656123"/>
    <w:rsid w:val="00656127"/>
    <w:rsid w:val="0065618B"/>
    <w:rsid w:val="006561A0"/>
    <w:rsid w:val="006562CC"/>
    <w:rsid w:val="006562D4"/>
    <w:rsid w:val="006563D1"/>
    <w:rsid w:val="006563DF"/>
    <w:rsid w:val="00656457"/>
    <w:rsid w:val="00656545"/>
    <w:rsid w:val="00656597"/>
    <w:rsid w:val="006565B7"/>
    <w:rsid w:val="006565C1"/>
    <w:rsid w:val="006566A7"/>
    <w:rsid w:val="006566DB"/>
    <w:rsid w:val="0065672B"/>
    <w:rsid w:val="0065673F"/>
    <w:rsid w:val="0065688E"/>
    <w:rsid w:val="00656891"/>
    <w:rsid w:val="006568A9"/>
    <w:rsid w:val="006568AB"/>
    <w:rsid w:val="006568CA"/>
    <w:rsid w:val="00656A4D"/>
    <w:rsid w:val="00656B54"/>
    <w:rsid w:val="00656B91"/>
    <w:rsid w:val="00656BEF"/>
    <w:rsid w:val="00656C2F"/>
    <w:rsid w:val="00656C39"/>
    <w:rsid w:val="00656CE5"/>
    <w:rsid w:val="00656DBE"/>
    <w:rsid w:val="00656EB9"/>
    <w:rsid w:val="00656ECD"/>
    <w:rsid w:val="00656EDD"/>
    <w:rsid w:val="00656F1D"/>
    <w:rsid w:val="00656F4C"/>
    <w:rsid w:val="00656F53"/>
    <w:rsid w:val="00656FA3"/>
    <w:rsid w:val="00657003"/>
    <w:rsid w:val="0065706C"/>
    <w:rsid w:val="006570D8"/>
    <w:rsid w:val="0065716A"/>
    <w:rsid w:val="00657179"/>
    <w:rsid w:val="0065718D"/>
    <w:rsid w:val="00657226"/>
    <w:rsid w:val="006573A1"/>
    <w:rsid w:val="00657481"/>
    <w:rsid w:val="006574F1"/>
    <w:rsid w:val="00657528"/>
    <w:rsid w:val="0065756D"/>
    <w:rsid w:val="006576B1"/>
    <w:rsid w:val="0065771D"/>
    <w:rsid w:val="006577B4"/>
    <w:rsid w:val="006577C9"/>
    <w:rsid w:val="00657818"/>
    <w:rsid w:val="006578F8"/>
    <w:rsid w:val="00657905"/>
    <w:rsid w:val="00657A28"/>
    <w:rsid w:val="00657AAF"/>
    <w:rsid w:val="00657AD0"/>
    <w:rsid w:val="00657AF6"/>
    <w:rsid w:val="00657C12"/>
    <w:rsid w:val="00657DE6"/>
    <w:rsid w:val="00657E1B"/>
    <w:rsid w:val="00657E8F"/>
    <w:rsid w:val="00657F4D"/>
    <w:rsid w:val="00657F56"/>
    <w:rsid w:val="00657FB3"/>
    <w:rsid w:val="00657FDE"/>
    <w:rsid w:val="00660054"/>
    <w:rsid w:val="0066005A"/>
    <w:rsid w:val="00660064"/>
    <w:rsid w:val="006600AA"/>
    <w:rsid w:val="006600F8"/>
    <w:rsid w:val="00660148"/>
    <w:rsid w:val="006601AC"/>
    <w:rsid w:val="006602D6"/>
    <w:rsid w:val="006602F8"/>
    <w:rsid w:val="006602FF"/>
    <w:rsid w:val="0066030B"/>
    <w:rsid w:val="00660311"/>
    <w:rsid w:val="00660373"/>
    <w:rsid w:val="00660388"/>
    <w:rsid w:val="006603D8"/>
    <w:rsid w:val="00660411"/>
    <w:rsid w:val="0066043F"/>
    <w:rsid w:val="00660467"/>
    <w:rsid w:val="006604FE"/>
    <w:rsid w:val="0066057E"/>
    <w:rsid w:val="00660598"/>
    <w:rsid w:val="006605C5"/>
    <w:rsid w:val="00660615"/>
    <w:rsid w:val="0066072D"/>
    <w:rsid w:val="00660833"/>
    <w:rsid w:val="00660842"/>
    <w:rsid w:val="00660869"/>
    <w:rsid w:val="00660A0F"/>
    <w:rsid w:val="00660A29"/>
    <w:rsid w:val="00660A5F"/>
    <w:rsid w:val="00660AE3"/>
    <w:rsid w:val="00660B41"/>
    <w:rsid w:val="00660BD3"/>
    <w:rsid w:val="00660BD8"/>
    <w:rsid w:val="00660C02"/>
    <w:rsid w:val="00660C23"/>
    <w:rsid w:val="00660C6F"/>
    <w:rsid w:val="00660CBE"/>
    <w:rsid w:val="00660CC7"/>
    <w:rsid w:val="00660CD9"/>
    <w:rsid w:val="00660CF4"/>
    <w:rsid w:val="00660D94"/>
    <w:rsid w:val="00660DB8"/>
    <w:rsid w:val="00660E48"/>
    <w:rsid w:val="00660F47"/>
    <w:rsid w:val="00660F5E"/>
    <w:rsid w:val="0066103C"/>
    <w:rsid w:val="00661057"/>
    <w:rsid w:val="0066119C"/>
    <w:rsid w:val="0066121A"/>
    <w:rsid w:val="0066123C"/>
    <w:rsid w:val="00661318"/>
    <w:rsid w:val="0066131A"/>
    <w:rsid w:val="0066131F"/>
    <w:rsid w:val="0066132C"/>
    <w:rsid w:val="006613EB"/>
    <w:rsid w:val="006614CF"/>
    <w:rsid w:val="006614EF"/>
    <w:rsid w:val="006615DE"/>
    <w:rsid w:val="00661606"/>
    <w:rsid w:val="00661659"/>
    <w:rsid w:val="006616C1"/>
    <w:rsid w:val="006616E2"/>
    <w:rsid w:val="006617BE"/>
    <w:rsid w:val="006618A6"/>
    <w:rsid w:val="00661917"/>
    <w:rsid w:val="0066193B"/>
    <w:rsid w:val="00661970"/>
    <w:rsid w:val="00661A0D"/>
    <w:rsid w:val="00661A9B"/>
    <w:rsid w:val="00661ABD"/>
    <w:rsid w:val="00661AE9"/>
    <w:rsid w:val="00661B09"/>
    <w:rsid w:val="00661C09"/>
    <w:rsid w:val="00661C0B"/>
    <w:rsid w:val="00661DB5"/>
    <w:rsid w:val="00661EB1"/>
    <w:rsid w:val="00661EB6"/>
    <w:rsid w:val="00661FD3"/>
    <w:rsid w:val="0066208E"/>
    <w:rsid w:val="006620D9"/>
    <w:rsid w:val="00662118"/>
    <w:rsid w:val="00662148"/>
    <w:rsid w:val="0066219A"/>
    <w:rsid w:val="00662250"/>
    <w:rsid w:val="006622F1"/>
    <w:rsid w:val="00662318"/>
    <w:rsid w:val="0066231B"/>
    <w:rsid w:val="0066231F"/>
    <w:rsid w:val="0066238D"/>
    <w:rsid w:val="0066240D"/>
    <w:rsid w:val="00662456"/>
    <w:rsid w:val="0066247A"/>
    <w:rsid w:val="00662487"/>
    <w:rsid w:val="00662551"/>
    <w:rsid w:val="006625C8"/>
    <w:rsid w:val="00662679"/>
    <w:rsid w:val="006626E2"/>
    <w:rsid w:val="00662784"/>
    <w:rsid w:val="0066286D"/>
    <w:rsid w:val="0066288B"/>
    <w:rsid w:val="00662904"/>
    <w:rsid w:val="0066290B"/>
    <w:rsid w:val="0066295F"/>
    <w:rsid w:val="0066296C"/>
    <w:rsid w:val="00662975"/>
    <w:rsid w:val="00662A28"/>
    <w:rsid w:val="00662ABF"/>
    <w:rsid w:val="00662B12"/>
    <w:rsid w:val="00662B47"/>
    <w:rsid w:val="00662B4C"/>
    <w:rsid w:val="00662BD1"/>
    <w:rsid w:val="00662BFB"/>
    <w:rsid w:val="00662C7B"/>
    <w:rsid w:val="00662CA8"/>
    <w:rsid w:val="00662CEA"/>
    <w:rsid w:val="00662DDE"/>
    <w:rsid w:val="00662E26"/>
    <w:rsid w:val="00662E4C"/>
    <w:rsid w:val="00662EA1"/>
    <w:rsid w:val="00662F13"/>
    <w:rsid w:val="00662F27"/>
    <w:rsid w:val="00662F4B"/>
    <w:rsid w:val="00662FC9"/>
    <w:rsid w:val="00663082"/>
    <w:rsid w:val="0066309B"/>
    <w:rsid w:val="00663113"/>
    <w:rsid w:val="00663121"/>
    <w:rsid w:val="0066318F"/>
    <w:rsid w:val="006631AB"/>
    <w:rsid w:val="006631F6"/>
    <w:rsid w:val="00663351"/>
    <w:rsid w:val="00663383"/>
    <w:rsid w:val="006634EC"/>
    <w:rsid w:val="006635C1"/>
    <w:rsid w:val="006635D6"/>
    <w:rsid w:val="00663671"/>
    <w:rsid w:val="0066367D"/>
    <w:rsid w:val="00663696"/>
    <w:rsid w:val="0066369E"/>
    <w:rsid w:val="006636E1"/>
    <w:rsid w:val="006637E1"/>
    <w:rsid w:val="00663908"/>
    <w:rsid w:val="0066390D"/>
    <w:rsid w:val="00663A07"/>
    <w:rsid w:val="00663A87"/>
    <w:rsid w:val="00663B3C"/>
    <w:rsid w:val="00663C05"/>
    <w:rsid w:val="00663C65"/>
    <w:rsid w:val="00663C9B"/>
    <w:rsid w:val="00663E21"/>
    <w:rsid w:val="00663EBF"/>
    <w:rsid w:val="00663EC2"/>
    <w:rsid w:val="00663F3B"/>
    <w:rsid w:val="00663FDA"/>
    <w:rsid w:val="00664009"/>
    <w:rsid w:val="0066404E"/>
    <w:rsid w:val="00664059"/>
    <w:rsid w:val="00664080"/>
    <w:rsid w:val="006640AE"/>
    <w:rsid w:val="006640CB"/>
    <w:rsid w:val="006640CC"/>
    <w:rsid w:val="006640F2"/>
    <w:rsid w:val="00664206"/>
    <w:rsid w:val="0066437F"/>
    <w:rsid w:val="006644B5"/>
    <w:rsid w:val="006644E1"/>
    <w:rsid w:val="006644F5"/>
    <w:rsid w:val="0066457A"/>
    <w:rsid w:val="006645C3"/>
    <w:rsid w:val="006645FC"/>
    <w:rsid w:val="006646C1"/>
    <w:rsid w:val="006647BF"/>
    <w:rsid w:val="00664805"/>
    <w:rsid w:val="00664839"/>
    <w:rsid w:val="00664893"/>
    <w:rsid w:val="00664975"/>
    <w:rsid w:val="00664A5C"/>
    <w:rsid w:val="00664B13"/>
    <w:rsid w:val="00664B2F"/>
    <w:rsid w:val="00664C4B"/>
    <w:rsid w:val="00664CA3"/>
    <w:rsid w:val="00664E81"/>
    <w:rsid w:val="00664F17"/>
    <w:rsid w:val="00665082"/>
    <w:rsid w:val="006650A5"/>
    <w:rsid w:val="006650B1"/>
    <w:rsid w:val="0066525B"/>
    <w:rsid w:val="0066529E"/>
    <w:rsid w:val="006652E0"/>
    <w:rsid w:val="00665374"/>
    <w:rsid w:val="006653A6"/>
    <w:rsid w:val="006653D2"/>
    <w:rsid w:val="0066554C"/>
    <w:rsid w:val="00665561"/>
    <w:rsid w:val="00665590"/>
    <w:rsid w:val="006655B6"/>
    <w:rsid w:val="006655E8"/>
    <w:rsid w:val="00665656"/>
    <w:rsid w:val="0066567E"/>
    <w:rsid w:val="00665682"/>
    <w:rsid w:val="00665749"/>
    <w:rsid w:val="00665770"/>
    <w:rsid w:val="006657AC"/>
    <w:rsid w:val="0066587F"/>
    <w:rsid w:val="00665924"/>
    <w:rsid w:val="00665941"/>
    <w:rsid w:val="0066599A"/>
    <w:rsid w:val="00665B04"/>
    <w:rsid w:val="00665B50"/>
    <w:rsid w:val="00665B65"/>
    <w:rsid w:val="00665B9F"/>
    <w:rsid w:val="00665BB4"/>
    <w:rsid w:val="00665BFC"/>
    <w:rsid w:val="00665C0F"/>
    <w:rsid w:val="00665C1D"/>
    <w:rsid w:val="00665C34"/>
    <w:rsid w:val="00665CD2"/>
    <w:rsid w:val="00665CE3"/>
    <w:rsid w:val="00665D1B"/>
    <w:rsid w:val="00665E09"/>
    <w:rsid w:val="00665F63"/>
    <w:rsid w:val="00665F7D"/>
    <w:rsid w:val="00665F8D"/>
    <w:rsid w:val="00665F91"/>
    <w:rsid w:val="00665FAA"/>
    <w:rsid w:val="00665FC9"/>
    <w:rsid w:val="00666039"/>
    <w:rsid w:val="006660D5"/>
    <w:rsid w:val="00666104"/>
    <w:rsid w:val="0066615F"/>
    <w:rsid w:val="00666237"/>
    <w:rsid w:val="006662CB"/>
    <w:rsid w:val="00666360"/>
    <w:rsid w:val="00666371"/>
    <w:rsid w:val="00666392"/>
    <w:rsid w:val="006663E4"/>
    <w:rsid w:val="00666458"/>
    <w:rsid w:val="006664AF"/>
    <w:rsid w:val="00666549"/>
    <w:rsid w:val="006665B6"/>
    <w:rsid w:val="006665F7"/>
    <w:rsid w:val="0066668D"/>
    <w:rsid w:val="006666BB"/>
    <w:rsid w:val="006666DA"/>
    <w:rsid w:val="006666FA"/>
    <w:rsid w:val="00666763"/>
    <w:rsid w:val="006667E1"/>
    <w:rsid w:val="00666882"/>
    <w:rsid w:val="006668CE"/>
    <w:rsid w:val="00666956"/>
    <w:rsid w:val="00666A56"/>
    <w:rsid w:val="00666AEF"/>
    <w:rsid w:val="00666B39"/>
    <w:rsid w:val="00666CDB"/>
    <w:rsid w:val="00666DBE"/>
    <w:rsid w:val="00666E03"/>
    <w:rsid w:val="00666E86"/>
    <w:rsid w:val="00666ED5"/>
    <w:rsid w:val="00666EED"/>
    <w:rsid w:val="00666F56"/>
    <w:rsid w:val="00666FC2"/>
    <w:rsid w:val="00666FCC"/>
    <w:rsid w:val="00666FFF"/>
    <w:rsid w:val="0066700E"/>
    <w:rsid w:val="00667150"/>
    <w:rsid w:val="00667158"/>
    <w:rsid w:val="00667160"/>
    <w:rsid w:val="006671CE"/>
    <w:rsid w:val="006671D5"/>
    <w:rsid w:val="006671EB"/>
    <w:rsid w:val="006672BF"/>
    <w:rsid w:val="00667438"/>
    <w:rsid w:val="0066743A"/>
    <w:rsid w:val="006674D1"/>
    <w:rsid w:val="006675DA"/>
    <w:rsid w:val="00667601"/>
    <w:rsid w:val="006676B2"/>
    <w:rsid w:val="0066777A"/>
    <w:rsid w:val="006677AC"/>
    <w:rsid w:val="006677AE"/>
    <w:rsid w:val="006678A5"/>
    <w:rsid w:val="00667941"/>
    <w:rsid w:val="006679A0"/>
    <w:rsid w:val="00667A42"/>
    <w:rsid w:val="00667A47"/>
    <w:rsid w:val="00667AA0"/>
    <w:rsid w:val="00667AF2"/>
    <w:rsid w:val="00667B29"/>
    <w:rsid w:val="00667B75"/>
    <w:rsid w:val="00667C2E"/>
    <w:rsid w:val="00667C6F"/>
    <w:rsid w:val="00667C76"/>
    <w:rsid w:val="00667CD0"/>
    <w:rsid w:val="00667CE9"/>
    <w:rsid w:val="00667D2B"/>
    <w:rsid w:val="00667E54"/>
    <w:rsid w:val="00667F1E"/>
    <w:rsid w:val="00667F34"/>
    <w:rsid w:val="0067002A"/>
    <w:rsid w:val="00670036"/>
    <w:rsid w:val="006700D4"/>
    <w:rsid w:val="0067011A"/>
    <w:rsid w:val="006702BE"/>
    <w:rsid w:val="00670317"/>
    <w:rsid w:val="00670343"/>
    <w:rsid w:val="006703E8"/>
    <w:rsid w:val="00670426"/>
    <w:rsid w:val="006704EB"/>
    <w:rsid w:val="006704EC"/>
    <w:rsid w:val="006704FF"/>
    <w:rsid w:val="00670520"/>
    <w:rsid w:val="0067053E"/>
    <w:rsid w:val="00670560"/>
    <w:rsid w:val="006705A3"/>
    <w:rsid w:val="006705B5"/>
    <w:rsid w:val="006705C3"/>
    <w:rsid w:val="0067060C"/>
    <w:rsid w:val="00670678"/>
    <w:rsid w:val="006706AF"/>
    <w:rsid w:val="006707A3"/>
    <w:rsid w:val="006707A8"/>
    <w:rsid w:val="006707D9"/>
    <w:rsid w:val="00670818"/>
    <w:rsid w:val="00670820"/>
    <w:rsid w:val="00670934"/>
    <w:rsid w:val="006709C9"/>
    <w:rsid w:val="00670A8C"/>
    <w:rsid w:val="00670B19"/>
    <w:rsid w:val="00670B70"/>
    <w:rsid w:val="00670BAE"/>
    <w:rsid w:val="00670BE9"/>
    <w:rsid w:val="00670BED"/>
    <w:rsid w:val="00670C00"/>
    <w:rsid w:val="00670C12"/>
    <w:rsid w:val="00670C80"/>
    <w:rsid w:val="00670D7E"/>
    <w:rsid w:val="00670DE6"/>
    <w:rsid w:val="00670E4E"/>
    <w:rsid w:val="00670F2F"/>
    <w:rsid w:val="00670FB5"/>
    <w:rsid w:val="006710F8"/>
    <w:rsid w:val="0067122F"/>
    <w:rsid w:val="006712DD"/>
    <w:rsid w:val="00671322"/>
    <w:rsid w:val="006713C7"/>
    <w:rsid w:val="006714D9"/>
    <w:rsid w:val="00671547"/>
    <w:rsid w:val="006715DB"/>
    <w:rsid w:val="006715EF"/>
    <w:rsid w:val="006715FC"/>
    <w:rsid w:val="00671728"/>
    <w:rsid w:val="0067176F"/>
    <w:rsid w:val="0067184A"/>
    <w:rsid w:val="00671925"/>
    <w:rsid w:val="0067198B"/>
    <w:rsid w:val="00671A87"/>
    <w:rsid w:val="00671B72"/>
    <w:rsid w:val="00671B8A"/>
    <w:rsid w:val="00671BB3"/>
    <w:rsid w:val="00671DF6"/>
    <w:rsid w:val="00671E4D"/>
    <w:rsid w:val="00671E78"/>
    <w:rsid w:val="00671EA9"/>
    <w:rsid w:val="00671EE4"/>
    <w:rsid w:val="00672085"/>
    <w:rsid w:val="00672145"/>
    <w:rsid w:val="0067226E"/>
    <w:rsid w:val="00672289"/>
    <w:rsid w:val="00672308"/>
    <w:rsid w:val="0067231B"/>
    <w:rsid w:val="00672389"/>
    <w:rsid w:val="0067239B"/>
    <w:rsid w:val="006723CA"/>
    <w:rsid w:val="00672435"/>
    <w:rsid w:val="006724CF"/>
    <w:rsid w:val="00672510"/>
    <w:rsid w:val="0067252F"/>
    <w:rsid w:val="006725CF"/>
    <w:rsid w:val="00672638"/>
    <w:rsid w:val="006726A3"/>
    <w:rsid w:val="0067270F"/>
    <w:rsid w:val="006727AB"/>
    <w:rsid w:val="006728B3"/>
    <w:rsid w:val="00672933"/>
    <w:rsid w:val="0067296F"/>
    <w:rsid w:val="00672976"/>
    <w:rsid w:val="0067298F"/>
    <w:rsid w:val="006729A2"/>
    <w:rsid w:val="00672A13"/>
    <w:rsid w:val="00672AD1"/>
    <w:rsid w:val="00672B8E"/>
    <w:rsid w:val="00672BB5"/>
    <w:rsid w:val="00672C7D"/>
    <w:rsid w:val="00672D4E"/>
    <w:rsid w:val="00672DB5"/>
    <w:rsid w:val="00672DE1"/>
    <w:rsid w:val="00672E05"/>
    <w:rsid w:val="00672E26"/>
    <w:rsid w:val="00672EC1"/>
    <w:rsid w:val="00672F0A"/>
    <w:rsid w:val="00672F0B"/>
    <w:rsid w:val="00672F2A"/>
    <w:rsid w:val="00672F8D"/>
    <w:rsid w:val="00672FD2"/>
    <w:rsid w:val="00673014"/>
    <w:rsid w:val="006730D7"/>
    <w:rsid w:val="00673143"/>
    <w:rsid w:val="0067319F"/>
    <w:rsid w:val="006731E1"/>
    <w:rsid w:val="006732C4"/>
    <w:rsid w:val="0067332E"/>
    <w:rsid w:val="006733CD"/>
    <w:rsid w:val="006733E4"/>
    <w:rsid w:val="00673435"/>
    <w:rsid w:val="00673454"/>
    <w:rsid w:val="0067346A"/>
    <w:rsid w:val="00673477"/>
    <w:rsid w:val="00673564"/>
    <w:rsid w:val="00673656"/>
    <w:rsid w:val="006736F1"/>
    <w:rsid w:val="0067385C"/>
    <w:rsid w:val="0067387C"/>
    <w:rsid w:val="00673906"/>
    <w:rsid w:val="00673949"/>
    <w:rsid w:val="006739B3"/>
    <w:rsid w:val="006739E6"/>
    <w:rsid w:val="00673B00"/>
    <w:rsid w:val="00673D43"/>
    <w:rsid w:val="00673E92"/>
    <w:rsid w:val="00673F2D"/>
    <w:rsid w:val="00674078"/>
    <w:rsid w:val="0067408A"/>
    <w:rsid w:val="00674156"/>
    <w:rsid w:val="0067415C"/>
    <w:rsid w:val="00674213"/>
    <w:rsid w:val="0067423C"/>
    <w:rsid w:val="00674273"/>
    <w:rsid w:val="0067431F"/>
    <w:rsid w:val="006743B5"/>
    <w:rsid w:val="006743C6"/>
    <w:rsid w:val="00674442"/>
    <w:rsid w:val="0067445F"/>
    <w:rsid w:val="006744A6"/>
    <w:rsid w:val="00674502"/>
    <w:rsid w:val="00674518"/>
    <w:rsid w:val="0067451B"/>
    <w:rsid w:val="00674523"/>
    <w:rsid w:val="006745EA"/>
    <w:rsid w:val="0067467E"/>
    <w:rsid w:val="00674738"/>
    <w:rsid w:val="00674743"/>
    <w:rsid w:val="0067478B"/>
    <w:rsid w:val="006747C6"/>
    <w:rsid w:val="00674822"/>
    <w:rsid w:val="006748BB"/>
    <w:rsid w:val="006748DE"/>
    <w:rsid w:val="00674910"/>
    <w:rsid w:val="00674933"/>
    <w:rsid w:val="0067493C"/>
    <w:rsid w:val="0067495E"/>
    <w:rsid w:val="0067497E"/>
    <w:rsid w:val="00674980"/>
    <w:rsid w:val="006749B2"/>
    <w:rsid w:val="006749C3"/>
    <w:rsid w:val="00674A00"/>
    <w:rsid w:val="00674A42"/>
    <w:rsid w:val="00674A72"/>
    <w:rsid w:val="00674B5F"/>
    <w:rsid w:val="00674B87"/>
    <w:rsid w:val="00674C4D"/>
    <w:rsid w:val="00674C58"/>
    <w:rsid w:val="00674C77"/>
    <w:rsid w:val="00674C9C"/>
    <w:rsid w:val="00674CC3"/>
    <w:rsid w:val="00674D84"/>
    <w:rsid w:val="00674D8D"/>
    <w:rsid w:val="00674D9D"/>
    <w:rsid w:val="00674DF1"/>
    <w:rsid w:val="00674DFC"/>
    <w:rsid w:val="00674E71"/>
    <w:rsid w:val="00674EEC"/>
    <w:rsid w:val="00674F3F"/>
    <w:rsid w:val="0067513D"/>
    <w:rsid w:val="00675168"/>
    <w:rsid w:val="00675194"/>
    <w:rsid w:val="006751E3"/>
    <w:rsid w:val="00675275"/>
    <w:rsid w:val="006752BC"/>
    <w:rsid w:val="00675312"/>
    <w:rsid w:val="00675373"/>
    <w:rsid w:val="00675392"/>
    <w:rsid w:val="006753E8"/>
    <w:rsid w:val="006753EB"/>
    <w:rsid w:val="00675428"/>
    <w:rsid w:val="00675442"/>
    <w:rsid w:val="00675454"/>
    <w:rsid w:val="00675516"/>
    <w:rsid w:val="00675567"/>
    <w:rsid w:val="00675572"/>
    <w:rsid w:val="0067557D"/>
    <w:rsid w:val="006755F9"/>
    <w:rsid w:val="00675611"/>
    <w:rsid w:val="00675621"/>
    <w:rsid w:val="0067565F"/>
    <w:rsid w:val="0067568B"/>
    <w:rsid w:val="006756A6"/>
    <w:rsid w:val="006756C6"/>
    <w:rsid w:val="00675773"/>
    <w:rsid w:val="00675809"/>
    <w:rsid w:val="00675921"/>
    <w:rsid w:val="00675986"/>
    <w:rsid w:val="006759A2"/>
    <w:rsid w:val="006759D0"/>
    <w:rsid w:val="00675A5C"/>
    <w:rsid w:val="00675ADD"/>
    <w:rsid w:val="00675B77"/>
    <w:rsid w:val="00675BEC"/>
    <w:rsid w:val="00675C16"/>
    <w:rsid w:val="00675C7D"/>
    <w:rsid w:val="00675CA7"/>
    <w:rsid w:val="00675CFF"/>
    <w:rsid w:val="00675D08"/>
    <w:rsid w:val="00675D79"/>
    <w:rsid w:val="00675D86"/>
    <w:rsid w:val="00675D87"/>
    <w:rsid w:val="00675DE7"/>
    <w:rsid w:val="00675DF3"/>
    <w:rsid w:val="00675E3B"/>
    <w:rsid w:val="00675E7B"/>
    <w:rsid w:val="00675F07"/>
    <w:rsid w:val="00675F69"/>
    <w:rsid w:val="00675F6C"/>
    <w:rsid w:val="00675FF2"/>
    <w:rsid w:val="00676014"/>
    <w:rsid w:val="00676039"/>
    <w:rsid w:val="0067606D"/>
    <w:rsid w:val="006760C0"/>
    <w:rsid w:val="006760F0"/>
    <w:rsid w:val="0067622A"/>
    <w:rsid w:val="00676246"/>
    <w:rsid w:val="006762D5"/>
    <w:rsid w:val="00676313"/>
    <w:rsid w:val="00676382"/>
    <w:rsid w:val="00676384"/>
    <w:rsid w:val="00676469"/>
    <w:rsid w:val="00676483"/>
    <w:rsid w:val="00676496"/>
    <w:rsid w:val="006764E2"/>
    <w:rsid w:val="00676592"/>
    <w:rsid w:val="006765AE"/>
    <w:rsid w:val="006765D1"/>
    <w:rsid w:val="00676620"/>
    <w:rsid w:val="0067662F"/>
    <w:rsid w:val="0067672A"/>
    <w:rsid w:val="006767B1"/>
    <w:rsid w:val="00676843"/>
    <w:rsid w:val="0067688C"/>
    <w:rsid w:val="006768D5"/>
    <w:rsid w:val="006768FB"/>
    <w:rsid w:val="0067692A"/>
    <w:rsid w:val="00676933"/>
    <w:rsid w:val="00676A3E"/>
    <w:rsid w:val="00676CDD"/>
    <w:rsid w:val="00676D5F"/>
    <w:rsid w:val="00676D6E"/>
    <w:rsid w:val="00676D9A"/>
    <w:rsid w:val="00676D9E"/>
    <w:rsid w:val="00676DB4"/>
    <w:rsid w:val="00676DD2"/>
    <w:rsid w:val="00676E9F"/>
    <w:rsid w:val="00676EA9"/>
    <w:rsid w:val="00676EB9"/>
    <w:rsid w:val="00676EF4"/>
    <w:rsid w:val="00676F3A"/>
    <w:rsid w:val="00676FA7"/>
    <w:rsid w:val="00676FF6"/>
    <w:rsid w:val="0067720C"/>
    <w:rsid w:val="006772ED"/>
    <w:rsid w:val="00677355"/>
    <w:rsid w:val="00677385"/>
    <w:rsid w:val="006773D1"/>
    <w:rsid w:val="0067742B"/>
    <w:rsid w:val="00677476"/>
    <w:rsid w:val="00677509"/>
    <w:rsid w:val="0067760E"/>
    <w:rsid w:val="00677674"/>
    <w:rsid w:val="006776DF"/>
    <w:rsid w:val="006776F2"/>
    <w:rsid w:val="00677705"/>
    <w:rsid w:val="0067770A"/>
    <w:rsid w:val="006777AD"/>
    <w:rsid w:val="006778B4"/>
    <w:rsid w:val="00677927"/>
    <w:rsid w:val="00677948"/>
    <w:rsid w:val="00677A5A"/>
    <w:rsid w:val="00677AC1"/>
    <w:rsid w:val="00677ACB"/>
    <w:rsid w:val="00677AD2"/>
    <w:rsid w:val="00677B62"/>
    <w:rsid w:val="00677CFB"/>
    <w:rsid w:val="00677D2B"/>
    <w:rsid w:val="00677D93"/>
    <w:rsid w:val="00677EC3"/>
    <w:rsid w:val="00677F3B"/>
    <w:rsid w:val="00677F64"/>
    <w:rsid w:val="00677F92"/>
    <w:rsid w:val="00680036"/>
    <w:rsid w:val="00680069"/>
    <w:rsid w:val="00680117"/>
    <w:rsid w:val="0068018B"/>
    <w:rsid w:val="006801D6"/>
    <w:rsid w:val="0068027B"/>
    <w:rsid w:val="006802B1"/>
    <w:rsid w:val="006802C7"/>
    <w:rsid w:val="006802F3"/>
    <w:rsid w:val="00680310"/>
    <w:rsid w:val="00680349"/>
    <w:rsid w:val="00680356"/>
    <w:rsid w:val="006803D9"/>
    <w:rsid w:val="006803DC"/>
    <w:rsid w:val="006803FE"/>
    <w:rsid w:val="00680454"/>
    <w:rsid w:val="006804F4"/>
    <w:rsid w:val="00680609"/>
    <w:rsid w:val="00680673"/>
    <w:rsid w:val="00680788"/>
    <w:rsid w:val="00680896"/>
    <w:rsid w:val="006808EE"/>
    <w:rsid w:val="006808F0"/>
    <w:rsid w:val="00680918"/>
    <w:rsid w:val="00680977"/>
    <w:rsid w:val="00680988"/>
    <w:rsid w:val="00680A84"/>
    <w:rsid w:val="00680ADE"/>
    <w:rsid w:val="00680B79"/>
    <w:rsid w:val="00680BDA"/>
    <w:rsid w:val="00680C2E"/>
    <w:rsid w:val="00680C96"/>
    <w:rsid w:val="00680D61"/>
    <w:rsid w:val="00680D7E"/>
    <w:rsid w:val="00680EED"/>
    <w:rsid w:val="00680EFF"/>
    <w:rsid w:val="00680F2F"/>
    <w:rsid w:val="00680FF6"/>
    <w:rsid w:val="00681064"/>
    <w:rsid w:val="0068108F"/>
    <w:rsid w:val="006810FE"/>
    <w:rsid w:val="0068111F"/>
    <w:rsid w:val="0068112B"/>
    <w:rsid w:val="00681164"/>
    <w:rsid w:val="00681200"/>
    <w:rsid w:val="00681201"/>
    <w:rsid w:val="006812B2"/>
    <w:rsid w:val="00681335"/>
    <w:rsid w:val="0068134A"/>
    <w:rsid w:val="00681351"/>
    <w:rsid w:val="00681360"/>
    <w:rsid w:val="006813AD"/>
    <w:rsid w:val="0068140A"/>
    <w:rsid w:val="00681444"/>
    <w:rsid w:val="0068156D"/>
    <w:rsid w:val="0068166A"/>
    <w:rsid w:val="0068167C"/>
    <w:rsid w:val="006816A8"/>
    <w:rsid w:val="006816CF"/>
    <w:rsid w:val="006817ED"/>
    <w:rsid w:val="006818F8"/>
    <w:rsid w:val="00681956"/>
    <w:rsid w:val="0068197D"/>
    <w:rsid w:val="00681ADB"/>
    <w:rsid w:val="00681ADD"/>
    <w:rsid w:val="00681C28"/>
    <w:rsid w:val="00681C3B"/>
    <w:rsid w:val="00681D7B"/>
    <w:rsid w:val="00681E66"/>
    <w:rsid w:val="00681EB7"/>
    <w:rsid w:val="00681F83"/>
    <w:rsid w:val="00681FC5"/>
    <w:rsid w:val="00681FDF"/>
    <w:rsid w:val="00681FEB"/>
    <w:rsid w:val="00682141"/>
    <w:rsid w:val="00682144"/>
    <w:rsid w:val="006821C0"/>
    <w:rsid w:val="006821E2"/>
    <w:rsid w:val="0068221E"/>
    <w:rsid w:val="0068224B"/>
    <w:rsid w:val="00682269"/>
    <w:rsid w:val="0068226B"/>
    <w:rsid w:val="0068228B"/>
    <w:rsid w:val="00682290"/>
    <w:rsid w:val="00682304"/>
    <w:rsid w:val="00682328"/>
    <w:rsid w:val="0068234C"/>
    <w:rsid w:val="00682412"/>
    <w:rsid w:val="0068250F"/>
    <w:rsid w:val="00682520"/>
    <w:rsid w:val="006825D7"/>
    <w:rsid w:val="006826A1"/>
    <w:rsid w:val="006826AC"/>
    <w:rsid w:val="006826C9"/>
    <w:rsid w:val="006826FE"/>
    <w:rsid w:val="00682737"/>
    <w:rsid w:val="00682758"/>
    <w:rsid w:val="0068277B"/>
    <w:rsid w:val="00682792"/>
    <w:rsid w:val="006829B8"/>
    <w:rsid w:val="006829D1"/>
    <w:rsid w:val="00682A4D"/>
    <w:rsid w:val="00682A84"/>
    <w:rsid w:val="00682AC0"/>
    <w:rsid w:val="00682AC1"/>
    <w:rsid w:val="00682AC7"/>
    <w:rsid w:val="00682B3B"/>
    <w:rsid w:val="00682BA8"/>
    <w:rsid w:val="00682BCD"/>
    <w:rsid w:val="00682BE1"/>
    <w:rsid w:val="00682C3C"/>
    <w:rsid w:val="00682CA4"/>
    <w:rsid w:val="00682CEE"/>
    <w:rsid w:val="00682D3E"/>
    <w:rsid w:val="00682E16"/>
    <w:rsid w:val="00682EF2"/>
    <w:rsid w:val="00682F04"/>
    <w:rsid w:val="00682F63"/>
    <w:rsid w:val="00683052"/>
    <w:rsid w:val="00683077"/>
    <w:rsid w:val="006830CA"/>
    <w:rsid w:val="0068312D"/>
    <w:rsid w:val="00683142"/>
    <w:rsid w:val="006831B0"/>
    <w:rsid w:val="006831E9"/>
    <w:rsid w:val="006831EE"/>
    <w:rsid w:val="00683230"/>
    <w:rsid w:val="00683239"/>
    <w:rsid w:val="00683240"/>
    <w:rsid w:val="00683266"/>
    <w:rsid w:val="006832E3"/>
    <w:rsid w:val="00683313"/>
    <w:rsid w:val="006833F3"/>
    <w:rsid w:val="0068348B"/>
    <w:rsid w:val="006834C4"/>
    <w:rsid w:val="006834C8"/>
    <w:rsid w:val="006834F2"/>
    <w:rsid w:val="006835B4"/>
    <w:rsid w:val="00683621"/>
    <w:rsid w:val="00683640"/>
    <w:rsid w:val="00683645"/>
    <w:rsid w:val="0068368E"/>
    <w:rsid w:val="006836D5"/>
    <w:rsid w:val="006836E5"/>
    <w:rsid w:val="00683818"/>
    <w:rsid w:val="006838D4"/>
    <w:rsid w:val="00683986"/>
    <w:rsid w:val="006839D2"/>
    <w:rsid w:val="00683AF1"/>
    <w:rsid w:val="00683B38"/>
    <w:rsid w:val="00683C82"/>
    <w:rsid w:val="00683C9E"/>
    <w:rsid w:val="00683D6F"/>
    <w:rsid w:val="00683D72"/>
    <w:rsid w:val="00683E16"/>
    <w:rsid w:val="00683E9A"/>
    <w:rsid w:val="00683EA4"/>
    <w:rsid w:val="00683EAE"/>
    <w:rsid w:val="00683EF2"/>
    <w:rsid w:val="00683F0C"/>
    <w:rsid w:val="00683F32"/>
    <w:rsid w:val="00683F98"/>
    <w:rsid w:val="00683FD1"/>
    <w:rsid w:val="00684021"/>
    <w:rsid w:val="0068402F"/>
    <w:rsid w:val="00684049"/>
    <w:rsid w:val="00684083"/>
    <w:rsid w:val="0068409E"/>
    <w:rsid w:val="0068412C"/>
    <w:rsid w:val="006841A3"/>
    <w:rsid w:val="0068420C"/>
    <w:rsid w:val="00684240"/>
    <w:rsid w:val="006842AF"/>
    <w:rsid w:val="006842D3"/>
    <w:rsid w:val="00684328"/>
    <w:rsid w:val="0068432F"/>
    <w:rsid w:val="00684444"/>
    <w:rsid w:val="00684524"/>
    <w:rsid w:val="00684528"/>
    <w:rsid w:val="006845AE"/>
    <w:rsid w:val="0068464E"/>
    <w:rsid w:val="00684765"/>
    <w:rsid w:val="00684768"/>
    <w:rsid w:val="006847A0"/>
    <w:rsid w:val="006847E8"/>
    <w:rsid w:val="00684811"/>
    <w:rsid w:val="006848A6"/>
    <w:rsid w:val="006848CD"/>
    <w:rsid w:val="00684925"/>
    <w:rsid w:val="00684940"/>
    <w:rsid w:val="00684998"/>
    <w:rsid w:val="00684A43"/>
    <w:rsid w:val="00684B3B"/>
    <w:rsid w:val="00684C0D"/>
    <w:rsid w:val="00684C5B"/>
    <w:rsid w:val="00684C68"/>
    <w:rsid w:val="00684C88"/>
    <w:rsid w:val="00684CAB"/>
    <w:rsid w:val="00684E0C"/>
    <w:rsid w:val="00684E18"/>
    <w:rsid w:val="00684E51"/>
    <w:rsid w:val="00684FD7"/>
    <w:rsid w:val="0068509C"/>
    <w:rsid w:val="006850B5"/>
    <w:rsid w:val="0068515F"/>
    <w:rsid w:val="0068523A"/>
    <w:rsid w:val="0068528B"/>
    <w:rsid w:val="00685328"/>
    <w:rsid w:val="00685382"/>
    <w:rsid w:val="006853B4"/>
    <w:rsid w:val="006853E6"/>
    <w:rsid w:val="0068540B"/>
    <w:rsid w:val="006854D4"/>
    <w:rsid w:val="006854FB"/>
    <w:rsid w:val="0068553E"/>
    <w:rsid w:val="006856A3"/>
    <w:rsid w:val="006856D2"/>
    <w:rsid w:val="006857B8"/>
    <w:rsid w:val="00685875"/>
    <w:rsid w:val="0068588F"/>
    <w:rsid w:val="006858F8"/>
    <w:rsid w:val="00685978"/>
    <w:rsid w:val="0068598A"/>
    <w:rsid w:val="00685ACD"/>
    <w:rsid w:val="00685C40"/>
    <w:rsid w:val="00685C6C"/>
    <w:rsid w:val="00685CB4"/>
    <w:rsid w:val="00685DF2"/>
    <w:rsid w:val="00685FBC"/>
    <w:rsid w:val="0068600E"/>
    <w:rsid w:val="00686107"/>
    <w:rsid w:val="0068610B"/>
    <w:rsid w:val="00686236"/>
    <w:rsid w:val="00686248"/>
    <w:rsid w:val="006862FA"/>
    <w:rsid w:val="0068630F"/>
    <w:rsid w:val="0068631B"/>
    <w:rsid w:val="00686342"/>
    <w:rsid w:val="0068640E"/>
    <w:rsid w:val="00686439"/>
    <w:rsid w:val="006864F4"/>
    <w:rsid w:val="00686504"/>
    <w:rsid w:val="00686517"/>
    <w:rsid w:val="00686543"/>
    <w:rsid w:val="006865A7"/>
    <w:rsid w:val="006865F1"/>
    <w:rsid w:val="00686801"/>
    <w:rsid w:val="0068681C"/>
    <w:rsid w:val="006868BD"/>
    <w:rsid w:val="006869D5"/>
    <w:rsid w:val="00686A3A"/>
    <w:rsid w:val="00686A4D"/>
    <w:rsid w:val="00686AF8"/>
    <w:rsid w:val="00686B59"/>
    <w:rsid w:val="00686B8E"/>
    <w:rsid w:val="00686C47"/>
    <w:rsid w:val="00686C91"/>
    <w:rsid w:val="00686CC4"/>
    <w:rsid w:val="00686D0C"/>
    <w:rsid w:val="00686ED3"/>
    <w:rsid w:val="00686F2C"/>
    <w:rsid w:val="00686FAB"/>
    <w:rsid w:val="00686FD5"/>
    <w:rsid w:val="00686FF9"/>
    <w:rsid w:val="0068702D"/>
    <w:rsid w:val="00687125"/>
    <w:rsid w:val="0068712C"/>
    <w:rsid w:val="00687291"/>
    <w:rsid w:val="006872B3"/>
    <w:rsid w:val="006872ED"/>
    <w:rsid w:val="00687351"/>
    <w:rsid w:val="006873D9"/>
    <w:rsid w:val="00687423"/>
    <w:rsid w:val="006874B1"/>
    <w:rsid w:val="00687543"/>
    <w:rsid w:val="00687549"/>
    <w:rsid w:val="006875B1"/>
    <w:rsid w:val="006875B4"/>
    <w:rsid w:val="0068768F"/>
    <w:rsid w:val="006876CF"/>
    <w:rsid w:val="00687708"/>
    <w:rsid w:val="0068771A"/>
    <w:rsid w:val="0068777F"/>
    <w:rsid w:val="0068781C"/>
    <w:rsid w:val="006878D3"/>
    <w:rsid w:val="0068797E"/>
    <w:rsid w:val="006879FA"/>
    <w:rsid w:val="006879FD"/>
    <w:rsid w:val="00687A29"/>
    <w:rsid w:val="00687A82"/>
    <w:rsid w:val="00687A8E"/>
    <w:rsid w:val="00687AFE"/>
    <w:rsid w:val="00687B21"/>
    <w:rsid w:val="00687B6B"/>
    <w:rsid w:val="00687B78"/>
    <w:rsid w:val="00687BD8"/>
    <w:rsid w:val="00687C31"/>
    <w:rsid w:val="00687CA5"/>
    <w:rsid w:val="00687CC8"/>
    <w:rsid w:val="00687D3B"/>
    <w:rsid w:val="00687D69"/>
    <w:rsid w:val="00687D89"/>
    <w:rsid w:val="00687E14"/>
    <w:rsid w:val="00687E19"/>
    <w:rsid w:val="00687E5A"/>
    <w:rsid w:val="00687E8A"/>
    <w:rsid w:val="00687F0F"/>
    <w:rsid w:val="00687FDC"/>
    <w:rsid w:val="00687FEB"/>
    <w:rsid w:val="00687FF3"/>
    <w:rsid w:val="00690062"/>
    <w:rsid w:val="00690090"/>
    <w:rsid w:val="006900C6"/>
    <w:rsid w:val="0069018C"/>
    <w:rsid w:val="006901E9"/>
    <w:rsid w:val="0069024F"/>
    <w:rsid w:val="00690266"/>
    <w:rsid w:val="00690281"/>
    <w:rsid w:val="006902D2"/>
    <w:rsid w:val="006902F6"/>
    <w:rsid w:val="00690305"/>
    <w:rsid w:val="00690354"/>
    <w:rsid w:val="00690356"/>
    <w:rsid w:val="0069039B"/>
    <w:rsid w:val="0069039C"/>
    <w:rsid w:val="0069044E"/>
    <w:rsid w:val="00690474"/>
    <w:rsid w:val="00690518"/>
    <w:rsid w:val="00690541"/>
    <w:rsid w:val="0069058A"/>
    <w:rsid w:val="0069061B"/>
    <w:rsid w:val="00690633"/>
    <w:rsid w:val="00690636"/>
    <w:rsid w:val="00690643"/>
    <w:rsid w:val="00690690"/>
    <w:rsid w:val="00690734"/>
    <w:rsid w:val="00690785"/>
    <w:rsid w:val="0069079E"/>
    <w:rsid w:val="00690955"/>
    <w:rsid w:val="006909E9"/>
    <w:rsid w:val="00690A3C"/>
    <w:rsid w:val="00690AAF"/>
    <w:rsid w:val="00690ADB"/>
    <w:rsid w:val="00690B04"/>
    <w:rsid w:val="00690C94"/>
    <w:rsid w:val="00690CAF"/>
    <w:rsid w:val="00690D6E"/>
    <w:rsid w:val="00690DA3"/>
    <w:rsid w:val="00690DB4"/>
    <w:rsid w:val="00690E94"/>
    <w:rsid w:val="00690EB6"/>
    <w:rsid w:val="0069102B"/>
    <w:rsid w:val="00691145"/>
    <w:rsid w:val="00691163"/>
    <w:rsid w:val="0069123A"/>
    <w:rsid w:val="006912D2"/>
    <w:rsid w:val="0069139D"/>
    <w:rsid w:val="006913BB"/>
    <w:rsid w:val="006913BC"/>
    <w:rsid w:val="00691477"/>
    <w:rsid w:val="006914B7"/>
    <w:rsid w:val="006914CD"/>
    <w:rsid w:val="006917D7"/>
    <w:rsid w:val="006917DE"/>
    <w:rsid w:val="006917ED"/>
    <w:rsid w:val="00691843"/>
    <w:rsid w:val="0069186A"/>
    <w:rsid w:val="0069186F"/>
    <w:rsid w:val="006918FE"/>
    <w:rsid w:val="00691926"/>
    <w:rsid w:val="0069196C"/>
    <w:rsid w:val="00691995"/>
    <w:rsid w:val="00691999"/>
    <w:rsid w:val="00691A6B"/>
    <w:rsid w:val="00691AEC"/>
    <w:rsid w:val="00691BE2"/>
    <w:rsid w:val="00691C55"/>
    <w:rsid w:val="00691C5C"/>
    <w:rsid w:val="00691C99"/>
    <w:rsid w:val="00691CD4"/>
    <w:rsid w:val="00691D26"/>
    <w:rsid w:val="00691D2C"/>
    <w:rsid w:val="00691D3A"/>
    <w:rsid w:val="00691D4B"/>
    <w:rsid w:val="00691D68"/>
    <w:rsid w:val="00691DB1"/>
    <w:rsid w:val="00691DB9"/>
    <w:rsid w:val="00691DD6"/>
    <w:rsid w:val="00691E5B"/>
    <w:rsid w:val="00691EA3"/>
    <w:rsid w:val="00691EB4"/>
    <w:rsid w:val="00691F30"/>
    <w:rsid w:val="00691F63"/>
    <w:rsid w:val="00691F76"/>
    <w:rsid w:val="00691FB4"/>
    <w:rsid w:val="00692028"/>
    <w:rsid w:val="0069204A"/>
    <w:rsid w:val="0069208D"/>
    <w:rsid w:val="00692223"/>
    <w:rsid w:val="0069227D"/>
    <w:rsid w:val="006922A1"/>
    <w:rsid w:val="006923C1"/>
    <w:rsid w:val="00692437"/>
    <w:rsid w:val="0069258D"/>
    <w:rsid w:val="0069267E"/>
    <w:rsid w:val="006926E2"/>
    <w:rsid w:val="00692710"/>
    <w:rsid w:val="00692781"/>
    <w:rsid w:val="0069286B"/>
    <w:rsid w:val="006928B9"/>
    <w:rsid w:val="00692945"/>
    <w:rsid w:val="00692954"/>
    <w:rsid w:val="0069299C"/>
    <w:rsid w:val="006929CA"/>
    <w:rsid w:val="006929E7"/>
    <w:rsid w:val="00692A35"/>
    <w:rsid w:val="00692AD6"/>
    <w:rsid w:val="00692AEA"/>
    <w:rsid w:val="00692BF4"/>
    <w:rsid w:val="00692C6F"/>
    <w:rsid w:val="00692C8A"/>
    <w:rsid w:val="00692D42"/>
    <w:rsid w:val="00692E4D"/>
    <w:rsid w:val="00692E5D"/>
    <w:rsid w:val="00692EEC"/>
    <w:rsid w:val="00692F53"/>
    <w:rsid w:val="0069302D"/>
    <w:rsid w:val="006930A8"/>
    <w:rsid w:val="00693101"/>
    <w:rsid w:val="006931A6"/>
    <w:rsid w:val="006931E0"/>
    <w:rsid w:val="006932C4"/>
    <w:rsid w:val="00693469"/>
    <w:rsid w:val="006934F1"/>
    <w:rsid w:val="0069356C"/>
    <w:rsid w:val="0069359C"/>
    <w:rsid w:val="0069364C"/>
    <w:rsid w:val="0069374A"/>
    <w:rsid w:val="006937DB"/>
    <w:rsid w:val="00693818"/>
    <w:rsid w:val="00693866"/>
    <w:rsid w:val="0069387B"/>
    <w:rsid w:val="006938BA"/>
    <w:rsid w:val="006939D4"/>
    <w:rsid w:val="00693A83"/>
    <w:rsid w:val="00693AF7"/>
    <w:rsid w:val="00693B69"/>
    <w:rsid w:val="00693C0D"/>
    <w:rsid w:val="00693CC3"/>
    <w:rsid w:val="00693D64"/>
    <w:rsid w:val="00693D75"/>
    <w:rsid w:val="00693D82"/>
    <w:rsid w:val="00693DF8"/>
    <w:rsid w:val="00693E05"/>
    <w:rsid w:val="00693E41"/>
    <w:rsid w:val="00693E9B"/>
    <w:rsid w:val="00693F33"/>
    <w:rsid w:val="00693F36"/>
    <w:rsid w:val="00694008"/>
    <w:rsid w:val="00694011"/>
    <w:rsid w:val="00694049"/>
    <w:rsid w:val="006940C5"/>
    <w:rsid w:val="006941F3"/>
    <w:rsid w:val="0069441C"/>
    <w:rsid w:val="0069446D"/>
    <w:rsid w:val="006944B3"/>
    <w:rsid w:val="006945DE"/>
    <w:rsid w:val="00694745"/>
    <w:rsid w:val="0069474F"/>
    <w:rsid w:val="00694764"/>
    <w:rsid w:val="00694772"/>
    <w:rsid w:val="0069478F"/>
    <w:rsid w:val="006947FE"/>
    <w:rsid w:val="00694801"/>
    <w:rsid w:val="00694852"/>
    <w:rsid w:val="006948E3"/>
    <w:rsid w:val="0069492F"/>
    <w:rsid w:val="006949A8"/>
    <w:rsid w:val="006949FF"/>
    <w:rsid w:val="00694A00"/>
    <w:rsid w:val="00694A02"/>
    <w:rsid w:val="00694A41"/>
    <w:rsid w:val="00694A5F"/>
    <w:rsid w:val="00694AA7"/>
    <w:rsid w:val="00694ABD"/>
    <w:rsid w:val="00694AFA"/>
    <w:rsid w:val="00694BC2"/>
    <w:rsid w:val="00694C63"/>
    <w:rsid w:val="00694C69"/>
    <w:rsid w:val="00694C93"/>
    <w:rsid w:val="00694CC6"/>
    <w:rsid w:val="00694D10"/>
    <w:rsid w:val="00694D87"/>
    <w:rsid w:val="00694DC7"/>
    <w:rsid w:val="00694F2D"/>
    <w:rsid w:val="00694F90"/>
    <w:rsid w:val="00694FA9"/>
    <w:rsid w:val="00695016"/>
    <w:rsid w:val="00695099"/>
    <w:rsid w:val="0069512F"/>
    <w:rsid w:val="0069513E"/>
    <w:rsid w:val="0069516B"/>
    <w:rsid w:val="0069518B"/>
    <w:rsid w:val="006953C7"/>
    <w:rsid w:val="006953E9"/>
    <w:rsid w:val="006954B0"/>
    <w:rsid w:val="00695553"/>
    <w:rsid w:val="006955D9"/>
    <w:rsid w:val="0069561C"/>
    <w:rsid w:val="00695854"/>
    <w:rsid w:val="00695860"/>
    <w:rsid w:val="006958F2"/>
    <w:rsid w:val="0069592F"/>
    <w:rsid w:val="00695950"/>
    <w:rsid w:val="006959C0"/>
    <w:rsid w:val="00695A19"/>
    <w:rsid w:val="00695B0E"/>
    <w:rsid w:val="00695B2D"/>
    <w:rsid w:val="00695B32"/>
    <w:rsid w:val="00695B63"/>
    <w:rsid w:val="00695CAB"/>
    <w:rsid w:val="00695CC3"/>
    <w:rsid w:val="00695D66"/>
    <w:rsid w:val="00695D95"/>
    <w:rsid w:val="00695E62"/>
    <w:rsid w:val="00695F1D"/>
    <w:rsid w:val="00695F2F"/>
    <w:rsid w:val="0069602D"/>
    <w:rsid w:val="00696041"/>
    <w:rsid w:val="00696094"/>
    <w:rsid w:val="0069613A"/>
    <w:rsid w:val="006961AB"/>
    <w:rsid w:val="006961CD"/>
    <w:rsid w:val="00696271"/>
    <w:rsid w:val="00696351"/>
    <w:rsid w:val="00696386"/>
    <w:rsid w:val="0069638A"/>
    <w:rsid w:val="006963B5"/>
    <w:rsid w:val="006963D5"/>
    <w:rsid w:val="006963EB"/>
    <w:rsid w:val="0069642C"/>
    <w:rsid w:val="00696434"/>
    <w:rsid w:val="00696472"/>
    <w:rsid w:val="006964DE"/>
    <w:rsid w:val="0069651B"/>
    <w:rsid w:val="006965A2"/>
    <w:rsid w:val="0069664B"/>
    <w:rsid w:val="00696680"/>
    <w:rsid w:val="00696712"/>
    <w:rsid w:val="00696762"/>
    <w:rsid w:val="00696876"/>
    <w:rsid w:val="0069687B"/>
    <w:rsid w:val="00696892"/>
    <w:rsid w:val="006968B9"/>
    <w:rsid w:val="006968E9"/>
    <w:rsid w:val="006968F4"/>
    <w:rsid w:val="00696974"/>
    <w:rsid w:val="00696A14"/>
    <w:rsid w:val="00696A2C"/>
    <w:rsid w:val="00696B8D"/>
    <w:rsid w:val="00696BD5"/>
    <w:rsid w:val="00696CAD"/>
    <w:rsid w:val="00696CD5"/>
    <w:rsid w:val="00696D27"/>
    <w:rsid w:val="00696E56"/>
    <w:rsid w:val="00696EC2"/>
    <w:rsid w:val="00696EEB"/>
    <w:rsid w:val="00696F10"/>
    <w:rsid w:val="00696F90"/>
    <w:rsid w:val="00696F95"/>
    <w:rsid w:val="00696FD5"/>
    <w:rsid w:val="00696FFF"/>
    <w:rsid w:val="00697090"/>
    <w:rsid w:val="00697111"/>
    <w:rsid w:val="0069713D"/>
    <w:rsid w:val="00697211"/>
    <w:rsid w:val="00697243"/>
    <w:rsid w:val="0069735F"/>
    <w:rsid w:val="006975D0"/>
    <w:rsid w:val="0069768B"/>
    <w:rsid w:val="006976AD"/>
    <w:rsid w:val="006976E6"/>
    <w:rsid w:val="00697708"/>
    <w:rsid w:val="00697728"/>
    <w:rsid w:val="00697768"/>
    <w:rsid w:val="00697771"/>
    <w:rsid w:val="006977C0"/>
    <w:rsid w:val="006977F0"/>
    <w:rsid w:val="0069781A"/>
    <w:rsid w:val="0069783B"/>
    <w:rsid w:val="006978A9"/>
    <w:rsid w:val="00697973"/>
    <w:rsid w:val="00697A23"/>
    <w:rsid w:val="00697AA2"/>
    <w:rsid w:val="00697B52"/>
    <w:rsid w:val="00697B82"/>
    <w:rsid w:val="00697BA7"/>
    <w:rsid w:val="00697C00"/>
    <w:rsid w:val="00697CCC"/>
    <w:rsid w:val="00697D26"/>
    <w:rsid w:val="00697D5B"/>
    <w:rsid w:val="00697D84"/>
    <w:rsid w:val="00697F34"/>
    <w:rsid w:val="00697F9E"/>
    <w:rsid w:val="00697FE7"/>
    <w:rsid w:val="006A000E"/>
    <w:rsid w:val="006A0056"/>
    <w:rsid w:val="006A00D7"/>
    <w:rsid w:val="006A01ED"/>
    <w:rsid w:val="006A0279"/>
    <w:rsid w:val="006A02C6"/>
    <w:rsid w:val="006A02CF"/>
    <w:rsid w:val="006A03C8"/>
    <w:rsid w:val="006A03CB"/>
    <w:rsid w:val="006A03D3"/>
    <w:rsid w:val="006A0406"/>
    <w:rsid w:val="006A0483"/>
    <w:rsid w:val="006A04F4"/>
    <w:rsid w:val="006A0524"/>
    <w:rsid w:val="006A0539"/>
    <w:rsid w:val="006A0594"/>
    <w:rsid w:val="006A0607"/>
    <w:rsid w:val="006A0608"/>
    <w:rsid w:val="006A0658"/>
    <w:rsid w:val="006A0680"/>
    <w:rsid w:val="006A0783"/>
    <w:rsid w:val="006A0870"/>
    <w:rsid w:val="006A08C5"/>
    <w:rsid w:val="006A08DE"/>
    <w:rsid w:val="006A0963"/>
    <w:rsid w:val="006A0971"/>
    <w:rsid w:val="006A09B2"/>
    <w:rsid w:val="006A0AD1"/>
    <w:rsid w:val="006A0AF2"/>
    <w:rsid w:val="006A0B06"/>
    <w:rsid w:val="006A0B0C"/>
    <w:rsid w:val="006A0C2F"/>
    <w:rsid w:val="006A0C53"/>
    <w:rsid w:val="006A0C6F"/>
    <w:rsid w:val="006A0DC3"/>
    <w:rsid w:val="006A0F0C"/>
    <w:rsid w:val="006A0F38"/>
    <w:rsid w:val="006A0FC8"/>
    <w:rsid w:val="006A10ED"/>
    <w:rsid w:val="006A111D"/>
    <w:rsid w:val="006A1291"/>
    <w:rsid w:val="006A1349"/>
    <w:rsid w:val="006A136C"/>
    <w:rsid w:val="006A1380"/>
    <w:rsid w:val="006A1421"/>
    <w:rsid w:val="006A1451"/>
    <w:rsid w:val="006A14C4"/>
    <w:rsid w:val="006A14D2"/>
    <w:rsid w:val="006A1520"/>
    <w:rsid w:val="006A1534"/>
    <w:rsid w:val="006A1588"/>
    <w:rsid w:val="006A159A"/>
    <w:rsid w:val="006A1603"/>
    <w:rsid w:val="006A1608"/>
    <w:rsid w:val="006A1676"/>
    <w:rsid w:val="006A16A5"/>
    <w:rsid w:val="006A16B7"/>
    <w:rsid w:val="006A16C0"/>
    <w:rsid w:val="006A1796"/>
    <w:rsid w:val="006A1804"/>
    <w:rsid w:val="006A1819"/>
    <w:rsid w:val="006A187D"/>
    <w:rsid w:val="006A18C5"/>
    <w:rsid w:val="006A1927"/>
    <w:rsid w:val="006A1A06"/>
    <w:rsid w:val="006A1A71"/>
    <w:rsid w:val="006A1B09"/>
    <w:rsid w:val="006A1B99"/>
    <w:rsid w:val="006A1C52"/>
    <w:rsid w:val="006A1D17"/>
    <w:rsid w:val="006A1D75"/>
    <w:rsid w:val="006A1DD9"/>
    <w:rsid w:val="006A1EC3"/>
    <w:rsid w:val="006A1F74"/>
    <w:rsid w:val="006A1FB8"/>
    <w:rsid w:val="006A1FC0"/>
    <w:rsid w:val="006A212F"/>
    <w:rsid w:val="006A215E"/>
    <w:rsid w:val="006A2182"/>
    <w:rsid w:val="006A21BF"/>
    <w:rsid w:val="006A21C7"/>
    <w:rsid w:val="006A227A"/>
    <w:rsid w:val="006A238A"/>
    <w:rsid w:val="006A23BD"/>
    <w:rsid w:val="006A2409"/>
    <w:rsid w:val="006A245E"/>
    <w:rsid w:val="006A248D"/>
    <w:rsid w:val="006A249C"/>
    <w:rsid w:val="006A24AB"/>
    <w:rsid w:val="006A2515"/>
    <w:rsid w:val="006A268A"/>
    <w:rsid w:val="006A27CE"/>
    <w:rsid w:val="006A27CF"/>
    <w:rsid w:val="006A27F6"/>
    <w:rsid w:val="006A28CF"/>
    <w:rsid w:val="006A290A"/>
    <w:rsid w:val="006A298A"/>
    <w:rsid w:val="006A2B0A"/>
    <w:rsid w:val="006A2B0D"/>
    <w:rsid w:val="006A2B5E"/>
    <w:rsid w:val="006A2BDB"/>
    <w:rsid w:val="006A2CBA"/>
    <w:rsid w:val="006A2CCB"/>
    <w:rsid w:val="006A2CD0"/>
    <w:rsid w:val="006A2CF1"/>
    <w:rsid w:val="006A2D97"/>
    <w:rsid w:val="006A2DCA"/>
    <w:rsid w:val="006A2DE2"/>
    <w:rsid w:val="006A2DE6"/>
    <w:rsid w:val="006A2DF9"/>
    <w:rsid w:val="006A2FAE"/>
    <w:rsid w:val="006A2FC0"/>
    <w:rsid w:val="006A2FEE"/>
    <w:rsid w:val="006A3022"/>
    <w:rsid w:val="006A3052"/>
    <w:rsid w:val="006A3067"/>
    <w:rsid w:val="006A3079"/>
    <w:rsid w:val="006A3140"/>
    <w:rsid w:val="006A31BE"/>
    <w:rsid w:val="006A3265"/>
    <w:rsid w:val="006A3379"/>
    <w:rsid w:val="006A33A9"/>
    <w:rsid w:val="006A343D"/>
    <w:rsid w:val="006A348B"/>
    <w:rsid w:val="006A34AC"/>
    <w:rsid w:val="006A367C"/>
    <w:rsid w:val="006A36CD"/>
    <w:rsid w:val="006A37AB"/>
    <w:rsid w:val="006A3852"/>
    <w:rsid w:val="006A385E"/>
    <w:rsid w:val="006A3868"/>
    <w:rsid w:val="006A386D"/>
    <w:rsid w:val="006A38CB"/>
    <w:rsid w:val="006A3957"/>
    <w:rsid w:val="006A3963"/>
    <w:rsid w:val="006A3C94"/>
    <w:rsid w:val="006A3D0C"/>
    <w:rsid w:val="006A3DC9"/>
    <w:rsid w:val="006A3E21"/>
    <w:rsid w:val="006A3E6C"/>
    <w:rsid w:val="006A3E94"/>
    <w:rsid w:val="006A3F5B"/>
    <w:rsid w:val="006A4233"/>
    <w:rsid w:val="006A439D"/>
    <w:rsid w:val="006A445A"/>
    <w:rsid w:val="006A448E"/>
    <w:rsid w:val="006A449E"/>
    <w:rsid w:val="006A451A"/>
    <w:rsid w:val="006A458E"/>
    <w:rsid w:val="006A46B2"/>
    <w:rsid w:val="006A48EB"/>
    <w:rsid w:val="006A496B"/>
    <w:rsid w:val="006A497D"/>
    <w:rsid w:val="006A4A52"/>
    <w:rsid w:val="006A4AA7"/>
    <w:rsid w:val="006A4AF0"/>
    <w:rsid w:val="006A4C1E"/>
    <w:rsid w:val="006A4C74"/>
    <w:rsid w:val="006A4CB6"/>
    <w:rsid w:val="006A4CEF"/>
    <w:rsid w:val="006A4D3E"/>
    <w:rsid w:val="006A4DD2"/>
    <w:rsid w:val="006A4F91"/>
    <w:rsid w:val="006A4FAC"/>
    <w:rsid w:val="006A4FC0"/>
    <w:rsid w:val="006A4FCC"/>
    <w:rsid w:val="006A508A"/>
    <w:rsid w:val="006A5148"/>
    <w:rsid w:val="006A5195"/>
    <w:rsid w:val="006A5300"/>
    <w:rsid w:val="006A5394"/>
    <w:rsid w:val="006A53CF"/>
    <w:rsid w:val="006A5407"/>
    <w:rsid w:val="006A5408"/>
    <w:rsid w:val="006A541F"/>
    <w:rsid w:val="006A542B"/>
    <w:rsid w:val="006A54A7"/>
    <w:rsid w:val="006A55B1"/>
    <w:rsid w:val="006A5630"/>
    <w:rsid w:val="006A566F"/>
    <w:rsid w:val="006A5800"/>
    <w:rsid w:val="006A58E4"/>
    <w:rsid w:val="006A58F3"/>
    <w:rsid w:val="006A5910"/>
    <w:rsid w:val="006A594B"/>
    <w:rsid w:val="006A59E0"/>
    <w:rsid w:val="006A5C29"/>
    <w:rsid w:val="006A5C53"/>
    <w:rsid w:val="006A5CC3"/>
    <w:rsid w:val="006A5D12"/>
    <w:rsid w:val="006A5DD7"/>
    <w:rsid w:val="006A5E67"/>
    <w:rsid w:val="006A5FA2"/>
    <w:rsid w:val="006A6022"/>
    <w:rsid w:val="006A602F"/>
    <w:rsid w:val="006A6033"/>
    <w:rsid w:val="006A606C"/>
    <w:rsid w:val="006A60B4"/>
    <w:rsid w:val="006A60FC"/>
    <w:rsid w:val="006A6226"/>
    <w:rsid w:val="006A626D"/>
    <w:rsid w:val="006A62CB"/>
    <w:rsid w:val="006A62CE"/>
    <w:rsid w:val="006A6396"/>
    <w:rsid w:val="006A63F4"/>
    <w:rsid w:val="006A642C"/>
    <w:rsid w:val="006A644B"/>
    <w:rsid w:val="006A6459"/>
    <w:rsid w:val="006A647E"/>
    <w:rsid w:val="006A6513"/>
    <w:rsid w:val="006A6570"/>
    <w:rsid w:val="006A668A"/>
    <w:rsid w:val="006A66BF"/>
    <w:rsid w:val="006A67F9"/>
    <w:rsid w:val="006A681F"/>
    <w:rsid w:val="006A68A4"/>
    <w:rsid w:val="006A6929"/>
    <w:rsid w:val="006A6A88"/>
    <w:rsid w:val="006A6A8A"/>
    <w:rsid w:val="006A6C22"/>
    <w:rsid w:val="006A6D6F"/>
    <w:rsid w:val="006A6EB7"/>
    <w:rsid w:val="006A6F1C"/>
    <w:rsid w:val="006A6FC0"/>
    <w:rsid w:val="006A7004"/>
    <w:rsid w:val="006A7035"/>
    <w:rsid w:val="006A703A"/>
    <w:rsid w:val="006A7152"/>
    <w:rsid w:val="006A723B"/>
    <w:rsid w:val="006A7345"/>
    <w:rsid w:val="006A7368"/>
    <w:rsid w:val="006A7425"/>
    <w:rsid w:val="006A7457"/>
    <w:rsid w:val="006A7492"/>
    <w:rsid w:val="006A74E4"/>
    <w:rsid w:val="006A75AE"/>
    <w:rsid w:val="006A75FD"/>
    <w:rsid w:val="006A7606"/>
    <w:rsid w:val="006A763B"/>
    <w:rsid w:val="006A7648"/>
    <w:rsid w:val="006A76A3"/>
    <w:rsid w:val="006A76E7"/>
    <w:rsid w:val="006A7795"/>
    <w:rsid w:val="006A77B5"/>
    <w:rsid w:val="006A787F"/>
    <w:rsid w:val="006A78F6"/>
    <w:rsid w:val="006A7902"/>
    <w:rsid w:val="006A79D3"/>
    <w:rsid w:val="006A7A41"/>
    <w:rsid w:val="006A7A53"/>
    <w:rsid w:val="006A7AA1"/>
    <w:rsid w:val="006A7ABB"/>
    <w:rsid w:val="006A7AC0"/>
    <w:rsid w:val="006A7AD6"/>
    <w:rsid w:val="006A7B02"/>
    <w:rsid w:val="006A7C83"/>
    <w:rsid w:val="006A7CDF"/>
    <w:rsid w:val="006A7D1A"/>
    <w:rsid w:val="006A7D96"/>
    <w:rsid w:val="006A7DBE"/>
    <w:rsid w:val="006A7DC1"/>
    <w:rsid w:val="006A7DF4"/>
    <w:rsid w:val="006A7E0E"/>
    <w:rsid w:val="006A7FBC"/>
    <w:rsid w:val="006B018A"/>
    <w:rsid w:val="006B02A5"/>
    <w:rsid w:val="006B0341"/>
    <w:rsid w:val="006B035E"/>
    <w:rsid w:val="006B03FC"/>
    <w:rsid w:val="006B0468"/>
    <w:rsid w:val="006B0557"/>
    <w:rsid w:val="006B0591"/>
    <w:rsid w:val="006B0594"/>
    <w:rsid w:val="006B067F"/>
    <w:rsid w:val="006B06EF"/>
    <w:rsid w:val="006B0707"/>
    <w:rsid w:val="006B078A"/>
    <w:rsid w:val="006B07DC"/>
    <w:rsid w:val="006B08A1"/>
    <w:rsid w:val="006B09A3"/>
    <w:rsid w:val="006B0A37"/>
    <w:rsid w:val="006B0B83"/>
    <w:rsid w:val="006B0D8E"/>
    <w:rsid w:val="006B0DB3"/>
    <w:rsid w:val="006B0E04"/>
    <w:rsid w:val="006B0E10"/>
    <w:rsid w:val="006B0FFB"/>
    <w:rsid w:val="006B108F"/>
    <w:rsid w:val="006B1099"/>
    <w:rsid w:val="006B11A2"/>
    <w:rsid w:val="006B1262"/>
    <w:rsid w:val="006B1296"/>
    <w:rsid w:val="006B1383"/>
    <w:rsid w:val="006B1399"/>
    <w:rsid w:val="006B1430"/>
    <w:rsid w:val="006B148A"/>
    <w:rsid w:val="006B153D"/>
    <w:rsid w:val="006B1566"/>
    <w:rsid w:val="006B1570"/>
    <w:rsid w:val="006B15C0"/>
    <w:rsid w:val="006B1634"/>
    <w:rsid w:val="006B1652"/>
    <w:rsid w:val="006B167A"/>
    <w:rsid w:val="006B16BD"/>
    <w:rsid w:val="006B170E"/>
    <w:rsid w:val="006B1792"/>
    <w:rsid w:val="006B183C"/>
    <w:rsid w:val="006B18D9"/>
    <w:rsid w:val="006B1928"/>
    <w:rsid w:val="006B193F"/>
    <w:rsid w:val="006B1A17"/>
    <w:rsid w:val="006B1B5D"/>
    <w:rsid w:val="006B1B74"/>
    <w:rsid w:val="006B1B85"/>
    <w:rsid w:val="006B1CA9"/>
    <w:rsid w:val="006B1CF4"/>
    <w:rsid w:val="006B1CF5"/>
    <w:rsid w:val="006B1D07"/>
    <w:rsid w:val="006B1D76"/>
    <w:rsid w:val="006B1D82"/>
    <w:rsid w:val="006B1DF1"/>
    <w:rsid w:val="006B1F19"/>
    <w:rsid w:val="006B1F67"/>
    <w:rsid w:val="006B1FA1"/>
    <w:rsid w:val="006B1FCE"/>
    <w:rsid w:val="006B1FD2"/>
    <w:rsid w:val="006B1FD4"/>
    <w:rsid w:val="006B20EB"/>
    <w:rsid w:val="006B20EC"/>
    <w:rsid w:val="006B21A3"/>
    <w:rsid w:val="006B2200"/>
    <w:rsid w:val="006B230F"/>
    <w:rsid w:val="006B2596"/>
    <w:rsid w:val="006B25AC"/>
    <w:rsid w:val="006B25B0"/>
    <w:rsid w:val="006B25CB"/>
    <w:rsid w:val="006B2670"/>
    <w:rsid w:val="006B26A2"/>
    <w:rsid w:val="006B278E"/>
    <w:rsid w:val="006B28A1"/>
    <w:rsid w:val="006B28D3"/>
    <w:rsid w:val="006B2906"/>
    <w:rsid w:val="006B2928"/>
    <w:rsid w:val="006B2942"/>
    <w:rsid w:val="006B2954"/>
    <w:rsid w:val="006B29C3"/>
    <w:rsid w:val="006B2A49"/>
    <w:rsid w:val="006B2B39"/>
    <w:rsid w:val="006B2B60"/>
    <w:rsid w:val="006B2BDB"/>
    <w:rsid w:val="006B2D37"/>
    <w:rsid w:val="006B2D73"/>
    <w:rsid w:val="006B2F21"/>
    <w:rsid w:val="006B2FD7"/>
    <w:rsid w:val="006B3024"/>
    <w:rsid w:val="006B30EA"/>
    <w:rsid w:val="006B311A"/>
    <w:rsid w:val="006B3127"/>
    <w:rsid w:val="006B316E"/>
    <w:rsid w:val="006B3387"/>
    <w:rsid w:val="006B33F1"/>
    <w:rsid w:val="006B342A"/>
    <w:rsid w:val="006B3484"/>
    <w:rsid w:val="006B3514"/>
    <w:rsid w:val="006B3560"/>
    <w:rsid w:val="006B3708"/>
    <w:rsid w:val="006B372D"/>
    <w:rsid w:val="006B3764"/>
    <w:rsid w:val="006B378D"/>
    <w:rsid w:val="006B3794"/>
    <w:rsid w:val="006B387B"/>
    <w:rsid w:val="006B3886"/>
    <w:rsid w:val="006B39AF"/>
    <w:rsid w:val="006B3A0D"/>
    <w:rsid w:val="006B3A5E"/>
    <w:rsid w:val="006B3B26"/>
    <w:rsid w:val="006B3CF9"/>
    <w:rsid w:val="006B3D0B"/>
    <w:rsid w:val="006B3DB8"/>
    <w:rsid w:val="006B3DDC"/>
    <w:rsid w:val="006B3E4C"/>
    <w:rsid w:val="006B3E52"/>
    <w:rsid w:val="006B3E5B"/>
    <w:rsid w:val="006B3EF3"/>
    <w:rsid w:val="006B3F04"/>
    <w:rsid w:val="006B3F1D"/>
    <w:rsid w:val="006B3F26"/>
    <w:rsid w:val="006B3FE4"/>
    <w:rsid w:val="006B402C"/>
    <w:rsid w:val="006B4060"/>
    <w:rsid w:val="006B41C2"/>
    <w:rsid w:val="006B41FE"/>
    <w:rsid w:val="006B4287"/>
    <w:rsid w:val="006B4339"/>
    <w:rsid w:val="006B4350"/>
    <w:rsid w:val="006B43E4"/>
    <w:rsid w:val="006B4408"/>
    <w:rsid w:val="006B441C"/>
    <w:rsid w:val="006B4550"/>
    <w:rsid w:val="006B463D"/>
    <w:rsid w:val="006B4750"/>
    <w:rsid w:val="006B47DA"/>
    <w:rsid w:val="006B47E9"/>
    <w:rsid w:val="006B47F3"/>
    <w:rsid w:val="006B4825"/>
    <w:rsid w:val="006B4998"/>
    <w:rsid w:val="006B49A7"/>
    <w:rsid w:val="006B4A14"/>
    <w:rsid w:val="006B4B32"/>
    <w:rsid w:val="006B4B3B"/>
    <w:rsid w:val="006B4BB0"/>
    <w:rsid w:val="006B4BB8"/>
    <w:rsid w:val="006B4BC4"/>
    <w:rsid w:val="006B4BF7"/>
    <w:rsid w:val="006B4C0E"/>
    <w:rsid w:val="006B4C6C"/>
    <w:rsid w:val="006B4CF2"/>
    <w:rsid w:val="006B4D67"/>
    <w:rsid w:val="006B4D9F"/>
    <w:rsid w:val="006B4DEA"/>
    <w:rsid w:val="006B4E14"/>
    <w:rsid w:val="006B4E19"/>
    <w:rsid w:val="006B4EDB"/>
    <w:rsid w:val="006B4F97"/>
    <w:rsid w:val="006B4F9C"/>
    <w:rsid w:val="006B5002"/>
    <w:rsid w:val="006B5060"/>
    <w:rsid w:val="006B5160"/>
    <w:rsid w:val="006B51C4"/>
    <w:rsid w:val="006B520B"/>
    <w:rsid w:val="006B521B"/>
    <w:rsid w:val="006B5369"/>
    <w:rsid w:val="006B539D"/>
    <w:rsid w:val="006B53A4"/>
    <w:rsid w:val="006B53F9"/>
    <w:rsid w:val="006B550E"/>
    <w:rsid w:val="006B553B"/>
    <w:rsid w:val="006B554F"/>
    <w:rsid w:val="006B5676"/>
    <w:rsid w:val="006B570B"/>
    <w:rsid w:val="006B5744"/>
    <w:rsid w:val="006B57A4"/>
    <w:rsid w:val="006B5841"/>
    <w:rsid w:val="006B58F7"/>
    <w:rsid w:val="006B5920"/>
    <w:rsid w:val="006B59AD"/>
    <w:rsid w:val="006B5A85"/>
    <w:rsid w:val="006B5B20"/>
    <w:rsid w:val="006B5B45"/>
    <w:rsid w:val="006B5B8B"/>
    <w:rsid w:val="006B5BDF"/>
    <w:rsid w:val="006B5CA0"/>
    <w:rsid w:val="006B5D58"/>
    <w:rsid w:val="006B5D7B"/>
    <w:rsid w:val="006B5DEE"/>
    <w:rsid w:val="006B5F07"/>
    <w:rsid w:val="006B5FB3"/>
    <w:rsid w:val="006B602D"/>
    <w:rsid w:val="006B60A4"/>
    <w:rsid w:val="006B60F2"/>
    <w:rsid w:val="006B623F"/>
    <w:rsid w:val="006B62B1"/>
    <w:rsid w:val="006B62C7"/>
    <w:rsid w:val="006B62E2"/>
    <w:rsid w:val="006B63A0"/>
    <w:rsid w:val="006B63EF"/>
    <w:rsid w:val="006B63F9"/>
    <w:rsid w:val="006B64ED"/>
    <w:rsid w:val="006B6608"/>
    <w:rsid w:val="006B6794"/>
    <w:rsid w:val="006B67A2"/>
    <w:rsid w:val="006B684C"/>
    <w:rsid w:val="006B684D"/>
    <w:rsid w:val="006B692C"/>
    <w:rsid w:val="006B6977"/>
    <w:rsid w:val="006B6AE5"/>
    <w:rsid w:val="006B6B28"/>
    <w:rsid w:val="006B6C57"/>
    <w:rsid w:val="006B6CED"/>
    <w:rsid w:val="006B6D25"/>
    <w:rsid w:val="006B6E22"/>
    <w:rsid w:val="006B6EE0"/>
    <w:rsid w:val="006B6F35"/>
    <w:rsid w:val="006B6F3F"/>
    <w:rsid w:val="006B702E"/>
    <w:rsid w:val="006B708F"/>
    <w:rsid w:val="006B7109"/>
    <w:rsid w:val="006B7153"/>
    <w:rsid w:val="006B7177"/>
    <w:rsid w:val="006B71AB"/>
    <w:rsid w:val="006B72EA"/>
    <w:rsid w:val="006B731E"/>
    <w:rsid w:val="006B741A"/>
    <w:rsid w:val="006B743E"/>
    <w:rsid w:val="006B7462"/>
    <w:rsid w:val="006B74C4"/>
    <w:rsid w:val="006B7589"/>
    <w:rsid w:val="006B760A"/>
    <w:rsid w:val="006B765D"/>
    <w:rsid w:val="006B766F"/>
    <w:rsid w:val="006B767F"/>
    <w:rsid w:val="006B7691"/>
    <w:rsid w:val="006B76CB"/>
    <w:rsid w:val="006B7805"/>
    <w:rsid w:val="006B7870"/>
    <w:rsid w:val="006B79F9"/>
    <w:rsid w:val="006B7B25"/>
    <w:rsid w:val="006B7B4D"/>
    <w:rsid w:val="006B7BE4"/>
    <w:rsid w:val="006B7C08"/>
    <w:rsid w:val="006B7C53"/>
    <w:rsid w:val="006B7D99"/>
    <w:rsid w:val="006B7EAF"/>
    <w:rsid w:val="006B7F2D"/>
    <w:rsid w:val="006B7FC8"/>
    <w:rsid w:val="006C0138"/>
    <w:rsid w:val="006C0197"/>
    <w:rsid w:val="006C0204"/>
    <w:rsid w:val="006C0348"/>
    <w:rsid w:val="006C03C0"/>
    <w:rsid w:val="006C0482"/>
    <w:rsid w:val="006C04CE"/>
    <w:rsid w:val="006C04E2"/>
    <w:rsid w:val="006C0502"/>
    <w:rsid w:val="006C0510"/>
    <w:rsid w:val="006C058B"/>
    <w:rsid w:val="006C05BC"/>
    <w:rsid w:val="006C060C"/>
    <w:rsid w:val="006C0625"/>
    <w:rsid w:val="006C06B5"/>
    <w:rsid w:val="006C0770"/>
    <w:rsid w:val="006C0776"/>
    <w:rsid w:val="006C077B"/>
    <w:rsid w:val="006C07BD"/>
    <w:rsid w:val="006C07EC"/>
    <w:rsid w:val="006C07F1"/>
    <w:rsid w:val="006C07F9"/>
    <w:rsid w:val="006C0836"/>
    <w:rsid w:val="006C088F"/>
    <w:rsid w:val="006C089F"/>
    <w:rsid w:val="006C0916"/>
    <w:rsid w:val="006C097D"/>
    <w:rsid w:val="006C0A14"/>
    <w:rsid w:val="006C0C7E"/>
    <w:rsid w:val="006C0D03"/>
    <w:rsid w:val="006C0D0F"/>
    <w:rsid w:val="006C0D97"/>
    <w:rsid w:val="006C0DB3"/>
    <w:rsid w:val="006C0E37"/>
    <w:rsid w:val="006C0E53"/>
    <w:rsid w:val="006C0EAA"/>
    <w:rsid w:val="006C0F13"/>
    <w:rsid w:val="006C0F5B"/>
    <w:rsid w:val="006C103B"/>
    <w:rsid w:val="006C1046"/>
    <w:rsid w:val="006C118F"/>
    <w:rsid w:val="006C11E5"/>
    <w:rsid w:val="006C132F"/>
    <w:rsid w:val="006C1367"/>
    <w:rsid w:val="006C1373"/>
    <w:rsid w:val="006C13F3"/>
    <w:rsid w:val="006C143C"/>
    <w:rsid w:val="006C14BE"/>
    <w:rsid w:val="006C14D1"/>
    <w:rsid w:val="006C1542"/>
    <w:rsid w:val="006C1565"/>
    <w:rsid w:val="006C156F"/>
    <w:rsid w:val="006C159C"/>
    <w:rsid w:val="006C16B0"/>
    <w:rsid w:val="006C16B8"/>
    <w:rsid w:val="006C177F"/>
    <w:rsid w:val="006C1993"/>
    <w:rsid w:val="006C19D7"/>
    <w:rsid w:val="006C1A2A"/>
    <w:rsid w:val="006C1A66"/>
    <w:rsid w:val="006C1AE3"/>
    <w:rsid w:val="006C1B2A"/>
    <w:rsid w:val="006C1BC1"/>
    <w:rsid w:val="006C1C4D"/>
    <w:rsid w:val="006C1C82"/>
    <w:rsid w:val="006C1C9B"/>
    <w:rsid w:val="006C1DB6"/>
    <w:rsid w:val="006C1DC8"/>
    <w:rsid w:val="006C1E2E"/>
    <w:rsid w:val="006C1E56"/>
    <w:rsid w:val="006C1F5B"/>
    <w:rsid w:val="006C200F"/>
    <w:rsid w:val="006C2073"/>
    <w:rsid w:val="006C214C"/>
    <w:rsid w:val="006C219B"/>
    <w:rsid w:val="006C21E5"/>
    <w:rsid w:val="006C230D"/>
    <w:rsid w:val="006C23E4"/>
    <w:rsid w:val="006C2526"/>
    <w:rsid w:val="006C2536"/>
    <w:rsid w:val="006C25AE"/>
    <w:rsid w:val="006C2810"/>
    <w:rsid w:val="006C28A4"/>
    <w:rsid w:val="006C29A7"/>
    <w:rsid w:val="006C29C7"/>
    <w:rsid w:val="006C2A19"/>
    <w:rsid w:val="006C2AA6"/>
    <w:rsid w:val="006C2AC2"/>
    <w:rsid w:val="006C2B03"/>
    <w:rsid w:val="006C2B5C"/>
    <w:rsid w:val="006C2B70"/>
    <w:rsid w:val="006C2C72"/>
    <w:rsid w:val="006C2CF2"/>
    <w:rsid w:val="006C2D24"/>
    <w:rsid w:val="006C2D8C"/>
    <w:rsid w:val="006C2DD3"/>
    <w:rsid w:val="006C2E33"/>
    <w:rsid w:val="006C2E4F"/>
    <w:rsid w:val="006C2E85"/>
    <w:rsid w:val="006C2F96"/>
    <w:rsid w:val="006C2FBF"/>
    <w:rsid w:val="006C2FD4"/>
    <w:rsid w:val="006C3076"/>
    <w:rsid w:val="006C30A7"/>
    <w:rsid w:val="006C314C"/>
    <w:rsid w:val="006C3295"/>
    <w:rsid w:val="006C32AA"/>
    <w:rsid w:val="006C32CC"/>
    <w:rsid w:val="006C32E5"/>
    <w:rsid w:val="006C33A8"/>
    <w:rsid w:val="006C341F"/>
    <w:rsid w:val="006C34FE"/>
    <w:rsid w:val="006C3544"/>
    <w:rsid w:val="006C35BD"/>
    <w:rsid w:val="006C36FF"/>
    <w:rsid w:val="006C37D0"/>
    <w:rsid w:val="006C37F3"/>
    <w:rsid w:val="006C380E"/>
    <w:rsid w:val="006C385C"/>
    <w:rsid w:val="006C3899"/>
    <w:rsid w:val="006C389F"/>
    <w:rsid w:val="006C38A0"/>
    <w:rsid w:val="006C3924"/>
    <w:rsid w:val="006C39D7"/>
    <w:rsid w:val="006C3AE9"/>
    <w:rsid w:val="006C3B04"/>
    <w:rsid w:val="006C3BC3"/>
    <w:rsid w:val="006C3C34"/>
    <w:rsid w:val="006C3DBE"/>
    <w:rsid w:val="006C3DC5"/>
    <w:rsid w:val="006C3EAF"/>
    <w:rsid w:val="006C3ECF"/>
    <w:rsid w:val="006C3EE8"/>
    <w:rsid w:val="006C3F25"/>
    <w:rsid w:val="006C3F32"/>
    <w:rsid w:val="006C4007"/>
    <w:rsid w:val="006C4041"/>
    <w:rsid w:val="006C410B"/>
    <w:rsid w:val="006C419A"/>
    <w:rsid w:val="006C4204"/>
    <w:rsid w:val="006C4266"/>
    <w:rsid w:val="006C42F7"/>
    <w:rsid w:val="006C4349"/>
    <w:rsid w:val="006C440A"/>
    <w:rsid w:val="006C440F"/>
    <w:rsid w:val="006C4449"/>
    <w:rsid w:val="006C44B7"/>
    <w:rsid w:val="006C44EC"/>
    <w:rsid w:val="006C4501"/>
    <w:rsid w:val="006C450C"/>
    <w:rsid w:val="006C45DD"/>
    <w:rsid w:val="006C4648"/>
    <w:rsid w:val="006C4662"/>
    <w:rsid w:val="006C4710"/>
    <w:rsid w:val="006C47C6"/>
    <w:rsid w:val="006C47EC"/>
    <w:rsid w:val="006C48BF"/>
    <w:rsid w:val="006C48E6"/>
    <w:rsid w:val="006C494B"/>
    <w:rsid w:val="006C4994"/>
    <w:rsid w:val="006C49A5"/>
    <w:rsid w:val="006C49B8"/>
    <w:rsid w:val="006C49C9"/>
    <w:rsid w:val="006C4AB5"/>
    <w:rsid w:val="006C4AB9"/>
    <w:rsid w:val="006C4AC0"/>
    <w:rsid w:val="006C4B4D"/>
    <w:rsid w:val="006C4BD4"/>
    <w:rsid w:val="006C4E19"/>
    <w:rsid w:val="006C4E4D"/>
    <w:rsid w:val="006C4E57"/>
    <w:rsid w:val="006C4F01"/>
    <w:rsid w:val="006C4F44"/>
    <w:rsid w:val="006C4F8D"/>
    <w:rsid w:val="006C4FA7"/>
    <w:rsid w:val="006C4FB2"/>
    <w:rsid w:val="006C4FBE"/>
    <w:rsid w:val="006C4FD9"/>
    <w:rsid w:val="006C4FDE"/>
    <w:rsid w:val="006C5012"/>
    <w:rsid w:val="006C502C"/>
    <w:rsid w:val="006C50E9"/>
    <w:rsid w:val="006C513E"/>
    <w:rsid w:val="006C5190"/>
    <w:rsid w:val="006C5247"/>
    <w:rsid w:val="006C5301"/>
    <w:rsid w:val="006C5385"/>
    <w:rsid w:val="006C53EB"/>
    <w:rsid w:val="006C5411"/>
    <w:rsid w:val="006C552E"/>
    <w:rsid w:val="006C5554"/>
    <w:rsid w:val="006C5704"/>
    <w:rsid w:val="006C570D"/>
    <w:rsid w:val="006C5793"/>
    <w:rsid w:val="006C57E4"/>
    <w:rsid w:val="006C5857"/>
    <w:rsid w:val="006C599B"/>
    <w:rsid w:val="006C5A20"/>
    <w:rsid w:val="006C5A96"/>
    <w:rsid w:val="006C5A98"/>
    <w:rsid w:val="006C5AE7"/>
    <w:rsid w:val="006C5BFE"/>
    <w:rsid w:val="006C5C71"/>
    <w:rsid w:val="006C5C86"/>
    <w:rsid w:val="006C5CBE"/>
    <w:rsid w:val="006C5D0A"/>
    <w:rsid w:val="006C5D2F"/>
    <w:rsid w:val="006C5D85"/>
    <w:rsid w:val="006C5D90"/>
    <w:rsid w:val="006C5F08"/>
    <w:rsid w:val="006C6054"/>
    <w:rsid w:val="006C6119"/>
    <w:rsid w:val="006C612E"/>
    <w:rsid w:val="006C6148"/>
    <w:rsid w:val="006C6200"/>
    <w:rsid w:val="006C6204"/>
    <w:rsid w:val="006C627C"/>
    <w:rsid w:val="006C63F2"/>
    <w:rsid w:val="006C6416"/>
    <w:rsid w:val="006C6418"/>
    <w:rsid w:val="006C643A"/>
    <w:rsid w:val="006C643C"/>
    <w:rsid w:val="006C6457"/>
    <w:rsid w:val="006C64DD"/>
    <w:rsid w:val="006C6613"/>
    <w:rsid w:val="006C6651"/>
    <w:rsid w:val="006C6665"/>
    <w:rsid w:val="006C66BC"/>
    <w:rsid w:val="006C66D2"/>
    <w:rsid w:val="006C6722"/>
    <w:rsid w:val="006C6738"/>
    <w:rsid w:val="006C67A4"/>
    <w:rsid w:val="006C67D9"/>
    <w:rsid w:val="006C6857"/>
    <w:rsid w:val="006C68B8"/>
    <w:rsid w:val="006C68E5"/>
    <w:rsid w:val="006C68F6"/>
    <w:rsid w:val="006C692F"/>
    <w:rsid w:val="006C69FA"/>
    <w:rsid w:val="006C6A6B"/>
    <w:rsid w:val="006C6AAA"/>
    <w:rsid w:val="006C6AF1"/>
    <w:rsid w:val="006C6B71"/>
    <w:rsid w:val="006C6C2C"/>
    <w:rsid w:val="006C6C50"/>
    <w:rsid w:val="006C6C8D"/>
    <w:rsid w:val="006C6D32"/>
    <w:rsid w:val="006C6DE3"/>
    <w:rsid w:val="006C6DFF"/>
    <w:rsid w:val="006C6F8B"/>
    <w:rsid w:val="006C6FBA"/>
    <w:rsid w:val="006C6FDB"/>
    <w:rsid w:val="006C6FE4"/>
    <w:rsid w:val="006C7057"/>
    <w:rsid w:val="006C7171"/>
    <w:rsid w:val="006C71A1"/>
    <w:rsid w:val="006C7282"/>
    <w:rsid w:val="006C730F"/>
    <w:rsid w:val="006C73A3"/>
    <w:rsid w:val="006C7527"/>
    <w:rsid w:val="006C7529"/>
    <w:rsid w:val="006C7530"/>
    <w:rsid w:val="006C7562"/>
    <w:rsid w:val="006C757D"/>
    <w:rsid w:val="006C7601"/>
    <w:rsid w:val="006C76E5"/>
    <w:rsid w:val="006C76F4"/>
    <w:rsid w:val="006C7734"/>
    <w:rsid w:val="006C773F"/>
    <w:rsid w:val="006C778B"/>
    <w:rsid w:val="006C78AA"/>
    <w:rsid w:val="006C78C0"/>
    <w:rsid w:val="006C791B"/>
    <w:rsid w:val="006C7A3F"/>
    <w:rsid w:val="006C7A66"/>
    <w:rsid w:val="006C7AB9"/>
    <w:rsid w:val="006C7AF5"/>
    <w:rsid w:val="006C7B1E"/>
    <w:rsid w:val="006C7B84"/>
    <w:rsid w:val="006C7C52"/>
    <w:rsid w:val="006C7CB1"/>
    <w:rsid w:val="006C7D74"/>
    <w:rsid w:val="006C7DAD"/>
    <w:rsid w:val="006C7E23"/>
    <w:rsid w:val="006C7ECD"/>
    <w:rsid w:val="006C7F41"/>
    <w:rsid w:val="006C7FA8"/>
    <w:rsid w:val="006D0055"/>
    <w:rsid w:val="006D00B8"/>
    <w:rsid w:val="006D01A5"/>
    <w:rsid w:val="006D0261"/>
    <w:rsid w:val="006D0290"/>
    <w:rsid w:val="006D02CF"/>
    <w:rsid w:val="006D0327"/>
    <w:rsid w:val="006D0362"/>
    <w:rsid w:val="006D0374"/>
    <w:rsid w:val="006D0378"/>
    <w:rsid w:val="006D0481"/>
    <w:rsid w:val="006D05B3"/>
    <w:rsid w:val="006D05C8"/>
    <w:rsid w:val="006D05C9"/>
    <w:rsid w:val="006D05E7"/>
    <w:rsid w:val="006D06F0"/>
    <w:rsid w:val="006D0730"/>
    <w:rsid w:val="006D073C"/>
    <w:rsid w:val="006D0820"/>
    <w:rsid w:val="006D083E"/>
    <w:rsid w:val="006D088F"/>
    <w:rsid w:val="006D0904"/>
    <w:rsid w:val="006D0925"/>
    <w:rsid w:val="006D0942"/>
    <w:rsid w:val="006D09D3"/>
    <w:rsid w:val="006D0A15"/>
    <w:rsid w:val="006D0A86"/>
    <w:rsid w:val="006D0A9E"/>
    <w:rsid w:val="006D0BE3"/>
    <w:rsid w:val="006D0BF2"/>
    <w:rsid w:val="006D0C59"/>
    <w:rsid w:val="006D0C7E"/>
    <w:rsid w:val="006D0CCD"/>
    <w:rsid w:val="006D0D64"/>
    <w:rsid w:val="006D0E34"/>
    <w:rsid w:val="006D0EB7"/>
    <w:rsid w:val="006D0EF1"/>
    <w:rsid w:val="006D0F7A"/>
    <w:rsid w:val="006D0F8C"/>
    <w:rsid w:val="006D0F90"/>
    <w:rsid w:val="006D0F9A"/>
    <w:rsid w:val="006D0FBB"/>
    <w:rsid w:val="006D0FE7"/>
    <w:rsid w:val="006D1022"/>
    <w:rsid w:val="006D1192"/>
    <w:rsid w:val="006D126A"/>
    <w:rsid w:val="006D12BC"/>
    <w:rsid w:val="006D139A"/>
    <w:rsid w:val="006D13C9"/>
    <w:rsid w:val="006D1461"/>
    <w:rsid w:val="006D1495"/>
    <w:rsid w:val="006D14A6"/>
    <w:rsid w:val="006D14B1"/>
    <w:rsid w:val="006D14F8"/>
    <w:rsid w:val="006D1506"/>
    <w:rsid w:val="006D15C1"/>
    <w:rsid w:val="006D1623"/>
    <w:rsid w:val="006D1663"/>
    <w:rsid w:val="006D1682"/>
    <w:rsid w:val="006D16B4"/>
    <w:rsid w:val="006D16E0"/>
    <w:rsid w:val="006D175C"/>
    <w:rsid w:val="006D1787"/>
    <w:rsid w:val="006D1827"/>
    <w:rsid w:val="006D188C"/>
    <w:rsid w:val="006D1896"/>
    <w:rsid w:val="006D18B6"/>
    <w:rsid w:val="006D1930"/>
    <w:rsid w:val="006D198B"/>
    <w:rsid w:val="006D1B74"/>
    <w:rsid w:val="006D1D22"/>
    <w:rsid w:val="006D1DE3"/>
    <w:rsid w:val="006D1E08"/>
    <w:rsid w:val="006D1EAF"/>
    <w:rsid w:val="006D1EB0"/>
    <w:rsid w:val="006D1EC7"/>
    <w:rsid w:val="006D1EFA"/>
    <w:rsid w:val="006D1F18"/>
    <w:rsid w:val="006D1F3D"/>
    <w:rsid w:val="006D2003"/>
    <w:rsid w:val="006D209D"/>
    <w:rsid w:val="006D2144"/>
    <w:rsid w:val="006D21A1"/>
    <w:rsid w:val="006D223B"/>
    <w:rsid w:val="006D2306"/>
    <w:rsid w:val="006D230C"/>
    <w:rsid w:val="006D2348"/>
    <w:rsid w:val="006D23C9"/>
    <w:rsid w:val="006D23F5"/>
    <w:rsid w:val="006D244D"/>
    <w:rsid w:val="006D2486"/>
    <w:rsid w:val="006D248A"/>
    <w:rsid w:val="006D2518"/>
    <w:rsid w:val="006D2526"/>
    <w:rsid w:val="006D25DE"/>
    <w:rsid w:val="006D262F"/>
    <w:rsid w:val="006D2648"/>
    <w:rsid w:val="006D2730"/>
    <w:rsid w:val="006D275F"/>
    <w:rsid w:val="006D278F"/>
    <w:rsid w:val="006D27C6"/>
    <w:rsid w:val="006D28AA"/>
    <w:rsid w:val="006D28AC"/>
    <w:rsid w:val="006D2925"/>
    <w:rsid w:val="006D2948"/>
    <w:rsid w:val="006D2A06"/>
    <w:rsid w:val="006D2AAE"/>
    <w:rsid w:val="006D2AB8"/>
    <w:rsid w:val="006D2BC7"/>
    <w:rsid w:val="006D2C12"/>
    <w:rsid w:val="006D2C3A"/>
    <w:rsid w:val="006D2C47"/>
    <w:rsid w:val="006D2D1A"/>
    <w:rsid w:val="006D2D81"/>
    <w:rsid w:val="006D2D95"/>
    <w:rsid w:val="006D2DD7"/>
    <w:rsid w:val="006D2DDF"/>
    <w:rsid w:val="006D2DE5"/>
    <w:rsid w:val="006D2E57"/>
    <w:rsid w:val="006D2E65"/>
    <w:rsid w:val="006D2F42"/>
    <w:rsid w:val="006D2FA3"/>
    <w:rsid w:val="006D2FAA"/>
    <w:rsid w:val="006D3007"/>
    <w:rsid w:val="006D3044"/>
    <w:rsid w:val="006D30AF"/>
    <w:rsid w:val="006D30C7"/>
    <w:rsid w:val="006D3133"/>
    <w:rsid w:val="006D3157"/>
    <w:rsid w:val="006D3191"/>
    <w:rsid w:val="006D328B"/>
    <w:rsid w:val="006D328F"/>
    <w:rsid w:val="006D32FD"/>
    <w:rsid w:val="006D3320"/>
    <w:rsid w:val="006D338F"/>
    <w:rsid w:val="006D33D9"/>
    <w:rsid w:val="006D3457"/>
    <w:rsid w:val="006D34FD"/>
    <w:rsid w:val="006D3570"/>
    <w:rsid w:val="006D35E2"/>
    <w:rsid w:val="006D361C"/>
    <w:rsid w:val="006D3638"/>
    <w:rsid w:val="006D36CA"/>
    <w:rsid w:val="006D36E9"/>
    <w:rsid w:val="006D3704"/>
    <w:rsid w:val="006D379B"/>
    <w:rsid w:val="006D37A7"/>
    <w:rsid w:val="006D37AB"/>
    <w:rsid w:val="006D385A"/>
    <w:rsid w:val="006D38ED"/>
    <w:rsid w:val="006D38FD"/>
    <w:rsid w:val="006D392B"/>
    <w:rsid w:val="006D3937"/>
    <w:rsid w:val="006D39CA"/>
    <w:rsid w:val="006D3A39"/>
    <w:rsid w:val="006D3A90"/>
    <w:rsid w:val="006D3ADB"/>
    <w:rsid w:val="006D3B71"/>
    <w:rsid w:val="006D3B87"/>
    <w:rsid w:val="006D3BBF"/>
    <w:rsid w:val="006D3C78"/>
    <w:rsid w:val="006D3C8B"/>
    <w:rsid w:val="006D3CAE"/>
    <w:rsid w:val="006D3D64"/>
    <w:rsid w:val="006D3E49"/>
    <w:rsid w:val="006D3F64"/>
    <w:rsid w:val="006D3FC5"/>
    <w:rsid w:val="006D402E"/>
    <w:rsid w:val="006D4035"/>
    <w:rsid w:val="006D404A"/>
    <w:rsid w:val="006D40AA"/>
    <w:rsid w:val="006D410A"/>
    <w:rsid w:val="006D4183"/>
    <w:rsid w:val="006D41B2"/>
    <w:rsid w:val="006D41C4"/>
    <w:rsid w:val="006D4237"/>
    <w:rsid w:val="006D43BC"/>
    <w:rsid w:val="006D43CA"/>
    <w:rsid w:val="006D4404"/>
    <w:rsid w:val="006D459A"/>
    <w:rsid w:val="006D45B5"/>
    <w:rsid w:val="006D462B"/>
    <w:rsid w:val="006D465F"/>
    <w:rsid w:val="006D46E8"/>
    <w:rsid w:val="006D46FC"/>
    <w:rsid w:val="006D46FD"/>
    <w:rsid w:val="006D4706"/>
    <w:rsid w:val="006D4712"/>
    <w:rsid w:val="006D47D4"/>
    <w:rsid w:val="006D4830"/>
    <w:rsid w:val="006D4857"/>
    <w:rsid w:val="006D4882"/>
    <w:rsid w:val="006D4930"/>
    <w:rsid w:val="006D49B6"/>
    <w:rsid w:val="006D4A5F"/>
    <w:rsid w:val="006D4AC4"/>
    <w:rsid w:val="006D4B58"/>
    <w:rsid w:val="006D4B78"/>
    <w:rsid w:val="006D4BF3"/>
    <w:rsid w:val="006D4C1B"/>
    <w:rsid w:val="006D4C1C"/>
    <w:rsid w:val="006D4D07"/>
    <w:rsid w:val="006D4D1C"/>
    <w:rsid w:val="006D4D84"/>
    <w:rsid w:val="006D4EEF"/>
    <w:rsid w:val="006D4F8A"/>
    <w:rsid w:val="006D5051"/>
    <w:rsid w:val="006D5078"/>
    <w:rsid w:val="006D50AE"/>
    <w:rsid w:val="006D50BA"/>
    <w:rsid w:val="006D5263"/>
    <w:rsid w:val="006D5294"/>
    <w:rsid w:val="006D538F"/>
    <w:rsid w:val="006D5400"/>
    <w:rsid w:val="006D5428"/>
    <w:rsid w:val="006D556D"/>
    <w:rsid w:val="006D55EA"/>
    <w:rsid w:val="006D564C"/>
    <w:rsid w:val="006D565A"/>
    <w:rsid w:val="006D5661"/>
    <w:rsid w:val="006D568F"/>
    <w:rsid w:val="006D574A"/>
    <w:rsid w:val="006D57D1"/>
    <w:rsid w:val="006D5813"/>
    <w:rsid w:val="006D58D1"/>
    <w:rsid w:val="006D58E3"/>
    <w:rsid w:val="006D58F5"/>
    <w:rsid w:val="006D59EF"/>
    <w:rsid w:val="006D5B14"/>
    <w:rsid w:val="006D5B21"/>
    <w:rsid w:val="006D5B6D"/>
    <w:rsid w:val="006D5BCF"/>
    <w:rsid w:val="006D5C41"/>
    <w:rsid w:val="006D5CA0"/>
    <w:rsid w:val="006D5CD8"/>
    <w:rsid w:val="006D5D30"/>
    <w:rsid w:val="006D5E42"/>
    <w:rsid w:val="006D5E86"/>
    <w:rsid w:val="006D5E9E"/>
    <w:rsid w:val="006D5EAF"/>
    <w:rsid w:val="006D5EDE"/>
    <w:rsid w:val="006D5F3F"/>
    <w:rsid w:val="006D6106"/>
    <w:rsid w:val="006D6107"/>
    <w:rsid w:val="006D6168"/>
    <w:rsid w:val="006D6197"/>
    <w:rsid w:val="006D6286"/>
    <w:rsid w:val="006D63A6"/>
    <w:rsid w:val="006D63E3"/>
    <w:rsid w:val="006D6443"/>
    <w:rsid w:val="006D6565"/>
    <w:rsid w:val="006D6593"/>
    <w:rsid w:val="006D65BC"/>
    <w:rsid w:val="006D65C6"/>
    <w:rsid w:val="006D6730"/>
    <w:rsid w:val="006D6750"/>
    <w:rsid w:val="006D679B"/>
    <w:rsid w:val="006D67AF"/>
    <w:rsid w:val="006D67CE"/>
    <w:rsid w:val="006D685F"/>
    <w:rsid w:val="006D6909"/>
    <w:rsid w:val="006D696F"/>
    <w:rsid w:val="006D6B09"/>
    <w:rsid w:val="006D6BDC"/>
    <w:rsid w:val="006D6C13"/>
    <w:rsid w:val="006D6C30"/>
    <w:rsid w:val="006D6C60"/>
    <w:rsid w:val="006D6CAD"/>
    <w:rsid w:val="006D6CB0"/>
    <w:rsid w:val="006D6D3C"/>
    <w:rsid w:val="006D6E17"/>
    <w:rsid w:val="006D6E1A"/>
    <w:rsid w:val="006D6EA4"/>
    <w:rsid w:val="006D6F32"/>
    <w:rsid w:val="006D7022"/>
    <w:rsid w:val="006D70B0"/>
    <w:rsid w:val="006D7141"/>
    <w:rsid w:val="006D7173"/>
    <w:rsid w:val="006D71E3"/>
    <w:rsid w:val="006D72B5"/>
    <w:rsid w:val="006D72EE"/>
    <w:rsid w:val="006D72F6"/>
    <w:rsid w:val="006D7358"/>
    <w:rsid w:val="006D73C4"/>
    <w:rsid w:val="006D7467"/>
    <w:rsid w:val="006D7484"/>
    <w:rsid w:val="006D74FA"/>
    <w:rsid w:val="006D7528"/>
    <w:rsid w:val="006D7531"/>
    <w:rsid w:val="006D75A8"/>
    <w:rsid w:val="006D75BE"/>
    <w:rsid w:val="006D75F2"/>
    <w:rsid w:val="006D764E"/>
    <w:rsid w:val="006D76FE"/>
    <w:rsid w:val="006D7712"/>
    <w:rsid w:val="006D777D"/>
    <w:rsid w:val="006D77E3"/>
    <w:rsid w:val="006D7819"/>
    <w:rsid w:val="006D78AD"/>
    <w:rsid w:val="006D796E"/>
    <w:rsid w:val="006D7A3A"/>
    <w:rsid w:val="006D7AEA"/>
    <w:rsid w:val="006D7B78"/>
    <w:rsid w:val="006D7B81"/>
    <w:rsid w:val="006D7B84"/>
    <w:rsid w:val="006D7BB5"/>
    <w:rsid w:val="006D7C80"/>
    <w:rsid w:val="006D7D2A"/>
    <w:rsid w:val="006D7D63"/>
    <w:rsid w:val="006D7DAD"/>
    <w:rsid w:val="006D7F10"/>
    <w:rsid w:val="006D7F1B"/>
    <w:rsid w:val="006D7F2A"/>
    <w:rsid w:val="006D7F8E"/>
    <w:rsid w:val="006D7FA6"/>
    <w:rsid w:val="006E013E"/>
    <w:rsid w:val="006E0164"/>
    <w:rsid w:val="006E0167"/>
    <w:rsid w:val="006E01FD"/>
    <w:rsid w:val="006E0252"/>
    <w:rsid w:val="006E0320"/>
    <w:rsid w:val="006E03D8"/>
    <w:rsid w:val="006E03F9"/>
    <w:rsid w:val="006E04B5"/>
    <w:rsid w:val="006E04D8"/>
    <w:rsid w:val="006E052C"/>
    <w:rsid w:val="006E05DF"/>
    <w:rsid w:val="006E0690"/>
    <w:rsid w:val="006E06DB"/>
    <w:rsid w:val="006E072E"/>
    <w:rsid w:val="006E073F"/>
    <w:rsid w:val="006E0786"/>
    <w:rsid w:val="006E07DE"/>
    <w:rsid w:val="006E0937"/>
    <w:rsid w:val="006E094F"/>
    <w:rsid w:val="006E09DC"/>
    <w:rsid w:val="006E0A3C"/>
    <w:rsid w:val="006E0A3F"/>
    <w:rsid w:val="006E0AA0"/>
    <w:rsid w:val="006E0AC7"/>
    <w:rsid w:val="006E0B0F"/>
    <w:rsid w:val="006E0B43"/>
    <w:rsid w:val="006E0C53"/>
    <w:rsid w:val="006E0D14"/>
    <w:rsid w:val="006E0D55"/>
    <w:rsid w:val="006E0DF5"/>
    <w:rsid w:val="006E0E1D"/>
    <w:rsid w:val="006E0E44"/>
    <w:rsid w:val="006E0E79"/>
    <w:rsid w:val="006E0E99"/>
    <w:rsid w:val="006E0F18"/>
    <w:rsid w:val="006E0FB0"/>
    <w:rsid w:val="006E1078"/>
    <w:rsid w:val="006E111A"/>
    <w:rsid w:val="006E1179"/>
    <w:rsid w:val="006E121A"/>
    <w:rsid w:val="006E129B"/>
    <w:rsid w:val="006E13D8"/>
    <w:rsid w:val="006E1463"/>
    <w:rsid w:val="006E1476"/>
    <w:rsid w:val="006E1504"/>
    <w:rsid w:val="006E1529"/>
    <w:rsid w:val="006E159A"/>
    <w:rsid w:val="006E1684"/>
    <w:rsid w:val="006E16BC"/>
    <w:rsid w:val="006E1766"/>
    <w:rsid w:val="006E1800"/>
    <w:rsid w:val="006E1803"/>
    <w:rsid w:val="006E1868"/>
    <w:rsid w:val="006E18BC"/>
    <w:rsid w:val="006E18E3"/>
    <w:rsid w:val="006E18F9"/>
    <w:rsid w:val="006E1903"/>
    <w:rsid w:val="006E1A96"/>
    <w:rsid w:val="006E1AC3"/>
    <w:rsid w:val="006E1B20"/>
    <w:rsid w:val="006E1B29"/>
    <w:rsid w:val="006E1B92"/>
    <w:rsid w:val="006E1CDC"/>
    <w:rsid w:val="006E1CE4"/>
    <w:rsid w:val="006E1E25"/>
    <w:rsid w:val="006E1EA6"/>
    <w:rsid w:val="006E1EA9"/>
    <w:rsid w:val="006E1ED1"/>
    <w:rsid w:val="006E1F3F"/>
    <w:rsid w:val="006E1FA1"/>
    <w:rsid w:val="006E1FE2"/>
    <w:rsid w:val="006E2082"/>
    <w:rsid w:val="006E2125"/>
    <w:rsid w:val="006E2256"/>
    <w:rsid w:val="006E2314"/>
    <w:rsid w:val="006E234F"/>
    <w:rsid w:val="006E2376"/>
    <w:rsid w:val="006E238B"/>
    <w:rsid w:val="006E238D"/>
    <w:rsid w:val="006E24A9"/>
    <w:rsid w:val="006E24E2"/>
    <w:rsid w:val="006E24EA"/>
    <w:rsid w:val="006E2555"/>
    <w:rsid w:val="006E2558"/>
    <w:rsid w:val="006E260E"/>
    <w:rsid w:val="006E2772"/>
    <w:rsid w:val="006E278C"/>
    <w:rsid w:val="006E286F"/>
    <w:rsid w:val="006E28E1"/>
    <w:rsid w:val="006E291E"/>
    <w:rsid w:val="006E2974"/>
    <w:rsid w:val="006E29B8"/>
    <w:rsid w:val="006E2A93"/>
    <w:rsid w:val="006E2AC8"/>
    <w:rsid w:val="006E2B52"/>
    <w:rsid w:val="006E2B6B"/>
    <w:rsid w:val="006E2C25"/>
    <w:rsid w:val="006E2CBA"/>
    <w:rsid w:val="006E2CC8"/>
    <w:rsid w:val="006E2CCF"/>
    <w:rsid w:val="006E2D59"/>
    <w:rsid w:val="006E2D78"/>
    <w:rsid w:val="006E2DC2"/>
    <w:rsid w:val="006E2E14"/>
    <w:rsid w:val="006E2E40"/>
    <w:rsid w:val="006E2FFC"/>
    <w:rsid w:val="006E30D5"/>
    <w:rsid w:val="006E30E5"/>
    <w:rsid w:val="006E315C"/>
    <w:rsid w:val="006E31E2"/>
    <w:rsid w:val="006E3249"/>
    <w:rsid w:val="006E335E"/>
    <w:rsid w:val="006E3433"/>
    <w:rsid w:val="006E349A"/>
    <w:rsid w:val="006E35C1"/>
    <w:rsid w:val="006E3678"/>
    <w:rsid w:val="006E36C9"/>
    <w:rsid w:val="006E36CD"/>
    <w:rsid w:val="006E36E6"/>
    <w:rsid w:val="006E3782"/>
    <w:rsid w:val="006E37C7"/>
    <w:rsid w:val="006E3939"/>
    <w:rsid w:val="006E3A4E"/>
    <w:rsid w:val="006E3A6E"/>
    <w:rsid w:val="006E3B4D"/>
    <w:rsid w:val="006E3B80"/>
    <w:rsid w:val="006E3B98"/>
    <w:rsid w:val="006E3BCD"/>
    <w:rsid w:val="006E3BD1"/>
    <w:rsid w:val="006E3BE0"/>
    <w:rsid w:val="006E3C0C"/>
    <w:rsid w:val="006E3D6E"/>
    <w:rsid w:val="006E3DCE"/>
    <w:rsid w:val="006E3DDA"/>
    <w:rsid w:val="006E3DEE"/>
    <w:rsid w:val="006E3E00"/>
    <w:rsid w:val="006E3E0C"/>
    <w:rsid w:val="006E3E4B"/>
    <w:rsid w:val="006E3EB3"/>
    <w:rsid w:val="006E3EC0"/>
    <w:rsid w:val="006E3F0F"/>
    <w:rsid w:val="006E3FD9"/>
    <w:rsid w:val="006E4068"/>
    <w:rsid w:val="006E4084"/>
    <w:rsid w:val="006E4116"/>
    <w:rsid w:val="006E413D"/>
    <w:rsid w:val="006E4171"/>
    <w:rsid w:val="006E4180"/>
    <w:rsid w:val="006E41C8"/>
    <w:rsid w:val="006E41F1"/>
    <w:rsid w:val="006E4209"/>
    <w:rsid w:val="006E421A"/>
    <w:rsid w:val="006E4260"/>
    <w:rsid w:val="006E439B"/>
    <w:rsid w:val="006E4544"/>
    <w:rsid w:val="006E457E"/>
    <w:rsid w:val="006E45D2"/>
    <w:rsid w:val="006E467F"/>
    <w:rsid w:val="006E473B"/>
    <w:rsid w:val="006E4891"/>
    <w:rsid w:val="006E4937"/>
    <w:rsid w:val="006E495F"/>
    <w:rsid w:val="006E4983"/>
    <w:rsid w:val="006E4B3C"/>
    <w:rsid w:val="006E4B92"/>
    <w:rsid w:val="006E4BDF"/>
    <w:rsid w:val="006E4C40"/>
    <w:rsid w:val="006E4C7A"/>
    <w:rsid w:val="006E4C8C"/>
    <w:rsid w:val="006E4CFE"/>
    <w:rsid w:val="006E4D3F"/>
    <w:rsid w:val="006E4E05"/>
    <w:rsid w:val="006E4E39"/>
    <w:rsid w:val="006E4F23"/>
    <w:rsid w:val="006E4F36"/>
    <w:rsid w:val="006E4F6D"/>
    <w:rsid w:val="006E4F9E"/>
    <w:rsid w:val="006E504E"/>
    <w:rsid w:val="006E5052"/>
    <w:rsid w:val="006E5149"/>
    <w:rsid w:val="006E51B3"/>
    <w:rsid w:val="006E5256"/>
    <w:rsid w:val="006E5307"/>
    <w:rsid w:val="006E53CC"/>
    <w:rsid w:val="006E5430"/>
    <w:rsid w:val="006E5481"/>
    <w:rsid w:val="006E54B5"/>
    <w:rsid w:val="006E5533"/>
    <w:rsid w:val="006E5590"/>
    <w:rsid w:val="006E566E"/>
    <w:rsid w:val="006E572E"/>
    <w:rsid w:val="006E5763"/>
    <w:rsid w:val="006E57C8"/>
    <w:rsid w:val="006E5863"/>
    <w:rsid w:val="006E59C1"/>
    <w:rsid w:val="006E5A19"/>
    <w:rsid w:val="006E5A6C"/>
    <w:rsid w:val="006E5A88"/>
    <w:rsid w:val="006E5ABC"/>
    <w:rsid w:val="006E5B37"/>
    <w:rsid w:val="006E5B97"/>
    <w:rsid w:val="006E5BA9"/>
    <w:rsid w:val="006E5D2B"/>
    <w:rsid w:val="006E5E37"/>
    <w:rsid w:val="006E5E6B"/>
    <w:rsid w:val="006E5F2F"/>
    <w:rsid w:val="006E5F36"/>
    <w:rsid w:val="006E5FD7"/>
    <w:rsid w:val="006E6032"/>
    <w:rsid w:val="006E6093"/>
    <w:rsid w:val="006E6234"/>
    <w:rsid w:val="006E6289"/>
    <w:rsid w:val="006E6311"/>
    <w:rsid w:val="006E635D"/>
    <w:rsid w:val="006E63AA"/>
    <w:rsid w:val="006E63D1"/>
    <w:rsid w:val="006E6469"/>
    <w:rsid w:val="006E65CD"/>
    <w:rsid w:val="006E65FA"/>
    <w:rsid w:val="006E6650"/>
    <w:rsid w:val="006E674A"/>
    <w:rsid w:val="006E6760"/>
    <w:rsid w:val="006E679D"/>
    <w:rsid w:val="006E67A8"/>
    <w:rsid w:val="006E67F4"/>
    <w:rsid w:val="006E6871"/>
    <w:rsid w:val="006E6A1D"/>
    <w:rsid w:val="006E6A47"/>
    <w:rsid w:val="006E6A5F"/>
    <w:rsid w:val="006E6AA5"/>
    <w:rsid w:val="006E6AE1"/>
    <w:rsid w:val="006E6AFD"/>
    <w:rsid w:val="006E6B02"/>
    <w:rsid w:val="006E6B24"/>
    <w:rsid w:val="006E6BB7"/>
    <w:rsid w:val="006E6C29"/>
    <w:rsid w:val="006E6E27"/>
    <w:rsid w:val="006E6E64"/>
    <w:rsid w:val="006E6F6A"/>
    <w:rsid w:val="006E6FB3"/>
    <w:rsid w:val="006E7015"/>
    <w:rsid w:val="006E7130"/>
    <w:rsid w:val="006E714F"/>
    <w:rsid w:val="006E7194"/>
    <w:rsid w:val="006E71A8"/>
    <w:rsid w:val="006E736E"/>
    <w:rsid w:val="006E7407"/>
    <w:rsid w:val="006E741F"/>
    <w:rsid w:val="006E7421"/>
    <w:rsid w:val="006E74C6"/>
    <w:rsid w:val="006E74F6"/>
    <w:rsid w:val="006E7556"/>
    <w:rsid w:val="006E7563"/>
    <w:rsid w:val="006E75E3"/>
    <w:rsid w:val="006E75E7"/>
    <w:rsid w:val="006E762E"/>
    <w:rsid w:val="006E7665"/>
    <w:rsid w:val="006E76A0"/>
    <w:rsid w:val="006E76DF"/>
    <w:rsid w:val="006E772A"/>
    <w:rsid w:val="006E7745"/>
    <w:rsid w:val="006E77A5"/>
    <w:rsid w:val="006E7874"/>
    <w:rsid w:val="006E7876"/>
    <w:rsid w:val="006E78F6"/>
    <w:rsid w:val="006E7A53"/>
    <w:rsid w:val="006E7B44"/>
    <w:rsid w:val="006E7B5D"/>
    <w:rsid w:val="006E7B62"/>
    <w:rsid w:val="006E7BC4"/>
    <w:rsid w:val="006E7C0D"/>
    <w:rsid w:val="006E7C3B"/>
    <w:rsid w:val="006E7CBD"/>
    <w:rsid w:val="006E7D36"/>
    <w:rsid w:val="006E7D3D"/>
    <w:rsid w:val="006E7D76"/>
    <w:rsid w:val="006E7DA7"/>
    <w:rsid w:val="006E7E4E"/>
    <w:rsid w:val="006E7FC1"/>
    <w:rsid w:val="006F0052"/>
    <w:rsid w:val="006F0058"/>
    <w:rsid w:val="006F0064"/>
    <w:rsid w:val="006F00AC"/>
    <w:rsid w:val="006F0177"/>
    <w:rsid w:val="006F01C8"/>
    <w:rsid w:val="006F01E9"/>
    <w:rsid w:val="006F0238"/>
    <w:rsid w:val="006F0322"/>
    <w:rsid w:val="006F0423"/>
    <w:rsid w:val="006F04D0"/>
    <w:rsid w:val="006F0529"/>
    <w:rsid w:val="006F05D7"/>
    <w:rsid w:val="006F07F0"/>
    <w:rsid w:val="006F08D5"/>
    <w:rsid w:val="006F0918"/>
    <w:rsid w:val="006F095C"/>
    <w:rsid w:val="006F0963"/>
    <w:rsid w:val="006F0A61"/>
    <w:rsid w:val="006F0ACA"/>
    <w:rsid w:val="006F0ACE"/>
    <w:rsid w:val="006F0AEE"/>
    <w:rsid w:val="006F0B2D"/>
    <w:rsid w:val="006F0B4E"/>
    <w:rsid w:val="006F0BA1"/>
    <w:rsid w:val="006F0BF9"/>
    <w:rsid w:val="006F0C83"/>
    <w:rsid w:val="006F0C85"/>
    <w:rsid w:val="006F0DF2"/>
    <w:rsid w:val="006F0E12"/>
    <w:rsid w:val="006F0F63"/>
    <w:rsid w:val="006F10FE"/>
    <w:rsid w:val="006F11CD"/>
    <w:rsid w:val="006F11E1"/>
    <w:rsid w:val="006F1301"/>
    <w:rsid w:val="006F138E"/>
    <w:rsid w:val="006F139A"/>
    <w:rsid w:val="006F13AA"/>
    <w:rsid w:val="006F1485"/>
    <w:rsid w:val="006F150A"/>
    <w:rsid w:val="006F1567"/>
    <w:rsid w:val="006F1589"/>
    <w:rsid w:val="006F15F5"/>
    <w:rsid w:val="006F1608"/>
    <w:rsid w:val="006F1672"/>
    <w:rsid w:val="006F1700"/>
    <w:rsid w:val="006F1718"/>
    <w:rsid w:val="006F1783"/>
    <w:rsid w:val="006F18B2"/>
    <w:rsid w:val="006F18BF"/>
    <w:rsid w:val="006F18EB"/>
    <w:rsid w:val="006F1923"/>
    <w:rsid w:val="006F1938"/>
    <w:rsid w:val="006F19D7"/>
    <w:rsid w:val="006F1A0D"/>
    <w:rsid w:val="006F1AB6"/>
    <w:rsid w:val="006F1AE2"/>
    <w:rsid w:val="006F1B0F"/>
    <w:rsid w:val="006F1B8A"/>
    <w:rsid w:val="006F1BAB"/>
    <w:rsid w:val="006F1BC9"/>
    <w:rsid w:val="006F1C19"/>
    <w:rsid w:val="006F1C34"/>
    <w:rsid w:val="006F1C64"/>
    <w:rsid w:val="006F1C6E"/>
    <w:rsid w:val="006F1CB3"/>
    <w:rsid w:val="006F1CF6"/>
    <w:rsid w:val="006F1D23"/>
    <w:rsid w:val="006F1DF6"/>
    <w:rsid w:val="006F1F0A"/>
    <w:rsid w:val="006F1F65"/>
    <w:rsid w:val="006F1F70"/>
    <w:rsid w:val="006F1F89"/>
    <w:rsid w:val="006F1F8E"/>
    <w:rsid w:val="006F2091"/>
    <w:rsid w:val="006F20A9"/>
    <w:rsid w:val="006F20D2"/>
    <w:rsid w:val="006F2106"/>
    <w:rsid w:val="006F21C5"/>
    <w:rsid w:val="006F2265"/>
    <w:rsid w:val="006F2290"/>
    <w:rsid w:val="006F22C7"/>
    <w:rsid w:val="006F231D"/>
    <w:rsid w:val="006F23B0"/>
    <w:rsid w:val="006F2410"/>
    <w:rsid w:val="006F2431"/>
    <w:rsid w:val="006F24C3"/>
    <w:rsid w:val="006F2502"/>
    <w:rsid w:val="006F25C5"/>
    <w:rsid w:val="006F25F0"/>
    <w:rsid w:val="006F261C"/>
    <w:rsid w:val="006F2633"/>
    <w:rsid w:val="006F266F"/>
    <w:rsid w:val="006F26D3"/>
    <w:rsid w:val="006F26D5"/>
    <w:rsid w:val="006F275A"/>
    <w:rsid w:val="006F27F2"/>
    <w:rsid w:val="006F2832"/>
    <w:rsid w:val="006F2887"/>
    <w:rsid w:val="006F288F"/>
    <w:rsid w:val="006F28C6"/>
    <w:rsid w:val="006F28EB"/>
    <w:rsid w:val="006F29E5"/>
    <w:rsid w:val="006F2A02"/>
    <w:rsid w:val="006F2B4A"/>
    <w:rsid w:val="006F2C00"/>
    <w:rsid w:val="006F2D39"/>
    <w:rsid w:val="006F2D4F"/>
    <w:rsid w:val="006F2D87"/>
    <w:rsid w:val="006F2E26"/>
    <w:rsid w:val="006F2E32"/>
    <w:rsid w:val="006F2E40"/>
    <w:rsid w:val="006F2EE5"/>
    <w:rsid w:val="006F2F4E"/>
    <w:rsid w:val="006F2FD4"/>
    <w:rsid w:val="006F2FF3"/>
    <w:rsid w:val="006F300B"/>
    <w:rsid w:val="006F3058"/>
    <w:rsid w:val="006F30C7"/>
    <w:rsid w:val="006F3101"/>
    <w:rsid w:val="006F3142"/>
    <w:rsid w:val="006F3195"/>
    <w:rsid w:val="006F31A1"/>
    <w:rsid w:val="006F3250"/>
    <w:rsid w:val="006F336C"/>
    <w:rsid w:val="006F3384"/>
    <w:rsid w:val="006F33BD"/>
    <w:rsid w:val="006F3408"/>
    <w:rsid w:val="006F347D"/>
    <w:rsid w:val="006F3496"/>
    <w:rsid w:val="006F34BD"/>
    <w:rsid w:val="006F3578"/>
    <w:rsid w:val="006F359F"/>
    <w:rsid w:val="006F3628"/>
    <w:rsid w:val="006F3683"/>
    <w:rsid w:val="006F36A3"/>
    <w:rsid w:val="006F3700"/>
    <w:rsid w:val="006F379C"/>
    <w:rsid w:val="006F38AA"/>
    <w:rsid w:val="006F38D4"/>
    <w:rsid w:val="006F38E1"/>
    <w:rsid w:val="006F39EA"/>
    <w:rsid w:val="006F3A02"/>
    <w:rsid w:val="006F3A4E"/>
    <w:rsid w:val="006F3A69"/>
    <w:rsid w:val="006F3A90"/>
    <w:rsid w:val="006F3B15"/>
    <w:rsid w:val="006F3BD9"/>
    <w:rsid w:val="006F3BE4"/>
    <w:rsid w:val="006F3C3C"/>
    <w:rsid w:val="006F3D0C"/>
    <w:rsid w:val="006F3E47"/>
    <w:rsid w:val="006F3E99"/>
    <w:rsid w:val="006F3EC9"/>
    <w:rsid w:val="006F3EDF"/>
    <w:rsid w:val="006F3F8D"/>
    <w:rsid w:val="006F4083"/>
    <w:rsid w:val="006F4096"/>
    <w:rsid w:val="006F40AE"/>
    <w:rsid w:val="006F40F0"/>
    <w:rsid w:val="006F4162"/>
    <w:rsid w:val="006F4166"/>
    <w:rsid w:val="006F41C1"/>
    <w:rsid w:val="006F41CD"/>
    <w:rsid w:val="006F41D6"/>
    <w:rsid w:val="006F4297"/>
    <w:rsid w:val="006F42B9"/>
    <w:rsid w:val="006F42C4"/>
    <w:rsid w:val="006F4325"/>
    <w:rsid w:val="006F432C"/>
    <w:rsid w:val="006F4349"/>
    <w:rsid w:val="006F435B"/>
    <w:rsid w:val="006F43DA"/>
    <w:rsid w:val="006F440D"/>
    <w:rsid w:val="006F44BA"/>
    <w:rsid w:val="006F44E6"/>
    <w:rsid w:val="006F450D"/>
    <w:rsid w:val="006F4588"/>
    <w:rsid w:val="006F4605"/>
    <w:rsid w:val="006F4621"/>
    <w:rsid w:val="006F467A"/>
    <w:rsid w:val="006F46D1"/>
    <w:rsid w:val="006F473C"/>
    <w:rsid w:val="006F475A"/>
    <w:rsid w:val="006F4767"/>
    <w:rsid w:val="006F478C"/>
    <w:rsid w:val="006F48DE"/>
    <w:rsid w:val="006F4911"/>
    <w:rsid w:val="006F499F"/>
    <w:rsid w:val="006F4A21"/>
    <w:rsid w:val="006F4B89"/>
    <w:rsid w:val="006F4C00"/>
    <w:rsid w:val="006F4C34"/>
    <w:rsid w:val="006F4DA3"/>
    <w:rsid w:val="006F4DE9"/>
    <w:rsid w:val="006F4DFF"/>
    <w:rsid w:val="006F4E3C"/>
    <w:rsid w:val="006F4E6A"/>
    <w:rsid w:val="006F4E7F"/>
    <w:rsid w:val="006F4EDD"/>
    <w:rsid w:val="006F4F28"/>
    <w:rsid w:val="006F4F34"/>
    <w:rsid w:val="006F4F5A"/>
    <w:rsid w:val="006F4FD5"/>
    <w:rsid w:val="006F502D"/>
    <w:rsid w:val="006F5036"/>
    <w:rsid w:val="006F50CD"/>
    <w:rsid w:val="006F511A"/>
    <w:rsid w:val="006F5194"/>
    <w:rsid w:val="006F5231"/>
    <w:rsid w:val="006F538F"/>
    <w:rsid w:val="006F5393"/>
    <w:rsid w:val="006F53DD"/>
    <w:rsid w:val="006F5499"/>
    <w:rsid w:val="006F54C3"/>
    <w:rsid w:val="006F54C6"/>
    <w:rsid w:val="006F54DE"/>
    <w:rsid w:val="006F5512"/>
    <w:rsid w:val="006F55DE"/>
    <w:rsid w:val="006F55FC"/>
    <w:rsid w:val="006F560C"/>
    <w:rsid w:val="006F563A"/>
    <w:rsid w:val="006F573C"/>
    <w:rsid w:val="006F5742"/>
    <w:rsid w:val="006F57CC"/>
    <w:rsid w:val="006F5843"/>
    <w:rsid w:val="006F58D0"/>
    <w:rsid w:val="006F5AEF"/>
    <w:rsid w:val="006F5BDF"/>
    <w:rsid w:val="006F5C30"/>
    <w:rsid w:val="006F5C3E"/>
    <w:rsid w:val="006F5C51"/>
    <w:rsid w:val="006F5C6B"/>
    <w:rsid w:val="006F5D1B"/>
    <w:rsid w:val="006F5DD2"/>
    <w:rsid w:val="006F5E0F"/>
    <w:rsid w:val="006F5E3F"/>
    <w:rsid w:val="006F5E52"/>
    <w:rsid w:val="006F5E68"/>
    <w:rsid w:val="006F5E78"/>
    <w:rsid w:val="006F5E89"/>
    <w:rsid w:val="006F5F0C"/>
    <w:rsid w:val="006F5FE3"/>
    <w:rsid w:val="006F6082"/>
    <w:rsid w:val="006F60A7"/>
    <w:rsid w:val="006F60D1"/>
    <w:rsid w:val="006F6217"/>
    <w:rsid w:val="006F62BC"/>
    <w:rsid w:val="006F6368"/>
    <w:rsid w:val="006F6455"/>
    <w:rsid w:val="006F64F7"/>
    <w:rsid w:val="006F6504"/>
    <w:rsid w:val="006F659D"/>
    <w:rsid w:val="006F65CC"/>
    <w:rsid w:val="006F6602"/>
    <w:rsid w:val="006F6650"/>
    <w:rsid w:val="006F6866"/>
    <w:rsid w:val="006F6A26"/>
    <w:rsid w:val="006F6A47"/>
    <w:rsid w:val="006F6A54"/>
    <w:rsid w:val="006F6A98"/>
    <w:rsid w:val="006F6B77"/>
    <w:rsid w:val="006F6B96"/>
    <w:rsid w:val="006F6C43"/>
    <w:rsid w:val="006F6CB0"/>
    <w:rsid w:val="006F6D59"/>
    <w:rsid w:val="006F6E60"/>
    <w:rsid w:val="006F6EA2"/>
    <w:rsid w:val="006F7039"/>
    <w:rsid w:val="006F7049"/>
    <w:rsid w:val="006F70AC"/>
    <w:rsid w:val="006F70E4"/>
    <w:rsid w:val="006F716C"/>
    <w:rsid w:val="006F7182"/>
    <w:rsid w:val="006F7198"/>
    <w:rsid w:val="006F719B"/>
    <w:rsid w:val="006F71FE"/>
    <w:rsid w:val="006F721C"/>
    <w:rsid w:val="006F72EB"/>
    <w:rsid w:val="006F73A1"/>
    <w:rsid w:val="006F73D5"/>
    <w:rsid w:val="006F73E9"/>
    <w:rsid w:val="006F7533"/>
    <w:rsid w:val="006F759D"/>
    <w:rsid w:val="006F75EF"/>
    <w:rsid w:val="006F76B0"/>
    <w:rsid w:val="006F7709"/>
    <w:rsid w:val="006F7715"/>
    <w:rsid w:val="006F77DF"/>
    <w:rsid w:val="006F782D"/>
    <w:rsid w:val="006F78C9"/>
    <w:rsid w:val="006F78D4"/>
    <w:rsid w:val="006F7924"/>
    <w:rsid w:val="006F7996"/>
    <w:rsid w:val="006F7A34"/>
    <w:rsid w:val="006F7A54"/>
    <w:rsid w:val="006F7B4E"/>
    <w:rsid w:val="006F7BA3"/>
    <w:rsid w:val="006F7BF6"/>
    <w:rsid w:val="006F7C86"/>
    <w:rsid w:val="006F7CBB"/>
    <w:rsid w:val="006F7CF4"/>
    <w:rsid w:val="006F7D70"/>
    <w:rsid w:val="006F7DBC"/>
    <w:rsid w:val="006F7E53"/>
    <w:rsid w:val="006F7E7D"/>
    <w:rsid w:val="006F7EA6"/>
    <w:rsid w:val="006F7EB4"/>
    <w:rsid w:val="006F7F2C"/>
    <w:rsid w:val="006F7F69"/>
    <w:rsid w:val="006F7F9E"/>
    <w:rsid w:val="006F7FA5"/>
    <w:rsid w:val="006F7FF7"/>
    <w:rsid w:val="00700039"/>
    <w:rsid w:val="0070014D"/>
    <w:rsid w:val="00700198"/>
    <w:rsid w:val="007001C2"/>
    <w:rsid w:val="00700326"/>
    <w:rsid w:val="00700444"/>
    <w:rsid w:val="007004D3"/>
    <w:rsid w:val="00700588"/>
    <w:rsid w:val="0070058E"/>
    <w:rsid w:val="0070058F"/>
    <w:rsid w:val="007005CF"/>
    <w:rsid w:val="00700669"/>
    <w:rsid w:val="007006BA"/>
    <w:rsid w:val="007006EE"/>
    <w:rsid w:val="0070071A"/>
    <w:rsid w:val="0070078F"/>
    <w:rsid w:val="007007CE"/>
    <w:rsid w:val="00700838"/>
    <w:rsid w:val="00700973"/>
    <w:rsid w:val="0070097B"/>
    <w:rsid w:val="007009C6"/>
    <w:rsid w:val="007009ED"/>
    <w:rsid w:val="00700A06"/>
    <w:rsid w:val="00700A29"/>
    <w:rsid w:val="00700A56"/>
    <w:rsid w:val="00700ABE"/>
    <w:rsid w:val="00700BB1"/>
    <w:rsid w:val="00700C35"/>
    <w:rsid w:val="00700D0F"/>
    <w:rsid w:val="00700D57"/>
    <w:rsid w:val="00700E13"/>
    <w:rsid w:val="00700E30"/>
    <w:rsid w:val="00700E8C"/>
    <w:rsid w:val="00700E8D"/>
    <w:rsid w:val="00700EE0"/>
    <w:rsid w:val="00700F3D"/>
    <w:rsid w:val="00701018"/>
    <w:rsid w:val="0070105C"/>
    <w:rsid w:val="007010F9"/>
    <w:rsid w:val="00701190"/>
    <w:rsid w:val="007012D3"/>
    <w:rsid w:val="007012F4"/>
    <w:rsid w:val="00701329"/>
    <w:rsid w:val="007013ED"/>
    <w:rsid w:val="007013FD"/>
    <w:rsid w:val="00701409"/>
    <w:rsid w:val="00701461"/>
    <w:rsid w:val="007014A0"/>
    <w:rsid w:val="00701647"/>
    <w:rsid w:val="00701903"/>
    <w:rsid w:val="00701915"/>
    <w:rsid w:val="00701997"/>
    <w:rsid w:val="007019DB"/>
    <w:rsid w:val="00701A63"/>
    <w:rsid w:val="00701B3E"/>
    <w:rsid w:val="00701B4E"/>
    <w:rsid w:val="00701C3B"/>
    <w:rsid w:val="00701C8A"/>
    <w:rsid w:val="00701E7E"/>
    <w:rsid w:val="00701E8C"/>
    <w:rsid w:val="00701E96"/>
    <w:rsid w:val="00701EB7"/>
    <w:rsid w:val="00701FC6"/>
    <w:rsid w:val="00701FD4"/>
    <w:rsid w:val="007020CE"/>
    <w:rsid w:val="00702168"/>
    <w:rsid w:val="0070218F"/>
    <w:rsid w:val="007021D8"/>
    <w:rsid w:val="00702297"/>
    <w:rsid w:val="00702305"/>
    <w:rsid w:val="00702311"/>
    <w:rsid w:val="00702399"/>
    <w:rsid w:val="00702450"/>
    <w:rsid w:val="00702451"/>
    <w:rsid w:val="00702466"/>
    <w:rsid w:val="007024E3"/>
    <w:rsid w:val="007024F8"/>
    <w:rsid w:val="0070252E"/>
    <w:rsid w:val="00702562"/>
    <w:rsid w:val="007025B6"/>
    <w:rsid w:val="007025D8"/>
    <w:rsid w:val="007025FF"/>
    <w:rsid w:val="00702638"/>
    <w:rsid w:val="007026C6"/>
    <w:rsid w:val="007026EA"/>
    <w:rsid w:val="00702702"/>
    <w:rsid w:val="007027BD"/>
    <w:rsid w:val="00702894"/>
    <w:rsid w:val="0070289F"/>
    <w:rsid w:val="007029A5"/>
    <w:rsid w:val="00702A4C"/>
    <w:rsid w:val="00702A50"/>
    <w:rsid w:val="00702A5B"/>
    <w:rsid w:val="00702A9B"/>
    <w:rsid w:val="00702B1D"/>
    <w:rsid w:val="00702B54"/>
    <w:rsid w:val="00702B77"/>
    <w:rsid w:val="00702BB2"/>
    <w:rsid w:val="00702C2F"/>
    <w:rsid w:val="00702C3D"/>
    <w:rsid w:val="00702CA0"/>
    <w:rsid w:val="00702D37"/>
    <w:rsid w:val="00702D68"/>
    <w:rsid w:val="00702EA9"/>
    <w:rsid w:val="00702FAA"/>
    <w:rsid w:val="00702FCC"/>
    <w:rsid w:val="00703010"/>
    <w:rsid w:val="00703097"/>
    <w:rsid w:val="00703212"/>
    <w:rsid w:val="00703213"/>
    <w:rsid w:val="00703251"/>
    <w:rsid w:val="00703268"/>
    <w:rsid w:val="00703376"/>
    <w:rsid w:val="00703389"/>
    <w:rsid w:val="00703399"/>
    <w:rsid w:val="007033A6"/>
    <w:rsid w:val="007033AF"/>
    <w:rsid w:val="007033D8"/>
    <w:rsid w:val="007033F3"/>
    <w:rsid w:val="0070346A"/>
    <w:rsid w:val="0070358B"/>
    <w:rsid w:val="007035ED"/>
    <w:rsid w:val="0070361B"/>
    <w:rsid w:val="007036BD"/>
    <w:rsid w:val="007036E7"/>
    <w:rsid w:val="0070374E"/>
    <w:rsid w:val="007037A8"/>
    <w:rsid w:val="007037DA"/>
    <w:rsid w:val="00703955"/>
    <w:rsid w:val="0070396A"/>
    <w:rsid w:val="00703975"/>
    <w:rsid w:val="007039A9"/>
    <w:rsid w:val="007039B0"/>
    <w:rsid w:val="007039FC"/>
    <w:rsid w:val="00703A0E"/>
    <w:rsid w:val="00703A13"/>
    <w:rsid w:val="00703A8D"/>
    <w:rsid w:val="00703BCE"/>
    <w:rsid w:val="00703BE5"/>
    <w:rsid w:val="00703C12"/>
    <w:rsid w:val="00703C67"/>
    <w:rsid w:val="00703D33"/>
    <w:rsid w:val="00703D6A"/>
    <w:rsid w:val="00703D8B"/>
    <w:rsid w:val="00703E60"/>
    <w:rsid w:val="00703ECA"/>
    <w:rsid w:val="00703FC0"/>
    <w:rsid w:val="0070404C"/>
    <w:rsid w:val="0070409C"/>
    <w:rsid w:val="007040E3"/>
    <w:rsid w:val="00704148"/>
    <w:rsid w:val="0070414B"/>
    <w:rsid w:val="00704157"/>
    <w:rsid w:val="00704269"/>
    <w:rsid w:val="0070429E"/>
    <w:rsid w:val="007042BD"/>
    <w:rsid w:val="00704363"/>
    <w:rsid w:val="00704421"/>
    <w:rsid w:val="007044F2"/>
    <w:rsid w:val="0070468F"/>
    <w:rsid w:val="007046D4"/>
    <w:rsid w:val="007046DE"/>
    <w:rsid w:val="00704736"/>
    <w:rsid w:val="00704749"/>
    <w:rsid w:val="0070474A"/>
    <w:rsid w:val="0070478D"/>
    <w:rsid w:val="007047B4"/>
    <w:rsid w:val="007047CD"/>
    <w:rsid w:val="00704855"/>
    <w:rsid w:val="0070485A"/>
    <w:rsid w:val="007048D1"/>
    <w:rsid w:val="00704A1A"/>
    <w:rsid w:val="00704A4B"/>
    <w:rsid w:val="00704B3E"/>
    <w:rsid w:val="00704BAB"/>
    <w:rsid w:val="00704BB8"/>
    <w:rsid w:val="00704C04"/>
    <w:rsid w:val="00704C63"/>
    <w:rsid w:val="00704CB0"/>
    <w:rsid w:val="00704D4A"/>
    <w:rsid w:val="00704D8A"/>
    <w:rsid w:val="00704E8A"/>
    <w:rsid w:val="00704F0D"/>
    <w:rsid w:val="00704F24"/>
    <w:rsid w:val="00704F2D"/>
    <w:rsid w:val="00704F8F"/>
    <w:rsid w:val="00704FEE"/>
    <w:rsid w:val="007051DE"/>
    <w:rsid w:val="0070520E"/>
    <w:rsid w:val="0070521F"/>
    <w:rsid w:val="007052AC"/>
    <w:rsid w:val="007052B0"/>
    <w:rsid w:val="007052F7"/>
    <w:rsid w:val="00705405"/>
    <w:rsid w:val="00705417"/>
    <w:rsid w:val="00705493"/>
    <w:rsid w:val="0070559B"/>
    <w:rsid w:val="007055D1"/>
    <w:rsid w:val="007056D2"/>
    <w:rsid w:val="0070580F"/>
    <w:rsid w:val="007058B2"/>
    <w:rsid w:val="00705908"/>
    <w:rsid w:val="007059E4"/>
    <w:rsid w:val="007059F9"/>
    <w:rsid w:val="00705A38"/>
    <w:rsid w:val="00705A96"/>
    <w:rsid w:val="00705A9D"/>
    <w:rsid w:val="00705B4C"/>
    <w:rsid w:val="00705B56"/>
    <w:rsid w:val="00705BBE"/>
    <w:rsid w:val="00705BE0"/>
    <w:rsid w:val="00705BF7"/>
    <w:rsid w:val="00705C24"/>
    <w:rsid w:val="00705C78"/>
    <w:rsid w:val="00705D2C"/>
    <w:rsid w:val="00705D3A"/>
    <w:rsid w:val="00705DDC"/>
    <w:rsid w:val="00705E42"/>
    <w:rsid w:val="00705E8D"/>
    <w:rsid w:val="00705ED3"/>
    <w:rsid w:val="00705F88"/>
    <w:rsid w:val="00705FA7"/>
    <w:rsid w:val="00705FB8"/>
    <w:rsid w:val="00706004"/>
    <w:rsid w:val="0070602F"/>
    <w:rsid w:val="007060D0"/>
    <w:rsid w:val="007060E0"/>
    <w:rsid w:val="00706191"/>
    <w:rsid w:val="00706229"/>
    <w:rsid w:val="0070623B"/>
    <w:rsid w:val="00706273"/>
    <w:rsid w:val="0070631B"/>
    <w:rsid w:val="0070633B"/>
    <w:rsid w:val="00706350"/>
    <w:rsid w:val="007063A4"/>
    <w:rsid w:val="007063A7"/>
    <w:rsid w:val="00706406"/>
    <w:rsid w:val="0070647C"/>
    <w:rsid w:val="0070649E"/>
    <w:rsid w:val="007064BB"/>
    <w:rsid w:val="007064EF"/>
    <w:rsid w:val="00706529"/>
    <w:rsid w:val="0070652B"/>
    <w:rsid w:val="0070653C"/>
    <w:rsid w:val="0070657F"/>
    <w:rsid w:val="00706615"/>
    <w:rsid w:val="00706638"/>
    <w:rsid w:val="007066B1"/>
    <w:rsid w:val="007066BF"/>
    <w:rsid w:val="00706703"/>
    <w:rsid w:val="007067FC"/>
    <w:rsid w:val="0070682E"/>
    <w:rsid w:val="0070687A"/>
    <w:rsid w:val="00706890"/>
    <w:rsid w:val="007068C1"/>
    <w:rsid w:val="0070694F"/>
    <w:rsid w:val="00706959"/>
    <w:rsid w:val="00706AAA"/>
    <w:rsid w:val="00706B6C"/>
    <w:rsid w:val="00706C11"/>
    <w:rsid w:val="00706C72"/>
    <w:rsid w:val="00706CD1"/>
    <w:rsid w:val="00706F83"/>
    <w:rsid w:val="00706FF8"/>
    <w:rsid w:val="00707213"/>
    <w:rsid w:val="0070721A"/>
    <w:rsid w:val="00707240"/>
    <w:rsid w:val="007073AF"/>
    <w:rsid w:val="007074B8"/>
    <w:rsid w:val="0070757A"/>
    <w:rsid w:val="007075E8"/>
    <w:rsid w:val="007075FE"/>
    <w:rsid w:val="00707688"/>
    <w:rsid w:val="007076AA"/>
    <w:rsid w:val="007076D1"/>
    <w:rsid w:val="00707744"/>
    <w:rsid w:val="0070775A"/>
    <w:rsid w:val="007077E6"/>
    <w:rsid w:val="007077F8"/>
    <w:rsid w:val="00707924"/>
    <w:rsid w:val="00707989"/>
    <w:rsid w:val="00707A77"/>
    <w:rsid w:val="00707B4C"/>
    <w:rsid w:val="00707BA4"/>
    <w:rsid w:val="00707BB2"/>
    <w:rsid w:val="00707BF7"/>
    <w:rsid w:val="00707C12"/>
    <w:rsid w:val="00707C97"/>
    <w:rsid w:val="00707D2F"/>
    <w:rsid w:val="00707E74"/>
    <w:rsid w:val="00707E97"/>
    <w:rsid w:val="00707EE7"/>
    <w:rsid w:val="00707F19"/>
    <w:rsid w:val="00707F2B"/>
    <w:rsid w:val="00707F2E"/>
    <w:rsid w:val="00707F3D"/>
    <w:rsid w:val="00707F5A"/>
    <w:rsid w:val="00707FBE"/>
    <w:rsid w:val="00710022"/>
    <w:rsid w:val="007100B9"/>
    <w:rsid w:val="007100E8"/>
    <w:rsid w:val="00710126"/>
    <w:rsid w:val="00710136"/>
    <w:rsid w:val="00710153"/>
    <w:rsid w:val="0071015F"/>
    <w:rsid w:val="00710161"/>
    <w:rsid w:val="00710364"/>
    <w:rsid w:val="00710458"/>
    <w:rsid w:val="007104B9"/>
    <w:rsid w:val="0071061C"/>
    <w:rsid w:val="007106B0"/>
    <w:rsid w:val="00710758"/>
    <w:rsid w:val="0071077A"/>
    <w:rsid w:val="0071087C"/>
    <w:rsid w:val="00710887"/>
    <w:rsid w:val="0071096F"/>
    <w:rsid w:val="007109FE"/>
    <w:rsid w:val="00710B16"/>
    <w:rsid w:val="00710B19"/>
    <w:rsid w:val="00710B55"/>
    <w:rsid w:val="00710B5F"/>
    <w:rsid w:val="00710B9A"/>
    <w:rsid w:val="00710C01"/>
    <w:rsid w:val="00710C07"/>
    <w:rsid w:val="00710C54"/>
    <w:rsid w:val="00710C5C"/>
    <w:rsid w:val="00710CF5"/>
    <w:rsid w:val="00710D29"/>
    <w:rsid w:val="00710EB0"/>
    <w:rsid w:val="00710F39"/>
    <w:rsid w:val="00710F6A"/>
    <w:rsid w:val="00710F9F"/>
    <w:rsid w:val="00710FBE"/>
    <w:rsid w:val="00711030"/>
    <w:rsid w:val="0071108C"/>
    <w:rsid w:val="007110A5"/>
    <w:rsid w:val="00711154"/>
    <w:rsid w:val="007111A7"/>
    <w:rsid w:val="00711215"/>
    <w:rsid w:val="007112D3"/>
    <w:rsid w:val="007112EB"/>
    <w:rsid w:val="0071130B"/>
    <w:rsid w:val="00711346"/>
    <w:rsid w:val="00711369"/>
    <w:rsid w:val="007113F9"/>
    <w:rsid w:val="0071141C"/>
    <w:rsid w:val="00711533"/>
    <w:rsid w:val="00711543"/>
    <w:rsid w:val="00711603"/>
    <w:rsid w:val="00711623"/>
    <w:rsid w:val="007116EB"/>
    <w:rsid w:val="0071173D"/>
    <w:rsid w:val="00711782"/>
    <w:rsid w:val="00711783"/>
    <w:rsid w:val="007118BA"/>
    <w:rsid w:val="0071193E"/>
    <w:rsid w:val="00711A4F"/>
    <w:rsid w:val="00711A55"/>
    <w:rsid w:val="00711A7F"/>
    <w:rsid w:val="00711A89"/>
    <w:rsid w:val="00711A8F"/>
    <w:rsid w:val="00711C57"/>
    <w:rsid w:val="00711C6E"/>
    <w:rsid w:val="00711C82"/>
    <w:rsid w:val="00711C94"/>
    <w:rsid w:val="00711CA0"/>
    <w:rsid w:val="00711CFA"/>
    <w:rsid w:val="00711D86"/>
    <w:rsid w:val="00711DA3"/>
    <w:rsid w:val="00711DFD"/>
    <w:rsid w:val="00711E16"/>
    <w:rsid w:val="00711E58"/>
    <w:rsid w:val="00711EE9"/>
    <w:rsid w:val="00711FE9"/>
    <w:rsid w:val="00711FFC"/>
    <w:rsid w:val="0071209B"/>
    <w:rsid w:val="007120D6"/>
    <w:rsid w:val="0071220C"/>
    <w:rsid w:val="00712264"/>
    <w:rsid w:val="007122DE"/>
    <w:rsid w:val="007123EF"/>
    <w:rsid w:val="0071241C"/>
    <w:rsid w:val="0071244F"/>
    <w:rsid w:val="0071258E"/>
    <w:rsid w:val="00712658"/>
    <w:rsid w:val="00712663"/>
    <w:rsid w:val="007127B6"/>
    <w:rsid w:val="007127D0"/>
    <w:rsid w:val="00712875"/>
    <w:rsid w:val="007128EA"/>
    <w:rsid w:val="007129CA"/>
    <w:rsid w:val="007129D2"/>
    <w:rsid w:val="007129DE"/>
    <w:rsid w:val="00712A62"/>
    <w:rsid w:val="00712B7D"/>
    <w:rsid w:val="00712B8D"/>
    <w:rsid w:val="00712E20"/>
    <w:rsid w:val="00712E5F"/>
    <w:rsid w:val="00712E91"/>
    <w:rsid w:val="00712EA2"/>
    <w:rsid w:val="00712EAC"/>
    <w:rsid w:val="00712ECC"/>
    <w:rsid w:val="00712EDA"/>
    <w:rsid w:val="00712F74"/>
    <w:rsid w:val="0071309D"/>
    <w:rsid w:val="007130AC"/>
    <w:rsid w:val="007130D6"/>
    <w:rsid w:val="0071312C"/>
    <w:rsid w:val="00713179"/>
    <w:rsid w:val="00713191"/>
    <w:rsid w:val="007131E3"/>
    <w:rsid w:val="00713256"/>
    <w:rsid w:val="0071328B"/>
    <w:rsid w:val="00713300"/>
    <w:rsid w:val="00713337"/>
    <w:rsid w:val="007133F3"/>
    <w:rsid w:val="007133FA"/>
    <w:rsid w:val="0071344E"/>
    <w:rsid w:val="007134A1"/>
    <w:rsid w:val="00713561"/>
    <w:rsid w:val="0071358A"/>
    <w:rsid w:val="0071365B"/>
    <w:rsid w:val="007136D3"/>
    <w:rsid w:val="0071375E"/>
    <w:rsid w:val="0071380C"/>
    <w:rsid w:val="00713871"/>
    <w:rsid w:val="00713998"/>
    <w:rsid w:val="007139E8"/>
    <w:rsid w:val="00713A40"/>
    <w:rsid w:val="00713A98"/>
    <w:rsid w:val="00713AEF"/>
    <w:rsid w:val="00713B3E"/>
    <w:rsid w:val="00713B59"/>
    <w:rsid w:val="00713B98"/>
    <w:rsid w:val="00713BCF"/>
    <w:rsid w:val="00713BDC"/>
    <w:rsid w:val="00713C7E"/>
    <w:rsid w:val="00713CB9"/>
    <w:rsid w:val="00713D26"/>
    <w:rsid w:val="00713D4A"/>
    <w:rsid w:val="00713D68"/>
    <w:rsid w:val="00713D86"/>
    <w:rsid w:val="00713DAA"/>
    <w:rsid w:val="00713E1C"/>
    <w:rsid w:val="00713E4A"/>
    <w:rsid w:val="00713EB0"/>
    <w:rsid w:val="00713EC7"/>
    <w:rsid w:val="00713EE1"/>
    <w:rsid w:val="00713F0D"/>
    <w:rsid w:val="00713FF3"/>
    <w:rsid w:val="00713FF5"/>
    <w:rsid w:val="00714025"/>
    <w:rsid w:val="00714054"/>
    <w:rsid w:val="00714075"/>
    <w:rsid w:val="00714240"/>
    <w:rsid w:val="00714261"/>
    <w:rsid w:val="007142D2"/>
    <w:rsid w:val="00714302"/>
    <w:rsid w:val="007143B4"/>
    <w:rsid w:val="007143D4"/>
    <w:rsid w:val="0071441D"/>
    <w:rsid w:val="0071449C"/>
    <w:rsid w:val="00714530"/>
    <w:rsid w:val="00714558"/>
    <w:rsid w:val="007145C0"/>
    <w:rsid w:val="007145DB"/>
    <w:rsid w:val="007145F0"/>
    <w:rsid w:val="007146C0"/>
    <w:rsid w:val="00714795"/>
    <w:rsid w:val="007148BB"/>
    <w:rsid w:val="007148EA"/>
    <w:rsid w:val="00714AA3"/>
    <w:rsid w:val="00714B62"/>
    <w:rsid w:val="00714BB7"/>
    <w:rsid w:val="00714C23"/>
    <w:rsid w:val="00714C67"/>
    <w:rsid w:val="00714D85"/>
    <w:rsid w:val="00714E66"/>
    <w:rsid w:val="00714E69"/>
    <w:rsid w:val="00714EAF"/>
    <w:rsid w:val="00714F05"/>
    <w:rsid w:val="00714F55"/>
    <w:rsid w:val="00714FBD"/>
    <w:rsid w:val="0071500C"/>
    <w:rsid w:val="00715024"/>
    <w:rsid w:val="00715088"/>
    <w:rsid w:val="007150C3"/>
    <w:rsid w:val="007150F6"/>
    <w:rsid w:val="007151D1"/>
    <w:rsid w:val="007151E5"/>
    <w:rsid w:val="007151E9"/>
    <w:rsid w:val="00715224"/>
    <w:rsid w:val="0071522D"/>
    <w:rsid w:val="0071525D"/>
    <w:rsid w:val="00715276"/>
    <w:rsid w:val="007152C7"/>
    <w:rsid w:val="00715311"/>
    <w:rsid w:val="00715397"/>
    <w:rsid w:val="007153A6"/>
    <w:rsid w:val="007153F5"/>
    <w:rsid w:val="00715401"/>
    <w:rsid w:val="007154C3"/>
    <w:rsid w:val="007154FF"/>
    <w:rsid w:val="00715505"/>
    <w:rsid w:val="0071551D"/>
    <w:rsid w:val="0071557D"/>
    <w:rsid w:val="007155B3"/>
    <w:rsid w:val="007155DD"/>
    <w:rsid w:val="00715659"/>
    <w:rsid w:val="0071581F"/>
    <w:rsid w:val="00715859"/>
    <w:rsid w:val="00715881"/>
    <w:rsid w:val="007158A4"/>
    <w:rsid w:val="00715A2D"/>
    <w:rsid w:val="00715ADE"/>
    <w:rsid w:val="00715BFF"/>
    <w:rsid w:val="00715C22"/>
    <w:rsid w:val="00715CD3"/>
    <w:rsid w:val="00715E31"/>
    <w:rsid w:val="00715E41"/>
    <w:rsid w:val="00715E98"/>
    <w:rsid w:val="00715E9B"/>
    <w:rsid w:val="00715EB3"/>
    <w:rsid w:val="00715EB6"/>
    <w:rsid w:val="00715F68"/>
    <w:rsid w:val="00715FCB"/>
    <w:rsid w:val="0071601E"/>
    <w:rsid w:val="0071607B"/>
    <w:rsid w:val="007160D0"/>
    <w:rsid w:val="007160E3"/>
    <w:rsid w:val="0071610D"/>
    <w:rsid w:val="00716134"/>
    <w:rsid w:val="00716371"/>
    <w:rsid w:val="0071639D"/>
    <w:rsid w:val="00716424"/>
    <w:rsid w:val="00716524"/>
    <w:rsid w:val="00716556"/>
    <w:rsid w:val="00716590"/>
    <w:rsid w:val="00716654"/>
    <w:rsid w:val="00716660"/>
    <w:rsid w:val="0071669C"/>
    <w:rsid w:val="00716702"/>
    <w:rsid w:val="00716709"/>
    <w:rsid w:val="00716866"/>
    <w:rsid w:val="0071688B"/>
    <w:rsid w:val="00716970"/>
    <w:rsid w:val="00716B34"/>
    <w:rsid w:val="00716BE1"/>
    <w:rsid w:val="00716C20"/>
    <w:rsid w:val="00716C3E"/>
    <w:rsid w:val="00716C8B"/>
    <w:rsid w:val="00716D9A"/>
    <w:rsid w:val="00716E13"/>
    <w:rsid w:val="00716E6D"/>
    <w:rsid w:val="00716F34"/>
    <w:rsid w:val="00717013"/>
    <w:rsid w:val="0071704C"/>
    <w:rsid w:val="007170D4"/>
    <w:rsid w:val="00717139"/>
    <w:rsid w:val="007171F4"/>
    <w:rsid w:val="00717292"/>
    <w:rsid w:val="007172B9"/>
    <w:rsid w:val="00717380"/>
    <w:rsid w:val="007173DE"/>
    <w:rsid w:val="0071744B"/>
    <w:rsid w:val="007174F6"/>
    <w:rsid w:val="007175A8"/>
    <w:rsid w:val="00717603"/>
    <w:rsid w:val="0071768C"/>
    <w:rsid w:val="00717699"/>
    <w:rsid w:val="00717703"/>
    <w:rsid w:val="0071774E"/>
    <w:rsid w:val="0071777B"/>
    <w:rsid w:val="0071780A"/>
    <w:rsid w:val="00717877"/>
    <w:rsid w:val="007178A9"/>
    <w:rsid w:val="007178B1"/>
    <w:rsid w:val="007178D1"/>
    <w:rsid w:val="0071792C"/>
    <w:rsid w:val="007179F7"/>
    <w:rsid w:val="00717A4A"/>
    <w:rsid w:val="00717B56"/>
    <w:rsid w:val="00717B66"/>
    <w:rsid w:val="00717B9E"/>
    <w:rsid w:val="00717C2B"/>
    <w:rsid w:val="00717D45"/>
    <w:rsid w:val="00717DEF"/>
    <w:rsid w:val="00717DF5"/>
    <w:rsid w:val="00717E2D"/>
    <w:rsid w:val="00717E39"/>
    <w:rsid w:val="00717E92"/>
    <w:rsid w:val="00717EA8"/>
    <w:rsid w:val="00717F44"/>
    <w:rsid w:val="00717F46"/>
    <w:rsid w:val="00717F98"/>
    <w:rsid w:val="0072001B"/>
    <w:rsid w:val="007200BD"/>
    <w:rsid w:val="00720189"/>
    <w:rsid w:val="007202A1"/>
    <w:rsid w:val="007203B3"/>
    <w:rsid w:val="007203C7"/>
    <w:rsid w:val="0072045C"/>
    <w:rsid w:val="0072046A"/>
    <w:rsid w:val="00720613"/>
    <w:rsid w:val="00720626"/>
    <w:rsid w:val="00720681"/>
    <w:rsid w:val="00720726"/>
    <w:rsid w:val="0072076F"/>
    <w:rsid w:val="00720798"/>
    <w:rsid w:val="00720914"/>
    <w:rsid w:val="0072093B"/>
    <w:rsid w:val="00720943"/>
    <w:rsid w:val="00720946"/>
    <w:rsid w:val="007209BE"/>
    <w:rsid w:val="007209FD"/>
    <w:rsid w:val="00720A8C"/>
    <w:rsid w:val="00720A90"/>
    <w:rsid w:val="00720C03"/>
    <w:rsid w:val="00720CD3"/>
    <w:rsid w:val="00720EB3"/>
    <w:rsid w:val="00720EE4"/>
    <w:rsid w:val="00720EE6"/>
    <w:rsid w:val="00720F62"/>
    <w:rsid w:val="0072111A"/>
    <w:rsid w:val="00721126"/>
    <w:rsid w:val="0072114B"/>
    <w:rsid w:val="00721186"/>
    <w:rsid w:val="007211A4"/>
    <w:rsid w:val="007211E0"/>
    <w:rsid w:val="007211EA"/>
    <w:rsid w:val="007212DB"/>
    <w:rsid w:val="007212FE"/>
    <w:rsid w:val="0072131A"/>
    <w:rsid w:val="00721499"/>
    <w:rsid w:val="007214EB"/>
    <w:rsid w:val="00721523"/>
    <w:rsid w:val="0072152A"/>
    <w:rsid w:val="0072153A"/>
    <w:rsid w:val="0072155D"/>
    <w:rsid w:val="007215CE"/>
    <w:rsid w:val="00721622"/>
    <w:rsid w:val="007216A8"/>
    <w:rsid w:val="00721762"/>
    <w:rsid w:val="00721777"/>
    <w:rsid w:val="0072184D"/>
    <w:rsid w:val="007219A3"/>
    <w:rsid w:val="00721A64"/>
    <w:rsid w:val="00721B27"/>
    <w:rsid w:val="00721B29"/>
    <w:rsid w:val="00721B59"/>
    <w:rsid w:val="00721BAA"/>
    <w:rsid w:val="00721BB6"/>
    <w:rsid w:val="00721BE0"/>
    <w:rsid w:val="00721CD1"/>
    <w:rsid w:val="00721CE4"/>
    <w:rsid w:val="00721D3E"/>
    <w:rsid w:val="00721D4F"/>
    <w:rsid w:val="00721DBB"/>
    <w:rsid w:val="00721E59"/>
    <w:rsid w:val="00721E7B"/>
    <w:rsid w:val="00721F52"/>
    <w:rsid w:val="00721F8F"/>
    <w:rsid w:val="00721FBB"/>
    <w:rsid w:val="00722046"/>
    <w:rsid w:val="007220C0"/>
    <w:rsid w:val="00722194"/>
    <w:rsid w:val="007221A2"/>
    <w:rsid w:val="007221BE"/>
    <w:rsid w:val="007221E3"/>
    <w:rsid w:val="007221F5"/>
    <w:rsid w:val="00722280"/>
    <w:rsid w:val="00722286"/>
    <w:rsid w:val="007222B4"/>
    <w:rsid w:val="007222EF"/>
    <w:rsid w:val="0072233C"/>
    <w:rsid w:val="00722388"/>
    <w:rsid w:val="0072239C"/>
    <w:rsid w:val="007223B0"/>
    <w:rsid w:val="0072241D"/>
    <w:rsid w:val="00722439"/>
    <w:rsid w:val="00722443"/>
    <w:rsid w:val="00722445"/>
    <w:rsid w:val="0072244A"/>
    <w:rsid w:val="00722497"/>
    <w:rsid w:val="007224A6"/>
    <w:rsid w:val="007224B7"/>
    <w:rsid w:val="00722512"/>
    <w:rsid w:val="00722515"/>
    <w:rsid w:val="00722546"/>
    <w:rsid w:val="007225E2"/>
    <w:rsid w:val="0072264D"/>
    <w:rsid w:val="0072277C"/>
    <w:rsid w:val="00722783"/>
    <w:rsid w:val="00722878"/>
    <w:rsid w:val="007228F1"/>
    <w:rsid w:val="00722907"/>
    <w:rsid w:val="0072299D"/>
    <w:rsid w:val="00722A23"/>
    <w:rsid w:val="00722A47"/>
    <w:rsid w:val="00722A5F"/>
    <w:rsid w:val="00722AB5"/>
    <w:rsid w:val="00722B18"/>
    <w:rsid w:val="00722B24"/>
    <w:rsid w:val="00722B26"/>
    <w:rsid w:val="00722BF2"/>
    <w:rsid w:val="00722C74"/>
    <w:rsid w:val="00722CB3"/>
    <w:rsid w:val="00722CCE"/>
    <w:rsid w:val="00722D56"/>
    <w:rsid w:val="00722D7D"/>
    <w:rsid w:val="00722DC1"/>
    <w:rsid w:val="00722EC6"/>
    <w:rsid w:val="00722F1D"/>
    <w:rsid w:val="00722FDD"/>
    <w:rsid w:val="00723092"/>
    <w:rsid w:val="007230EC"/>
    <w:rsid w:val="007231C8"/>
    <w:rsid w:val="007231FB"/>
    <w:rsid w:val="00723253"/>
    <w:rsid w:val="00723270"/>
    <w:rsid w:val="0072332B"/>
    <w:rsid w:val="0072333A"/>
    <w:rsid w:val="00723341"/>
    <w:rsid w:val="00723452"/>
    <w:rsid w:val="0072347E"/>
    <w:rsid w:val="0072348F"/>
    <w:rsid w:val="00723597"/>
    <w:rsid w:val="00723694"/>
    <w:rsid w:val="007237AC"/>
    <w:rsid w:val="0072384B"/>
    <w:rsid w:val="0072388B"/>
    <w:rsid w:val="007238A2"/>
    <w:rsid w:val="007238F7"/>
    <w:rsid w:val="007239A6"/>
    <w:rsid w:val="007239BF"/>
    <w:rsid w:val="00723AFD"/>
    <w:rsid w:val="00723B1C"/>
    <w:rsid w:val="00723CDF"/>
    <w:rsid w:val="00723D0A"/>
    <w:rsid w:val="00723D50"/>
    <w:rsid w:val="00723D82"/>
    <w:rsid w:val="00723DA8"/>
    <w:rsid w:val="00723DAD"/>
    <w:rsid w:val="00723E23"/>
    <w:rsid w:val="00723E8A"/>
    <w:rsid w:val="00723EEF"/>
    <w:rsid w:val="00723F6B"/>
    <w:rsid w:val="00723F9D"/>
    <w:rsid w:val="00723FA6"/>
    <w:rsid w:val="00723FE8"/>
    <w:rsid w:val="007240D8"/>
    <w:rsid w:val="00724185"/>
    <w:rsid w:val="0072418F"/>
    <w:rsid w:val="007241A6"/>
    <w:rsid w:val="007241C7"/>
    <w:rsid w:val="007241E9"/>
    <w:rsid w:val="007242B7"/>
    <w:rsid w:val="007242F9"/>
    <w:rsid w:val="00724319"/>
    <w:rsid w:val="0072431C"/>
    <w:rsid w:val="00724338"/>
    <w:rsid w:val="0072438F"/>
    <w:rsid w:val="007244C4"/>
    <w:rsid w:val="00724552"/>
    <w:rsid w:val="0072461A"/>
    <w:rsid w:val="00724630"/>
    <w:rsid w:val="007246E5"/>
    <w:rsid w:val="007247EE"/>
    <w:rsid w:val="00724809"/>
    <w:rsid w:val="0072482E"/>
    <w:rsid w:val="007248C9"/>
    <w:rsid w:val="007248F6"/>
    <w:rsid w:val="007249DC"/>
    <w:rsid w:val="00724AD4"/>
    <w:rsid w:val="00724B1F"/>
    <w:rsid w:val="00724BBD"/>
    <w:rsid w:val="00724BED"/>
    <w:rsid w:val="00724DD2"/>
    <w:rsid w:val="00724DEF"/>
    <w:rsid w:val="00724E60"/>
    <w:rsid w:val="00724EDB"/>
    <w:rsid w:val="00724F07"/>
    <w:rsid w:val="00724F16"/>
    <w:rsid w:val="00724F7D"/>
    <w:rsid w:val="0072514D"/>
    <w:rsid w:val="00725167"/>
    <w:rsid w:val="0072517E"/>
    <w:rsid w:val="007251D2"/>
    <w:rsid w:val="007251D4"/>
    <w:rsid w:val="0072520A"/>
    <w:rsid w:val="0072522E"/>
    <w:rsid w:val="00725260"/>
    <w:rsid w:val="00725356"/>
    <w:rsid w:val="00725428"/>
    <w:rsid w:val="00725497"/>
    <w:rsid w:val="00725703"/>
    <w:rsid w:val="007257B6"/>
    <w:rsid w:val="007257D6"/>
    <w:rsid w:val="007257DB"/>
    <w:rsid w:val="00725911"/>
    <w:rsid w:val="00725947"/>
    <w:rsid w:val="007259AC"/>
    <w:rsid w:val="00725AC3"/>
    <w:rsid w:val="00725B15"/>
    <w:rsid w:val="00725C0B"/>
    <w:rsid w:val="00725C11"/>
    <w:rsid w:val="00725D11"/>
    <w:rsid w:val="00725EB3"/>
    <w:rsid w:val="00725F5B"/>
    <w:rsid w:val="00726040"/>
    <w:rsid w:val="0072608C"/>
    <w:rsid w:val="007260CE"/>
    <w:rsid w:val="0072616D"/>
    <w:rsid w:val="00726180"/>
    <w:rsid w:val="007261BD"/>
    <w:rsid w:val="007261DB"/>
    <w:rsid w:val="00726273"/>
    <w:rsid w:val="007262AF"/>
    <w:rsid w:val="007262C6"/>
    <w:rsid w:val="00726379"/>
    <w:rsid w:val="007265CC"/>
    <w:rsid w:val="0072663F"/>
    <w:rsid w:val="0072668C"/>
    <w:rsid w:val="007266CF"/>
    <w:rsid w:val="00726764"/>
    <w:rsid w:val="00726774"/>
    <w:rsid w:val="007267C4"/>
    <w:rsid w:val="00726812"/>
    <w:rsid w:val="00726B7D"/>
    <w:rsid w:val="00726BBD"/>
    <w:rsid w:val="00726BE7"/>
    <w:rsid w:val="00726C2D"/>
    <w:rsid w:val="00726C3E"/>
    <w:rsid w:val="00726C7A"/>
    <w:rsid w:val="00726CB7"/>
    <w:rsid w:val="00726CDB"/>
    <w:rsid w:val="00726D14"/>
    <w:rsid w:val="00726E1F"/>
    <w:rsid w:val="00726E9D"/>
    <w:rsid w:val="00726EE9"/>
    <w:rsid w:val="00726F5A"/>
    <w:rsid w:val="00726F99"/>
    <w:rsid w:val="00726FA2"/>
    <w:rsid w:val="00727058"/>
    <w:rsid w:val="007270C6"/>
    <w:rsid w:val="00727124"/>
    <w:rsid w:val="007271D5"/>
    <w:rsid w:val="007272B6"/>
    <w:rsid w:val="00727348"/>
    <w:rsid w:val="007274D1"/>
    <w:rsid w:val="007274F4"/>
    <w:rsid w:val="00727532"/>
    <w:rsid w:val="00727558"/>
    <w:rsid w:val="007275F8"/>
    <w:rsid w:val="00727648"/>
    <w:rsid w:val="007276D5"/>
    <w:rsid w:val="00727786"/>
    <w:rsid w:val="007277FD"/>
    <w:rsid w:val="0072791C"/>
    <w:rsid w:val="0072797F"/>
    <w:rsid w:val="007279BC"/>
    <w:rsid w:val="007279F2"/>
    <w:rsid w:val="007279FC"/>
    <w:rsid w:val="00727A58"/>
    <w:rsid w:val="00727A84"/>
    <w:rsid w:val="00727ABB"/>
    <w:rsid w:val="00727AF8"/>
    <w:rsid w:val="00727B0F"/>
    <w:rsid w:val="00727C15"/>
    <w:rsid w:val="00727CC3"/>
    <w:rsid w:val="00727D46"/>
    <w:rsid w:val="00727D91"/>
    <w:rsid w:val="00727DBF"/>
    <w:rsid w:val="00727DE7"/>
    <w:rsid w:val="00727ED9"/>
    <w:rsid w:val="00727F4C"/>
    <w:rsid w:val="00727FFD"/>
    <w:rsid w:val="0073003D"/>
    <w:rsid w:val="007300BC"/>
    <w:rsid w:val="007301D7"/>
    <w:rsid w:val="00730275"/>
    <w:rsid w:val="007303BF"/>
    <w:rsid w:val="007304B2"/>
    <w:rsid w:val="007304EA"/>
    <w:rsid w:val="007305EE"/>
    <w:rsid w:val="0073061A"/>
    <w:rsid w:val="00730628"/>
    <w:rsid w:val="007306A3"/>
    <w:rsid w:val="007306D0"/>
    <w:rsid w:val="007306E9"/>
    <w:rsid w:val="0073074B"/>
    <w:rsid w:val="00730792"/>
    <w:rsid w:val="007307DE"/>
    <w:rsid w:val="00730828"/>
    <w:rsid w:val="0073088A"/>
    <w:rsid w:val="007308DA"/>
    <w:rsid w:val="0073093B"/>
    <w:rsid w:val="0073095A"/>
    <w:rsid w:val="0073099F"/>
    <w:rsid w:val="007309BB"/>
    <w:rsid w:val="00730A92"/>
    <w:rsid w:val="00730AD0"/>
    <w:rsid w:val="00730C6C"/>
    <w:rsid w:val="00730CCF"/>
    <w:rsid w:val="00730D70"/>
    <w:rsid w:val="00730F20"/>
    <w:rsid w:val="00730F89"/>
    <w:rsid w:val="00730FB7"/>
    <w:rsid w:val="00730FE3"/>
    <w:rsid w:val="00731056"/>
    <w:rsid w:val="00731065"/>
    <w:rsid w:val="0073107A"/>
    <w:rsid w:val="0073114D"/>
    <w:rsid w:val="00731323"/>
    <w:rsid w:val="00731391"/>
    <w:rsid w:val="00731429"/>
    <w:rsid w:val="007315AC"/>
    <w:rsid w:val="0073165E"/>
    <w:rsid w:val="0073175E"/>
    <w:rsid w:val="00731781"/>
    <w:rsid w:val="007318A9"/>
    <w:rsid w:val="007318F3"/>
    <w:rsid w:val="00731901"/>
    <w:rsid w:val="00731911"/>
    <w:rsid w:val="00731B59"/>
    <w:rsid w:val="00731BB7"/>
    <w:rsid w:val="00731C3C"/>
    <w:rsid w:val="00731C8A"/>
    <w:rsid w:val="00731CA3"/>
    <w:rsid w:val="00731D05"/>
    <w:rsid w:val="00731D5E"/>
    <w:rsid w:val="00731D7A"/>
    <w:rsid w:val="00731DDF"/>
    <w:rsid w:val="00731E14"/>
    <w:rsid w:val="00731EC7"/>
    <w:rsid w:val="00731EF0"/>
    <w:rsid w:val="00731EFF"/>
    <w:rsid w:val="00731F65"/>
    <w:rsid w:val="00731F88"/>
    <w:rsid w:val="00731F9F"/>
    <w:rsid w:val="00731FBB"/>
    <w:rsid w:val="00731FBE"/>
    <w:rsid w:val="00731FC7"/>
    <w:rsid w:val="00731FF1"/>
    <w:rsid w:val="00732096"/>
    <w:rsid w:val="00732111"/>
    <w:rsid w:val="00732152"/>
    <w:rsid w:val="00732158"/>
    <w:rsid w:val="007321EC"/>
    <w:rsid w:val="00732259"/>
    <w:rsid w:val="007322F6"/>
    <w:rsid w:val="00732354"/>
    <w:rsid w:val="0073241E"/>
    <w:rsid w:val="0073249E"/>
    <w:rsid w:val="0073257E"/>
    <w:rsid w:val="00732587"/>
    <w:rsid w:val="00732595"/>
    <w:rsid w:val="007325EF"/>
    <w:rsid w:val="0073279D"/>
    <w:rsid w:val="00732855"/>
    <w:rsid w:val="007328DC"/>
    <w:rsid w:val="0073297E"/>
    <w:rsid w:val="007329A3"/>
    <w:rsid w:val="007329C1"/>
    <w:rsid w:val="00732A92"/>
    <w:rsid w:val="00732B99"/>
    <w:rsid w:val="00732BCE"/>
    <w:rsid w:val="00732CD1"/>
    <w:rsid w:val="00732D99"/>
    <w:rsid w:val="00732DB5"/>
    <w:rsid w:val="00732DE0"/>
    <w:rsid w:val="00732EBD"/>
    <w:rsid w:val="00732F16"/>
    <w:rsid w:val="00732F63"/>
    <w:rsid w:val="00733036"/>
    <w:rsid w:val="00733208"/>
    <w:rsid w:val="007332A2"/>
    <w:rsid w:val="0073339F"/>
    <w:rsid w:val="007333A7"/>
    <w:rsid w:val="007333B3"/>
    <w:rsid w:val="00733533"/>
    <w:rsid w:val="00733562"/>
    <w:rsid w:val="007335D0"/>
    <w:rsid w:val="0073363D"/>
    <w:rsid w:val="0073363F"/>
    <w:rsid w:val="00733699"/>
    <w:rsid w:val="00733746"/>
    <w:rsid w:val="007337E0"/>
    <w:rsid w:val="007337F9"/>
    <w:rsid w:val="0073384B"/>
    <w:rsid w:val="00733984"/>
    <w:rsid w:val="00733AB0"/>
    <w:rsid w:val="00733BEE"/>
    <w:rsid w:val="00733C26"/>
    <w:rsid w:val="00733C8E"/>
    <w:rsid w:val="00733CB7"/>
    <w:rsid w:val="00733CC6"/>
    <w:rsid w:val="00733CEE"/>
    <w:rsid w:val="00733D75"/>
    <w:rsid w:val="00733DC2"/>
    <w:rsid w:val="00733E34"/>
    <w:rsid w:val="00733F3D"/>
    <w:rsid w:val="00733F8A"/>
    <w:rsid w:val="00733FAE"/>
    <w:rsid w:val="007340B8"/>
    <w:rsid w:val="0073410B"/>
    <w:rsid w:val="00734144"/>
    <w:rsid w:val="00734339"/>
    <w:rsid w:val="00734396"/>
    <w:rsid w:val="007343A7"/>
    <w:rsid w:val="007343CC"/>
    <w:rsid w:val="007343F7"/>
    <w:rsid w:val="0073444F"/>
    <w:rsid w:val="0073451D"/>
    <w:rsid w:val="00734590"/>
    <w:rsid w:val="007345E1"/>
    <w:rsid w:val="00734640"/>
    <w:rsid w:val="00734697"/>
    <w:rsid w:val="007346CD"/>
    <w:rsid w:val="007346DE"/>
    <w:rsid w:val="0073496E"/>
    <w:rsid w:val="00734979"/>
    <w:rsid w:val="00734A1D"/>
    <w:rsid w:val="00734D34"/>
    <w:rsid w:val="00734D3C"/>
    <w:rsid w:val="00734D94"/>
    <w:rsid w:val="00734DA8"/>
    <w:rsid w:val="00734E29"/>
    <w:rsid w:val="00734E4B"/>
    <w:rsid w:val="00734EC4"/>
    <w:rsid w:val="00734F83"/>
    <w:rsid w:val="00735129"/>
    <w:rsid w:val="00735188"/>
    <w:rsid w:val="0073529D"/>
    <w:rsid w:val="00735320"/>
    <w:rsid w:val="007354A7"/>
    <w:rsid w:val="007355EC"/>
    <w:rsid w:val="0073566E"/>
    <w:rsid w:val="00735765"/>
    <w:rsid w:val="00735770"/>
    <w:rsid w:val="007357AA"/>
    <w:rsid w:val="007357F0"/>
    <w:rsid w:val="007357F7"/>
    <w:rsid w:val="00735A27"/>
    <w:rsid w:val="00735A7D"/>
    <w:rsid w:val="00735AC3"/>
    <w:rsid w:val="00735AED"/>
    <w:rsid w:val="00735B15"/>
    <w:rsid w:val="00735B48"/>
    <w:rsid w:val="00735C89"/>
    <w:rsid w:val="00735F67"/>
    <w:rsid w:val="0073606C"/>
    <w:rsid w:val="00736116"/>
    <w:rsid w:val="0073613B"/>
    <w:rsid w:val="00736177"/>
    <w:rsid w:val="007361DC"/>
    <w:rsid w:val="00736211"/>
    <w:rsid w:val="0073624F"/>
    <w:rsid w:val="00736271"/>
    <w:rsid w:val="00736340"/>
    <w:rsid w:val="00736469"/>
    <w:rsid w:val="007364B6"/>
    <w:rsid w:val="00736545"/>
    <w:rsid w:val="007365D1"/>
    <w:rsid w:val="007365F3"/>
    <w:rsid w:val="007366D2"/>
    <w:rsid w:val="00736704"/>
    <w:rsid w:val="00736766"/>
    <w:rsid w:val="007367A4"/>
    <w:rsid w:val="007367E1"/>
    <w:rsid w:val="0073681F"/>
    <w:rsid w:val="00736839"/>
    <w:rsid w:val="0073686D"/>
    <w:rsid w:val="00736A01"/>
    <w:rsid w:val="00736A9E"/>
    <w:rsid w:val="00736B5D"/>
    <w:rsid w:val="00736BC7"/>
    <w:rsid w:val="00736C05"/>
    <w:rsid w:val="00736C0C"/>
    <w:rsid w:val="00736C58"/>
    <w:rsid w:val="00736C73"/>
    <w:rsid w:val="00736C85"/>
    <w:rsid w:val="00736CFF"/>
    <w:rsid w:val="00736D32"/>
    <w:rsid w:val="00736E0B"/>
    <w:rsid w:val="00736E19"/>
    <w:rsid w:val="00736E7D"/>
    <w:rsid w:val="00736EB8"/>
    <w:rsid w:val="00736EF4"/>
    <w:rsid w:val="00736F59"/>
    <w:rsid w:val="00736F93"/>
    <w:rsid w:val="00737005"/>
    <w:rsid w:val="007371BC"/>
    <w:rsid w:val="007371EB"/>
    <w:rsid w:val="007372ED"/>
    <w:rsid w:val="0073735F"/>
    <w:rsid w:val="00737397"/>
    <w:rsid w:val="007373A5"/>
    <w:rsid w:val="007373FE"/>
    <w:rsid w:val="00737442"/>
    <w:rsid w:val="0073747A"/>
    <w:rsid w:val="007374CD"/>
    <w:rsid w:val="007374FF"/>
    <w:rsid w:val="0073758D"/>
    <w:rsid w:val="00737806"/>
    <w:rsid w:val="007378F9"/>
    <w:rsid w:val="00737909"/>
    <w:rsid w:val="007379D8"/>
    <w:rsid w:val="007379DC"/>
    <w:rsid w:val="00737A2E"/>
    <w:rsid w:val="00737B37"/>
    <w:rsid w:val="00737B88"/>
    <w:rsid w:val="00737BC4"/>
    <w:rsid w:val="00737CE8"/>
    <w:rsid w:val="00737E1C"/>
    <w:rsid w:val="00737E6B"/>
    <w:rsid w:val="00737F9A"/>
    <w:rsid w:val="00740066"/>
    <w:rsid w:val="0074008F"/>
    <w:rsid w:val="007400D5"/>
    <w:rsid w:val="00740115"/>
    <w:rsid w:val="0074011D"/>
    <w:rsid w:val="0074016C"/>
    <w:rsid w:val="007401C7"/>
    <w:rsid w:val="007401FC"/>
    <w:rsid w:val="007402CF"/>
    <w:rsid w:val="007402F3"/>
    <w:rsid w:val="007403BE"/>
    <w:rsid w:val="007403EC"/>
    <w:rsid w:val="00740404"/>
    <w:rsid w:val="00740407"/>
    <w:rsid w:val="0074045A"/>
    <w:rsid w:val="00740483"/>
    <w:rsid w:val="007404BA"/>
    <w:rsid w:val="00740608"/>
    <w:rsid w:val="00740642"/>
    <w:rsid w:val="00740651"/>
    <w:rsid w:val="0074068E"/>
    <w:rsid w:val="0074071A"/>
    <w:rsid w:val="00740778"/>
    <w:rsid w:val="00740792"/>
    <w:rsid w:val="00740893"/>
    <w:rsid w:val="007408B7"/>
    <w:rsid w:val="007408FC"/>
    <w:rsid w:val="00740916"/>
    <w:rsid w:val="007409B3"/>
    <w:rsid w:val="00740B3F"/>
    <w:rsid w:val="00740C70"/>
    <w:rsid w:val="00740C9F"/>
    <w:rsid w:val="00740CFA"/>
    <w:rsid w:val="00740D79"/>
    <w:rsid w:val="00740D8F"/>
    <w:rsid w:val="00740DA4"/>
    <w:rsid w:val="00740DAC"/>
    <w:rsid w:val="00740E4B"/>
    <w:rsid w:val="00740EB0"/>
    <w:rsid w:val="00740FAE"/>
    <w:rsid w:val="00741013"/>
    <w:rsid w:val="00741054"/>
    <w:rsid w:val="00741065"/>
    <w:rsid w:val="0074109C"/>
    <w:rsid w:val="0074119C"/>
    <w:rsid w:val="007411C1"/>
    <w:rsid w:val="007411CD"/>
    <w:rsid w:val="00741209"/>
    <w:rsid w:val="0074141B"/>
    <w:rsid w:val="00741423"/>
    <w:rsid w:val="00741426"/>
    <w:rsid w:val="0074150B"/>
    <w:rsid w:val="00741524"/>
    <w:rsid w:val="00741628"/>
    <w:rsid w:val="0074167B"/>
    <w:rsid w:val="007416EF"/>
    <w:rsid w:val="007416F3"/>
    <w:rsid w:val="0074178F"/>
    <w:rsid w:val="00741883"/>
    <w:rsid w:val="00741899"/>
    <w:rsid w:val="00741928"/>
    <w:rsid w:val="007419C7"/>
    <w:rsid w:val="00741A4E"/>
    <w:rsid w:val="00741A80"/>
    <w:rsid w:val="00741B1B"/>
    <w:rsid w:val="00741B49"/>
    <w:rsid w:val="00741BAA"/>
    <w:rsid w:val="00741C3C"/>
    <w:rsid w:val="00741C4D"/>
    <w:rsid w:val="00741C8C"/>
    <w:rsid w:val="00741D0A"/>
    <w:rsid w:val="00741D24"/>
    <w:rsid w:val="00741DA6"/>
    <w:rsid w:val="00741E05"/>
    <w:rsid w:val="00741E0D"/>
    <w:rsid w:val="00741E38"/>
    <w:rsid w:val="00741E88"/>
    <w:rsid w:val="00741F74"/>
    <w:rsid w:val="00741FC1"/>
    <w:rsid w:val="007420D9"/>
    <w:rsid w:val="007420EC"/>
    <w:rsid w:val="0074218A"/>
    <w:rsid w:val="00742325"/>
    <w:rsid w:val="007423D5"/>
    <w:rsid w:val="00742469"/>
    <w:rsid w:val="00742483"/>
    <w:rsid w:val="00742538"/>
    <w:rsid w:val="007425E8"/>
    <w:rsid w:val="00742628"/>
    <w:rsid w:val="0074262B"/>
    <w:rsid w:val="00742686"/>
    <w:rsid w:val="00742690"/>
    <w:rsid w:val="007426CE"/>
    <w:rsid w:val="00742749"/>
    <w:rsid w:val="007427C8"/>
    <w:rsid w:val="007427D8"/>
    <w:rsid w:val="007427EC"/>
    <w:rsid w:val="00742808"/>
    <w:rsid w:val="00742923"/>
    <w:rsid w:val="00742989"/>
    <w:rsid w:val="00742A45"/>
    <w:rsid w:val="00742AA2"/>
    <w:rsid w:val="00742AD1"/>
    <w:rsid w:val="00742B67"/>
    <w:rsid w:val="00742B7D"/>
    <w:rsid w:val="00742B7E"/>
    <w:rsid w:val="00742D54"/>
    <w:rsid w:val="00742D5A"/>
    <w:rsid w:val="00742E59"/>
    <w:rsid w:val="00742E6C"/>
    <w:rsid w:val="00742F7E"/>
    <w:rsid w:val="00742FB8"/>
    <w:rsid w:val="00743170"/>
    <w:rsid w:val="007431F7"/>
    <w:rsid w:val="00743382"/>
    <w:rsid w:val="007433D0"/>
    <w:rsid w:val="0074340D"/>
    <w:rsid w:val="00743550"/>
    <w:rsid w:val="00743553"/>
    <w:rsid w:val="007435A5"/>
    <w:rsid w:val="007435BB"/>
    <w:rsid w:val="007435BE"/>
    <w:rsid w:val="00743677"/>
    <w:rsid w:val="007437BF"/>
    <w:rsid w:val="00743811"/>
    <w:rsid w:val="00743863"/>
    <w:rsid w:val="00743957"/>
    <w:rsid w:val="007439A9"/>
    <w:rsid w:val="007439B3"/>
    <w:rsid w:val="00743A66"/>
    <w:rsid w:val="00743AA6"/>
    <w:rsid w:val="00743BC5"/>
    <w:rsid w:val="00743BD7"/>
    <w:rsid w:val="00743C14"/>
    <w:rsid w:val="00743C34"/>
    <w:rsid w:val="00743C8B"/>
    <w:rsid w:val="00743CFB"/>
    <w:rsid w:val="00743DCA"/>
    <w:rsid w:val="00743EF9"/>
    <w:rsid w:val="00743F1C"/>
    <w:rsid w:val="0074404A"/>
    <w:rsid w:val="007440D6"/>
    <w:rsid w:val="0074413F"/>
    <w:rsid w:val="007441A7"/>
    <w:rsid w:val="007443A9"/>
    <w:rsid w:val="00744575"/>
    <w:rsid w:val="00744585"/>
    <w:rsid w:val="0074463A"/>
    <w:rsid w:val="007446A1"/>
    <w:rsid w:val="007446C9"/>
    <w:rsid w:val="0074473D"/>
    <w:rsid w:val="0074474B"/>
    <w:rsid w:val="00744795"/>
    <w:rsid w:val="007447AB"/>
    <w:rsid w:val="007447BF"/>
    <w:rsid w:val="0074482B"/>
    <w:rsid w:val="00744891"/>
    <w:rsid w:val="007448C6"/>
    <w:rsid w:val="0074499C"/>
    <w:rsid w:val="007449B0"/>
    <w:rsid w:val="00744AED"/>
    <w:rsid w:val="00744B3A"/>
    <w:rsid w:val="00744B90"/>
    <w:rsid w:val="00744C97"/>
    <w:rsid w:val="00744D11"/>
    <w:rsid w:val="00744E1D"/>
    <w:rsid w:val="00744F82"/>
    <w:rsid w:val="00745073"/>
    <w:rsid w:val="00745149"/>
    <w:rsid w:val="00745180"/>
    <w:rsid w:val="007451A6"/>
    <w:rsid w:val="007451E9"/>
    <w:rsid w:val="0074526E"/>
    <w:rsid w:val="007453C2"/>
    <w:rsid w:val="007453EE"/>
    <w:rsid w:val="00745503"/>
    <w:rsid w:val="00745642"/>
    <w:rsid w:val="0074567C"/>
    <w:rsid w:val="007456B9"/>
    <w:rsid w:val="007456DF"/>
    <w:rsid w:val="00745769"/>
    <w:rsid w:val="00745806"/>
    <w:rsid w:val="007458AD"/>
    <w:rsid w:val="007458B0"/>
    <w:rsid w:val="00745A62"/>
    <w:rsid w:val="00745B11"/>
    <w:rsid w:val="00745BAD"/>
    <w:rsid w:val="00745BB4"/>
    <w:rsid w:val="00745C23"/>
    <w:rsid w:val="00745C25"/>
    <w:rsid w:val="00745D50"/>
    <w:rsid w:val="00745DE4"/>
    <w:rsid w:val="00745DF7"/>
    <w:rsid w:val="00745E4F"/>
    <w:rsid w:val="00745F73"/>
    <w:rsid w:val="00745FE6"/>
    <w:rsid w:val="00746028"/>
    <w:rsid w:val="00746083"/>
    <w:rsid w:val="00746089"/>
    <w:rsid w:val="00746090"/>
    <w:rsid w:val="0074610C"/>
    <w:rsid w:val="00746133"/>
    <w:rsid w:val="00746211"/>
    <w:rsid w:val="00746234"/>
    <w:rsid w:val="007462D4"/>
    <w:rsid w:val="00746388"/>
    <w:rsid w:val="007463FE"/>
    <w:rsid w:val="00746474"/>
    <w:rsid w:val="007464F8"/>
    <w:rsid w:val="00746637"/>
    <w:rsid w:val="00746690"/>
    <w:rsid w:val="0074669F"/>
    <w:rsid w:val="007466DC"/>
    <w:rsid w:val="00746721"/>
    <w:rsid w:val="00746731"/>
    <w:rsid w:val="00746746"/>
    <w:rsid w:val="0074680D"/>
    <w:rsid w:val="007468AA"/>
    <w:rsid w:val="007468CE"/>
    <w:rsid w:val="0074699F"/>
    <w:rsid w:val="007469A2"/>
    <w:rsid w:val="007469C1"/>
    <w:rsid w:val="00746A26"/>
    <w:rsid w:val="00746A6A"/>
    <w:rsid w:val="00746B69"/>
    <w:rsid w:val="00746BE2"/>
    <w:rsid w:val="00746BF6"/>
    <w:rsid w:val="00746C75"/>
    <w:rsid w:val="00746C7B"/>
    <w:rsid w:val="00746C7D"/>
    <w:rsid w:val="00746C8F"/>
    <w:rsid w:val="00746C9C"/>
    <w:rsid w:val="00746D47"/>
    <w:rsid w:val="00746D6B"/>
    <w:rsid w:val="00746D78"/>
    <w:rsid w:val="00746DAA"/>
    <w:rsid w:val="00746DFC"/>
    <w:rsid w:val="00746EB7"/>
    <w:rsid w:val="00746EF1"/>
    <w:rsid w:val="00746F2C"/>
    <w:rsid w:val="00746FBB"/>
    <w:rsid w:val="007470E2"/>
    <w:rsid w:val="00747103"/>
    <w:rsid w:val="00747276"/>
    <w:rsid w:val="00747277"/>
    <w:rsid w:val="00747299"/>
    <w:rsid w:val="0074730D"/>
    <w:rsid w:val="00747503"/>
    <w:rsid w:val="0074754C"/>
    <w:rsid w:val="00747567"/>
    <w:rsid w:val="007475C4"/>
    <w:rsid w:val="007475D1"/>
    <w:rsid w:val="007476EB"/>
    <w:rsid w:val="007477CE"/>
    <w:rsid w:val="007477D1"/>
    <w:rsid w:val="00747801"/>
    <w:rsid w:val="0074782F"/>
    <w:rsid w:val="00747871"/>
    <w:rsid w:val="00747891"/>
    <w:rsid w:val="00747AA2"/>
    <w:rsid w:val="00747AF2"/>
    <w:rsid w:val="00747B1A"/>
    <w:rsid w:val="00747B40"/>
    <w:rsid w:val="00747C55"/>
    <w:rsid w:val="00747C62"/>
    <w:rsid w:val="00747CA2"/>
    <w:rsid w:val="00747E38"/>
    <w:rsid w:val="00747E7B"/>
    <w:rsid w:val="00747EAC"/>
    <w:rsid w:val="00747EF1"/>
    <w:rsid w:val="00747EF6"/>
    <w:rsid w:val="00747F4E"/>
    <w:rsid w:val="00747FC9"/>
    <w:rsid w:val="0075002B"/>
    <w:rsid w:val="007500C4"/>
    <w:rsid w:val="00750169"/>
    <w:rsid w:val="00750173"/>
    <w:rsid w:val="0075017C"/>
    <w:rsid w:val="007501E4"/>
    <w:rsid w:val="0075031A"/>
    <w:rsid w:val="00750381"/>
    <w:rsid w:val="007503B6"/>
    <w:rsid w:val="007504E8"/>
    <w:rsid w:val="00750570"/>
    <w:rsid w:val="00750579"/>
    <w:rsid w:val="007505CA"/>
    <w:rsid w:val="00750616"/>
    <w:rsid w:val="0075062C"/>
    <w:rsid w:val="00750647"/>
    <w:rsid w:val="007506B2"/>
    <w:rsid w:val="0075072C"/>
    <w:rsid w:val="00750741"/>
    <w:rsid w:val="007507F6"/>
    <w:rsid w:val="007508D3"/>
    <w:rsid w:val="0075093A"/>
    <w:rsid w:val="007509F9"/>
    <w:rsid w:val="00750A2A"/>
    <w:rsid w:val="00750AA1"/>
    <w:rsid w:val="00750ABE"/>
    <w:rsid w:val="00750B5F"/>
    <w:rsid w:val="00750B6D"/>
    <w:rsid w:val="00750BE4"/>
    <w:rsid w:val="00750C7B"/>
    <w:rsid w:val="00750CC5"/>
    <w:rsid w:val="00750CFF"/>
    <w:rsid w:val="00750D1B"/>
    <w:rsid w:val="00750D87"/>
    <w:rsid w:val="00750D98"/>
    <w:rsid w:val="00750DB5"/>
    <w:rsid w:val="00750E60"/>
    <w:rsid w:val="00750E6B"/>
    <w:rsid w:val="00750E78"/>
    <w:rsid w:val="00750E84"/>
    <w:rsid w:val="00750EEC"/>
    <w:rsid w:val="00750F57"/>
    <w:rsid w:val="00750FC5"/>
    <w:rsid w:val="00751075"/>
    <w:rsid w:val="00751079"/>
    <w:rsid w:val="00751084"/>
    <w:rsid w:val="007510AE"/>
    <w:rsid w:val="007510B5"/>
    <w:rsid w:val="007510C3"/>
    <w:rsid w:val="00751195"/>
    <w:rsid w:val="00751211"/>
    <w:rsid w:val="00751236"/>
    <w:rsid w:val="007512DA"/>
    <w:rsid w:val="0075130B"/>
    <w:rsid w:val="00751332"/>
    <w:rsid w:val="00751335"/>
    <w:rsid w:val="00751369"/>
    <w:rsid w:val="007513AE"/>
    <w:rsid w:val="007513DA"/>
    <w:rsid w:val="0075146A"/>
    <w:rsid w:val="00751474"/>
    <w:rsid w:val="007514F9"/>
    <w:rsid w:val="00751521"/>
    <w:rsid w:val="00751564"/>
    <w:rsid w:val="0075157F"/>
    <w:rsid w:val="00751602"/>
    <w:rsid w:val="00751636"/>
    <w:rsid w:val="00751662"/>
    <w:rsid w:val="007516E1"/>
    <w:rsid w:val="00751702"/>
    <w:rsid w:val="00751703"/>
    <w:rsid w:val="007517F0"/>
    <w:rsid w:val="007517FE"/>
    <w:rsid w:val="00751935"/>
    <w:rsid w:val="0075195C"/>
    <w:rsid w:val="007519C1"/>
    <w:rsid w:val="00751A2B"/>
    <w:rsid w:val="00751A69"/>
    <w:rsid w:val="00751A6C"/>
    <w:rsid w:val="00751B31"/>
    <w:rsid w:val="00751B5B"/>
    <w:rsid w:val="00751B75"/>
    <w:rsid w:val="00751BA5"/>
    <w:rsid w:val="00751CD5"/>
    <w:rsid w:val="00751D5D"/>
    <w:rsid w:val="00751D7D"/>
    <w:rsid w:val="00751DA4"/>
    <w:rsid w:val="00751FF1"/>
    <w:rsid w:val="0075207C"/>
    <w:rsid w:val="0075208C"/>
    <w:rsid w:val="007520A3"/>
    <w:rsid w:val="007520AD"/>
    <w:rsid w:val="007520DF"/>
    <w:rsid w:val="00752117"/>
    <w:rsid w:val="0075223A"/>
    <w:rsid w:val="007522FF"/>
    <w:rsid w:val="00752392"/>
    <w:rsid w:val="007523FD"/>
    <w:rsid w:val="00752439"/>
    <w:rsid w:val="007524BA"/>
    <w:rsid w:val="007524CA"/>
    <w:rsid w:val="007524EC"/>
    <w:rsid w:val="00752514"/>
    <w:rsid w:val="0075259D"/>
    <w:rsid w:val="00752649"/>
    <w:rsid w:val="0075268F"/>
    <w:rsid w:val="007526BA"/>
    <w:rsid w:val="00752726"/>
    <w:rsid w:val="00752786"/>
    <w:rsid w:val="007527A7"/>
    <w:rsid w:val="007528B1"/>
    <w:rsid w:val="00752931"/>
    <w:rsid w:val="00752984"/>
    <w:rsid w:val="007529D3"/>
    <w:rsid w:val="00752A06"/>
    <w:rsid w:val="00752B37"/>
    <w:rsid w:val="00752B3E"/>
    <w:rsid w:val="00752B61"/>
    <w:rsid w:val="00752B85"/>
    <w:rsid w:val="00752B8F"/>
    <w:rsid w:val="00752BD5"/>
    <w:rsid w:val="00752C18"/>
    <w:rsid w:val="00752C50"/>
    <w:rsid w:val="00752C7F"/>
    <w:rsid w:val="00752CC4"/>
    <w:rsid w:val="00752D3D"/>
    <w:rsid w:val="00752D63"/>
    <w:rsid w:val="00752E21"/>
    <w:rsid w:val="00752E23"/>
    <w:rsid w:val="00752E64"/>
    <w:rsid w:val="00752EE0"/>
    <w:rsid w:val="00752F0E"/>
    <w:rsid w:val="00752FAF"/>
    <w:rsid w:val="0075309D"/>
    <w:rsid w:val="007530C4"/>
    <w:rsid w:val="007530CF"/>
    <w:rsid w:val="007530E4"/>
    <w:rsid w:val="0075312B"/>
    <w:rsid w:val="00753250"/>
    <w:rsid w:val="00753254"/>
    <w:rsid w:val="00753281"/>
    <w:rsid w:val="00753288"/>
    <w:rsid w:val="007532C8"/>
    <w:rsid w:val="007532DE"/>
    <w:rsid w:val="0075332F"/>
    <w:rsid w:val="00753454"/>
    <w:rsid w:val="007534E4"/>
    <w:rsid w:val="0075357F"/>
    <w:rsid w:val="007535E1"/>
    <w:rsid w:val="007536BD"/>
    <w:rsid w:val="00753820"/>
    <w:rsid w:val="0075388D"/>
    <w:rsid w:val="00753949"/>
    <w:rsid w:val="0075396D"/>
    <w:rsid w:val="007539EE"/>
    <w:rsid w:val="00753A0D"/>
    <w:rsid w:val="00753A2D"/>
    <w:rsid w:val="00753A37"/>
    <w:rsid w:val="00753A55"/>
    <w:rsid w:val="00753AE8"/>
    <w:rsid w:val="00753AF7"/>
    <w:rsid w:val="00753BA6"/>
    <w:rsid w:val="00753BA9"/>
    <w:rsid w:val="00753CD1"/>
    <w:rsid w:val="00753ED4"/>
    <w:rsid w:val="00753FF7"/>
    <w:rsid w:val="0075402A"/>
    <w:rsid w:val="00754040"/>
    <w:rsid w:val="00754084"/>
    <w:rsid w:val="007540E8"/>
    <w:rsid w:val="00754119"/>
    <w:rsid w:val="00754384"/>
    <w:rsid w:val="00754398"/>
    <w:rsid w:val="007543BA"/>
    <w:rsid w:val="007543CB"/>
    <w:rsid w:val="007545D2"/>
    <w:rsid w:val="007545EE"/>
    <w:rsid w:val="00754602"/>
    <w:rsid w:val="0075462F"/>
    <w:rsid w:val="00754693"/>
    <w:rsid w:val="00754819"/>
    <w:rsid w:val="00754832"/>
    <w:rsid w:val="00754936"/>
    <w:rsid w:val="0075493A"/>
    <w:rsid w:val="007549F1"/>
    <w:rsid w:val="00754A7A"/>
    <w:rsid w:val="00754AAC"/>
    <w:rsid w:val="00754AE8"/>
    <w:rsid w:val="00754B68"/>
    <w:rsid w:val="00754E08"/>
    <w:rsid w:val="00754FF1"/>
    <w:rsid w:val="0075502D"/>
    <w:rsid w:val="00755071"/>
    <w:rsid w:val="00755086"/>
    <w:rsid w:val="00755220"/>
    <w:rsid w:val="00755244"/>
    <w:rsid w:val="007552E4"/>
    <w:rsid w:val="00755303"/>
    <w:rsid w:val="00755356"/>
    <w:rsid w:val="0075538B"/>
    <w:rsid w:val="0075538C"/>
    <w:rsid w:val="00755395"/>
    <w:rsid w:val="007553C5"/>
    <w:rsid w:val="007554C8"/>
    <w:rsid w:val="00755502"/>
    <w:rsid w:val="007555CF"/>
    <w:rsid w:val="007556FF"/>
    <w:rsid w:val="00755755"/>
    <w:rsid w:val="0075575B"/>
    <w:rsid w:val="007557A7"/>
    <w:rsid w:val="007557BF"/>
    <w:rsid w:val="0075581D"/>
    <w:rsid w:val="0075586B"/>
    <w:rsid w:val="0075588E"/>
    <w:rsid w:val="007558C8"/>
    <w:rsid w:val="007558CA"/>
    <w:rsid w:val="00755938"/>
    <w:rsid w:val="00755940"/>
    <w:rsid w:val="0075597F"/>
    <w:rsid w:val="00755AF5"/>
    <w:rsid w:val="00755CAC"/>
    <w:rsid w:val="00755E74"/>
    <w:rsid w:val="00755F31"/>
    <w:rsid w:val="00755F7F"/>
    <w:rsid w:val="00756034"/>
    <w:rsid w:val="00756062"/>
    <w:rsid w:val="007560EF"/>
    <w:rsid w:val="00756125"/>
    <w:rsid w:val="00756138"/>
    <w:rsid w:val="0075613F"/>
    <w:rsid w:val="0075616B"/>
    <w:rsid w:val="0075619C"/>
    <w:rsid w:val="007561D7"/>
    <w:rsid w:val="007561DD"/>
    <w:rsid w:val="0075634F"/>
    <w:rsid w:val="0075637B"/>
    <w:rsid w:val="00756497"/>
    <w:rsid w:val="007565F6"/>
    <w:rsid w:val="00756616"/>
    <w:rsid w:val="00756624"/>
    <w:rsid w:val="0075662D"/>
    <w:rsid w:val="007566A1"/>
    <w:rsid w:val="007566DD"/>
    <w:rsid w:val="00756746"/>
    <w:rsid w:val="00756788"/>
    <w:rsid w:val="007567C6"/>
    <w:rsid w:val="00756845"/>
    <w:rsid w:val="00756862"/>
    <w:rsid w:val="00756A65"/>
    <w:rsid w:val="00756BAF"/>
    <w:rsid w:val="00756C48"/>
    <w:rsid w:val="00756D28"/>
    <w:rsid w:val="00756D86"/>
    <w:rsid w:val="00756D8E"/>
    <w:rsid w:val="00756DAF"/>
    <w:rsid w:val="00756DF5"/>
    <w:rsid w:val="00756FD1"/>
    <w:rsid w:val="00756FFA"/>
    <w:rsid w:val="007570B1"/>
    <w:rsid w:val="007570B5"/>
    <w:rsid w:val="007570EC"/>
    <w:rsid w:val="0075716C"/>
    <w:rsid w:val="007571C6"/>
    <w:rsid w:val="007571F5"/>
    <w:rsid w:val="00757202"/>
    <w:rsid w:val="0075728E"/>
    <w:rsid w:val="007572CB"/>
    <w:rsid w:val="007573CB"/>
    <w:rsid w:val="007573D6"/>
    <w:rsid w:val="007573DA"/>
    <w:rsid w:val="007573EC"/>
    <w:rsid w:val="00757457"/>
    <w:rsid w:val="00757538"/>
    <w:rsid w:val="007575A0"/>
    <w:rsid w:val="007575B2"/>
    <w:rsid w:val="00757654"/>
    <w:rsid w:val="007576E5"/>
    <w:rsid w:val="0075772B"/>
    <w:rsid w:val="00757730"/>
    <w:rsid w:val="00757790"/>
    <w:rsid w:val="007577A7"/>
    <w:rsid w:val="007577AE"/>
    <w:rsid w:val="007577E2"/>
    <w:rsid w:val="00757853"/>
    <w:rsid w:val="00757949"/>
    <w:rsid w:val="00757976"/>
    <w:rsid w:val="00757BC5"/>
    <w:rsid w:val="00757C62"/>
    <w:rsid w:val="00757C8C"/>
    <w:rsid w:val="00757CBD"/>
    <w:rsid w:val="00757FBB"/>
    <w:rsid w:val="007601FF"/>
    <w:rsid w:val="0076020D"/>
    <w:rsid w:val="00760271"/>
    <w:rsid w:val="007602AF"/>
    <w:rsid w:val="00760322"/>
    <w:rsid w:val="00760342"/>
    <w:rsid w:val="00760391"/>
    <w:rsid w:val="007603D5"/>
    <w:rsid w:val="00760422"/>
    <w:rsid w:val="00760487"/>
    <w:rsid w:val="007604AA"/>
    <w:rsid w:val="007604BE"/>
    <w:rsid w:val="00760513"/>
    <w:rsid w:val="00760530"/>
    <w:rsid w:val="0076058D"/>
    <w:rsid w:val="007606E8"/>
    <w:rsid w:val="0076070E"/>
    <w:rsid w:val="00760970"/>
    <w:rsid w:val="007609C1"/>
    <w:rsid w:val="007609CA"/>
    <w:rsid w:val="00760A17"/>
    <w:rsid w:val="00760ACE"/>
    <w:rsid w:val="00760AFD"/>
    <w:rsid w:val="00760B65"/>
    <w:rsid w:val="00760CFE"/>
    <w:rsid w:val="00760D20"/>
    <w:rsid w:val="00760D24"/>
    <w:rsid w:val="00760DBB"/>
    <w:rsid w:val="00760E41"/>
    <w:rsid w:val="0076106C"/>
    <w:rsid w:val="007610C2"/>
    <w:rsid w:val="00761142"/>
    <w:rsid w:val="00761170"/>
    <w:rsid w:val="0076132B"/>
    <w:rsid w:val="00761384"/>
    <w:rsid w:val="00761459"/>
    <w:rsid w:val="0076148C"/>
    <w:rsid w:val="007614A3"/>
    <w:rsid w:val="007614E5"/>
    <w:rsid w:val="00761525"/>
    <w:rsid w:val="00761594"/>
    <w:rsid w:val="00761607"/>
    <w:rsid w:val="0076169E"/>
    <w:rsid w:val="0076170D"/>
    <w:rsid w:val="00761739"/>
    <w:rsid w:val="00761765"/>
    <w:rsid w:val="00761787"/>
    <w:rsid w:val="00761856"/>
    <w:rsid w:val="0076188C"/>
    <w:rsid w:val="007618E8"/>
    <w:rsid w:val="00761A66"/>
    <w:rsid w:val="00761C17"/>
    <w:rsid w:val="00761DB6"/>
    <w:rsid w:val="00761DE0"/>
    <w:rsid w:val="00761E48"/>
    <w:rsid w:val="00761EC0"/>
    <w:rsid w:val="00761F0F"/>
    <w:rsid w:val="00761FA4"/>
    <w:rsid w:val="00761FBA"/>
    <w:rsid w:val="00762112"/>
    <w:rsid w:val="0076212B"/>
    <w:rsid w:val="00762254"/>
    <w:rsid w:val="0076235C"/>
    <w:rsid w:val="007623E4"/>
    <w:rsid w:val="00762464"/>
    <w:rsid w:val="007624E0"/>
    <w:rsid w:val="00762528"/>
    <w:rsid w:val="007625CE"/>
    <w:rsid w:val="00762672"/>
    <w:rsid w:val="00762674"/>
    <w:rsid w:val="00762707"/>
    <w:rsid w:val="007627CD"/>
    <w:rsid w:val="007627E9"/>
    <w:rsid w:val="00762878"/>
    <w:rsid w:val="00762889"/>
    <w:rsid w:val="007628CB"/>
    <w:rsid w:val="007628D4"/>
    <w:rsid w:val="00762910"/>
    <w:rsid w:val="00762947"/>
    <w:rsid w:val="00762973"/>
    <w:rsid w:val="0076297A"/>
    <w:rsid w:val="007629E1"/>
    <w:rsid w:val="00762A83"/>
    <w:rsid w:val="00762A8D"/>
    <w:rsid w:val="00762AB3"/>
    <w:rsid w:val="00762BF1"/>
    <w:rsid w:val="00762D65"/>
    <w:rsid w:val="00762EF7"/>
    <w:rsid w:val="00762F30"/>
    <w:rsid w:val="00762FCF"/>
    <w:rsid w:val="00763060"/>
    <w:rsid w:val="00763068"/>
    <w:rsid w:val="007630B8"/>
    <w:rsid w:val="00763111"/>
    <w:rsid w:val="00763131"/>
    <w:rsid w:val="007631EA"/>
    <w:rsid w:val="007631F0"/>
    <w:rsid w:val="00763269"/>
    <w:rsid w:val="007632DB"/>
    <w:rsid w:val="007632ED"/>
    <w:rsid w:val="00763344"/>
    <w:rsid w:val="0076336E"/>
    <w:rsid w:val="007633C6"/>
    <w:rsid w:val="007634B1"/>
    <w:rsid w:val="007634B3"/>
    <w:rsid w:val="00763536"/>
    <w:rsid w:val="0076359A"/>
    <w:rsid w:val="007635BA"/>
    <w:rsid w:val="007635C6"/>
    <w:rsid w:val="00763689"/>
    <w:rsid w:val="00763718"/>
    <w:rsid w:val="007637C1"/>
    <w:rsid w:val="007637C8"/>
    <w:rsid w:val="0076386D"/>
    <w:rsid w:val="007638BD"/>
    <w:rsid w:val="007638FD"/>
    <w:rsid w:val="00763976"/>
    <w:rsid w:val="00763992"/>
    <w:rsid w:val="007639A8"/>
    <w:rsid w:val="00763A3E"/>
    <w:rsid w:val="00763A77"/>
    <w:rsid w:val="00763A9B"/>
    <w:rsid w:val="00763AA9"/>
    <w:rsid w:val="00763B12"/>
    <w:rsid w:val="00763B8E"/>
    <w:rsid w:val="00763BB5"/>
    <w:rsid w:val="00763C5A"/>
    <w:rsid w:val="00763C85"/>
    <w:rsid w:val="00763D13"/>
    <w:rsid w:val="00763DC5"/>
    <w:rsid w:val="00763E11"/>
    <w:rsid w:val="00763F12"/>
    <w:rsid w:val="00763F3D"/>
    <w:rsid w:val="00764087"/>
    <w:rsid w:val="0076416C"/>
    <w:rsid w:val="007641D8"/>
    <w:rsid w:val="007642AE"/>
    <w:rsid w:val="00764313"/>
    <w:rsid w:val="00764442"/>
    <w:rsid w:val="00764486"/>
    <w:rsid w:val="007644AB"/>
    <w:rsid w:val="00764595"/>
    <w:rsid w:val="0076466E"/>
    <w:rsid w:val="007646E1"/>
    <w:rsid w:val="0076472C"/>
    <w:rsid w:val="0076476D"/>
    <w:rsid w:val="007647C0"/>
    <w:rsid w:val="007647DE"/>
    <w:rsid w:val="00764860"/>
    <w:rsid w:val="007648A0"/>
    <w:rsid w:val="007648A1"/>
    <w:rsid w:val="00764A57"/>
    <w:rsid w:val="00764A60"/>
    <w:rsid w:val="00764B37"/>
    <w:rsid w:val="00764B7A"/>
    <w:rsid w:val="00764C6A"/>
    <w:rsid w:val="00764D4F"/>
    <w:rsid w:val="00764E2B"/>
    <w:rsid w:val="00764E36"/>
    <w:rsid w:val="00764E8C"/>
    <w:rsid w:val="00764F01"/>
    <w:rsid w:val="00764FBC"/>
    <w:rsid w:val="00765115"/>
    <w:rsid w:val="00765201"/>
    <w:rsid w:val="00765202"/>
    <w:rsid w:val="0076526A"/>
    <w:rsid w:val="007652BB"/>
    <w:rsid w:val="00765559"/>
    <w:rsid w:val="00765570"/>
    <w:rsid w:val="00765619"/>
    <w:rsid w:val="0076564F"/>
    <w:rsid w:val="00765658"/>
    <w:rsid w:val="0076579E"/>
    <w:rsid w:val="007657BB"/>
    <w:rsid w:val="00765860"/>
    <w:rsid w:val="007658B6"/>
    <w:rsid w:val="00765987"/>
    <w:rsid w:val="00765A10"/>
    <w:rsid w:val="00765B46"/>
    <w:rsid w:val="00765BAE"/>
    <w:rsid w:val="00765CCE"/>
    <w:rsid w:val="00765D32"/>
    <w:rsid w:val="00765D67"/>
    <w:rsid w:val="00765D68"/>
    <w:rsid w:val="00765E1A"/>
    <w:rsid w:val="00765E21"/>
    <w:rsid w:val="00765F4E"/>
    <w:rsid w:val="00766073"/>
    <w:rsid w:val="007660A9"/>
    <w:rsid w:val="0076611A"/>
    <w:rsid w:val="00766136"/>
    <w:rsid w:val="00766223"/>
    <w:rsid w:val="00766234"/>
    <w:rsid w:val="007662AF"/>
    <w:rsid w:val="007662CA"/>
    <w:rsid w:val="0076631A"/>
    <w:rsid w:val="007663C3"/>
    <w:rsid w:val="007663E7"/>
    <w:rsid w:val="007663FB"/>
    <w:rsid w:val="00766437"/>
    <w:rsid w:val="00766438"/>
    <w:rsid w:val="007665FB"/>
    <w:rsid w:val="0076660E"/>
    <w:rsid w:val="00766630"/>
    <w:rsid w:val="007666AE"/>
    <w:rsid w:val="007666BE"/>
    <w:rsid w:val="007666E4"/>
    <w:rsid w:val="0076677A"/>
    <w:rsid w:val="00766837"/>
    <w:rsid w:val="00766989"/>
    <w:rsid w:val="00766999"/>
    <w:rsid w:val="00766A72"/>
    <w:rsid w:val="00766AB9"/>
    <w:rsid w:val="00766B2C"/>
    <w:rsid w:val="00766B95"/>
    <w:rsid w:val="00766C31"/>
    <w:rsid w:val="00766C5D"/>
    <w:rsid w:val="00766C6C"/>
    <w:rsid w:val="00766DB3"/>
    <w:rsid w:val="00766E43"/>
    <w:rsid w:val="00766EAD"/>
    <w:rsid w:val="00766EC2"/>
    <w:rsid w:val="00766F65"/>
    <w:rsid w:val="00766F8C"/>
    <w:rsid w:val="00767035"/>
    <w:rsid w:val="007670C0"/>
    <w:rsid w:val="007670DC"/>
    <w:rsid w:val="0076714B"/>
    <w:rsid w:val="0076717D"/>
    <w:rsid w:val="007671D0"/>
    <w:rsid w:val="00767259"/>
    <w:rsid w:val="0076733C"/>
    <w:rsid w:val="007673A8"/>
    <w:rsid w:val="007673BC"/>
    <w:rsid w:val="00767430"/>
    <w:rsid w:val="0076749C"/>
    <w:rsid w:val="007674A4"/>
    <w:rsid w:val="007674A8"/>
    <w:rsid w:val="007674FA"/>
    <w:rsid w:val="00767611"/>
    <w:rsid w:val="00767618"/>
    <w:rsid w:val="0076761F"/>
    <w:rsid w:val="00767717"/>
    <w:rsid w:val="00767747"/>
    <w:rsid w:val="007677B8"/>
    <w:rsid w:val="007678B7"/>
    <w:rsid w:val="007678D0"/>
    <w:rsid w:val="00767911"/>
    <w:rsid w:val="007679C3"/>
    <w:rsid w:val="007679E1"/>
    <w:rsid w:val="00767A17"/>
    <w:rsid w:val="00767A1F"/>
    <w:rsid w:val="00767A68"/>
    <w:rsid w:val="00767ADB"/>
    <w:rsid w:val="00767B2D"/>
    <w:rsid w:val="00767BB0"/>
    <w:rsid w:val="00767BB7"/>
    <w:rsid w:val="00767C6A"/>
    <w:rsid w:val="00767C92"/>
    <w:rsid w:val="00767D17"/>
    <w:rsid w:val="00767DD2"/>
    <w:rsid w:val="00767E39"/>
    <w:rsid w:val="00767E77"/>
    <w:rsid w:val="00767EC1"/>
    <w:rsid w:val="00767EE1"/>
    <w:rsid w:val="00767EF2"/>
    <w:rsid w:val="00770007"/>
    <w:rsid w:val="00770079"/>
    <w:rsid w:val="00770331"/>
    <w:rsid w:val="00770357"/>
    <w:rsid w:val="007704B1"/>
    <w:rsid w:val="007704B3"/>
    <w:rsid w:val="0077058A"/>
    <w:rsid w:val="007706C2"/>
    <w:rsid w:val="007706EF"/>
    <w:rsid w:val="00770725"/>
    <w:rsid w:val="0077086A"/>
    <w:rsid w:val="0077095C"/>
    <w:rsid w:val="00770AE0"/>
    <w:rsid w:val="00770BB8"/>
    <w:rsid w:val="00770C5F"/>
    <w:rsid w:val="00770D10"/>
    <w:rsid w:val="00770D3B"/>
    <w:rsid w:val="00770D42"/>
    <w:rsid w:val="00770FA7"/>
    <w:rsid w:val="007710DC"/>
    <w:rsid w:val="0077115E"/>
    <w:rsid w:val="0077118B"/>
    <w:rsid w:val="007711D3"/>
    <w:rsid w:val="007711FF"/>
    <w:rsid w:val="00771205"/>
    <w:rsid w:val="00771286"/>
    <w:rsid w:val="007712AB"/>
    <w:rsid w:val="007712C4"/>
    <w:rsid w:val="0077147B"/>
    <w:rsid w:val="007714AA"/>
    <w:rsid w:val="007714E5"/>
    <w:rsid w:val="00771576"/>
    <w:rsid w:val="00771631"/>
    <w:rsid w:val="00771666"/>
    <w:rsid w:val="007716FF"/>
    <w:rsid w:val="00771734"/>
    <w:rsid w:val="00771758"/>
    <w:rsid w:val="00771779"/>
    <w:rsid w:val="007718B5"/>
    <w:rsid w:val="00771939"/>
    <w:rsid w:val="007719B9"/>
    <w:rsid w:val="00771A8B"/>
    <w:rsid w:val="00771AF0"/>
    <w:rsid w:val="00771AF6"/>
    <w:rsid w:val="00771B39"/>
    <w:rsid w:val="00771B4A"/>
    <w:rsid w:val="00771B88"/>
    <w:rsid w:val="00771B8D"/>
    <w:rsid w:val="00771BE7"/>
    <w:rsid w:val="00771CA2"/>
    <w:rsid w:val="00771D09"/>
    <w:rsid w:val="00771DE2"/>
    <w:rsid w:val="00771E26"/>
    <w:rsid w:val="00771E76"/>
    <w:rsid w:val="00771E91"/>
    <w:rsid w:val="00771ED6"/>
    <w:rsid w:val="00771F09"/>
    <w:rsid w:val="00771F29"/>
    <w:rsid w:val="00771F57"/>
    <w:rsid w:val="00771FAD"/>
    <w:rsid w:val="00772023"/>
    <w:rsid w:val="00772073"/>
    <w:rsid w:val="00772097"/>
    <w:rsid w:val="0077211D"/>
    <w:rsid w:val="00772124"/>
    <w:rsid w:val="00772144"/>
    <w:rsid w:val="00772160"/>
    <w:rsid w:val="00772347"/>
    <w:rsid w:val="00772457"/>
    <w:rsid w:val="00772490"/>
    <w:rsid w:val="007724A5"/>
    <w:rsid w:val="007724C0"/>
    <w:rsid w:val="00772539"/>
    <w:rsid w:val="00772623"/>
    <w:rsid w:val="0077264B"/>
    <w:rsid w:val="00772668"/>
    <w:rsid w:val="0077272C"/>
    <w:rsid w:val="00772784"/>
    <w:rsid w:val="00772861"/>
    <w:rsid w:val="007728A3"/>
    <w:rsid w:val="007729B6"/>
    <w:rsid w:val="007729FE"/>
    <w:rsid w:val="00772A1F"/>
    <w:rsid w:val="00772A41"/>
    <w:rsid w:val="00772ACF"/>
    <w:rsid w:val="00772B26"/>
    <w:rsid w:val="00772B2E"/>
    <w:rsid w:val="00772B3A"/>
    <w:rsid w:val="00772BB0"/>
    <w:rsid w:val="00772BF1"/>
    <w:rsid w:val="00772C34"/>
    <w:rsid w:val="00772C8D"/>
    <w:rsid w:val="00772CFD"/>
    <w:rsid w:val="00772D47"/>
    <w:rsid w:val="00772F2E"/>
    <w:rsid w:val="00772FAB"/>
    <w:rsid w:val="00772FC2"/>
    <w:rsid w:val="00773030"/>
    <w:rsid w:val="00773041"/>
    <w:rsid w:val="00773099"/>
    <w:rsid w:val="007730FF"/>
    <w:rsid w:val="007731FC"/>
    <w:rsid w:val="0077321E"/>
    <w:rsid w:val="00773230"/>
    <w:rsid w:val="007732AA"/>
    <w:rsid w:val="00773389"/>
    <w:rsid w:val="00773413"/>
    <w:rsid w:val="0077342D"/>
    <w:rsid w:val="00773476"/>
    <w:rsid w:val="007734A2"/>
    <w:rsid w:val="00773527"/>
    <w:rsid w:val="0077355C"/>
    <w:rsid w:val="0077356F"/>
    <w:rsid w:val="0077359B"/>
    <w:rsid w:val="007735AE"/>
    <w:rsid w:val="007735B9"/>
    <w:rsid w:val="007736B6"/>
    <w:rsid w:val="0077371A"/>
    <w:rsid w:val="0077371F"/>
    <w:rsid w:val="0077374F"/>
    <w:rsid w:val="00773750"/>
    <w:rsid w:val="00773766"/>
    <w:rsid w:val="00773795"/>
    <w:rsid w:val="007737DB"/>
    <w:rsid w:val="0077382A"/>
    <w:rsid w:val="00773846"/>
    <w:rsid w:val="007738FB"/>
    <w:rsid w:val="0077398F"/>
    <w:rsid w:val="007739A4"/>
    <w:rsid w:val="00773A46"/>
    <w:rsid w:val="00773BD0"/>
    <w:rsid w:val="00773C08"/>
    <w:rsid w:val="00773C19"/>
    <w:rsid w:val="00773D09"/>
    <w:rsid w:val="00773D80"/>
    <w:rsid w:val="00773DB9"/>
    <w:rsid w:val="00773DC5"/>
    <w:rsid w:val="00773DF3"/>
    <w:rsid w:val="00773E1A"/>
    <w:rsid w:val="00773E6F"/>
    <w:rsid w:val="00773ECB"/>
    <w:rsid w:val="00773F75"/>
    <w:rsid w:val="00774004"/>
    <w:rsid w:val="00774085"/>
    <w:rsid w:val="00774207"/>
    <w:rsid w:val="00774279"/>
    <w:rsid w:val="00774289"/>
    <w:rsid w:val="007742C8"/>
    <w:rsid w:val="00774339"/>
    <w:rsid w:val="007743F2"/>
    <w:rsid w:val="00774403"/>
    <w:rsid w:val="00774422"/>
    <w:rsid w:val="0077446F"/>
    <w:rsid w:val="00774496"/>
    <w:rsid w:val="00774581"/>
    <w:rsid w:val="0077461B"/>
    <w:rsid w:val="00774789"/>
    <w:rsid w:val="007747CE"/>
    <w:rsid w:val="00774821"/>
    <w:rsid w:val="0077487F"/>
    <w:rsid w:val="007748D0"/>
    <w:rsid w:val="00774A88"/>
    <w:rsid w:val="00774AF9"/>
    <w:rsid w:val="00774C99"/>
    <w:rsid w:val="00774CD0"/>
    <w:rsid w:val="00774CDB"/>
    <w:rsid w:val="00774E0A"/>
    <w:rsid w:val="00774E9B"/>
    <w:rsid w:val="00774EC1"/>
    <w:rsid w:val="00774F2F"/>
    <w:rsid w:val="00774F51"/>
    <w:rsid w:val="007750E1"/>
    <w:rsid w:val="0077518B"/>
    <w:rsid w:val="007751B2"/>
    <w:rsid w:val="007752E9"/>
    <w:rsid w:val="0077531B"/>
    <w:rsid w:val="007753B4"/>
    <w:rsid w:val="00775430"/>
    <w:rsid w:val="00775533"/>
    <w:rsid w:val="00775694"/>
    <w:rsid w:val="00775721"/>
    <w:rsid w:val="007757F7"/>
    <w:rsid w:val="007757FD"/>
    <w:rsid w:val="00775808"/>
    <w:rsid w:val="0077581F"/>
    <w:rsid w:val="00775841"/>
    <w:rsid w:val="00775888"/>
    <w:rsid w:val="007758D6"/>
    <w:rsid w:val="0077593E"/>
    <w:rsid w:val="00775947"/>
    <w:rsid w:val="0077595C"/>
    <w:rsid w:val="0077598F"/>
    <w:rsid w:val="00775990"/>
    <w:rsid w:val="007759BC"/>
    <w:rsid w:val="00775A00"/>
    <w:rsid w:val="00775A43"/>
    <w:rsid w:val="00775ADE"/>
    <w:rsid w:val="00775BA4"/>
    <w:rsid w:val="00775BBA"/>
    <w:rsid w:val="00775C07"/>
    <w:rsid w:val="00775D27"/>
    <w:rsid w:val="00775D42"/>
    <w:rsid w:val="00775E0E"/>
    <w:rsid w:val="00775E17"/>
    <w:rsid w:val="00775E80"/>
    <w:rsid w:val="00775F05"/>
    <w:rsid w:val="00775F07"/>
    <w:rsid w:val="00776143"/>
    <w:rsid w:val="00776152"/>
    <w:rsid w:val="00776156"/>
    <w:rsid w:val="007761A3"/>
    <w:rsid w:val="00776203"/>
    <w:rsid w:val="00776208"/>
    <w:rsid w:val="00776226"/>
    <w:rsid w:val="007762B9"/>
    <w:rsid w:val="007762BD"/>
    <w:rsid w:val="0077632D"/>
    <w:rsid w:val="0077638D"/>
    <w:rsid w:val="00776395"/>
    <w:rsid w:val="00776417"/>
    <w:rsid w:val="007764BC"/>
    <w:rsid w:val="00776522"/>
    <w:rsid w:val="0077656E"/>
    <w:rsid w:val="00776572"/>
    <w:rsid w:val="007765DB"/>
    <w:rsid w:val="007765FA"/>
    <w:rsid w:val="0077666F"/>
    <w:rsid w:val="0077669C"/>
    <w:rsid w:val="007766DF"/>
    <w:rsid w:val="007767BB"/>
    <w:rsid w:val="007767CA"/>
    <w:rsid w:val="007767DD"/>
    <w:rsid w:val="007767EF"/>
    <w:rsid w:val="00776872"/>
    <w:rsid w:val="0077695B"/>
    <w:rsid w:val="00776986"/>
    <w:rsid w:val="0077699B"/>
    <w:rsid w:val="007769BB"/>
    <w:rsid w:val="00776A4A"/>
    <w:rsid w:val="00776AD2"/>
    <w:rsid w:val="00776B2C"/>
    <w:rsid w:val="00776B6F"/>
    <w:rsid w:val="00776C14"/>
    <w:rsid w:val="00776D89"/>
    <w:rsid w:val="00776DE9"/>
    <w:rsid w:val="00776E80"/>
    <w:rsid w:val="00776EFC"/>
    <w:rsid w:val="00776F47"/>
    <w:rsid w:val="00776FF8"/>
    <w:rsid w:val="00777019"/>
    <w:rsid w:val="00777065"/>
    <w:rsid w:val="007771AE"/>
    <w:rsid w:val="0077720A"/>
    <w:rsid w:val="00777326"/>
    <w:rsid w:val="00777394"/>
    <w:rsid w:val="00777407"/>
    <w:rsid w:val="00777408"/>
    <w:rsid w:val="00777499"/>
    <w:rsid w:val="00777506"/>
    <w:rsid w:val="00777528"/>
    <w:rsid w:val="0077756E"/>
    <w:rsid w:val="007775A4"/>
    <w:rsid w:val="00777614"/>
    <w:rsid w:val="007777C7"/>
    <w:rsid w:val="00777810"/>
    <w:rsid w:val="007779A1"/>
    <w:rsid w:val="00777AD4"/>
    <w:rsid w:val="00777B21"/>
    <w:rsid w:val="00777CE3"/>
    <w:rsid w:val="00777D2C"/>
    <w:rsid w:val="00777DCF"/>
    <w:rsid w:val="00777E52"/>
    <w:rsid w:val="00777E7F"/>
    <w:rsid w:val="00777E89"/>
    <w:rsid w:val="00777F8E"/>
    <w:rsid w:val="00777FE8"/>
    <w:rsid w:val="00777FF5"/>
    <w:rsid w:val="0078000A"/>
    <w:rsid w:val="00780058"/>
    <w:rsid w:val="007800A2"/>
    <w:rsid w:val="007800EF"/>
    <w:rsid w:val="0078016F"/>
    <w:rsid w:val="007801AC"/>
    <w:rsid w:val="0078029C"/>
    <w:rsid w:val="007802E3"/>
    <w:rsid w:val="0078030E"/>
    <w:rsid w:val="007803F9"/>
    <w:rsid w:val="00780403"/>
    <w:rsid w:val="00780510"/>
    <w:rsid w:val="00780521"/>
    <w:rsid w:val="007805D9"/>
    <w:rsid w:val="007805EA"/>
    <w:rsid w:val="007805F0"/>
    <w:rsid w:val="007806AB"/>
    <w:rsid w:val="007806E0"/>
    <w:rsid w:val="00780710"/>
    <w:rsid w:val="0078076F"/>
    <w:rsid w:val="0078086A"/>
    <w:rsid w:val="007808E7"/>
    <w:rsid w:val="00780933"/>
    <w:rsid w:val="00780939"/>
    <w:rsid w:val="00780A2B"/>
    <w:rsid w:val="00780B09"/>
    <w:rsid w:val="00780BE8"/>
    <w:rsid w:val="00780C1A"/>
    <w:rsid w:val="00780C66"/>
    <w:rsid w:val="00780C83"/>
    <w:rsid w:val="00780DEB"/>
    <w:rsid w:val="00780E00"/>
    <w:rsid w:val="00780E4E"/>
    <w:rsid w:val="00780EB6"/>
    <w:rsid w:val="00780F85"/>
    <w:rsid w:val="0078105A"/>
    <w:rsid w:val="00781143"/>
    <w:rsid w:val="007811AD"/>
    <w:rsid w:val="0078120E"/>
    <w:rsid w:val="00781240"/>
    <w:rsid w:val="0078128A"/>
    <w:rsid w:val="007812F9"/>
    <w:rsid w:val="00781333"/>
    <w:rsid w:val="00781348"/>
    <w:rsid w:val="0078144B"/>
    <w:rsid w:val="007815A1"/>
    <w:rsid w:val="00781615"/>
    <w:rsid w:val="0078161C"/>
    <w:rsid w:val="00781786"/>
    <w:rsid w:val="007817B9"/>
    <w:rsid w:val="007817EC"/>
    <w:rsid w:val="00781822"/>
    <w:rsid w:val="0078182E"/>
    <w:rsid w:val="007818DB"/>
    <w:rsid w:val="00781920"/>
    <w:rsid w:val="00781963"/>
    <w:rsid w:val="00781A17"/>
    <w:rsid w:val="00781A58"/>
    <w:rsid w:val="00781AA1"/>
    <w:rsid w:val="00781BCB"/>
    <w:rsid w:val="00781C70"/>
    <w:rsid w:val="00781CA6"/>
    <w:rsid w:val="00781CDC"/>
    <w:rsid w:val="00781CDF"/>
    <w:rsid w:val="00781CE1"/>
    <w:rsid w:val="00781DBF"/>
    <w:rsid w:val="00781E9A"/>
    <w:rsid w:val="00781F31"/>
    <w:rsid w:val="00781F64"/>
    <w:rsid w:val="00781F83"/>
    <w:rsid w:val="00781F9B"/>
    <w:rsid w:val="00781FE5"/>
    <w:rsid w:val="007820B7"/>
    <w:rsid w:val="00782299"/>
    <w:rsid w:val="00782320"/>
    <w:rsid w:val="00782410"/>
    <w:rsid w:val="00782445"/>
    <w:rsid w:val="0078247E"/>
    <w:rsid w:val="007824F0"/>
    <w:rsid w:val="00782583"/>
    <w:rsid w:val="0078265E"/>
    <w:rsid w:val="007826E8"/>
    <w:rsid w:val="007826F6"/>
    <w:rsid w:val="007827E5"/>
    <w:rsid w:val="0078285B"/>
    <w:rsid w:val="00782963"/>
    <w:rsid w:val="0078298F"/>
    <w:rsid w:val="00782A1D"/>
    <w:rsid w:val="00782B73"/>
    <w:rsid w:val="00782B82"/>
    <w:rsid w:val="00782C09"/>
    <w:rsid w:val="00782C3E"/>
    <w:rsid w:val="00782CC7"/>
    <w:rsid w:val="00782D33"/>
    <w:rsid w:val="00782D6F"/>
    <w:rsid w:val="00782DE6"/>
    <w:rsid w:val="00782EBC"/>
    <w:rsid w:val="00782EF5"/>
    <w:rsid w:val="00782F53"/>
    <w:rsid w:val="00782F67"/>
    <w:rsid w:val="0078304D"/>
    <w:rsid w:val="00783112"/>
    <w:rsid w:val="007831B5"/>
    <w:rsid w:val="0078321C"/>
    <w:rsid w:val="007832D2"/>
    <w:rsid w:val="00783304"/>
    <w:rsid w:val="007835F9"/>
    <w:rsid w:val="00783661"/>
    <w:rsid w:val="00783666"/>
    <w:rsid w:val="0078366A"/>
    <w:rsid w:val="007836AA"/>
    <w:rsid w:val="007836EA"/>
    <w:rsid w:val="0078380B"/>
    <w:rsid w:val="00783861"/>
    <w:rsid w:val="00783862"/>
    <w:rsid w:val="0078388C"/>
    <w:rsid w:val="0078393B"/>
    <w:rsid w:val="00783979"/>
    <w:rsid w:val="00783982"/>
    <w:rsid w:val="00783A58"/>
    <w:rsid w:val="00783A79"/>
    <w:rsid w:val="00783AED"/>
    <w:rsid w:val="00783AEE"/>
    <w:rsid w:val="00783B2C"/>
    <w:rsid w:val="00783B4F"/>
    <w:rsid w:val="00783BB8"/>
    <w:rsid w:val="00783BD9"/>
    <w:rsid w:val="00783BEC"/>
    <w:rsid w:val="00783C1B"/>
    <w:rsid w:val="00783C87"/>
    <w:rsid w:val="00783CB7"/>
    <w:rsid w:val="00783D14"/>
    <w:rsid w:val="00783DB7"/>
    <w:rsid w:val="00783DCE"/>
    <w:rsid w:val="00783E12"/>
    <w:rsid w:val="00783EBE"/>
    <w:rsid w:val="00783FC3"/>
    <w:rsid w:val="00783FE0"/>
    <w:rsid w:val="007840CD"/>
    <w:rsid w:val="0078416E"/>
    <w:rsid w:val="00784177"/>
    <w:rsid w:val="007842E5"/>
    <w:rsid w:val="007842EC"/>
    <w:rsid w:val="00784331"/>
    <w:rsid w:val="00784342"/>
    <w:rsid w:val="00784344"/>
    <w:rsid w:val="007844CB"/>
    <w:rsid w:val="00784525"/>
    <w:rsid w:val="007845E5"/>
    <w:rsid w:val="007846D9"/>
    <w:rsid w:val="0078470E"/>
    <w:rsid w:val="0078473D"/>
    <w:rsid w:val="0078484D"/>
    <w:rsid w:val="007848B4"/>
    <w:rsid w:val="0078498B"/>
    <w:rsid w:val="007849DB"/>
    <w:rsid w:val="00784B96"/>
    <w:rsid w:val="00784C72"/>
    <w:rsid w:val="00784C9C"/>
    <w:rsid w:val="00784D16"/>
    <w:rsid w:val="00784D52"/>
    <w:rsid w:val="00784E70"/>
    <w:rsid w:val="00784EA8"/>
    <w:rsid w:val="007850DB"/>
    <w:rsid w:val="0078511F"/>
    <w:rsid w:val="007851B0"/>
    <w:rsid w:val="0078521E"/>
    <w:rsid w:val="0078524D"/>
    <w:rsid w:val="0078526B"/>
    <w:rsid w:val="007852A7"/>
    <w:rsid w:val="0078531D"/>
    <w:rsid w:val="00785586"/>
    <w:rsid w:val="00785656"/>
    <w:rsid w:val="00785956"/>
    <w:rsid w:val="0078595A"/>
    <w:rsid w:val="0078595B"/>
    <w:rsid w:val="0078596E"/>
    <w:rsid w:val="00785A91"/>
    <w:rsid w:val="00785C25"/>
    <w:rsid w:val="00785D5C"/>
    <w:rsid w:val="00785EEF"/>
    <w:rsid w:val="00785F5F"/>
    <w:rsid w:val="00785F86"/>
    <w:rsid w:val="00786076"/>
    <w:rsid w:val="0078613D"/>
    <w:rsid w:val="007861B4"/>
    <w:rsid w:val="0078621D"/>
    <w:rsid w:val="00786224"/>
    <w:rsid w:val="0078622D"/>
    <w:rsid w:val="0078629D"/>
    <w:rsid w:val="0078637B"/>
    <w:rsid w:val="0078637D"/>
    <w:rsid w:val="007863B1"/>
    <w:rsid w:val="007864C0"/>
    <w:rsid w:val="00786516"/>
    <w:rsid w:val="00786543"/>
    <w:rsid w:val="00786585"/>
    <w:rsid w:val="007866B3"/>
    <w:rsid w:val="007866B7"/>
    <w:rsid w:val="007866FE"/>
    <w:rsid w:val="00786737"/>
    <w:rsid w:val="00786781"/>
    <w:rsid w:val="007867D0"/>
    <w:rsid w:val="0078686C"/>
    <w:rsid w:val="0078691D"/>
    <w:rsid w:val="00786954"/>
    <w:rsid w:val="007869E4"/>
    <w:rsid w:val="00786A58"/>
    <w:rsid w:val="00786B17"/>
    <w:rsid w:val="00786BB9"/>
    <w:rsid w:val="00786C7A"/>
    <w:rsid w:val="00786CBB"/>
    <w:rsid w:val="00786D2D"/>
    <w:rsid w:val="00786D4D"/>
    <w:rsid w:val="00786D58"/>
    <w:rsid w:val="00786E40"/>
    <w:rsid w:val="00786F39"/>
    <w:rsid w:val="00786F55"/>
    <w:rsid w:val="00786FF8"/>
    <w:rsid w:val="0078701A"/>
    <w:rsid w:val="0078706D"/>
    <w:rsid w:val="007870F5"/>
    <w:rsid w:val="007871C9"/>
    <w:rsid w:val="00787223"/>
    <w:rsid w:val="00787490"/>
    <w:rsid w:val="00787498"/>
    <w:rsid w:val="007874F8"/>
    <w:rsid w:val="007875DF"/>
    <w:rsid w:val="007875E2"/>
    <w:rsid w:val="00787604"/>
    <w:rsid w:val="0078773A"/>
    <w:rsid w:val="00787745"/>
    <w:rsid w:val="007877BE"/>
    <w:rsid w:val="0078784C"/>
    <w:rsid w:val="00787856"/>
    <w:rsid w:val="0078786C"/>
    <w:rsid w:val="0078794F"/>
    <w:rsid w:val="00787965"/>
    <w:rsid w:val="007879D3"/>
    <w:rsid w:val="007879F2"/>
    <w:rsid w:val="007879F4"/>
    <w:rsid w:val="00787A34"/>
    <w:rsid w:val="00787A56"/>
    <w:rsid w:val="00787A6A"/>
    <w:rsid w:val="00787A75"/>
    <w:rsid w:val="00787AA2"/>
    <w:rsid w:val="00787BFF"/>
    <w:rsid w:val="00787C15"/>
    <w:rsid w:val="00787CEB"/>
    <w:rsid w:val="00787D16"/>
    <w:rsid w:val="00787D94"/>
    <w:rsid w:val="00787E02"/>
    <w:rsid w:val="00787E4B"/>
    <w:rsid w:val="00787E99"/>
    <w:rsid w:val="00787FE8"/>
    <w:rsid w:val="0078A411"/>
    <w:rsid w:val="00790010"/>
    <w:rsid w:val="00790103"/>
    <w:rsid w:val="00790114"/>
    <w:rsid w:val="0079020E"/>
    <w:rsid w:val="00790261"/>
    <w:rsid w:val="00790313"/>
    <w:rsid w:val="00790322"/>
    <w:rsid w:val="00790365"/>
    <w:rsid w:val="0079037F"/>
    <w:rsid w:val="0079038A"/>
    <w:rsid w:val="00790511"/>
    <w:rsid w:val="0079055A"/>
    <w:rsid w:val="00790707"/>
    <w:rsid w:val="00790716"/>
    <w:rsid w:val="0079076C"/>
    <w:rsid w:val="007907B6"/>
    <w:rsid w:val="00790875"/>
    <w:rsid w:val="0079087A"/>
    <w:rsid w:val="007908AB"/>
    <w:rsid w:val="007908AF"/>
    <w:rsid w:val="007908DF"/>
    <w:rsid w:val="007909AA"/>
    <w:rsid w:val="007909D9"/>
    <w:rsid w:val="00790A44"/>
    <w:rsid w:val="00790B57"/>
    <w:rsid w:val="00790B67"/>
    <w:rsid w:val="00790B89"/>
    <w:rsid w:val="00790BD7"/>
    <w:rsid w:val="00790C1A"/>
    <w:rsid w:val="00790C9A"/>
    <w:rsid w:val="00790D0F"/>
    <w:rsid w:val="00790D45"/>
    <w:rsid w:val="00790D4B"/>
    <w:rsid w:val="00790D8F"/>
    <w:rsid w:val="00790E43"/>
    <w:rsid w:val="00790F1E"/>
    <w:rsid w:val="00791083"/>
    <w:rsid w:val="007910C5"/>
    <w:rsid w:val="00791102"/>
    <w:rsid w:val="00791173"/>
    <w:rsid w:val="0079128E"/>
    <w:rsid w:val="007912EF"/>
    <w:rsid w:val="00791325"/>
    <w:rsid w:val="00791327"/>
    <w:rsid w:val="007913A0"/>
    <w:rsid w:val="007913D7"/>
    <w:rsid w:val="0079143D"/>
    <w:rsid w:val="007914C9"/>
    <w:rsid w:val="007914D1"/>
    <w:rsid w:val="007914E5"/>
    <w:rsid w:val="007915A8"/>
    <w:rsid w:val="007915C1"/>
    <w:rsid w:val="00791619"/>
    <w:rsid w:val="00791834"/>
    <w:rsid w:val="00791894"/>
    <w:rsid w:val="00791A99"/>
    <w:rsid w:val="00791BDB"/>
    <w:rsid w:val="00791C70"/>
    <w:rsid w:val="00791CD2"/>
    <w:rsid w:val="00791F99"/>
    <w:rsid w:val="0079202C"/>
    <w:rsid w:val="00792094"/>
    <w:rsid w:val="00792102"/>
    <w:rsid w:val="00792168"/>
    <w:rsid w:val="00792186"/>
    <w:rsid w:val="00792301"/>
    <w:rsid w:val="00792380"/>
    <w:rsid w:val="0079245B"/>
    <w:rsid w:val="00792488"/>
    <w:rsid w:val="007924B9"/>
    <w:rsid w:val="007924D3"/>
    <w:rsid w:val="00792567"/>
    <w:rsid w:val="007925F4"/>
    <w:rsid w:val="007927AD"/>
    <w:rsid w:val="007928C0"/>
    <w:rsid w:val="007928D4"/>
    <w:rsid w:val="007928E2"/>
    <w:rsid w:val="00792962"/>
    <w:rsid w:val="0079296D"/>
    <w:rsid w:val="007929C1"/>
    <w:rsid w:val="007929E9"/>
    <w:rsid w:val="00792A02"/>
    <w:rsid w:val="00792A40"/>
    <w:rsid w:val="00792B52"/>
    <w:rsid w:val="00792B6A"/>
    <w:rsid w:val="00792BB1"/>
    <w:rsid w:val="00792C4E"/>
    <w:rsid w:val="00792CAD"/>
    <w:rsid w:val="00792CB5"/>
    <w:rsid w:val="00792CC0"/>
    <w:rsid w:val="00792D35"/>
    <w:rsid w:val="00792D9E"/>
    <w:rsid w:val="00792DCC"/>
    <w:rsid w:val="00792EA5"/>
    <w:rsid w:val="00792EAC"/>
    <w:rsid w:val="00792FED"/>
    <w:rsid w:val="00792FFF"/>
    <w:rsid w:val="007930F1"/>
    <w:rsid w:val="0079314E"/>
    <w:rsid w:val="0079318D"/>
    <w:rsid w:val="0079318F"/>
    <w:rsid w:val="00793236"/>
    <w:rsid w:val="00793252"/>
    <w:rsid w:val="007932D2"/>
    <w:rsid w:val="00793351"/>
    <w:rsid w:val="007933B9"/>
    <w:rsid w:val="007933E1"/>
    <w:rsid w:val="00793403"/>
    <w:rsid w:val="0079349D"/>
    <w:rsid w:val="0079358D"/>
    <w:rsid w:val="007935CD"/>
    <w:rsid w:val="00793601"/>
    <w:rsid w:val="007936B0"/>
    <w:rsid w:val="007936C4"/>
    <w:rsid w:val="0079371C"/>
    <w:rsid w:val="00793783"/>
    <w:rsid w:val="0079382B"/>
    <w:rsid w:val="007938CC"/>
    <w:rsid w:val="007938FE"/>
    <w:rsid w:val="00793981"/>
    <w:rsid w:val="007939A2"/>
    <w:rsid w:val="007939ED"/>
    <w:rsid w:val="00793A47"/>
    <w:rsid w:val="00793A60"/>
    <w:rsid w:val="00793BD3"/>
    <w:rsid w:val="00793C63"/>
    <w:rsid w:val="00793D34"/>
    <w:rsid w:val="00793D46"/>
    <w:rsid w:val="00793DCE"/>
    <w:rsid w:val="00793DF1"/>
    <w:rsid w:val="00793E67"/>
    <w:rsid w:val="00793F6A"/>
    <w:rsid w:val="00793FC2"/>
    <w:rsid w:val="00793FCA"/>
    <w:rsid w:val="00793FF7"/>
    <w:rsid w:val="00794006"/>
    <w:rsid w:val="00794077"/>
    <w:rsid w:val="0079407B"/>
    <w:rsid w:val="00794109"/>
    <w:rsid w:val="00794152"/>
    <w:rsid w:val="007941E6"/>
    <w:rsid w:val="00794355"/>
    <w:rsid w:val="00794374"/>
    <w:rsid w:val="007943E6"/>
    <w:rsid w:val="00794411"/>
    <w:rsid w:val="00794455"/>
    <w:rsid w:val="007944A9"/>
    <w:rsid w:val="007944E8"/>
    <w:rsid w:val="0079452E"/>
    <w:rsid w:val="007945B8"/>
    <w:rsid w:val="007945BF"/>
    <w:rsid w:val="007945D8"/>
    <w:rsid w:val="0079464F"/>
    <w:rsid w:val="0079467B"/>
    <w:rsid w:val="007946D5"/>
    <w:rsid w:val="007946ED"/>
    <w:rsid w:val="0079474D"/>
    <w:rsid w:val="0079477B"/>
    <w:rsid w:val="007948EF"/>
    <w:rsid w:val="007949B8"/>
    <w:rsid w:val="00794A30"/>
    <w:rsid w:val="00794A7E"/>
    <w:rsid w:val="00794B35"/>
    <w:rsid w:val="00794C4D"/>
    <w:rsid w:val="00794C90"/>
    <w:rsid w:val="00794D2C"/>
    <w:rsid w:val="00794E05"/>
    <w:rsid w:val="00794E15"/>
    <w:rsid w:val="00794E3E"/>
    <w:rsid w:val="00795049"/>
    <w:rsid w:val="0079510F"/>
    <w:rsid w:val="007951DC"/>
    <w:rsid w:val="00795276"/>
    <w:rsid w:val="007952DD"/>
    <w:rsid w:val="00795315"/>
    <w:rsid w:val="007953B6"/>
    <w:rsid w:val="0079545D"/>
    <w:rsid w:val="00795485"/>
    <w:rsid w:val="007955BC"/>
    <w:rsid w:val="007955DB"/>
    <w:rsid w:val="007955FB"/>
    <w:rsid w:val="00795626"/>
    <w:rsid w:val="00795686"/>
    <w:rsid w:val="00795826"/>
    <w:rsid w:val="00795859"/>
    <w:rsid w:val="00795862"/>
    <w:rsid w:val="00795911"/>
    <w:rsid w:val="00795939"/>
    <w:rsid w:val="0079594F"/>
    <w:rsid w:val="00795A2F"/>
    <w:rsid w:val="00795A4D"/>
    <w:rsid w:val="00795AF7"/>
    <w:rsid w:val="00795B1B"/>
    <w:rsid w:val="00795B2E"/>
    <w:rsid w:val="00795C33"/>
    <w:rsid w:val="00795D75"/>
    <w:rsid w:val="00795DA2"/>
    <w:rsid w:val="00795E36"/>
    <w:rsid w:val="00795E3F"/>
    <w:rsid w:val="00795F17"/>
    <w:rsid w:val="00795F22"/>
    <w:rsid w:val="00795FB1"/>
    <w:rsid w:val="00795FF1"/>
    <w:rsid w:val="00796093"/>
    <w:rsid w:val="00796095"/>
    <w:rsid w:val="0079615F"/>
    <w:rsid w:val="007961A4"/>
    <w:rsid w:val="00796230"/>
    <w:rsid w:val="00796274"/>
    <w:rsid w:val="0079629C"/>
    <w:rsid w:val="007963F0"/>
    <w:rsid w:val="0079642B"/>
    <w:rsid w:val="00796456"/>
    <w:rsid w:val="0079648E"/>
    <w:rsid w:val="007964A1"/>
    <w:rsid w:val="007964F5"/>
    <w:rsid w:val="00796519"/>
    <w:rsid w:val="00796531"/>
    <w:rsid w:val="007965B4"/>
    <w:rsid w:val="00796650"/>
    <w:rsid w:val="00796694"/>
    <w:rsid w:val="007966B9"/>
    <w:rsid w:val="007966E7"/>
    <w:rsid w:val="00796781"/>
    <w:rsid w:val="00796881"/>
    <w:rsid w:val="007968A0"/>
    <w:rsid w:val="007968A8"/>
    <w:rsid w:val="00796942"/>
    <w:rsid w:val="0079694F"/>
    <w:rsid w:val="00796B52"/>
    <w:rsid w:val="00796D47"/>
    <w:rsid w:val="00796D56"/>
    <w:rsid w:val="00796DE5"/>
    <w:rsid w:val="00796DFB"/>
    <w:rsid w:val="00796E88"/>
    <w:rsid w:val="00796ED5"/>
    <w:rsid w:val="00796F4D"/>
    <w:rsid w:val="00796F59"/>
    <w:rsid w:val="00797141"/>
    <w:rsid w:val="0079716E"/>
    <w:rsid w:val="00797173"/>
    <w:rsid w:val="0079724F"/>
    <w:rsid w:val="007972B0"/>
    <w:rsid w:val="007972D1"/>
    <w:rsid w:val="00797320"/>
    <w:rsid w:val="00797423"/>
    <w:rsid w:val="0079751F"/>
    <w:rsid w:val="0079752C"/>
    <w:rsid w:val="007975B3"/>
    <w:rsid w:val="0079761E"/>
    <w:rsid w:val="00797668"/>
    <w:rsid w:val="007976AE"/>
    <w:rsid w:val="0079775B"/>
    <w:rsid w:val="007977F8"/>
    <w:rsid w:val="0079782F"/>
    <w:rsid w:val="00797846"/>
    <w:rsid w:val="007978B9"/>
    <w:rsid w:val="007978C4"/>
    <w:rsid w:val="007978C7"/>
    <w:rsid w:val="007978F1"/>
    <w:rsid w:val="007978FB"/>
    <w:rsid w:val="00797952"/>
    <w:rsid w:val="00797957"/>
    <w:rsid w:val="007979AD"/>
    <w:rsid w:val="007979E5"/>
    <w:rsid w:val="00797A78"/>
    <w:rsid w:val="00797AF0"/>
    <w:rsid w:val="00797B4A"/>
    <w:rsid w:val="00797B59"/>
    <w:rsid w:val="00797C52"/>
    <w:rsid w:val="00797CC1"/>
    <w:rsid w:val="00797D3B"/>
    <w:rsid w:val="00797DB8"/>
    <w:rsid w:val="007A0014"/>
    <w:rsid w:val="007A0032"/>
    <w:rsid w:val="007A0121"/>
    <w:rsid w:val="007A015F"/>
    <w:rsid w:val="007A0221"/>
    <w:rsid w:val="007A026F"/>
    <w:rsid w:val="007A0348"/>
    <w:rsid w:val="007A042E"/>
    <w:rsid w:val="007A04C1"/>
    <w:rsid w:val="007A04E2"/>
    <w:rsid w:val="007A0575"/>
    <w:rsid w:val="007A0617"/>
    <w:rsid w:val="007A0626"/>
    <w:rsid w:val="007A0765"/>
    <w:rsid w:val="007A078A"/>
    <w:rsid w:val="007A07EF"/>
    <w:rsid w:val="007A080B"/>
    <w:rsid w:val="007A0879"/>
    <w:rsid w:val="007A0970"/>
    <w:rsid w:val="007A09D2"/>
    <w:rsid w:val="007A0A69"/>
    <w:rsid w:val="007A0A87"/>
    <w:rsid w:val="007A0B35"/>
    <w:rsid w:val="007A0B77"/>
    <w:rsid w:val="007A0CB9"/>
    <w:rsid w:val="007A0D27"/>
    <w:rsid w:val="007A0D97"/>
    <w:rsid w:val="007A0DF8"/>
    <w:rsid w:val="007A0E17"/>
    <w:rsid w:val="007A0E71"/>
    <w:rsid w:val="007A0F60"/>
    <w:rsid w:val="007A0F8E"/>
    <w:rsid w:val="007A0FC0"/>
    <w:rsid w:val="007A0FC6"/>
    <w:rsid w:val="007A1062"/>
    <w:rsid w:val="007A109C"/>
    <w:rsid w:val="007A10A9"/>
    <w:rsid w:val="007A10C9"/>
    <w:rsid w:val="007A11BE"/>
    <w:rsid w:val="007A121A"/>
    <w:rsid w:val="007A1264"/>
    <w:rsid w:val="007A12AB"/>
    <w:rsid w:val="007A13B7"/>
    <w:rsid w:val="007A140E"/>
    <w:rsid w:val="007A1489"/>
    <w:rsid w:val="007A152F"/>
    <w:rsid w:val="007A154B"/>
    <w:rsid w:val="007A1581"/>
    <w:rsid w:val="007A168E"/>
    <w:rsid w:val="007A16C7"/>
    <w:rsid w:val="007A17B1"/>
    <w:rsid w:val="007A1823"/>
    <w:rsid w:val="007A1833"/>
    <w:rsid w:val="007A1908"/>
    <w:rsid w:val="007A1971"/>
    <w:rsid w:val="007A1A07"/>
    <w:rsid w:val="007A1AC5"/>
    <w:rsid w:val="007A1B2A"/>
    <w:rsid w:val="007A1C44"/>
    <w:rsid w:val="007A1C8F"/>
    <w:rsid w:val="007A1CC3"/>
    <w:rsid w:val="007A1CD1"/>
    <w:rsid w:val="007A1D4D"/>
    <w:rsid w:val="007A1E1E"/>
    <w:rsid w:val="007A1E23"/>
    <w:rsid w:val="007A1EA3"/>
    <w:rsid w:val="007A1EA6"/>
    <w:rsid w:val="007A1ED7"/>
    <w:rsid w:val="007A1F00"/>
    <w:rsid w:val="007A1F76"/>
    <w:rsid w:val="007A1FE8"/>
    <w:rsid w:val="007A2014"/>
    <w:rsid w:val="007A2018"/>
    <w:rsid w:val="007A20B5"/>
    <w:rsid w:val="007A211C"/>
    <w:rsid w:val="007A215D"/>
    <w:rsid w:val="007A21CE"/>
    <w:rsid w:val="007A222F"/>
    <w:rsid w:val="007A22C6"/>
    <w:rsid w:val="007A2662"/>
    <w:rsid w:val="007A27D9"/>
    <w:rsid w:val="007A27FE"/>
    <w:rsid w:val="007A283B"/>
    <w:rsid w:val="007A2A04"/>
    <w:rsid w:val="007A2B85"/>
    <w:rsid w:val="007A2BEA"/>
    <w:rsid w:val="007A2C3D"/>
    <w:rsid w:val="007A2C4B"/>
    <w:rsid w:val="007A2C57"/>
    <w:rsid w:val="007A2C65"/>
    <w:rsid w:val="007A2D65"/>
    <w:rsid w:val="007A2D82"/>
    <w:rsid w:val="007A2E68"/>
    <w:rsid w:val="007A2EDA"/>
    <w:rsid w:val="007A3059"/>
    <w:rsid w:val="007A3060"/>
    <w:rsid w:val="007A307C"/>
    <w:rsid w:val="007A3147"/>
    <w:rsid w:val="007A31D6"/>
    <w:rsid w:val="007A3238"/>
    <w:rsid w:val="007A330E"/>
    <w:rsid w:val="007A332E"/>
    <w:rsid w:val="007A3336"/>
    <w:rsid w:val="007A333F"/>
    <w:rsid w:val="007A3346"/>
    <w:rsid w:val="007A336E"/>
    <w:rsid w:val="007A3397"/>
    <w:rsid w:val="007A3492"/>
    <w:rsid w:val="007A34DC"/>
    <w:rsid w:val="007A3545"/>
    <w:rsid w:val="007A355D"/>
    <w:rsid w:val="007A363A"/>
    <w:rsid w:val="007A36C0"/>
    <w:rsid w:val="007A3716"/>
    <w:rsid w:val="007A373A"/>
    <w:rsid w:val="007A3775"/>
    <w:rsid w:val="007A37A7"/>
    <w:rsid w:val="007A386E"/>
    <w:rsid w:val="007A3890"/>
    <w:rsid w:val="007A3A50"/>
    <w:rsid w:val="007A3B29"/>
    <w:rsid w:val="007A3B88"/>
    <w:rsid w:val="007A3C52"/>
    <w:rsid w:val="007A3D3A"/>
    <w:rsid w:val="007A3D86"/>
    <w:rsid w:val="007A3D8F"/>
    <w:rsid w:val="007A3DC2"/>
    <w:rsid w:val="007A3E0E"/>
    <w:rsid w:val="007A3F0D"/>
    <w:rsid w:val="007A4012"/>
    <w:rsid w:val="007A4148"/>
    <w:rsid w:val="007A4182"/>
    <w:rsid w:val="007A41FA"/>
    <w:rsid w:val="007A4276"/>
    <w:rsid w:val="007A42D3"/>
    <w:rsid w:val="007A42ED"/>
    <w:rsid w:val="007A4314"/>
    <w:rsid w:val="007A4536"/>
    <w:rsid w:val="007A4548"/>
    <w:rsid w:val="007A462F"/>
    <w:rsid w:val="007A4652"/>
    <w:rsid w:val="007A466F"/>
    <w:rsid w:val="007A46E4"/>
    <w:rsid w:val="007A476E"/>
    <w:rsid w:val="007A4ADF"/>
    <w:rsid w:val="007A4B46"/>
    <w:rsid w:val="007A4BC1"/>
    <w:rsid w:val="007A4BE8"/>
    <w:rsid w:val="007A4C1B"/>
    <w:rsid w:val="007A4C3C"/>
    <w:rsid w:val="007A4E0E"/>
    <w:rsid w:val="007A4E18"/>
    <w:rsid w:val="007A4E8D"/>
    <w:rsid w:val="007A5016"/>
    <w:rsid w:val="007A519E"/>
    <w:rsid w:val="007A51B1"/>
    <w:rsid w:val="007A51C6"/>
    <w:rsid w:val="007A51C8"/>
    <w:rsid w:val="007A529D"/>
    <w:rsid w:val="007A5343"/>
    <w:rsid w:val="007A5361"/>
    <w:rsid w:val="007A53B2"/>
    <w:rsid w:val="007A53D6"/>
    <w:rsid w:val="007A5405"/>
    <w:rsid w:val="007A5460"/>
    <w:rsid w:val="007A54AA"/>
    <w:rsid w:val="007A54E6"/>
    <w:rsid w:val="007A556E"/>
    <w:rsid w:val="007A55C7"/>
    <w:rsid w:val="007A55D6"/>
    <w:rsid w:val="007A560D"/>
    <w:rsid w:val="007A5674"/>
    <w:rsid w:val="007A567F"/>
    <w:rsid w:val="007A5711"/>
    <w:rsid w:val="007A5758"/>
    <w:rsid w:val="007A5800"/>
    <w:rsid w:val="007A583A"/>
    <w:rsid w:val="007A5852"/>
    <w:rsid w:val="007A58D1"/>
    <w:rsid w:val="007A58EA"/>
    <w:rsid w:val="007A58F7"/>
    <w:rsid w:val="007A5951"/>
    <w:rsid w:val="007A5A39"/>
    <w:rsid w:val="007A5AED"/>
    <w:rsid w:val="007A5B71"/>
    <w:rsid w:val="007A5BAD"/>
    <w:rsid w:val="007A5C0E"/>
    <w:rsid w:val="007A5D0B"/>
    <w:rsid w:val="007A5D58"/>
    <w:rsid w:val="007A5DAA"/>
    <w:rsid w:val="007A5E0E"/>
    <w:rsid w:val="007A5E10"/>
    <w:rsid w:val="007A5EA3"/>
    <w:rsid w:val="007A5EE4"/>
    <w:rsid w:val="007A5F61"/>
    <w:rsid w:val="007A6052"/>
    <w:rsid w:val="007A607B"/>
    <w:rsid w:val="007A607E"/>
    <w:rsid w:val="007A60AF"/>
    <w:rsid w:val="007A6306"/>
    <w:rsid w:val="007A6320"/>
    <w:rsid w:val="007A6395"/>
    <w:rsid w:val="007A6422"/>
    <w:rsid w:val="007A642C"/>
    <w:rsid w:val="007A653C"/>
    <w:rsid w:val="007A6583"/>
    <w:rsid w:val="007A6821"/>
    <w:rsid w:val="007A684D"/>
    <w:rsid w:val="007A6877"/>
    <w:rsid w:val="007A6882"/>
    <w:rsid w:val="007A695A"/>
    <w:rsid w:val="007A6966"/>
    <w:rsid w:val="007A6971"/>
    <w:rsid w:val="007A6A46"/>
    <w:rsid w:val="007A6A70"/>
    <w:rsid w:val="007A6B0F"/>
    <w:rsid w:val="007A6C35"/>
    <w:rsid w:val="007A6C37"/>
    <w:rsid w:val="007A6C83"/>
    <w:rsid w:val="007A6CA9"/>
    <w:rsid w:val="007A6CCF"/>
    <w:rsid w:val="007A6D06"/>
    <w:rsid w:val="007A6E0D"/>
    <w:rsid w:val="007A6E16"/>
    <w:rsid w:val="007A6E9E"/>
    <w:rsid w:val="007A6F10"/>
    <w:rsid w:val="007A6F8C"/>
    <w:rsid w:val="007A705F"/>
    <w:rsid w:val="007A7091"/>
    <w:rsid w:val="007A70F8"/>
    <w:rsid w:val="007A721A"/>
    <w:rsid w:val="007A723B"/>
    <w:rsid w:val="007A724D"/>
    <w:rsid w:val="007A729E"/>
    <w:rsid w:val="007A736C"/>
    <w:rsid w:val="007A73C9"/>
    <w:rsid w:val="007A73EB"/>
    <w:rsid w:val="007A7413"/>
    <w:rsid w:val="007A7476"/>
    <w:rsid w:val="007A74DA"/>
    <w:rsid w:val="007A7654"/>
    <w:rsid w:val="007A7718"/>
    <w:rsid w:val="007A7724"/>
    <w:rsid w:val="007A7795"/>
    <w:rsid w:val="007A7831"/>
    <w:rsid w:val="007A783C"/>
    <w:rsid w:val="007A78AD"/>
    <w:rsid w:val="007A78C8"/>
    <w:rsid w:val="007A7994"/>
    <w:rsid w:val="007A7997"/>
    <w:rsid w:val="007A79AB"/>
    <w:rsid w:val="007A7A1D"/>
    <w:rsid w:val="007A7A2E"/>
    <w:rsid w:val="007A7A49"/>
    <w:rsid w:val="007A7A69"/>
    <w:rsid w:val="007A7AD9"/>
    <w:rsid w:val="007A7ADC"/>
    <w:rsid w:val="007A7AE0"/>
    <w:rsid w:val="007A7AE5"/>
    <w:rsid w:val="007A7B33"/>
    <w:rsid w:val="007A7B85"/>
    <w:rsid w:val="007A7B9C"/>
    <w:rsid w:val="007A7CBF"/>
    <w:rsid w:val="007A7DAB"/>
    <w:rsid w:val="007A7EA0"/>
    <w:rsid w:val="007A7EEC"/>
    <w:rsid w:val="007A7F5B"/>
    <w:rsid w:val="007A7FC2"/>
    <w:rsid w:val="007B007C"/>
    <w:rsid w:val="007B00FC"/>
    <w:rsid w:val="007B0128"/>
    <w:rsid w:val="007B017E"/>
    <w:rsid w:val="007B01B4"/>
    <w:rsid w:val="007B020F"/>
    <w:rsid w:val="007B0267"/>
    <w:rsid w:val="007B02CB"/>
    <w:rsid w:val="007B0306"/>
    <w:rsid w:val="007B0332"/>
    <w:rsid w:val="007B0364"/>
    <w:rsid w:val="007B04AD"/>
    <w:rsid w:val="007B0595"/>
    <w:rsid w:val="007B0599"/>
    <w:rsid w:val="007B05CE"/>
    <w:rsid w:val="007B066B"/>
    <w:rsid w:val="007B0716"/>
    <w:rsid w:val="007B07C4"/>
    <w:rsid w:val="007B086F"/>
    <w:rsid w:val="007B08A1"/>
    <w:rsid w:val="007B08CA"/>
    <w:rsid w:val="007B093D"/>
    <w:rsid w:val="007B0965"/>
    <w:rsid w:val="007B097A"/>
    <w:rsid w:val="007B0A03"/>
    <w:rsid w:val="007B0A7D"/>
    <w:rsid w:val="007B0A8A"/>
    <w:rsid w:val="007B0AF2"/>
    <w:rsid w:val="007B0B59"/>
    <w:rsid w:val="007B0B72"/>
    <w:rsid w:val="007B0B83"/>
    <w:rsid w:val="007B0C52"/>
    <w:rsid w:val="007B0CE6"/>
    <w:rsid w:val="007B0D3C"/>
    <w:rsid w:val="007B0D74"/>
    <w:rsid w:val="007B0D89"/>
    <w:rsid w:val="007B0F6D"/>
    <w:rsid w:val="007B1085"/>
    <w:rsid w:val="007B10A3"/>
    <w:rsid w:val="007B115E"/>
    <w:rsid w:val="007B1187"/>
    <w:rsid w:val="007B11B8"/>
    <w:rsid w:val="007B11DE"/>
    <w:rsid w:val="007B11DF"/>
    <w:rsid w:val="007B11E8"/>
    <w:rsid w:val="007B1208"/>
    <w:rsid w:val="007B12DB"/>
    <w:rsid w:val="007B12E1"/>
    <w:rsid w:val="007B1305"/>
    <w:rsid w:val="007B134E"/>
    <w:rsid w:val="007B1377"/>
    <w:rsid w:val="007B1398"/>
    <w:rsid w:val="007B13AD"/>
    <w:rsid w:val="007B153B"/>
    <w:rsid w:val="007B1656"/>
    <w:rsid w:val="007B1664"/>
    <w:rsid w:val="007B168A"/>
    <w:rsid w:val="007B169D"/>
    <w:rsid w:val="007B16D1"/>
    <w:rsid w:val="007B1809"/>
    <w:rsid w:val="007B1985"/>
    <w:rsid w:val="007B1A86"/>
    <w:rsid w:val="007B1B0B"/>
    <w:rsid w:val="007B1B10"/>
    <w:rsid w:val="007B1C1D"/>
    <w:rsid w:val="007B1C4B"/>
    <w:rsid w:val="007B1C82"/>
    <w:rsid w:val="007B1CC0"/>
    <w:rsid w:val="007B1D4F"/>
    <w:rsid w:val="007B1E5E"/>
    <w:rsid w:val="007B1EE1"/>
    <w:rsid w:val="007B1F04"/>
    <w:rsid w:val="007B1F09"/>
    <w:rsid w:val="007B1F56"/>
    <w:rsid w:val="007B2064"/>
    <w:rsid w:val="007B20A0"/>
    <w:rsid w:val="007B2124"/>
    <w:rsid w:val="007B2180"/>
    <w:rsid w:val="007B2196"/>
    <w:rsid w:val="007B245C"/>
    <w:rsid w:val="007B2472"/>
    <w:rsid w:val="007B2550"/>
    <w:rsid w:val="007B25B4"/>
    <w:rsid w:val="007B25C9"/>
    <w:rsid w:val="007B25D2"/>
    <w:rsid w:val="007B25D3"/>
    <w:rsid w:val="007B25DB"/>
    <w:rsid w:val="007B2632"/>
    <w:rsid w:val="007B26C0"/>
    <w:rsid w:val="007B26CD"/>
    <w:rsid w:val="007B26EA"/>
    <w:rsid w:val="007B279D"/>
    <w:rsid w:val="007B285E"/>
    <w:rsid w:val="007B28A1"/>
    <w:rsid w:val="007B2A7A"/>
    <w:rsid w:val="007B2AE0"/>
    <w:rsid w:val="007B2B08"/>
    <w:rsid w:val="007B2BBD"/>
    <w:rsid w:val="007B2C4A"/>
    <w:rsid w:val="007B2CD4"/>
    <w:rsid w:val="007B2D98"/>
    <w:rsid w:val="007B2E3A"/>
    <w:rsid w:val="007B2EB6"/>
    <w:rsid w:val="007B2F46"/>
    <w:rsid w:val="007B308A"/>
    <w:rsid w:val="007B30AE"/>
    <w:rsid w:val="007B3111"/>
    <w:rsid w:val="007B3131"/>
    <w:rsid w:val="007B3137"/>
    <w:rsid w:val="007B3434"/>
    <w:rsid w:val="007B34B3"/>
    <w:rsid w:val="007B352B"/>
    <w:rsid w:val="007B352D"/>
    <w:rsid w:val="007B3640"/>
    <w:rsid w:val="007B368F"/>
    <w:rsid w:val="007B3789"/>
    <w:rsid w:val="007B38B8"/>
    <w:rsid w:val="007B38C3"/>
    <w:rsid w:val="007B391B"/>
    <w:rsid w:val="007B3930"/>
    <w:rsid w:val="007B396D"/>
    <w:rsid w:val="007B3989"/>
    <w:rsid w:val="007B3A12"/>
    <w:rsid w:val="007B3A56"/>
    <w:rsid w:val="007B3A7D"/>
    <w:rsid w:val="007B3BB0"/>
    <w:rsid w:val="007B3D4F"/>
    <w:rsid w:val="007B3D7F"/>
    <w:rsid w:val="007B3DBD"/>
    <w:rsid w:val="007B3E12"/>
    <w:rsid w:val="007B3F31"/>
    <w:rsid w:val="007B3F3B"/>
    <w:rsid w:val="007B3F4D"/>
    <w:rsid w:val="007B3FB8"/>
    <w:rsid w:val="007B400D"/>
    <w:rsid w:val="007B406D"/>
    <w:rsid w:val="007B4115"/>
    <w:rsid w:val="007B424A"/>
    <w:rsid w:val="007B426E"/>
    <w:rsid w:val="007B42EC"/>
    <w:rsid w:val="007B430D"/>
    <w:rsid w:val="007B443A"/>
    <w:rsid w:val="007B4453"/>
    <w:rsid w:val="007B445E"/>
    <w:rsid w:val="007B4491"/>
    <w:rsid w:val="007B44FF"/>
    <w:rsid w:val="007B4568"/>
    <w:rsid w:val="007B457C"/>
    <w:rsid w:val="007B4585"/>
    <w:rsid w:val="007B459B"/>
    <w:rsid w:val="007B45E1"/>
    <w:rsid w:val="007B475B"/>
    <w:rsid w:val="007B4760"/>
    <w:rsid w:val="007B4785"/>
    <w:rsid w:val="007B48AF"/>
    <w:rsid w:val="007B4959"/>
    <w:rsid w:val="007B4A3E"/>
    <w:rsid w:val="007B4ACB"/>
    <w:rsid w:val="007B4AFB"/>
    <w:rsid w:val="007B4B35"/>
    <w:rsid w:val="007B4BB0"/>
    <w:rsid w:val="007B4BB2"/>
    <w:rsid w:val="007B4BE3"/>
    <w:rsid w:val="007B4BE4"/>
    <w:rsid w:val="007B4C29"/>
    <w:rsid w:val="007B4C32"/>
    <w:rsid w:val="007B4C66"/>
    <w:rsid w:val="007B4C86"/>
    <w:rsid w:val="007B4D09"/>
    <w:rsid w:val="007B4DAA"/>
    <w:rsid w:val="007B4DAB"/>
    <w:rsid w:val="007B4DB9"/>
    <w:rsid w:val="007B4E76"/>
    <w:rsid w:val="007B4F75"/>
    <w:rsid w:val="007B4FFB"/>
    <w:rsid w:val="007B5042"/>
    <w:rsid w:val="007B51BD"/>
    <w:rsid w:val="007B5371"/>
    <w:rsid w:val="007B537C"/>
    <w:rsid w:val="007B5486"/>
    <w:rsid w:val="007B54AF"/>
    <w:rsid w:val="007B573C"/>
    <w:rsid w:val="007B57FA"/>
    <w:rsid w:val="007B580B"/>
    <w:rsid w:val="007B5878"/>
    <w:rsid w:val="007B5880"/>
    <w:rsid w:val="007B5893"/>
    <w:rsid w:val="007B5918"/>
    <w:rsid w:val="007B5980"/>
    <w:rsid w:val="007B59F8"/>
    <w:rsid w:val="007B5B43"/>
    <w:rsid w:val="007B5D22"/>
    <w:rsid w:val="007B5D4A"/>
    <w:rsid w:val="007B5D56"/>
    <w:rsid w:val="007B5DC2"/>
    <w:rsid w:val="007B5DEB"/>
    <w:rsid w:val="007B5F6D"/>
    <w:rsid w:val="007B602C"/>
    <w:rsid w:val="007B6035"/>
    <w:rsid w:val="007B615F"/>
    <w:rsid w:val="007B62AE"/>
    <w:rsid w:val="007B636E"/>
    <w:rsid w:val="007B638F"/>
    <w:rsid w:val="007B63AB"/>
    <w:rsid w:val="007B63E4"/>
    <w:rsid w:val="007B6409"/>
    <w:rsid w:val="007B641A"/>
    <w:rsid w:val="007B6447"/>
    <w:rsid w:val="007B645C"/>
    <w:rsid w:val="007B6521"/>
    <w:rsid w:val="007B6617"/>
    <w:rsid w:val="007B6618"/>
    <w:rsid w:val="007B66B7"/>
    <w:rsid w:val="007B6789"/>
    <w:rsid w:val="007B67AC"/>
    <w:rsid w:val="007B683B"/>
    <w:rsid w:val="007B6873"/>
    <w:rsid w:val="007B68F5"/>
    <w:rsid w:val="007B696A"/>
    <w:rsid w:val="007B6998"/>
    <w:rsid w:val="007B6A42"/>
    <w:rsid w:val="007B6A7D"/>
    <w:rsid w:val="007B6B1F"/>
    <w:rsid w:val="007B6B2D"/>
    <w:rsid w:val="007B6B69"/>
    <w:rsid w:val="007B6C73"/>
    <w:rsid w:val="007B6D42"/>
    <w:rsid w:val="007B6E5A"/>
    <w:rsid w:val="007B6F28"/>
    <w:rsid w:val="007B6F2D"/>
    <w:rsid w:val="007B6F79"/>
    <w:rsid w:val="007B7009"/>
    <w:rsid w:val="007B7096"/>
    <w:rsid w:val="007B70B3"/>
    <w:rsid w:val="007B712D"/>
    <w:rsid w:val="007B7164"/>
    <w:rsid w:val="007B71CF"/>
    <w:rsid w:val="007B7276"/>
    <w:rsid w:val="007B72B2"/>
    <w:rsid w:val="007B7439"/>
    <w:rsid w:val="007B748E"/>
    <w:rsid w:val="007B7567"/>
    <w:rsid w:val="007B7592"/>
    <w:rsid w:val="007B762A"/>
    <w:rsid w:val="007B76CF"/>
    <w:rsid w:val="007B77F3"/>
    <w:rsid w:val="007B7877"/>
    <w:rsid w:val="007B7897"/>
    <w:rsid w:val="007B78B6"/>
    <w:rsid w:val="007B78D8"/>
    <w:rsid w:val="007B7974"/>
    <w:rsid w:val="007B7AB7"/>
    <w:rsid w:val="007B7ADD"/>
    <w:rsid w:val="007B7B7C"/>
    <w:rsid w:val="007B7C53"/>
    <w:rsid w:val="007B7C7D"/>
    <w:rsid w:val="007B7C96"/>
    <w:rsid w:val="007B7CF0"/>
    <w:rsid w:val="007B7DC4"/>
    <w:rsid w:val="007B7E20"/>
    <w:rsid w:val="007B7E92"/>
    <w:rsid w:val="007B7F44"/>
    <w:rsid w:val="007B7F9B"/>
    <w:rsid w:val="007C00D5"/>
    <w:rsid w:val="007C00D7"/>
    <w:rsid w:val="007C0107"/>
    <w:rsid w:val="007C015E"/>
    <w:rsid w:val="007C01BC"/>
    <w:rsid w:val="007C0225"/>
    <w:rsid w:val="007C022B"/>
    <w:rsid w:val="007C0238"/>
    <w:rsid w:val="007C02AF"/>
    <w:rsid w:val="007C0337"/>
    <w:rsid w:val="007C042F"/>
    <w:rsid w:val="007C0478"/>
    <w:rsid w:val="007C04F1"/>
    <w:rsid w:val="007C055A"/>
    <w:rsid w:val="007C0577"/>
    <w:rsid w:val="007C05A4"/>
    <w:rsid w:val="007C05D1"/>
    <w:rsid w:val="007C0641"/>
    <w:rsid w:val="007C067D"/>
    <w:rsid w:val="007C078C"/>
    <w:rsid w:val="007C080B"/>
    <w:rsid w:val="007C09AC"/>
    <w:rsid w:val="007C0B3F"/>
    <w:rsid w:val="007C0C41"/>
    <w:rsid w:val="007C0CC1"/>
    <w:rsid w:val="007C0D1A"/>
    <w:rsid w:val="007C0E0A"/>
    <w:rsid w:val="007C0E12"/>
    <w:rsid w:val="007C0E6B"/>
    <w:rsid w:val="007C0EC1"/>
    <w:rsid w:val="007C106E"/>
    <w:rsid w:val="007C10FF"/>
    <w:rsid w:val="007C12DF"/>
    <w:rsid w:val="007C133B"/>
    <w:rsid w:val="007C1370"/>
    <w:rsid w:val="007C1448"/>
    <w:rsid w:val="007C145F"/>
    <w:rsid w:val="007C147E"/>
    <w:rsid w:val="007C1594"/>
    <w:rsid w:val="007C159D"/>
    <w:rsid w:val="007C1625"/>
    <w:rsid w:val="007C1642"/>
    <w:rsid w:val="007C16D2"/>
    <w:rsid w:val="007C16F3"/>
    <w:rsid w:val="007C1712"/>
    <w:rsid w:val="007C1760"/>
    <w:rsid w:val="007C1763"/>
    <w:rsid w:val="007C1891"/>
    <w:rsid w:val="007C1904"/>
    <w:rsid w:val="007C1921"/>
    <w:rsid w:val="007C1967"/>
    <w:rsid w:val="007C1979"/>
    <w:rsid w:val="007C19C8"/>
    <w:rsid w:val="007C19E1"/>
    <w:rsid w:val="007C1A47"/>
    <w:rsid w:val="007C1AD2"/>
    <w:rsid w:val="007C1B16"/>
    <w:rsid w:val="007C1BA1"/>
    <w:rsid w:val="007C1BCD"/>
    <w:rsid w:val="007C1C7D"/>
    <w:rsid w:val="007C1C88"/>
    <w:rsid w:val="007C1CDA"/>
    <w:rsid w:val="007C1D18"/>
    <w:rsid w:val="007C1D5B"/>
    <w:rsid w:val="007C1D96"/>
    <w:rsid w:val="007C1DA7"/>
    <w:rsid w:val="007C1DAF"/>
    <w:rsid w:val="007C1DDD"/>
    <w:rsid w:val="007C1DE1"/>
    <w:rsid w:val="007C1E55"/>
    <w:rsid w:val="007C1E83"/>
    <w:rsid w:val="007C1ECD"/>
    <w:rsid w:val="007C1EEA"/>
    <w:rsid w:val="007C1F73"/>
    <w:rsid w:val="007C1F80"/>
    <w:rsid w:val="007C1FC5"/>
    <w:rsid w:val="007C1FC8"/>
    <w:rsid w:val="007C1FE4"/>
    <w:rsid w:val="007C200F"/>
    <w:rsid w:val="007C2022"/>
    <w:rsid w:val="007C2064"/>
    <w:rsid w:val="007C2082"/>
    <w:rsid w:val="007C215B"/>
    <w:rsid w:val="007C2166"/>
    <w:rsid w:val="007C2193"/>
    <w:rsid w:val="007C21F2"/>
    <w:rsid w:val="007C220E"/>
    <w:rsid w:val="007C223E"/>
    <w:rsid w:val="007C2244"/>
    <w:rsid w:val="007C22A3"/>
    <w:rsid w:val="007C23B9"/>
    <w:rsid w:val="007C23FC"/>
    <w:rsid w:val="007C242A"/>
    <w:rsid w:val="007C2445"/>
    <w:rsid w:val="007C2463"/>
    <w:rsid w:val="007C2524"/>
    <w:rsid w:val="007C25C7"/>
    <w:rsid w:val="007C26A9"/>
    <w:rsid w:val="007C26DD"/>
    <w:rsid w:val="007C281C"/>
    <w:rsid w:val="007C2897"/>
    <w:rsid w:val="007C28F5"/>
    <w:rsid w:val="007C299B"/>
    <w:rsid w:val="007C29D1"/>
    <w:rsid w:val="007C29FC"/>
    <w:rsid w:val="007C2A9C"/>
    <w:rsid w:val="007C2AA0"/>
    <w:rsid w:val="007C2AB7"/>
    <w:rsid w:val="007C2B2E"/>
    <w:rsid w:val="007C2B48"/>
    <w:rsid w:val="007C2B6F"/>
    <w:rsid w:val="007C2C84"/>
    <w:rsid w:val="007C2C89"/>
    <w:rsid w:val="007C2E12"/>
    <w:rsid w:val="007C2E67"/>
    <w:rsid w:val="007C2EC7"/>
    <w:rsid w:val="007C2F06"/>
    <w:rsid w:val="007C2F52"/>
    <w:rsid w:val="007C2FCD"/>
    <w:rsid w:val="007C2FD4"/>
    <w:rsid w:val="007C3028"/>
    <w:rsid w:val="007C3062"/>
    <w:rsid w:val="007C30A1"/>
    <w:rsid w:val="007C30E7"/>
    <w:rsid w:val="007C30FC"/>
    <w:rsid w:val="007C31D5"/>
    <w:rsid w:val="007C31DB"/>
    <w:rsid w:val="007C3208"/>
    <w:rsid w:val="007C32D7"/>
    <w:rsid w:val="007C3390"/>
    <w:rsid w:val="007C345A"/>
    <w:rsid w:val="007C3506"/>
    <w:rsid w:val="007C35BD"/>
    <w:rsid w:val="007C35E1"/>
    <w:rsid w:val="007C35EC"/>
    <w:rsid w:val="007C3613"/>
    <w:rsid w:val="007C3659"/>
    <w:rsid w:val="007C36F9"/>
    <w:rsid w:val="007C38B5"/>
    <w:rsid w:val="007C38C3"/>
    <w:rsid w:val="007C39B9"/>
    <w:rsid w:val="007C3A21"/>
    <w:rsid w:val="007C3AFF"/>
    <w:rsid w:val="007C3B21"/>
    <w:rsid w:val="007C3B81"/>
    <w:rsid w:val="007C3C1A"/>
    <w:rsid w:val="007C3CC5"/>
    <w:rsid w:val="007C3CD2"/>
    <w:rsid w:val="007C3DF2"/>
    <w:rsid w:val="007C3E19"/>
    <w:rsid w:val="007C3F16"/>
    <w:rsid w:val="007C3F25"/>
    <w:rsid w:val="007C3F56"/>
    <w:rsid w:val="007C3FD4"/>
    <w:rsid w:val="007C405F"/>
    <w:rsid w:val="007C41A0"/>
    <w:rsid w:val="007C41D4"/>
    <w:rsid w:val="007C4219"/>
    <w:rsid w:val="007C4263"/>
    <w:rsid w:val="007C4288"/>
    <w:rsid w:val="007C42B0"/>
    <w:rsid w:val="007C4336"/>
    <w:rsid w:val="007C4370"/>
    <w:rsid w:val="007C43E2"/>
    <w:rsid w:val="007C43F5"/>
    <w:rsid w:val="007C44B9"/>
    <w:rsid w:val="007C44C5"/>
    <w:rsid w:val="007C44D1"/>
    <w:rsid w:val="007C45A5"/>
    <w:rsid w:val="007C460F"/>
    <w:rsid w:val="007C463E"/>
    <w:rsid w:val="007C46D7"/>
    <w:rsid w:val="007C46DF"/>
    <w:rsid w:val="007C46F0"/>
    <w:rsid w:val="007C46F5"/>
    <w:rsid w:val="007C4706"/>
    <w:rsid w:val="007C4733"/>
    <w:rsid w:val="007C478B"/>
    <w:rsid w:val="007C47B2"/>
    <w:rsid w:val="007C47E3"/>
    <w:rsid w:val="007C47E7"/>
    <w:rsid w:val="007C47F0"/>
    <w:rsid w:val="007C4966"/>
    <w:rsid w:val="007C4A1E"/>
    <w:rsid w:val="007C4A2B"/>
    <w:rsid w:val="007C4B52"/>
    <w:rsid w:val="007C4B9B"/>
    <w:rsid w:val="007C4BAD"/>
    <w:rsid w:val="007C4BF7"/>
    <w:rsid w:val="007C4C4B"/>
    <w:rsid w:val="007C4C97"/>
    <w:rsid w:val="007C4D4C"/>
    <w:rsid w:val="007C4D65"/>
    <w:rsid w:val="007C4EA0"/>
    <w:rsid w:val="007C4F73"/>
    <w:rsid w:val="007C4F7B"/>
    <w:rsid w:val="007C4F89"/>
    <w:rsid w:val="007C4FAD"/>
    <w:rsid w:val="007C50E2"/>
    <w:rsid w:val="007C5126"/>
    <w:rsid w:val="007C5145"/>
    <w:rsid w:val="007C5168"/>
    <w:rsid w:val="007C51B0"/>
    <w:rsid w:val="007C51B8"/>
    <w:rsid w:val="007C52A8"/>
    <w:rsid w:val="007C52D4"/>
    <w:rsid w:val="007C52E1"/>
    <w:rsid w:val="007C52F4"/>
    <w:rsid w:val="007C5329"/>
    <w:rsid w:val="007C5365"/>
    <w:rsid w:val="007C5382"/>
    <w:rsid w:val="007C55AF"/>
    <w:rsid w:val="007C5603"/>
    <w:rsid w:val="007C56CB"/>
    <w:rsid w:val="007C5758"/>
    <w:rsid w:val="007C590A"/>
    <w:rsid w:val="007C5954"/>
    <w:rsid w:val="007C5963"/>
    <w:rsid w:val="007C59B9"/>
    <w:rsid w:val="007C5A19"/>
    <w:rsid w:val="007C5A7D"/>
    <w:rsid w:val="007C5AA2"/>
    <w:rsid w:val="007C5BBE"/>
    <w:rsid w:val="007C5C32"/>
    <w:rsid w:val="007C5D10"/>
    <w:rsid w:val="007C5D3E"/>
    <w:rsid w:val="007C5DDF"/>
    <w:rsid w:val="007C5F14"/>
    <w:rsid w:val="007C5F46"/>
    <w:rsid w:val="007C5FDA"/>
    <w:rsid w:val="007C6114"/>
    <w:rsid w:val="007C61BC"/>
    <w:rsid w:val="007C621C"/>
    <w:rsid w:val="007C621E"/>
    <w:rsid w:val="007C6249"/>
    <w:rsid w:val="007C636E"/>
    <w:rsid w:val="007C6393"/>
    <w:rsid w:val="007C63A2"/>
    <w:rsid w:val="007C645B"/>
    <w:rsid w:val="007C64CA"/>
    <w:rsid w:val="007C6562"/>
    <w:rsid w:val="007C65C5"/>
    <w:rsid w:val="007C65EE"/>
    <w:rsid w:val="007C6688"/>
    <w:rsid w:val="007C6708"/>
    <w:rsid w:val="007C6724"/>
    <w:rsid w:val="007C677A"/>
    <w:rsid w:val="007C678D"/>
    <w:rsid w:val="007C686A"/>
    <w:rsid w:val="007C686E"/>
    <w:rsid w:val="007C689B"/>
    <w:rsid w:val="007C68B3"/>
    <w:rsid w:val="007C698B"/>
    <w:rsid w:val="007C69DF"/>
    <w:rsid w:val="007C6AEE"/>
    <w:rsid w:val="007C6B05"/>
    <w:rsid w:val="007C6BF7"/>
    <w:rsid w:val="007C6D0B"/>
    <w:rsid w:val="007C6ED4"/>
    <w:rsid w:val="007C6EE2"/>
    <w:rsid w:val="007C6F02"/>
    <w:rsid w:val="007C6F35"/>
    <w:rsid w:val="007C6F49"/>
    <w:rsid w:val="007C6F5E"/>
    <w:rsid w:val="007C6F85"/>
    <w:rsid w:val="007C70E9"/>
    <w:rsid w:val="007C712D"/>
    <w:rsid w:val="007C717D"/>
    <w:rsid w:val="007C7342"/>
    <w:rsid w:val="007C735A"/>
    <w:rsid w:val="007C73AF"/>
    <w:rsid w:val="007C73BB"/>
    <w:rsid w:val="007C73EF"/>
    <w:rsid w:val="007C7528"/>
    <w:rsid w:val="007C753B"/>
    <w:rsid w:val="007C75DE"/>
    <w:rsid w:val="007C75EA"/>
    <w:rsid w:val="007C76C7"/>
    <w:rsid w:val="007C76DD"/>
    <w:rsid w:val="007C76F9"/>
    <w:rsid w:val="007C7744"/>
    <w:rsid w:val="007C7763"/>
    <w:rsid w:val="007C7767"/>
    <w:rsid w:val="007C77A7"/>
    <w:rsid w:val="007C77BE"/>
    <w:rsid w:val="007C7811"/>
    <w:rsid w:val="007C787E"/>
    <w:rsid w:val="007C7885"/>
    <w:rsid w:val="007C7930"/>
    <w:rsid w:val="007C79E7"/>
    <w:rsid w:val="007C7A3F"/>
    <w:rsid w:val="007C7AF6"/>
    <w:rsid w:val="007C7B90"/>
    <w:rsid w:val="007C7C11"/>
    <w:rsid w:val="007C7CF6"/>
    <w:rsid w:val="007C7D68"/>
    <w:rsid w:val="007C7E28"/>
    <w:rsid w:val="007C7F6C"/>
    <w:rsid w:val="007C7F7F"/>
    <w:rsid w:val="007D0021"/>
    <w:rsid w:val="007D006B"/>
    <w:rsid w:val="007D008C"/>
    <w:rsid w:val="007D00F0"/>
    <w:rsid w:val="007D019D"/>
    <w:rsid w:val="007D019F"/>
    <w:rsid w:val="007D0240"/>
    <w:rsid w:val="007D02FB"/>
    <w:rsid w:val="007D034C"/>
    <w:rsid w:val="007D03B3"/>
    <w:rsid w:val="007D03D3"/>
    <w:rsid w:val="007D04AE"/>
    <w:rsid w:val="007D0532"/>
    <w:rsid w:val="007D0613"/>
    <w:rsid w:val="007D06CD"/>
    <w:rsid w:val="007D06F0"/>
    <w:rsid w:val="007D070B"/>
    <w:rsid w:val="007D07DE"/>
    <w:rsid w:val="007D0835"/>
    <w:rsid w:val="007D08C3"/>
    <w:rsid w:val="007D0913"/>
    <w:rsid w:val="007D0921"/>
    <w:rsid w:val="007D092D"/>
    <w:rsid w:val="007D0A72"/>
    <w:rsid w:val="007D0A73"/>
    <w:rsid w:val="007D0C0A"/>
    <w:rsid w:val="007D0C45"/>
    <w:rsid w:val="007D0C68"/>
    <w:rsid w:val="007D0CA6"/>
    <w:rsid w:val="007D0D3A"/>
    <w:rsid w:val="007D0D3E"/>
    <w:rsid w:val="007D0D75"/>
    <w:rsid w:val="007D0DAC"/>
    <w:rsid w:val="007D0E28"/>
    <w:rsid w:val="007D1016"/>
    <w:rsid w:val="007D1020"/>
    <w:rsid w:val="007D1062"/>
    <w:rsid w:val="007D1078"/>
    <w:rsid w:val="007D1257"/>
    <w:rsid w:val="007D128E"/>
    <w:rsid w:val="007D1359"/>
    <w:rsid w:val="007D144F"/>
    <w:rsid w:val="007D148E"/>
    <w:rsid w:val="007D14F2"/>
    <w:rsid w:val="007D1516"/>
    <w:rsid w:val="007D157B"/>
    <w:rsid w:val="007D1617"/>
    <w:rsid w:val="007D1662"/>
    <w:rsid w:val="007D1664"/>
    <w:rsid w:val="007D16B3"/>
    <w:rsid w:val="007D17CE"/>
    <w:rsid w:val="007D1864"/>
    <w:rsid w:val="007D1BCC"/>
    <w:rsid w:val="007D1BE2"/>
    <w:rsid w:val="007D1BE5"/>
    <w:rsid w:val="007D1E48"/>
    <w:rsid w:val="007D1F72"/>
    <w:rsid w:val="007D1F97"/>
    <w:rsid w:val="007D1FB2"/>
    <w:rsid w:val="007D2021"/>
    <w:rsid w:val="007D206D"/>
    <w:rsid w:val="007D20EE"/>
    <w:rsid w:val="007D2121"/>
    <w:rsid w:val="007D22A3"/>
    <w:rsid w:val="007D23C8"/>
    <w:rsid w:val="007D2415"/>
    <w:rsid w:val="007D2457"/>
    <w:rsid w:val="007D2477"/>
    <w:rsid w:val="007D247D"/>
    <w:rsid w:val="007D2557"/>
    <w:rsid w:val="007D2651"/>
    <w:rsid w:val="007D2708"/>
    <w:rsid w:val="007D272B"/>
    <w:rsid w:val="007D274E"/>
    <w:rsid w:val="007D27FC"/>
    <w:rsid w:val="007D2811"/>
    <w:rsid w:val="007D2839"/>
    <w:rsid w:val="007D2960"/>
    <w:rsid w:val="007D2A16"/>
    <w:rsid w:val="007D2C3A"/>
    <w:rsid w:val="007D2C53"/>
    <w:rsid w:val="007D2C5E"/>
    <w:rsid w:val="007D2D08"/>
    <w:rsid w:val="007D2D1E"/>
    <w:rsid w:val="007D2E1D"/>
    <w:rsid w:val="007D2E30"/>
    <w:rsid w:val="007D2F05"/>
    <w:rsid w:val="007D2F53"/>
    <w:rsid w:val="007D2F6F"/>
    <w:rsid w:val="007D2FCE"/>
    <w:rsid w:val="007D3016"/>
    <w:rsid w:val="007D319F"/>
    <w:rsid w:val="007D3225"/>
    <w:rsid w:val="007D3278"/>
    <w:rsid w:val="007D32F3"/>
    <w:rsid w:val="007D33D1"/>
    <w:rsid w:val="007D34EA"/>
    <w:rsid w:val="007D34FC"/>
    <w:rsid w:val="007D3586"/>
    <w:rsid w:val="007D359E"/>
    <w:rsid w:val="007D372F"/>
    <w:rsid w:val="007D3747"/>
    <w:rsid w:val="007D375A"/>
    <w:rsid w:val="007D37B0"/>
    <w:rsid w:val="007D37B3"/>
    <w:rsid w:val="007D37EC"/>
    <w:rsid w:val="007D381D"/>
    <w:rsid w:val="007D3894"/>
    <w:rsid w:val="007D394B"/>
    <w:rsid w:val="007D3AD1"/>
    <w:rsid w:val="007D3AF4"/>
    <w:rsid w:val="007D3B26"/>
    <w:rsid w:val="007D3BB2"/>
    <w:rsid w:val="007D3CB3"/>
    <w:rsid w:val="007D3CBD"/>
    <w:rsid w:val="007D3CC0"/>
    <w:rsid w:val="007D3CF4"/>
    <w:rsid w:val="007D3E06"/>
    <w:rsid w:val="007D3E69"/>
    <w:rsid w:val="007D3E8A"/>
    <w:rsid w:val="007D3EC1"/>
    <w:rsid w:val="007D3F41"/>
    <w:rsid w:val="007D3F6C"/>
    <w:rsid w:val="007D3F8C"/>
    <w:rsid w:val="007D4104"/>
    <w:rsid w:val="007D4181"/>
    <w:rsid w:val="007D41EE"/>
    <w:rsid w:val="007D421C"/>
    <w:rsid w:val="007D4326"/>
    <w:rsid w:val="007D4471"/>
    <w:rsid w:val="007D449B"/>
    <w:rsid w:val="007D44ED"/>
    <w:rsid w:val="007D44FF"/>
    <w:rsid w:val="007D450B"/>
    <w:rsid w:val="007D4530"/>
    <w:rsid w:val="007D459C"/>
    <w:rsid w:val="007D4613"/>
    <w:rsid w:val="007D46DB"/>
    <w:rsid w:val="007D4765"/>
    <w:rsid w:val="007D47F3"/>
    <w:rsid w:val="007D4804"/>
    <w:rsid w:val="007D4815"/>
    <w:rsid w:val="007D4834"/>
    <w:rsid w:val="007D48AC"/>
    <w:rsid w:val="007D48EE"/>
    <w:rsid w:val="007D4A3B"/>
    <w:rsid w:val="007D4B01"/>
    <w:rsid w:val="007D4B36"/>
    <w:rsid w:val="007D4BCD"/>
    <w:rsid w:val="007D4CD1"/>
    <w:rsid w:val="007D4DC8"/>
    <w:rsid w:val="007D4DDA"/>
    <w:rsid w:val="007D4E33"/>
    <w:rsid w:val="007D4EA8"/>
    <w:rsid w:val="007D4EB1"/>
    <w:rsid w:val="007D4EC5"/>
    <w:rsid w:val="007D4F62"/>
    <w:rsid w:val="007D4FC8"/>
    <w:rsid w:val="007D4FFC"/>
    <w:rsid w:val="007D5029"/>
    <w:rsid w:val="007D5055"/>
    <w:rsid w:val="007D50DA"/>
    <w:rsid w:val="007D5108"/>
    <w:rsid w:val="007D51ED"/>
    <w:rsid w:val="007D5345"/>
    <w:rsid w:val="007D5359"/>
    <w:rsid w:val="007D536E"/>
    <w:rsid w:val="007D53CC"/>
    <w:rsid w:val="007D53E8"/>
    <w:rsid w:val="007D544C"/>
    <w:rsid w:val="007D54A4"/>
    <w:rsid w:val="007D54CF"/>
    <w:rsid w:val="007D54DB"/>
    <w:rsid w:val="007D5555"/>
    <w:rsid w:val="007D5565"/>
    <w:rsid w:val="007D5575"/>
    <w:rsid w:val="007D578E"/>
    <w:rsid w:val="007D57D1"/>
    <w:rsid w:val="007D582D"/>
    <w:rsid w:val="007D58ED"/>
    <w:rsid w:val="007D590D"/>
    <w:rsid w:val="007D5972"/>
    <w:rsid w:val="007D59A4"/>
    <w:rsid w:val="007D59EF"/>
    <w:rsid w:val="007D5A2E"/>
    <w:rsid w:val="007D5A63"/>
    <w:rsid w:val="007D5A68"/>
    <w:rsid w:val="007D5ADA"/>
    <w:rsid w:val="007D5B79"/>
    <w:rsid w:val="007D5BA3"/>
    <w:rsid w:val="007D5BC0"/>
    <w:rsid w:val="007D5BCC"/>
    <w:rsid w:val="007D5C70"/>
    <w:rsid w:val="007D5D96"/>
    <w:rsid w:val="007D5E96"/>
    <w:rsid w:val="007D5ECB"/>
    <w:rsid w:val="007D5F51"/>
    <w:rsid w:val="007D60B9"/>
    <w:rsid w:val="007D60FE"/>
    <w:rsid w:val="007D610E"/>
    <w:rsid w:val="007D6126"/>
    <w:rsid w:val="007D6213"/>
    <w:rsid w:val="007D6247"/>
    <w:rsid w:val="007D62BB"/>
    <w:rsid w:val="007D639C"/>
    <w:rsid w:val="007D642C"/>
    <w:rsid w:val="007D6460"/>
    <w:rsid w:val="007D64BE"/>
    <w:rsid w:val="007D64C4"/>
    <w:rsid w:val="007D653E"/>
    <w:rsid w:val="007D6550"/>
    <w:rsid w:val="007D65E5"/>
    <w:rsid w:val="007D6642"/>
    <w:rsid w:val="007D66AC"/>
    <w:rsid w:val="007D679E"/>
    <w:rsid w:val="007D6872"/>
    <w:rsid w:val="007D6979"/>
    <w:rsid w:val="007D698E"/>
    <w:rsid w:val="007D6A6F"/>
    <w:rsid w:val="007D6A8E"/>
    <w:rsid w:val="007D6AC6"/>
    <w:rsid w:val="007D6B39"/>
    <w:rsid w:val="007D6BA1"/>
    <w:rsid w:val="007D6D09"/>
    <w:rsid w:val="007D6E65"/>
    <w:rsid w:val="007D6F7A"/>
    <w:rsid w:val="007D6F99"/>
    <w:rsid w:val="007D703C"/>
    <w:rsid w:val="007D7053"/>
    <w:rsid w:val="007D729C"/>
    <w:rsid w:val="007D72E4"/>
    <w:rsid w:val="007D7394"/>
    <w:rsid w:val="007D739B"/>
    <w:rsid w:val="007D73A3"/>
    <w:rsid w:val="007D740C"/>
    <w:rsid w:val="007D741E"/>
    <w:rsid w:val="007D74BF"/>
    <w:rsid w:val="007D7508"/>
    <w:rsid w:val="007D757B"/>
    <w:rsid w:val="007D75A9"/>
    <w:rsid w:val="007D75BA"/>
    <w:rsid w:val="007D768E"/>
    <w:rsid w:val="007D76B5"/>
    <w:rsid w:val="007D76D0"/>
    <w:rsid w:val="007D7730"/>
    <w:rsid w:val="007D7844"/>
    <w:rsid w:val="007D7892"/>
    <w:rsid w:val="007D7920"/>
    <w:rsid w:val="007D7A1B"/>
    <w:rsid w:val="007D7A6C"/>
    <w:rsid w:val="007D7A8A"/>
    <w:rsid w:val="007D7B4B"/>
    <w:rsid w:val="007D7CCD"/>
    <w:rsid w:val="007D7D05"/>
    <w:rsid w:val="007D7F3F"/>
    <w:rsid w:val="007D7FC0"/>
    <w:rsid w:val="007E007A"/>
    <w:rsid w:val="007E00A1"/>
    <w:rsid w:val="007E011D"/>
    <w:rsid w:val="007E0222"/>
    <w:rsid w:val="007E024E"/>
    <w:rsid w:val="007E035F"/>
    <w:rsid w:val="007E03A3"/>
    <w:rsid w:val="007E03A7"/>
    <w:rsid w:val="007E04BD"/>
    <w:rsid w:val="007E0569"/>
    <w:rsid w:val="007E056E"/>
    <w:rsid w:val="007E0593"/>
    <w:rsid w:val="007E062C"/>
    <w:rsid w:val="007E06A2"/>
    <w:rsid w:val="007E06D7"/>
    <w:rsid w:val="007E06E3"/>
    <w:rsid w:val="007E0731"/>
    <w:rsid w:val="007E075A"/>
    <w:rsid w:val="007E07BA"/>
    <w:rsid w:val="007E07EB"/>
    <w:rsid w:val="007E0823"/>
    <w:rsid w:val="007E086D"/>
    <w:rsid w:val="007E08C8"/>
    <w:rsid w:val="007E08DE"/>
    <w:rsid w:val="007E09B2"/>
    <w:rsid w:val="007E09C6"/>
    <w:rsid w:val="007E09CE"/>
    <w:rsid w:val="007E0A79"/>
    <w:rsid w:val="007E0AD7"/>
    <w:rsid w:val="007E0B6B"/>
    <w:rsid w:val="007E0BB8"/>
    <w:rsid w:val="007E0BBC"/>
    <w:rsid w:val="007E0C68"/>
    <w:rsid w:val="007E0C69"/>
    <w:rsid w:val="007E0CA9"/>
    <w:rsid w:val="007E0CE6"/>
    <w:rsid w:val="007E0D5E"/>
    <w:rsid w:val="007E0D6C"/>
    <w:rsid w:val="007E0F14"/>
    <w:rsid w:val="007E1014"/>
    <w:rsid w:val="007E1024"/>
    <w:rsid w:val="007E106C"/>
    <w:rsid w:val="007E109C"/>
    <w:rsid w:val="007E10BA"/>
    <w:rsid w:val="007E1155"/>
    <w:rsid w:val="007E11E2"/>
    <w:rsid w:val="007E12A6"/>
    <w:rsid w:val="007E12D0"/>
    <w:rsid w:val="007E12FD"/>
    <w:rsid w:val="007E13D2"/>
    <w:rsid w:val="007E143B"/>
    <w:rsid w:val="007E149D"/>
    <w:rsid w:val="007E1559"/>
    <w:rsid w:val="007E161A"/>
    <w:rsid w:val="007E1698"/>
    <w:rsid w:val="007E179F"/>
    <w:rsid w:val="007E17DF"/>
    <w:rsid w:val="007E1818"/>
    <w:rsid w:val="007E188A"/>
    <w:rsid w:val="007E1904"/>
    <w:rsid w:val="007E193B"/>
    <w:rsid w:val="007E194C"/>
    <w:rsid w:val="007E1A87"/>
    <w:rsid w:val="007E1AA1"/>
    <w:rsid w:val="007E1B15"/>
    <w:rsid w:val="007E1B40"/>
    <w:rsid w:val="007E1C16"/>
    <w:rsid w:val="007E1C98"/>
    <w:rsid w:val="007E1CA5"/>
    <w:rsid w:val="007E1CDE"/>
    <w:rsid w:val="007E1CF2"/>
    <w:rsid w:val="007E1E00"/>
    <w:rsid w:val="007E1E1B"/>
    <w:rsid w:val="007E2020"/>
    <w:rsid w:val="007E20BB"/>
    <w:rsid w:val="007E2127"/>
    <w:rsid w:val="007E21FB"/>
    <w:rsid w:val="007E224F"/>
    <w:rsid w:val="007E2274"/>
    <w:rsid w:val="007E227C"/>
    <w:rsid w:val="007E228A"/>
    <w:rsid w:val="007E22FE"/>
    <w:rsid w:val="007E23E7"/>
    <w:rsid w:val="007E240A"/>
    <w:rsid w:val="007E245C"/>
    <w:rsid w:val="007E2562"/>
    <w:rsid w:val="007E256F"/>
    <w:rsid w:val="007E2598"/>
    <w:rsid w:val="007E2609"/>
    <w:rsid w:val="007E26D3"/>
    <w:rsid w:val="007E2751"/>
    <w:rsid w:val="007E27F7"/>
    <w:rsid w:val="007E2866"/>
    <w:rsid w:val="007E2878"/>
    <w:rsid w:val="007E28AB"/>
    <w:rsid w:val="007E28FE"/>
    <w:rsid w:val="007E2A1D"/>
    <w:rsid w:val="007E2A75"/>
    <w:rsid w:val="007E2C04"/>
    <w:rsid w:val="007E2C8C"/>
    <w:rsid w:val="007E2CD5"/>
    <w:rsid w:val="007E2D00"/>
    <w:rsid w:val="007E2D24"/>
    <w:rsid w:val="007E2D56"/>
    <w:rsid w:val="007E2E6C"/>
    <w:rsid w:val="007E2E9D"/>
    <w:rsid w:val="007E2EB7"/>
    <w:rsid w:val="007E2FC4"/>
    <w:rsid w:val="007E2FE7"/>
    <w:rsid w:val="007E30D4"/>
    <w:rsid w:val="007E310C"/>
    <w:rsid w:val="007E3142"/>
    <w:rsid w:val="007E3210"/>
    <w:rsid w:val="007E321E"/>
    <w:rsid w:val="007E3386"/>
    <w:rsid w:val="007E33AD"/>
    <w:rsid w:val="007E33BB"/>
    <w:rsid w:val="007E344D"/>
    <w:rsid w:val="007E354C"/>
    <w:rsid w:val="007E35B9"/>
    <w:rsid w:val="007E3721"/>
    <w:rsid w:val="007E37B7"/>
    <w:rsid w:val="007E3892"/>
    <w:rsid w:val="007E3989"/>
    <w:rsid w:val="007E3A6A"/>
    <w:rsid w:val="007E3A77"/>
    <w:rsid w:val="007E3B50"/>
    <w:rsid w:val="007E3B62"/>
    <w:rsid w:val="007E3B66"/>
    <w:rsid w:val="007E3BA0"/>
    <w:rsid w:val="007E3C04"/>
    <w:rsid w:val="007E3C8C"/>
    <w:rsid w:val="007E3CB4"/>
    <w:rsid w:val="007E3F08"/>
    <w:rsid w:val="007E3F2A"/>
    <w:rsid w:val="007E3F37"/>
    <w:rsid w:val="007E3FE8"/>
    <w:rsid w:val="007E4004"/>
    <w:rsid w:val="007E4026"/>
    <w:rsid w:val="007E40C4"/>
    <w:rsid w:val="007E42A8"/>
    <w:rsid w:val="007E440D"/>
    <w:rsid w:val="007E4430"/>
    <w:rsid w:val="007E4507"/>
    <w:rsid w:val="007E451E"/>
    <w:rsid w:val="007E455C"/>
    <w:rsid w:val="007E45F4"/>
    <w:rsid w:val="007E4645"/>
    <w:rsid w:val="007E4659"/>
    <w:rsid w:val="007E46BE"/>
    <w:rsid w:val="007E46F5"/>
    <w:rsid w:val="007E4725"/>
    <w:rsid w:val="007E478F"/>
    <w:rsid w:val="007E48D5"/>
    <w:rsid w:val="007E49A4"/>
    <w:rsid w:val="007E4A61"/>
    <w:rsid w:val="007E4BB3"/>
    <w:rsid w:val="007E4C2C"/>
    <w:rsid w:val="007E4C75"/>
    <w:rsid w:val="007E4C94"/>
    <w:rsid w:val="007E4E86"/>
    <w:rsid w:val="007E4E90"/>
    <w:rsid w:val="007E4F67"/>
    <w:rsid w:val="007E4F81"/>
    <w:rsid w:val="007E4F9E"/>
    <w:rsid w:val="007E50F6"/>
    <w:rsid w:val="007E51C1"/>
    <w:rsid w:val="007E5208"/>
    <w:rsid w:val="007E5297"/>
    <w:rsid w:val="007E54AD"/>
    <w:rsid w:val="007E5595"/>
    <w:rsid w:val="007E55DE"/>
    <w:rsid w:val="007E565C"/>
    <w:rsid w:val="007E568B"/>
    <w:rsid w:val="007E5725"/>
    <w:rsid w:val="007E575F"/>
    <w:rsid w:val="007E577C"/>
    <w:rsid w:val="007E57F9"/>
    <w:rsid w:val="007E58EA"/>
    <w:rsid w:val="007E58F2"/>
    <w:rsid w:val="007E596B"/>
    <w:rsid w:val="007E5973"/>
    <w:rsid w:val="007E5A0C"/>
    <w:rsid w:val="007E5A72"/>
    <w:rsid w:val="007E5C00"/>
    <w:rsid w:val="007E5D70"/>
    <w:rsid w:val="007E5DBE"/>
    <w:rsid w:val="007E5DF0"/>
    <w:rsid w:val="007E5FDB"/>
    <w:rsid w:val="007E6031"/>
    <w:rsid w:val="007E60E2"/>
    <w:rsid w:val="007E6124"/>
    <w:rsid w:val="007E6261"/>
    <w:rsid w:val="007E62A1"/>
    <w:rsid w:val="007E62D9"/>
    <w:rsid w:val="007E638A"/>
    <w:rsid w:val="007E63A6"/>
    <w:rsid w:val="007E640C"/>
    <w:rsid w:val="007E6446"/>
    <w:rsid w:val="007E646F"/>
    <w:rsid w:val="007E663E"/>
    <w:rsid w:val="007E66F0"/>
    <w:rsid w:val="007E66F9"/>
    <w:rsid w:val="007E6711"/>
    <w:rsid w:val="007E671F"/>
    <w:rsid w:val="007E67AD"/>
    <w:rsid w:val="007E67EA"/>
    <w:rsid w:val="007E683A"/>
    <w:rsid w:val="007E684C"/>
    <w:rsid w:val="007E684F"/>
    <w:rsid w:val="007E68F6"/>
    <w:rsid w:val="007E6A19"/>
    <w:rsid w:val="007E6A2C"/>
    <w:rsid w:val="007E6A34"/>
    <w:rsid w:val="007E6B7E"/>
    <w:rsid w:val="007E6B92"/>
    <w:rsid w:val="007E6BBB"/>
    <w:rsid w:val="007E6BFD"/>
    <w:rsid w:val="007E6C65"/>
    <w:rsid w:val="007E6C92"/>
    <w:rsid w:val="007E6D46"/>
    <w:rsid w:val="007E6D47"/>
    <w:rsid w:val="007E6D9A"/>
    <w:rsid w:val="007E6DC5"/>
    <w:rsid w:val="007E6EC3"/>
    <w:rsid w:val="007E6F02"/>
    <w:rsid w:val="007E6F34"/>
    <w:rsid w:val="007E705A"/>
    <w:rsid w:val="007E7094"/>
    <w:rsid w:val="007E7172"/>
    <w:rsid w:val="007E71B4"/>
    <w:rsid w:val="007E71BC"/>
    <w:rsid w:val="007E71D0"/>
    <w:rsid w:val="007E7205"/>
    <w:rsid w:val="007E7292"/>
    <w:rsid w:val="007E72C2"/>
    <w:rsid w:val="007E7435"/>
    <w:rsid w:val="007E7450"/>
    <w:rsid w:val="007E7472"/>
    <w:rsid w:val="007E7480"/>
    <w:rsid w:val="007E74F2"/>
    <w:rsid w:val="007E7516"/>
    <w:rsid w:val="007E7537"/>
    <w:rsid w:val="007E75B8"/>
    <w:rsid w:val="007E76A6"/>
    <w:rsid w:val="007E76AA"/>
    <w:rsid w:val="007E76E8"/>
    <w:rsid w:val="007E771C"/>
    <w:rsid w:val="007E78C7"/>
    <w:rsid w:val="007E7961"/>
    <w:rsid w:val="007E7A09"/>
    <w:rsid w:val="007E7A5F"/>
    <w:rsid w:val="007E7C16"/>
    <w:rsid w:val="007E7CA6"/>
    <w:rsid w:val="007E7DC5"/>
    <w:rsid w:val="007E7DFB"/>
    <w:rsid w:val="007E7DFF"/>
    <w:rsid w:val="007E7E46"/>
    <w:rsid w:val="007E7FAC"/>
    <w:rsid w:val="007E7FEF"/>
    <w:rsid w:val="007F003C"/>
    <w:rsid w:val="007F0059"/>
    <w:rsid w:val="007F00F0"/>
    <w:rsid w:val="007F012E"/>
    <w:rsid w:val="007F018C"/>
    <w:rsid w:val="007F01B6"/>
    <w:rsid w:val="007F01E9"/>
    <w:rsid w:val="007F0210"/>
    <w:rsid w:val="007F0291"/>
    <w:rsid w:val="007F0533"/>
    <w:rsid w:val="007F05E0"/>
    <w:rsid w:val="007F06E1"/>
    <w:rsid w:val="007F082D"/>
    <w:rsid w:val="007F08AD"/>
    <w:rsid w:val="007F0926"/>
    <w:rsid w:val="007F0941"/>
    <w:rsid w:val="007F095C"/>
    <w:rsid w:val="007F09AD"/>
    <w:rsid w:val="007F09D3"/>
    <w:rsid w:val="007F0A61"/>
    <w:rsid w:val="007F0ACA"/>
    <w:rsid w:val="007F0C42"/>
    <w:rsid w:val="007F0C84"/>
    <w:rsid w:val="007F0CCB"/>
    <w:rsid w:val="007F0DBF"/>
    <w:rsid w:val="007F0DF1"/>
    <w:rsid w:val="007F0E10"/>
    <w:rsid w:val="007F0E2A"/>
    <w:rsid w:val="007F0E6B"/>
    <w:rsid w:val="007F0ED9"/>
    <w:rsid w:val="007F0F31"/>
    <w:rsid w:val="007F0F8E"/>
    <w:rsid w:val="007F0FC9"/>
    <w:rsid w:val="007F0FE2"/>
    <w:rsid w:val="007F1031"/>
    <w:rsid w:val="007F1097"/>
    <w:rsid w:val="007F10C8"/>
    <w:rsid w:val="007F111E"/>
    <w:rsid w:val="007F1125"/>
    <w:rsid w:val="007F1148"/>
    <w:rsid w:val="007F1193"/>
    <w:rsid w:val="007F11C9"/>
    <w:rsid w:val="007F128C"/>
    <w:rsid w:val="007F1292"/>
    <w:rsid w:val="007F133B"/>
    <w:rsid w:val="007F1439"/>
    <w:rsid w:val="007F1549"/>
    <w:rsid w:val="007F166B"/>
    <w:rsid w:val="007F189C"/>
    <w:rsid w:val="007F193E"/>
    <w:rsid w:val="007F1953"/>
    <w:rsid w:val="007F1980"/>
    <w:rsid w:val="007F1BA5"/>
    <w:rsid w:val="007F1BAE"/>
    <w:rsid w:val="007F1BF9"/>
    <w:rsid w:val="007F1C14"/>
    <w:rsid w:val="007F1C58"/>
    <w:rsid w:val="007F1C8E"/>
    <w:rsid w:val="007F1CA5"/>
    <w:rsid w:val="007F1CE9"/>
    <w:rsid w:val="007F1DE1"/>
    <w:rsid w:val="007F1E04"/>
    <w:rsid w:val="007F1E30"/>
    <w:rsid w:val="007F1EA5"/>
    <w:rsid w:val="007F1ED3"/>
    <w:rsid w:val="007F1EDB"/>
    <w:rsid w:val="007F1F1E"/>
    <w:rsid w:val="007F1F37"/>
    <w:rsid w:val="007F1FA0"/>
    <w:rsid w:val="007F2024"/>
    <w:rsid w:val="007F2079"/>
    <w:rsid w:val="007F2148"/>
    <w:rsid w:val="007F2167"/>
    <w:rsid w:val="007F21B0"/>
    <w:rsid w:val="007F223C"/>
    <w:rsid w:val="007F223E"/>
    <w:rsid w:val="007F22A7"/>
    <w:rsid w:val="007F237A"/>
    <w:rsid w:val="007F24CD"/>
    <w:rsid w:val="007F24FC"/>
    <w:rsid w:val="007F25C7"/>
    <w:rsid w:val="007F260D"/>
    <w:rsid w:val="007F2620"/>
    <w:rsid w:val="007F26EF"/>
    <w:rsid w:val="007F2828"/>
    <w:rsid w:val="007F2832"/>
    <w:rsid w:val="007F2875"/>
    <w:rsid w:val="007F28C4"/>
    <w:rsid w:val="007F29CA"/>
    <w:rsid w:val="007F2A14"/>
    <w:rsid w:val="007F2A22"/>
    <w:rsid w:val="007F2A94"/>
    <w:rsid w:val="007F2AB8"/>
    <w:rsid w:val="007F2BBA"/>
    <w:rsid w:val="007F2BE7"/>
    <w:rsid w:val="007F2BEE"/>
    <w:rsid w:val="007F2D10"/>
    <w:rsid w:val="007F2D11"/>
    <w:rsid w:val="007F2E16"/>
    <w:rsid w:val="007F2E92"/>
    <w:rsid w:val="007F2F53"/>
    <w:rsid w:val="007F3011"/>
    <w:rsid w:val="007F3043"/>
    <w:rsid w:val="007F3062"/>
    <w:rsid w:val="007F307C"/>
    <w:rsid w:val="007F30AD"/>
    <w:rsid w:val="007F30ED"/>
    <w:rsid w:val="007F3151"/>
    <w:rsid w:val="007F31E1"/>
    <w:rsid w:val="007F327A"/>
    <w:rsid w:val="007F329B"/>
    <w:rsid w:val="007F3308"/>
    <w:rsid w:val="007F34B6"/>
    <w:rsid w:val="007F34B9"/>
    <w:rsid w:val="007F34F5"/>
    <w:rsid w:val="007F352F"/>
    <w:rsid w:val="007F3598"/>
    <w:rsid w:val="007F3645"/>
    <w:rsid w:val="007F3665"/>
    <w:rsid w:val="007F3732"/>
    <w:rsid w:val="007F3739"/>
    <w:rsid w:val="007F37E4"/>
    <w:rsid w:val="007F3896"/>
    <w:rsid w:val="007F3A15"/>
    <w:rsid w:val="007F3A1C"/>
    <w:rsid w:val="007F3A3F"/>
    <w:rsid w:val="007F3A7D"/>
    <w:rsid w:val="007F3A97"/>
    <w:rsid w:val="007F3AEE"/>
    <w:rsid w:val="007F3B1F"/>
    <w:rsid w:val="007F3C11"/>
    <w:rsid w:val="007F3C89"/>
    <w:rsid w:val="007F3CDF"/>
    <w:rsid w:val="007F3D9E"/>
    <w:rsid w:val="007F3DDD"/>
    <w:rsid w:val="007F3DEC"/>
    <w:rsid w:val="007F3E9B"/>
    <w:rsid w:val="007F3EBE"/>
    <w:rsid w:val="007F3F3B"/>
    <w:rsid w:val="007F4028"/>
    <w:rsid w:val="007F4092"/>
    <w:rsid w:val="007F414E"/>
    <w:rsid w:val="007F41D3"/>
    <w:rsid w:val="007F4249"/>
    <w:rsid w:val="007F4301"/>
    <w:rsid w:val="007F431D"/>
    <w:rsid w:val="007F433C"/>
    <w:rsid w:val="007F4351"/>
    <w:rsid w:val="007F43D6"/>
    <w:rsid w:val="007F4429"/>
    <w:rsid w:val="007F4460"/>
    <w:rsid w:val="007F4519"/>
    <w:rsid w:val="007F4575"/>
    <w:rsid w:val="007F462A"/>
    <w:rsid w:val="007F46DF"/>
    <w:rsid w:val="007F486F"/>
    <w:rsid w:val="007F48AA"/>
    <w:rsid w:val="007F48B4"/>
    <w:rsid w:val="007F4BA9"/>
    <w:rsid w:val="007F4BD9"/>
    <w:rsid w:val="007F4C32"/>
    <w:rsid w:val="007F4D29"/>
    <w:rsid w:val="007F4D7C"/>
    <w:rsid w:val="007F4E1E"/>
    <w:rsid w:val="007F4F36"/>
    <w:rsid w:val="007F4F7C"/>
    <w:rsid w:val="007F504F"/>
    <w:rsid w:val="007F519E"/>
    <w:rsid w:val="007F5247"/>
    <w:rsid w:val="007F53F9"/>
    <w:rsid w:val="007F54B6"/>
    <w:rsid w:val="007F54D7"/>
    <w:rsid w:val="007F551B"/>
    <w:rsid w:val="007F5548"/>
    <w:rsid w:val="007F5739"/>
    <w:rsid w:val="007F573F"/>
    <w:rsid w:val="007F578C"/>
    <w:rsid w:val="007F5965"/>
    <w:rsid w:val="007F5A25"/>
    <w:rsid w:val="007F5C16"/>
    <w:rsid w:val="007F5C32"/>
    <w:rsid w:val="007F5CD7"/>
    <w:rsid w:val="007F5CEB"/>
    <w:rsid w:val="007F5D66"/>
    <w:rsid w:val="007F5E1D"/>
    <w:rsid w:val="007F5F2A"/>
    <w:rsid w:val="007F5F89"/>
    <w:rsid w:val="007F601D"/>
    <w:rsid w:val="007F6027"/>
    <w:rsid w:val="007F60A3"/>
    <w:rsid w:val="007F60A8"/>
    <w:rsid w:val="007F60EC"/>
    <w:rsid w:val="007F60F3"/>
    <w:rsid w:val="007F611E"/>
    <w:rsid w:val="007F61BA"/>
    <w:rsid w:val="007F632C"/>
    <w:rsid w:val="007F6396"/>
    <w:rsid w:val="007F63F3"/>
    <w:rsid w:val="007F641D"/>
    <w:rsid w:val="007F645B"/>
    <w:rsid w:val="007F648A"/>
    <w:rsid w:val="007F64E4"/>
    <w:rsid w:val="007F64F8"/>
    <w:rsid w:val="007F65A6"/>
    <w:rsid w:val="007F65BB"/>
    <w:rsid w:val="007F667D"/>
    <w:rsid w:val="007F66AC"/>
    <w:rsid w:val="007F66C3"/>
    <w:rsid w:val="007F6709"/>
    <w:rsid w:val="007F6733"/>
    <w:rsid w:val="007F6758"/>
    <w:rsid w:val="007F6823"/>
    <w:rsid w:val="007F6876"/>
    <w:rsid w:val="007F6887"/>
    <w:rsid w:val="007F6986"/>
    <w:rsid w:val="007F69CF"/>
    <w:rsid w:val="007F6A8D"/>
    <w:rsid w:val="007F6AA3"/>
    <w:rsid w:val="007F6AD4"/>
    <w:rsid w:val="007F6B9F"/>
    <w:rsid w:val="007F6CAB"/>
    <w:rsid w:val="007F6D15"/>
    <w:rsid w:val="007F6D73"/>
    <w:rsid w:val="007F6F6E"/>
    <w:rsid w:val="007F6F8E"/>
    <w:rsid w:val="007F708C"/>
    <w:rsid w:val="007F7097"/>
    <w:rsid w:val="007F70C1"/>
    <w:rsid w:val="007F71A6"/>
    <w:rsid w:val="007F731A"/>
    <w:rsid w:val="007F7320"/>
    <w:rsid w:val="007F736E"/>
    <w:rsid w:val="007F7506"/>
    <w:rsid w:val="007F7521"/>
    <w:rsid w:val="007F755E"/>
    <w:rsid w:val="007F757B"/>
    <w:rsid w:val="007F76C1"/>
    <w:rsid w:val="007F76C2"/>
    <w:rsid w:val="007F7734"/>
    <w:rsid w:val="007F778D"/>
    <w:rsid w:val="007F7790"/>
    <w:rsid w:val="007F7801"/>
    <w:rsid w:val="007F7814"/>
    <w:rsid w:val="007F78A6"/>
    <w:rsid w:val="007F78FB"/>
    <w:rsid w:val="007F794D"/>
    <w:rsid w:val="007F798F"/>
    <w:rsid w:val="007F79BC"/>
    <w:rsid w:val="007F7C2D"/>
    <w:rsid w:val="007F7C64"/>
    <w:rsid w:val="007F7C9D"/>
    <w:rsid w:val="007F7D06"/>
    <w:rsid w:val="007F7EB8"/>
    <w:rsid w:val="007F7ED6"/>
    <w:rsid w:val="007F7EEA"/>
    <w:rsid w:val="007F7F14"/>
    <w:rsid w:val="007F7F5A"/>
    <w:rsid w:val="007F7FBC"/>
    <w:rsid w:val="007F7FD7"/>
    <w:rsid w:val="0080001C"/>
    <w:rsid w:val="008000DF"/>
    <w:rsid w:val="008003AA"/>
    <w:rsid w:val="008003B9"/>
    <w:rsid w:val="008003C7"/>
    <w:rsid w:val="008003CC"/>
    <w:rsid w:val="008003E2"/>
    <w:rsid w:val="00800444"/>
    <w:rsid w:val="0080045D"/>
    <w:rsid w:val="00800490"/>
    <w:rsid w:val="00800535"/>
    <w:rsid w:val="00800539"/>
    <w:rsid w:val="00800568"/>
    <w:rsid w:val="00800572"/>
    <w:rsid w:val="008005B8"/>
    <w:rsid w:val="008005D6"/>
    <w:rsid w:val="00800677"/>
    <w:rsid w:val="00800758"/>
    <w:rsid w:val="00800768"/>
    <w:rsid w:val="0080077A"/>
    <w:rsid w:val="00800799"/>
    <w:rsid w:val="00800930"/>
    <w:rsid w:val="008009FF"/>
    <w:rsid w:val="00800A0F"/>
    <w:rsid w:val="00800A60"/>
    <w:rsid w:val="00800AAD"/>
    <w:rsid w:val="00800B70"/>
    <w:rsid w:val="00800C4C"/>
    <w:rsid w:val="00800D6A"/>
    <w:rsid w:val="00800F01"/>
    <w:rsid w:val="00800F14"/>
    <w:rsid w:val="00800F61"/>
    <w:rsid w:val="00800F7F"/>
    <w:rsid w:val="00800F95"/>
    <w:rsid w:val="0080107D"/>
    <w:rsid w:val="00801150"/>
    <w:rsid w:val="00801216"/>
    <w:rsid w:val="00801226"/>
    <w:rsid w:val="00801241"/>
    <w:rsid w:val="0080127E"/>
    <w:rsid w:val="008013DE"/>
    <w:rsid w:val="00801415"/>
    <w:rsid w:val="0080142D"/>
    <w:rsid w:val="00801448"/>
    <w:rsid w:val="0080144D"/>
    <w:rsid w:val="00801451"/>
    <w:rsid w:val="00801496"/>
    <w:rsid w:val="008014DB"/>
    <w:rsid w:val="008014EF"/>
    <w:rsid w:val="00801558"/>
    <w:rsid w:val="008015C9"/>
    <w:rsid w:val="0080165B"/>
    <w:rsid w:val="00801687"/>
    <w:rsid w:val="008016EB"/>
    <w:rsid w:val="00801704"/>
    <w:rsid w:val="0080171F"/>
    <w:rsid w:val="0080186F"/>
    <w:rsid w:val="008018B1"/>
    <w:rsid w:val="008018FB"/>
    <w:rsid w:val="00801985"/>
    <w:rsid w:val="00801A66"/>
    <w:rsid w:val="00801AB2"/>
    <w:rsid w:val="00801B48"/>
    <w:rsid w:val="00801B75"/>
    <w:rsid w:val="00801B85"/>
    <w:rsid w:val="00801BF8"/>
    <w:rsid w:val="00801CF6"/>
    <w:rsid w:val="00801D25"/>
    <w:rsid w:val="00801D75"/>
    <w:rsid w:val="00801ED1"/>
    <w:rsid w:val="00801FF9"/>
    <w:rsid w:val="00801FFE"/>
    <w:rsid w:val="00802086"/>
    <w:rsid w:val="0080209B"/>
    <w:rsid w:val="00802199"/>
    <w:rsid w:val="00802208"/>
    <w:rsid w:val="00802279"/>
    <w:rsid w:val="008022FA"/>
    <w:rsid w:val="0080230C"/>
    <w:rsid w:val="00802341"/>
    <w:rsid w:val="0080234B"/>
    <w:rsid w:val="008023DE"/>
    <w:rsid w:val="00802407"/>
    <w:rsid w:val="0080247F"/>
    <w:rsid w:val="00802491"/>
    <w:rsid w:val="008024A0"/>
    <w:rsid w:val="0080255A"/>
    <w:rsid w:val="0080264A"/>
    <w:rsid w:val="008026C9"/>
    <w:rsid w:val="00802734"/>
    <w:rsid w:val="00802773"/>
    <w:rsid w:val="008027A7"/>
    <w:rsid w:val="008027C1"/>
    <w:rsid w:val="008027DE"/>
    <w:rsid w:val="008027EC"/>
    <w:rsid w:val="008027F9"/>
    <w:rsid w:val="008028D3"/>
    <w:rsid w:val="0080291D"/>
    <w:rsid w:val="008029B9"/>
    <w:rsid w:val="00802A25"/>
    <w:rsid w:val="00802A7C"/>
    <w:rsid w:val="00802A88"/>
    <w:rsid w:val="00802AD8"/>
    <w:rsid w:val="00802AEB"/>
    <w:rsid w:val="00802C0D"/>
    <w:rsid w:val="00802C2C"/>
    <w:rsid w:val="00802C35"/>
    <w:rsid w:val="00802D9E"/>
    <w:rsid w:val="00802E67"/>
    <w:rsid w:val="00802E84"/>
    <w:rsid w:val="00802EF1"/>
    <w:rsid w:val="00802F42"/>
    <w:rsid w:val="00803037"/>
    <w:rsid w:val="0080307E"/>
    <w:rsid w:val="008030C7"/>
    <w:rsid w:val="008030D8"/>
    <w:rsid w:val="008031B0"/>
    <w:rsid w:val="008031CE"/>
    <w:rsid w:val="00803214"/>
    <w:rsid w:val="008032AD"/>
    <w:rsid w:val="008032C9"/>
    <w:rsid w:val="0080339B"/>
    <w:rsid w:val="008033BB"/>
    <w:rsid w:val="008033EB"/>
    <w:rsid w:val="0080341A"/>
    <w:rsid w:val="008035CA"/>
    <w:rsid w:val="0080361B"/>
    <w:rsid w:val="008036A0"/>
    <w:rsid w:val="008036CD"/>
    <w:rsid w:val="0080370D"/>
    <w:rsid w:val="00803893"/>
    <w:rsid w:val="00803894"/>
    <w:rsid w:val="0080392D"/>
    <w:rsid w:val="00803958"/>
    <w:rsid w:val="00803962"/>
    <w:rsid w:val="008039F6"/>
    <w:rsid w:val="00803A02"/>
    <w:rsid w:val="00803A25"/>
    <w:rsid w:val="00803A3E"/>
    <w:rsid w:val="00803B09"/>
    <w:rsid w:val="00803B5E"/>
    <w:rsid w:val="00803C36"/>
    <w:rsid w:val="00803C81"/>
    <w:rsid w:val="00803CDD"/>
    <w:rsid w:val="00803CF8"/>
    <w:rsid w:val="00803DE4"/>
    <w:rsid w:val="00803DFD"/>
    <w:rsid w:val="00803E16"/>
    <w:rsid w:val="00803E25"/>
    <w:rsid w:val="00803F2C"/>
    <w:rsid w:val="00803F6A"/>
    <w:rsid w:val="0080404A"/>
    <w:rsid w:val="00804088"/>
    <w:rsid w:val="0080408C"/>
    <w:rsid w:val="008040FA"/>
    <w:rsid w:val="00804105"/>
    <w:rsid w:val="00804142"/>
    <w:rsid w:val="00804149"/>
    <w:rsid w:val="00804208"/>
    <w:rsid w:val="00804322"/>
    <w:rsid w:val="00804383"/>
    <w:rsid w:val="0080440C"/>
    <w:rsid w:val="0080442E"/>
    <w:rsid w:val="00804566"/>
    <w:rsid w:val="0080460A"/>
    <w:rsid w:val="008047B4"/>
    <w:rsid w:val="00804854"/>
    <w:rsid w:val="008049E4"/>
    <w:rsid w:val="00804A3F"/>
    <w:rsid w:val="00804A4E"/>
    <w:rsid w:val="00804A94"/>
    <w:rsid w:val="00804AF0"/>
    <w:rsid w:val="00804B68"/>
    <w:rsid w:val="00804BEC"/>
    <w:rsid w:val="00804C60"/>
    <w:rsid w:val="00804CAA"/>
    <w:rsid w:val="00804CBD"/>
    <w:rsid w:val="00804D98"/>
    <w:rsid w:val="00804DC0"/>
    <w:rsid w:val="00804DC3"/>
    <w:rsid w:val="00804DE3"/>
    <w:rsid w:val="00804E14"/>
    <w:rsid w:val="00804E73"/>
    <w:rsid w:val="00804EEB"/>
    <w:rsid w:val="00804FBB"/>
    <w:rsid w:val="0080502C"/>
    <w:rsid w:val="00805075"/>
    <w:rsid w:val="008050BD"/>
    <w:rsid w:val="008051BA"/>
    <w:rsid w:val="00805218"/>
    <w:rsid w:val="0080521B"/>
    <w:rsid w:val="008052AC"/>
    <w:rsid w:val="008052D3"/>
    <w:rsid w:val="008052EE"/>
    <w:rsid w:val="008053AC"/>
    <w:rsid w:val="008053E8"/>
    <w:rsid w:val="00805446"/>
    <w:rsid w:val="00805450"/>
    <w:rsid w:val="0080547C"/>
    <w:rsid w:val="008055B0"/>
    <w:rsid w:val="00805673"/>
    <w:rsid w:val="008056FE"/>
    <w:rsid w:val="00805752"/>
    <w:rsid w:val="0080576D"/>
    <w:rsid w:val="008057A7"/>
    <w:rsid w:val="0080581B"/>
    <w:rsid w:val="00805856"/>
    <w:rsid w:val="00805889"/>
    <w:rsid w:val="00805974"/>
    <w:rsid w:val="008059E5"/>
    <w:rsid w:val="00805A90"/>
    <w:rsid w:val="00805B57"/>
    <w:rsid w:val="00805BA5"/>
    <w:rsid w:val="00805BC0"/>
    <w:rsid w:val="00805BEC"/>
    <w:rsid w:val="00805BF6"/>
    <w:rsid w:val="00805C83"/>
    <w:rsid w:val="00805CCB"/>
    <w:rsid w:val="00805CCD"/>
    <w:rsid w:val="00805CD0"/>
    <w:rsid w:val="00805D07"/>
    <w:rsid w:val="00805E5B"/>
    <w:rsid w:val="00805EEC"/>
    <w:rsid w:val="00805F01"/>
    <w:rsid w:val="00805F43"/>
    <w:rsid w:val="00805F5E"/>
    <w:rsid w:val="00805F76"/>
    <w:rsid w:val="0080626A"/>
    <w:rsid w:val="0080626F"/>
    <w:rsid w:val="00806296"/>
    <w:rsid w:val="00806384"/>
    <w:rsid w:val="00806399"/>
    <w:rsid w:val="0080648D"/>
    <w:rsid w:val="008064A7"/>
    <w:rsid w:val="008065CD"/>
    <w:rsid w:val="00806726"/>
    <w:rsid w:val="008067A6"/>
    <w:rsid w:val="008067B0"/>
    <w:rsid w:val="008067D4"/>
    <w:rsid w:val="008067F4"/>
    <w:rsid w:val="00806834"/>
    <w:rsid w:val="00806899"/>
    <w:rsid w:val="00806957"/>
    <w:rsid w:val="008069B3"/>
    <w:rsid w:val="00806B11"/>
    <w:rsid w:val="00806C42"/>
    <w:rsid w:val="00806E7F"/>
    <w:rsid w:val="00806EAA"/>
    <w:rsid w:val="00806FD7"/>
    <w:rsid w:val="0080702B"/>
    <w:rsid w:val="00807193"/>
    <w:rsid w:val="008071DC"/>
    <w:rsid w:val="00807216"/>
    <w:rsid w:val="0080721D"/>
    <w:rsid w:val="00807249"/>
    <w:rsid w:val="0080725B"/>
    <w:rsid w:val="008072F6"/>
    <w:rsid w:val="00807317"/>
    <w:rsid w:val="00807473"/>
    <w:rsid w:val="0080749E"/>
    <w:rsid w:val="0080749F"/>
    <w:rsid w:val="008075E5"/>
    <w:rsid w:val="008075EA"/>
    <w:rsid w:val="008075EC"/>
    <w:rsid w:val="00807664"/>
    <w:rsid w:val="008076B7"/>
    <w:rsid w:val="0080775D"/>
    <w:rsid w:val="0080777E"/>
    <w:rsid w:val="008077FF"/>
    <w:rsid w:val="00807888"/>
    <w:rsid w:val="008078B0"/>
    <w:rsid w:val="008078F0"/>
    <w:rsid w:val="00807917"/>
    <w:rsid w:val="00807988"/>
    <w:rsid w:val="008079EF"/>
    <w:rsid w:val="00807A17"/>
    <w:rsid w:val="00807A43"/>
    <w:rsid w:val="00807ACF"/>
    <w:rsid w:val="00807B46"/>
    <w:rsid w:val="00807BD3"/>
    <w:rsid w:val="00807C05"/>
    <w:rsid w:val="00807CE9"/>
    <w:rsid w:val="00807E1A"/>
    <w:rsid w:val="00807E38"/>
    <w:rsid w:val="00807F1B"/>
    <w:rsid w:val="00807F7E"/>
    <w:rsid w:val="0081007D"/>
    <w:rsid w:val="00810094"/>
    <w:rsid w:val="008100AD"/>
    <w:rsid w:val="008100E6"/>
    <w:rsid w:val="00810187"/>
    <w:rsid w:val="00810199"/>
    <w:rsid w:val="008101A2"/>
    <w:rsid w:val="008101B3"/>
    <w:rsid w:val="00810203"/>
    <w:rsid w:val="0081020E"/>
    <w:rsid w:val="0081034E"/>
    <w:rsid w:val="008103CD"/>
    <w:rsid w:val="00810411"/>
    <w:rsid w:val="008104A1"/>
    <w:rsid w:val="008104E0"/>
    <w:rsid w:val="0081053C"/>
    <w:rsid w:val="00810690"/>
    <w:rsid w:val="008106D1"/>
    <w:rsid w:val="008107A5"/>
    <w:rsid w:val="00810859"/>
    <w:rsid w:val="008108BD"/>
    <w:rsid w:val="00810900"/>
    <w:rsid w:val="0081095C"/>
    <w:rsid w:val="008109E5"/>
    <w:rsid w:val="00810A13"/>
    <w:rsid w:val="00810A23"/>
    <w:rsid w:val="00810AD6"/>
    <w:rsid w:val="00810AFB"/>
    <w:rsid w:val="00810B84"/>
    <w:rsid w:val="00810B8A"/>
    <w:rsid w:val="00810C0B"/>
    <w:rsid w:val="00810C13"/>
    <w:rsid w:val="00810C5E"/>
    <w:rsid w:val="00810D3B"/>
    <w:rsid w:val="00810DAC"/>
    <w:rsid w:val="00810E3E"/>
    <w:rsid w:val="00810F09"/>
    <w:rsid w:val="00810F82"/>
    <w:rsid w:val="00810FD6"/>
    <w:rsid w:val="0081106C"/>
    <w:rsid w:val="008110AE"/>
    <w:rsid w:val="0081112F"/>
    <w:rsid w:val="00811163"/>
    <w:rsid w:val="00811167"/>
    <w:rsid w:val="0081117E"/>
    <w:rsid w:val="00811259"/>
    <w:rsid w:val="008112D8"/>
    <w:rsid w:val="00811304"/>
    <w:rsid w:val="00811458"/>
    <w:rsid w:val="0081145B"/>
    <w:rsid w:val="008114BF"/>
    <w:rsid w:val="00811500"/>
    <w:rsid w:val="008115A4"/>
    <w:rsid w:val="008115FE"/>
    <w:rsid w:val="00811605"/>
    <w:rsid w:val="0081163C"/>
    <w:rsid w:val="008116A0"/>
    <w:rsid w:val="008116FC"/>
    <w:rsid w:val="008117ED"/>
    <w:rsid w:val="00811817"/>
    <w:rsid w:val="00811890"/>
    <w:rsid w:val="00811911"/>
    <w:rsid w:val="00811972"/>
    <w:rsid w:val="00811A0F"/>
    <w:rsid w:val="00811A7D"/>
    <w:rsid w:val="00811AAE"/>
    <w:rsid w:val="00811AF9"/>
    <w:rsid w:val="00811B0D"/>
    <w:rsid w:val="00811B7B"/>
    <w:rsid w:val="00811B95"/>
    <w:rsid w:val="00811C8B"/>
    <w:rsid w:val="00811CC0"/>
    <w:rsid w:val="00811D72"/>
    <w:rsid w:val="00811DF1"/>
    <w:rsid w:val="00811E09"/>
    <w:rsid w:val="00811E6D"/>
    <w:rsid w:val="00811E87"/>
    <w:rsid w:val="00811EE7"/>
    <w:rsid w:val="00811EF9"/>
    <w:rsid w:val="00811F16"/>
    <w:rsid w:val="00811FAA"/>
    <w:rsid w:val="00811FD2"/>
    <w:rsid w:val="00811FFB"/>
    <w:rsid w:val="00812030"/>
    <w:rsid w:val="00812042"/>
    <w:rsid w:val="0081205D"/>
    <w:rsid w:val="0081221D"/>
    <w:rsid w:val="008122E9"/>
    <w:rsid w:val="008123DB"/>
    <w:rsid w:val="00812476"/>
    <w:rsid w:val="0081250C"/>
    <w:rsid w:val="0081250D"/>
    <w:rsid w:val="00812559"/>
    <w:rsid w:val="008125CC"/>
    <w:rsid w:val="0081262A"/>
    <w:rsid w:val="00812661"/>
    <w:rsid w:val="0081274E"/>
    <w:rsid w:val="008127BB"/>
    <w:rsid w:val="008127C7"/>
    <w:rsid w:val="00812840"/>
    <w:rsid w:val="00812863"/>
    <w:rsid w:val="008129A8"/>
    <w:rsid w:val="008129AD"/>
    <w:rsid w:val="008129E1"/>
    <w:rsid w:val="00812A03"/>
    <w:rsid w:val="00812ABE"/>
    <w:rsid w:val="00812B6D"/>
    <w:rsid w:val="00812B80"/>
    <w:rsid w:val="00812B91"/>
    <w:rsid w:val="00812BA1"/>
    <w:rsid w:val="00812BB0"/>
    <w:rsid w:val="00812BB6"/>
    <w:rsid w:val="00812C26"/>
    <w:rsid w:val="00812C49"/>
    <w:rsid w:val="00812C69"/>
    <w:rsid w:val="00812C9E"/>
    <w:rsid w:val="00812E80"/>
    <w:rsid w:val="00812F37"/>
    <w:rsid w:val="00812F6D"/>
    <w:rsid w:val="00812F88"/>
    <w:rsid w:val="00813138"/>
    <w:rsid w:val="008131FE"/>
    <w:rsid w:val="0081320B"/>
    <w:rsid w:val="008132F3"/>
    <w:rsid w:val="00813309"/>
    <w:rsid w:val="008133E9"/>
    <w:rsid w:val="0081342D"/>
    <w:rsid w:val="0081351B"/>
    <w:rsid w:val="0081351D"/>
    <w:rsid w:val="00813705"/>
    <w:rsid w:val="0081371B"/>
    <w:rsid w:val="0081377B"/>
    <w:rsid w:val="00813823"/>
    <w:rsid w:val="00813878"/>
    <w:rsid w:val="00813993"/>
    <w:rsid w:val="00813A08"/>
    <w:rsid w:val="00813A22"/>
    <w:rsid w:val="00813AF5"/>
    <w:rsid w:val="00813AFD"/>
    <w:rsid w:val="00813B06"/>
    <w:rsid w:val="00813BC1"/>
    <w:rsid w:val="00813E51"/>
    <w:rsid w:val="00813E89"/>
    <w:rsid w:val="00813F49"/>
    <w:rsid w:val="0081409C"/>
    <w:rsid w:val="008140F2"/>
    <w:rsid w:val="0081412A"/>
    <w:rsid w:val="0081419E"/>
    <w:rsid w:val="008141AD"/>
    <w:rsid w:val="008141E3"/>
    <w:rsid w:val="00814212"/>
    <w:rsid w:val="00814276"/>
    <w:rsid w:val="00814278"/>
    <w:rsid w:val="0081427F"/>
    <w:rsid w:val="008142E3"/>
    <w:rsid w:val="00814341"/>
    <w:rsid w:val="00814426"/>
    <w:rsid w:val="00814480"/>
    <w:rsid w:val="008144F9"/>
    <w:rsid w:val="008145ED"/>
    <w:rsid w:val="0081467E"/>
    <w:rsid w:val="008146B9"/>
    <w:rsid w:val="0081473D"/>
    <w:rsid w:val="00814798"/>
    <w:rsid w:val="008147F5"/>
    <w:rsid w:val="00814822"/>
    <w:rsid w:val="00814847"/>
    <w:rsid w:val="00814927"/>
    <w:rsid w:val="00814931"/>
    <w:rsid w:val="00814A2F"/>
    <w:rsid w:val="00814A31"/>
    <w:rsid w:val="00814ACA"/>
    <w:rsid w:val="00814B11"/>
    <w:rsid w:val="00814BCE"/>
    <w:rsid w:val="00814C5D"/>
    <w:rsid w:val="00814CC6"/>
    <w:rsid w:val="00814E03"/>
    <w:rsid w:val="00814E4D"/>
    <w:rsid w:val="00814F6C"/>
    <w:rsid w:val="00814FE5"/>
    <w:rsid w:val="00815011"/>
    <w:rsid w:val="00815042"/>
    <w:rsid w:val="0081508C"/>
    <w:rsid w:val="008150CA"/>
    <w:rsid w:val="008150CF"/>
    <w:rsid w:val="0081514D"/>
    <w:rsid w:val="00815155"/>
    <w:rsid w:val="00815160"/>
    <w:rsid w:val="00815223"/>
    <w:rsid w:val="008152F9"/>
    <w:rsid w:val="00815326"/>
    <w:rsid w:val="0081532A"/>
    <w:rsid w:val="008155D0"/>
    <w:rsid w:val="0081575C"/>
    <w:rsid w:val="008157EC"/>
    <w:rsid w:val="00815872"/>
    <w:rsid w:val="00815897"/>
    <w:rsid w:val="008158D2"/>
    <w:rsid w:val="008158EA"/>
    <w:rsid w:val="00815929"/>
    <w:rsid w:val="0081595D"/>
    <w:rsid w:val="008159A1"/>
    <w:rsid w:val="00815B19"/>
    <w:rsid w:val="00815B1A"/>
    <w:rsid w:val="00815B1F"/>
    <w:rsid w:val="00815B20"/>
    <w:rsid w:val="00815B75"/>
    <w:rsid w:val="00815C43"/>
    <w:rsid w:val="00815C62"/>
    <w:rsid w:val="00815D79"/>
    <w:rsid w:val="00815E2F"/>
    <w:rsid w:val="00815E6C"/>
    <w:rsid w:val="00815EA5"/>
    <w:rsid w:val="00815EC5"/>
    <w:rsid w:val="00815F55"/>
    <w:rsid w:val="00815F5A"/>
    <w:rsid w:val="00816009"/>
    <w:rsid w:val="00816041"/>
    <w:rsid w:val="0081617D"/>
    <w:rsid w:val="008161F5"/>
    <w:rsid w:val="008161F9"/>
    <w:rsid w:val="00816223"/>
    <w:rsid w:val="0081623E"/>
    <w:rsid w:val="008162FE"/>
    <w:rsid w:val="0081637B"/>
    <w:rsid w:val="0081643E"/>
    <w:rsid w:val="00816514"/>
    <w:rsid w:val="0081655B"/>
    <w:rsid w:val="0081658D"/>
    <w:rsid w:val="008165C2"/>
    <w:rsid w:val="00816607"/>
    <w:rsid w:val="008166BC"/>
    <w:rsid w:val="0081670D"/>
    <w:rsid w:val="008168C8"/>
    <w:rsid w:val="008169B4"/>
    <w:rsid w:val="008169B8"/>
    <w:rsid w:val="008169C2"/>
    <w:rsid w:val="008169CF"/>
    <w:rsid w:val="00816A23"/>
    <w:rsid w:val="00816A44"/>
    <w:rsid w:val="00816ACB"/>
    <w:rsid w:val="00816AE9"/>
    <w:rsid w:val="00816BE3"/>
    <w:rsid w:val="00816D07"/>
    <w:rsid w:val="00816D31"/>
    <w:rsid w:val="00816E1B"/>
    <w:rsid w:val="00816E42"/>
    <w:rsid w:val="00816EB1"/>
    <w:rsid w:val="00816FE5"/>
    <w:rsid w:val="0081710A"/>
    <w:rsid w:val="00817146"/>
    <w:rsid w:val="008171A5"/>
    <w:rsid w:val="008171CE"/>
    <w:rsid w:val="00817245"/>
    <w:rsid w:val="008172AA"/>
    <w:rsid w:val="00817319"/>
    <w:rsid w:val="00817333"/>
    <w:rsid w:val="00817352"/>
    <w:rsid w:val="008174E3"/>
    <w:rsid w:val="0081750F"/>
    <w:rsid w:val="008175F7"/>
    <w:rsid w:val="008176D4"/>
    <w:rsid w:val="0081778B"/>
    <w:rsid w:val="00817963"/>
    <w:rsid w:val="0081796E"/>
    <w:rsid w:val="008179BB"/>
    <w:rsid w:val="00817A02"/>
    <w:rsid w:val="00817A60"/>
    <w:rsid w:val="00817A80"/>
    <w:rsid w:val="00817A96"/>
    <w:rsid w:val="00817AAC"/>
    <w:rsid w:val="00817C77"/>
    <w:rsid w:val="00817CE8"/>
    <w:rsid w:val="00817D72"/>
    <w:rsid w:val="00817E30"/>
    <w:rsid w:val="00817E79"/>
    <w:rsid w:val="00817EA4"/>
    <w:rsid w:val="00820021"/>
    <w:rsid w:val="008200D4"/>
    <w:rsid w:val="008200D9"/>
    <w:rsid w:val="008200FE"/>
    <w:rsid w:val="008202F7"/>
    <w:rsid w:val="00820345"/>
    <w:rsid w:val="00820380"/>
    <w:rsid w:val="008203EE"/>
    <w:rsid w:val="00820471"/>
    <w:rsid w:val="008204A1"/>
    <w:rsid w:val="008204BB"/>
    <w:rsid w:val="00820546"/>
    <w:rsid w:val="008206A6"/>
    <w:rsid w:val="00820931"/>
    <w:rsid w:val="00820997"/>
    <w:rsid w:val="0082099F"/>
    <w:rsid w:val="008209C2"/>
    <w:rsid w:val="008209E7"/>
    <w:rsid w:val="008209F7"/>
    <w:rsid w:val="00820A4F"/>
    <w:rsid w:val="00820B11"/>
    <w:rsid w:val="00820B38"/>
    <w:rsid w:val="00820C19"/>
    <w:rsid w:val="00820C9E"/>
    <w:rsid w:val="00820D30"/>
    <w:rsid w:val="00820D33"/>
    <w:rsid w:val="00820D54"/>
    <w:rsid w:val="00820DB6"/>
    <w:rsid w:val="00820DD0"/>
    <w:rsid w:val="00821033"/>
    <w:rsid w:val="00821062"/>
    <w:rsid w:val="008210E3"/>
    <w:rsid w:val="008210FD"/>
    <w:rsid w:val="008211A2"/>
    <w:rsid w:val="008211AA"/>
    <w:rsid w:val="008212A4"/>
    <w:rsid w:val="0082132C"/>
    <w:rsid w:val="008213E6"/>
    <w:rsid w:val="00821405"/>
    <w:rsid w:val="00821508"/>
    <w:rsid w:val="0082150F"/>
    <w:rsid w:val="00821568"/>
    <w:rsid w:val="008215FA"/>
    <w:rsid w:val="00821639"/>
    <w:rsid w:val="00821695"/>
    <w:rsid w:val="00821760"/>
    <w:rsid w:val="00821876"/>
    <w:rsid w:val="008218EB"/>
    <w:rsid w:val="0082199B"/>
    <w:rsid w:val="00821A64"/>
    <w:rsid w:val="00821A94"/>
    <w:rsid w:val="00821AD7"/>
    <w:rsid w:val="00821BB1"/>
    <w:rsid w:val="00821D92"/>
    <w:rsid w:val="00821DCC"/>
    <w:rsid w:val="00821E13"/>
    <w:rsid w:val="00821E17"/>
    <w:rsid w:val="00821E82"/>
    <w:rsid w:val="00821EB6"/>
    <w:rsid w:val="00821EBA"/>
    <w:rsid w:val="00821ED2"/>
    <w:rsid w:val="00821F2C"/>
    <w:rsid w:val="00821FCE"/>
    <w:rsid w:val="00821FD8"/>
    <w:rsid w:val="00822032"/>
    <w:rsid w:val="008220DD"/>
    <w:rsid w:val="008220ED"/>
    <w:rsid w:val="00822170"/>
    <w:rsid w:val="008221D7"/>
    <w:rsid w:val="00822292"/>
    <w:rsid w:val="008222B2"/>
    <w:rsid w:val="0082231E"/>
    <w:rsid w:val="00822323"/>
    <w:rsid w:val="00822363"/>
    <w:rsid w:val="008224DB"/>
    <w:rsid w:val="008224FF"/>
    <w:rsid w:val="00822517"/>
    <w:rsid w:val="00822540"/>
    <w:rsid w:val="00822695"/>
    <w:rsid w:val="008226A8"/>
    <w:rsid w:val="008226B0"/>
    <w:rsid w:val="008226BF"/>
    <w:rsid w:val="008226E7"/>
    <w:rsid w:val="0082273B"/>
    <w:rsid w:val="00822784"/>
    <w:rsid w:val="0082278B"/>
    <w:rsid w:val="00822790"/>
    <w:rsid w:val="00822803"/>
    <w:rsid w:val="00822804"/>
    <w:rsid w:val="0082295F"/>
    <w:rsid w:val="0082298A"/>
    <w:rsid w:val="00822ADC"/>
    <w:rsid w:val="00822AFE"/>
    <w:rsid w:val="00822B08"/>
    <w:rsid w:val="00822BAF"/>
    <w:rsid w:val="00822C0B"/>
    <w:rsid w:val="00822CBE"/>
    <w:rsid w:val="00822D5F"/>
    <w:rsid w:val="00822DA9"/>
    <w:rsid w:val="00822DDB"/>
    <w:rsid w:val="00822E05"/>
    <w:rsid w:val="00822E0B"/>
    <w:rsid w:val="00822E1C"/>
    <w:rsid w:val="00823013"/>
    <w:rsid w:val="0082302F"/>
    <w:rsid w:val="0082306B"/>
    <w:rsid w:val="008230D7"/>
    <w:rsid w:val="0082314A"/>
    <w:rsid w:val="0082314C"/>
    <w:rsid w:val="008231C9"/>
    <w:rsid w:val="0082326B"/>
    <w:rsid w:val="008232B8"/>
    <w:rsid w:val="008232BF"/>
    <w:rsid w:val="00823303"/>
    <w:rsid w:val="0082330B"/>
    <w:rsid w:val="00823328"/>
    <w:rsid w:val="00823332"/>
    <w:rsid w:val="00823483"/>
    <w:rsid w:val="008234B8"/>
    <w:rsid w:val="00823578"/>
    <w:rsid w:val="0082366E"/>
    <w:rsid w:val="0082389C"/>
    <w:rsid w:val="008238BC"/>
    <w:rsid w:val="008238C3"/>
    <w:rsid w:val="00823912"/>
    <w:rsid w:val="00823974"/>
    <w:rsid w:val="008239C0"/>
    <w:rsid w:val="00823B27"/>
    <w:rsid w:val="00823B4D"/>
    <w:rsid w:val="00823BD8"/>
    <w:rsid w:val="00823C8D"/>
    <w:rsid w:val="00823D87"/>
    <w:rsid w:val="00823DAB"/>
    <w:rsid w:val="00823E12"/>
    <w:rsid w:val="00823FBF"/>
    <w:rsid w:val="008240C8"/>
    <w:rsid w:val="008240DB"/>
    <w:rsid w:val="008240E2"/>
    <w:rsid w:val="0082410D"/>
    <w:rsid w:val="008241D9"/>
    <w:rsid w:val="008241E1"/>
    <w:rsid w:val="00824228"/>
    <w:rsid w:val="008242A1"/>
    <w:rsid w:val="00824382"/>
    <w:rsid w:val="0082438B"/>
    <w:rsid w:val="008244A7"/>
    <w:rsid w:val="0082459F"/>
    <w:rsid w:val="008247BD"/>
    <w:rsid w:val="00824808"/>
    <w:rsid w:val="0082481D"/>
    <w:rsid w:val="008248FA"/>
    <w:rsid w:val="00824903"/>
    <w:rsid w:val="00824967"/>
    <w:rsid w:val="00824974"/>
    <w:rsid w:val="008249AA"/>
    <w:rsid w:val="00824A02"/>
    <w:rsid w:val="00824AA6"/>
    <w:rsid w:val="00824AFC"/>
    <w:rsid w:val="00824B1C"/>
    <w:rsid w:val="00824B21"/>
    <w:rsid w:val="00824C2C"/>
    <w:rsid w:val="00824E09"/>
    <w:rsid w:val="00824E5A"/>
    <w:rsid w:val="00824E79"/>
    <w:rsid w:val="00824EE0"/>
    <w:rsid w:val="00824EF8"/>
    <w:rsid w:val="00824F36"/>
    <w:rsid w:val="00824F83"/>
    <w:rsid w:val="00824FA7"/>
    <w:rsid w:val="00824FED"/>
    <w:rsid w:val="00824FEF"/>
    <w:rsid w:val="008250C9"/>
    <w:rsid w:val="008251FF"/>
    <w:rsid w:val="00825215"/>
    <w:rsid w:val="0082526C"/>
    <w:rsid w:val="008252E6"/>
    <w:rsid w:val="00825301"/>
    <w:rsid w:val="008253F6"/>
    <w:rsid w:val="00825495"/>
    <w:rsid w:val="008255C5"/>
    <w:rsid w:val="008255E7"/>
    <w:rsid w:val="00825625"/>
    <w:rsid w:val="00825655"/>
    <w:rsid w:val="00825674"/>
    <w:rsid w:val="00825683"/>
    <w:rsid w:val="00825781"/>
    <w:rsid w:val="00825805"/>
    <w:rsid w:val="0082581C"/>
    <w:rsid w:val="0082593B"/>
    <w:rsid w:val="008259B7"/>
    <w:rsid w:val="00825A79"/>
    <w:rsid w:val="00825B2E"/>
    <w:rsid w:val="00825BB7"/>
    <w:rsid w:val="00825BEC"/>
    <w:rsid w:val="00825C07"/>
    <w:rsid w:val="00825CEB"/>
    <w:rsid w:val="00825D0E"/>
    <w:rsid w:val="00825D2F"/>
    <w:rsid w:val="00825D3F"/>
    <w:rsid w:val="00825DB0"/>
    <w:rsid w:val="00825DB8"/>
    <w:rsid w:val="00825DF6"/>
    <w:rsid w:val="00825E16"/>
    <w:rsid w:val="00825E3B"/>
    <w:rsid w:val="00825F2F"/>
    <w:rsid w:val="00825F34"/>
    <w:rsid w:val="00825F62"/>
    <w:rsid w:val="00825FCA"/>
    <w:rsid w:val="00826039"/>
    <w:rsid w:val="0082605B"/>
    <w:rsid w:val="00826063"/>
    <w:rsid w:val="008260BB"/>
    <w:rsid w:val="008260DD"/>
    <w:rsid w:val="008260EF"/>
    <w:rsid w:val="0082615A"/>
    <w:rsid w:val="008261D9"/>
    <w:rsid w:val="008262BD"/>
    <w:rsid w:val="008262C7"/>
    <w:rsid w:val="0082631E"/>
    <w:rsid w:val="0082647A"/>
    <w:rsid w:val="00826498"/>
    <w:rsid w:val="00826511"/>
    <w:rsid w:val="0082655D"/>
    <w:rsid w:val="0082663F"/>
    <w:rsid w:val="008266F8"/>
    <w:rsid w:val="008269A2"/>
    <w:rsid w:val="008269AB"/>
    <w:rsid w:val="00826A5C"/>
    <w:rsid w:val="00826BC0"/>
    <w:rsid w:val="00826BC8"/>
    <w:rsid w:val="00826C03"/>
    <w:rsid w:val="00826C42"/>
    <w:rsid w:val="00826C82"/>
    <w:rsid w:val="00826CFF"/>
    <w:rsid w:val="00826D17"/>
    <w:rsid w:val="00826DC3"/>
    <w:rsid w:val="00826DD4"/>
    <w:rsid w:val="00826E50"/>
    <w:rsid w:val="00826E76"/>
    <w:rsid w:val="00826F6E"/>
    <w:rsid w:val="00826F80"/>
    <w:rsid w:val="00826FAA"/>
    <w:rsid w:val="00827025"/>
    <w:rsid w:val="00827060"/>
    <w:rsid w:val="00827173"/>
    <w:rsid w:val="008271A0"/>
    <w:rsid w:val="008271CD"/>
    <w:rsid w:val="00827363"/>
    <w:rsid w:val="008273F9"/>
    <w:rsid w:val="008274B0"/>
    <w:rsid w:val="0082751F"/>
    <w:rsid w:val="00827558"/>
    <w:rsid w:val="00827600"/>
    <w:rsid w:val="008276D4"/>
    <w:rsid w:val="008276E4"/>
    <w:rsid w:val="0082772D"/>
    <w:rsid w:val="00827730"/>
    <w:rsid w:val="008277BE"/>
    <w:rsid w:val="0082786B"/>
    <w:rsid w:val="008278FC"/>
    <w:rsid w:val="00827A14"/>
    <w:rsid w:val="00827A8D"/>
    <w:rsid w:val="00827AAE"/>
    <w:rsid w:val="00827B87"/>
    <w:rsid w:val="00827C01"/>
    <w:rsid w:val="00827C06"/>
    <w:rsid w:val="00827C40"/>
    <w:rsid w:val="00827CDF"/>
    <w:rsid w:val="00827D7A"/>
    <w:rsid w:val="00827E5D"/>
    <w:rsid w:val="00827EC6"/>
    <w:rsid w:val="00827ECB"/>
    <w:rsid w:val="00827EE1"/>
    <w:rsid w:val="00827EF5"/>
    <w:rsid w:val="00830030"/>
    <w:rsid w:val="0083004E"/>
    <w:rsid w:val="00830054"/>
    <w:rsid w:val="00830064"/>
    <w:rsid w:val="008300F7"/>
    <w:rsid w:val="0083018A"/>
    <w:rsid w:val="00830293"/>
    <w:rsid w:val="008302DD"/>
    <w:rsid w:val="0083033C"/>
    <w:rsid w:val="00830368"/>
    <w:rsid w:val="00830373"/>
    <w:rsid w:val="0083037C"/>
    <w:rsid w:val="00830394"/>
    <w:rsid w:val="008303B0"/>
    <w:rsid w:val="0083042A"/>
    <w:rsid w:val="00830436"/>
    <w:rsid w:val="008304DE"/>
    <w:rsid w:val="0083055A"/>
    <w:rsid w:val="00830588"/>
    <w:rsid w:val="0083059F"/>
    <w:rsid w:val="00830604"/>
    <w:rsid w:val="00830649"/>
    <w:rsid w:val="00830697"/>
    <w:rsid w:val="008306AD"/>
    <w:rsid w:val="008306E4"/>
    <w:rsid w:val="0083079D"/>
    <w:rsid w:val="008307EE"/>
    <w:rsid w:val="008307FA"/>
    <w:rsid w:val="0083081E"/>
    <w:rsid w:val="0083088E"/>
    <w:rsid w:val="008309CB"/>
    <w:rsid w:val="00830A79"/>
    <w:rsid w:val="00830B35"/>
    <w:rsid w:val="00830C56"/>
    <w:rsid w:val="00830D4D"/>
    <w:rsid w:val="00830F3E"/>
    <w:rsid w:val="00830FF1"/>
    <w:rsid w:val="00831089"/>
    <w:rsid w:val="008310EE"/>
    <w:rsid w:val="00831134"/>
    <w:rsid w:val="0083117A"/>
    <w:rsid w:val="00831277"/>
    <w:rsid w:val="008312DE"/>
    <w:rsid w:val="00831341"/>
    <w:rsid w:val="0083138D"/>
    <w:rsid w:val="00831426"/>
    <w:rsid w:val="00831451"/>
    <w:rsid w:val="008315F8"/>
    <w:rsid w:val="00831602"/>
    <w:rsid w:val="008316D3"/>
    <w:rsid w:val="008317E9"/>
    <w:rsid w:val="00831884"/>
    <w:rsid w:val="0083189E"/>
    <w:rsid w:val="008318AD"/>
    <w:rsid w:val="0083198A"/>
    <w:rsid w:val="00831999"/>
    <w:rsid w:val="008319CB"/>
    <w:rsid w:val="00831A04"/>
    <w:rsid w:val="00831BA4"/>
    <w:rsid w:val="00831BD7"/>
    <w:rsid w:val="00831C0B"/>
    <w:rsid w:val="00831D46"/>
    <w:rsid w:val="00831DAA"/>
    <w:rsid w:val="00831DD9"/>
    <w:rsid w:val="00831E38"/>
    <w:rsid w:val="00831E39"/>
    <w:rsid w:val="00831F99"/>
    <w:rsid w:val="00832027"/>
    <w:rsid w:val="0083207D"/>
    <w:rsid w:val="0083208E"/>
    <w:rsid w:val="008320BF"/>
    <w:rsid w:val="00832198"/>
    <w:rsid w:val="008321C3"/>
    <w:rsid w:val="00832307"/>
    <w:rsid w:val="00832544"/>
    <w:rsid w:val="00832549"/>
    <w:rsid w:val="00832601"/>
    <w:rsid w:val="00832705"/>
    <w:rsid w:val="008327D6"/>
    <w:rsid w:val="00832816"/>
    <w:rsid w:val="00832838"/>
    <w:rsid w:val="0083285B"/>
    <w:rsid w:val="0083286D"/>
    <w:rsid w:val="00832A28"/>
    <w:rsid w:val="00832A42"/>
    <w:rsid w:val="00832A5B"/>
    <w:rsid w:val="00832A89"/>
    <w:rsid w:val="00832AF9"/>
    <w:rsid w:val="00832AFC"/>
    <w:rsid w:val="00832B19"/>
    <w:rsid w:val="00832B26"/>
    <w:rsid w:val="00832D07"/>
    <w:rsid w:val="00832D6E"/>
    <w:rsid w:val="00832D77"/>
    <w:rsid w:val="00832DC6"/>
    <w:rsid w:val="00832E07"/>
    <w:rsid w:val="00832EB5"/>
    <w:rsid w:val="00832EB7"/>
    <w:rsid w:val="00832F5C"/>
    <w:rsid w:val="00832FD4"/>
    <w:rsid w:val="008330A9"/>
    <w:rsid w:val="008331B8"/>
    <w:rsid w:val="008331BD"/>
    <w:rsid w:val="008331F4"/>
    <w:rsid w:val="00833206"/>
    <w:rsid w:val="008332C9"/>
    <w:rsid w:val="0083336F"/>
    <w:rsid w:val="00833375"/>
    <w:rsid w:val="00833396"/>
    <w:rsid w:val="008333DD"/>
    <w:rsid w:val="008333DF"/>
    <w:rsid w:val="0083345E"/>
    <w:rsid w:val="008334FB"/>
    <w:rsid w:val="0083354D"/>
    <w:rsid w:val="00833558"/>
    <w:rsid w:val="008335DB"/>
    <w:rsid w:val="00833606"/>
    <w:rsid w:val="00833610"/>
    <w:rsid w:val="008336BE"/>
    <w:rsid w:val="008336CD"/>
    <w:rsid w:val="008336FC"/>
    <w:rsid w:val="00833886"/>
    <w:rsid w:val="008339A1"/>
    <w:rsid w:val="008339EE"/>
    <w:rsid w:val="00833A05"/>
    <w:rsid w:val="00833BE2"/>
    <w:rsid w:val="00833D29"/>
    <w:rsid w:val="00833E35"/>
    <w:rsid w:val="00833E49"/>
    <w:rsid w:val="00833EDC"/>
    <w:rsid w:val="00834078"/>
    <w:rsid w:val="00834095"/>
    <w:rsid w:val="0083412A"/>
    <w:rsid w:val="008341A4"/>
    <w:rsid w:val="008341CA"/>
    <w:rsid w:val="0083426B"/>
    <w:rsid w:val="00834335"/>
    <w:rsid w:val="00834336"/>
    <w:rsid w:val="008343BA"/>
    <w:rsid w:val="0083444A"/>
    <w:rsid w:val="00834498"/>
    <w:rsid w:val="008344A9"/>
    <w:rsid w:val="008344EE"/>
    <w:rsid w:val="0083451E"/>
    <w:rsid w:val="00834537"/>
    <w:rsid w:val="0083464E"/>
    <w:rsid w:val="00834653"/>
    <w:rsid w:val="00834670"/>
    <w:rsid w:val="008346AD"/>
    <w:rsid w:val="008346BD"/>
    <w:rsid w:val="008346C7"/>
    <w:rsid w:val="00834895"/>
    <w:rsid w:val="008348B7"/>
    <w:rsid w:val="008348EF"/>
    <w:rsid w:val="008348FA"/>
    <w:rsid w:val="00834961"/>
    <w:rsid w:val="00834A0F"/>
    <w:rsid w:val="00834A69"/>
    <w:rsid w:val="00834A81"/>
    <w:rsid w:val="00834A82"/>
    <w:rsid w:val="00834B03"/>
    <w:rsid w:val="00834B95"/>
    <w:rsid w:val="00834C74"/>
    <w:rsid w:val="00834D03"/>
    <w:rsid w:val="00834D16"/>
    <w:rsid w:val="00834E04"/>
    <w:rsid w:val="00834E12"/>
    <w:rsid w:val="00834E19"/>
    <w:rsid w:val="00834EB8"/>
    <w:rsid w:val="00834EC0"/>
    <w:rsid w:val="00834F72"/>
    <w:rsid w:val="00834F88"/>
    <w:rsid w:val="00834FA8"/>
    <w:rsid w:val="00834FAE"/>
    <w:rsid w:val="00834FE5"/>
    <w:rsid w:val="008350C6"/>
    <w:rsid w:val="008350CD"/>
    <w:rsid w:val="00835129"/>
    <w:rsid w:val="0083512B"/>
    <w:rsid w:val="008351B9"/>
    <w:rsid w:val="0083525E"/>
    <w:rsid w:val="00835337"/>
    <w:rsid w:val="008353C5"/>
    <w:rsid w:val="008353FD"/>
    <w:rsid w:val="00835487"/>
    <w:rsid w:val="008354C5"/>
    <w:rsid w:val="008354E7"/>
    <w:rsid w:val="0083553F"/>
    <w:rsid w:val="00835593"/>
    <w:rsid w:val="008355BD"/>
    <w:rsid w:val="008355F6"/>
    <w:rsid w:val="0083563A"/>
    <w:rsid w:val="00835678"/>
    <w:rsid w:val="00835763"/>
    <w:rsid w:val="008357F4"/>
    <w:rsid w:val="00835825"/>
    <w:rsid w:val="00835947"/>
    <w:rsid w:val="0083596E"/>
    <w:rsid w:val="008359C6"/>
    <w:rsid w:val="00835A15"/>
    <w:rsid w:val="00835A5A"/>
    <w:rsid w:val="00835B01"/>
    <w:rsid w:val="00835BD3"/>
    <w:rsid w:val="00835D0B"/>
    <w:rsid w:val="00835D9C"/>
    <w:rsid w:val="00835E38"/>
    <w:rsid w:val="00835E45"/>
    <w:rsid w:val="00835E7C"/>
    <w:rsid w:val="00835ECA"/>
    <w:rsid w:val="00835FC0"/>
    <w:rsid w:val="00835FD5"/>
    <w:rsid w:val="0083601D"/>
    <w:rsid w:val="008360DF"/>
    <w:rsid w:val="008360E1"/>
    <w:rsid w:val="00836117"/>
    <w:rsid w:val="0083611F"/>
    <w:rsid w:val="0083613B"/>
    <w:rsid w:val="008361D2"/>
    <w:rsid w:val="0083626C"/>
    <w:rsid w:val="00836276"/>
    <w:rsid w:val="008362EF"/>
    <w:rsid w:val="008363BA"/>
    <w:rsid w:val="00836489"/>
    <w:rsid w:val="008364B9"/>
    <w:rsid w:val="008365F5"/>
    <w:rsid w:val="00836673"/>
    <w:rsid w:val="008367BA"/>
    <w:rsid w:val="008367CD"/>
    <w:rsid w:val="00836826"/>
    <w:rsid w:val="00836868"/>
    <w:rsid w:val="008368E8"/>
    <w:rsid w:val="0083694F"/>
    <w:rsid w:val="00836977"/>
    <w:rsid w:val="008369B1"/>
    <w:rsid w:val="008369B7"/>
    <w:rsid w:val="008369BC"/>
    <w:rsid w:val="008369C6"/>
    <w:rsid w:val="008369E2"/>
    <w:rsid w:val="00836A44"/>
    <w:rsid w:val="00836A68"/>
    <w:rsid w:val="00836A86"/>
    <w:rsid w:val="00836A94"/>
    <w:rsid w:val="00836AD0"/>
    <w:rsid w:val="00836B2F"/>
    <w:rsid w:val="00836B59"/>
    <w:rsid w:val="00836B5A"/>
    <w:rsid w:val="00836B98"/>
    <w:rsid w:val="00836BD5"/>
    <w:rsid w:val="00836CC1"/>
    <w:rsid w:val="00836D1E"/>
    <w:rsid w:val="00836DB2"/>
    <w:rsid w:val="00836E15"/>
    <w:rsid w:val="00836E1D"/>
    <w:rsid w:val="00836E33"/>
    <w:rsid w:val="00836F42"/>
    <w:rsid w:val="00836F44"/>
    <w:rsid w:val="00836F61"/>
    <w:rsid w:val="00836F6B"/>
    <w:rsid w:val="00836FCB"/>
    <w:rsid w:val="00837083"/>
    <w:rsid w:val="008370C2"/>
    <w:rsid w:val="008370D1"/>
    <w:rsid w:val="008371BE"/>
    <w:rsid w:val="00837243"/>
    <w:rsid w:val="00837306"/>
    <w:rsid w:val="00837350"/>
    <w:rsid w:val="008374A1"/>
    <w:rsid w:val="0083752F"/>
    <w:rsid w:val="0083753A"/>
    <w:rsid w:val="008377BD"/>
    <w:rsid w:val="00837897"/>
    <w:rsid w:val="008378A2"/>
    <w:rsid w:val="00837917"/>
    <w:rsid w:val="0083799B"/>
    <w:rsid w:val="00837A0B"/>
    <w:rsid w:val="00837A3E"/>
    <w:rsid w:val="00837B9C"/>
    <w:rsid w:val="00837BC9"/>
    <w:rsid w:val="00837C1A"/>
    <w:rsid w:val="00837CE5"/>
    <w:rsid w:val="00837D31"/>
    <w:rsid w:val="00837D64"/>
    <w:rsid w:val="00837DA9"/>
    <w:rsid w:val="00837DBD"/>
    <w:rsid w:val="00837E94"/>
    <w:rsid w:val="00837EF1"/>
    <w:rsid w:val="0083AEDD"/>
    <w:rsid w:val="00840015"/>
    <w:rsid w:val="00840047"/>
    <w:rsid w:val="0084005E"/>
    <w:rsid w:val="008400DE"/>
    <w:rsid w:val="00840144"/>
    <w:rsid w:val="00840158"/>
    <w:rsid w:val="0084020F"/>
    <w:rsid w:val="0084029E"/>
    <w:rsid w:val="008402CA"/>
    <w:rsid w:val="00840317"/>
    <w:rsid w:val="00840400"/>
    <w:rsid w:val="00840403"/>
    <w:rsid w:val="008404DA"/>
    <w:rsid w:val="008405D0"/>
    <w:rsid w:val="008405E7"/>
    <w:rsid w:val="00840623"/>
    <w:rsid w:val="0084068E"/>
    <w:rsid w:val="008406AC"/>
    <w:rsid w:val="008407C3"/>
    <w:rsid w:val="00840828"/>
    <w:rsid w:val="00840840"/>
    <w:rsid w:val="008409E1"/>
    <w:rsid w:val="00840AAE"/>
    <w:rsid w:val="00840B0A"/>
    <w:rsid w:val="00840B2D"/>
    <w:rsid w:val="00840C1F"/>
    <w:rsid w:val="00840C4E"/>
    <w:rsid w:val="00840F3B"/>
    <w:rsid w:val="00840F47"/>
    <w:rsid w:val="00840FC4"/>
    <w:rsid w:val="008410A4"/>
    <w:rsid w:val="008411E7"/>
    <w:rsid w:val="008411F8"/>
    <w:rsid w:val="0084130F"/>
    <w:rsid w:val="00841327"/>
    <w:rsid w:val="00841369"/>
    <w:rsid w:val="008413AD"/>
    <w:rsid w:val="008414CD"/>
    <w:rsid w:val="008414E1"/>
    <w:rsid w:val="00841500"/>
    <w:rsid w:val="00841526"/>
    <w:rsid w:val="00841554"/>
    <w:rsid w:val="008415A9"/>
    <w:rsid w:val="0084162C"/>
    <w:rsid w:val="00841652"/>
    <w:rsid w:val="0084178A"/>
    <w:rsid w:val="008417BF"/>
    <w:rsid w:val="008417E7"/>
    <w:rsid w:val="00841811"/>
    <w:rsid w:val="0084186A"/>
    <w:rsid w:val="00841926"/>
    <w:rsid w:val="00841A40"/>
    <w:rsid w:val="00841AF5"/>
    <w:rsid w:val="00841B98"/>
    <w:rsid w:val="00841BE0"/>
    <w:rsid w:val="00841C11"/>
    <w:rsid w:val="00841D6E"/>
    <w:rsid w:val="00841D7F"/>
    <w:rsid w:val="00841F50"/>
    <w:rsid w:val="00841FAC"/>
    <w:rsid w:val="00841FEF"/>
    <w:rsid w:val="008420B3"/>
    <w:rsid w:val="008420E6"/>
    <w:rsid w:val="00842157"/>
    <w:rsid w:val="008421BD"/>
    <w:rsid w:val="008421BF"/>
    <w:rsid w:val="008422F4"/>
    <w:rsid w:val="008423AE"/>
    <w:rsid w:val="008423B2"/>
    <w:rsid w:val="008423F6"/>
    <w:rsid w:val="008424CD"/>
    <w:rsid w:val="008425A2"/>
    <w:rsid w:val="008426E2"/>
    <w:rsid w:val="00842A6D"/>
    <w:rsid w:val="00842AA4"/>
    <w:rsid w:val="00842AF4"/>
    <w:rsid w:val="00842B39"/>
    <w:rsid w:val="00842B50"/>
    <w:rsid w:val="00842B87"/>
    <w:rsid w:val="00842BF2"/>
    <w:rsid w:val="00842C0B"/>
    <w:rsid w:val="00842C11"/>
    <w:rsid w:val="00842C4F"/>
    <w:rsid w:val="00842CC4"/>
    <w:rsid w:val="00842CF7"/>
    <w:rsid w:val="00842D14"/>
    <w:rsid w:val="00842D38"/>
    <w:rsid w:val="00842D60"/>
    <w:rsid w:val="00842D7F"/>
    <w:rsid w:val="00842DA5"/>
    <w:rsid w:val="00842DA8"/>
    <w:rsid w:val="00842E3E"/>
    <w:rsid w:val="00842EBC"/>
    <w:rsid w:val="00842F1D"/>
    <w:rsid w:val="00842F4A"/>
    <w:rsid w:val="00842F4F"/>
    <w:rsid w:val="00842F80"/>
    <w:rsid w:val="00842FE2"/>
    <w:rsid w:val="00843195"/>
    <w:rsid w:val="0084319A"/>
    <w:rsid w:val="008431B4"/>
    <w:rsid w:val="008431D1"/>
    <w:rsid w:val="00843273"/>
    <w:rsid w:val="0084327A"/>
    <w:rsid w:val="008432B1"/>
    <w:rsid w:val="008432FE"/>
    <w:rsid w:val="0084336F"/>
    <w:rsid w:val="008433B5"/>
    <w:rsid w:val="008433D6"/>
    <w:rsid w:val="008433DD"/>
    <w:rsid w:val="008433ED"/>
    <w:rsid w:val="008433F7"/>
    <w:rsid w:val="00843402"/>
    <w:rsid w:val="0084346F"/>
    <w:rsid w:val="00843495"/>
    <w:rsid w:val="008434B0"/>
    <w:rsid w:val="008434CB"/>
    <w:rsid w:val="008434FA"/>
    <w:rsid w:val="00843511"/>
    <w:rsid w:val="0084374F"/>
    <w:rsid w:val="00843792"/>
    <w:rsid w:val="008437AB"/>
    <w:rsid w:val="008437D1"/>
    <w:rsid w:val="008437D7"/>
    <w:rsid w:val="00843839"/>
    <w:rsid w:val="00843884"/>
    <w:rsid w:val="0084388A"/>
    <w:rsid w:val="008438A6"/>
    <w:rsid w:val="00843902"/>
    <w:rsid w:val="00843953"/>
    <w:rsid w:val="00843960"/>
    <w:rsid w:val="008439D4"/>
    <w:rsid w:val="00843A3C"/>
    <w:rsid w:val="00843A4E"/>
    <w:rsid w:val="00843ACC"/>
    <w:rsid w:val="00843AE7"/>
    <w:rsid w:val="00843B14"/>
    <w:rsid w:val="00843B5F"/>
    <w:rsid w:val="00843BC9"/>
    <w:rsid w:val="00843C5B"/>
    <w:rsid w:val="00843C6B"/>
    <w:rsid w:val="00843C84"/>
    <w:rsid w:val="00843CF5"/>
    <w:rsid w:val="00843D0B"/>
    <w:rsid w:val="00843D78"/>
    <w:rsid w:val="00843DCA"/>
    <w:rsid w:val="00843E08"/>
    <w:rsid w:val="00843E09"/>
    <w:rsid w:val="00843E80"/>
    <w:rsid w:val="00843F0E"/>
    <w:rsid w:val="00843F6B"/>
    <w:rsid w:val="00844077"/>
    <w:rsid w:val="008440B1"/>
    <w:rsid w:val="008440E4"/>
    <w:rsid w:val="00844105"/>
    <w:rsid w:val="00844185"/>
    <w:rsid w:val="008441D4"/>
    <w:rsid w:val="00844264"/>
    <w:rsid w:val="0084429D"/>
    <w:rsid w:val="00844313"/>
    <w:rsid w:val="00844462"/>
    <w:rsid w:val="0084452F"/>
    <w:rsid w:val="00844574"/>
    <w:rsid w:val="008446BB"/>
    <w:rsid w:val="008446C1"/>
    <w:rsid w:val="008446E6"/>
    <w:rsid w:val="0084472E"/>
    <w:rsid w:val="00844795"/>
    <w:rsid w:val="008447D7"/>
    <w:rsid w:val="00844822"/>
    <w:rsid w:val="008448C3"/>
    <w:rsid w:val="00844917"/>
    <w:rsid w:val="008449C1"/>
    <w:rsid w:val="00844A41"/>
    <w:rsid w:val="00844AA4"/>
    <w:rsid w:val="00844AD3"/>
    <w:rsid w:val="00844AEB"/>
    <w:rsid w:val="00844B7D"/>
    <w:rsid w:val="00844BE1"/>
    <w:rsid w:val="00844C20"/>
    <w:rsid w:val="00844C69"/>
    <w:rsid w:val="00844CD3"/>
    <w:rsid w:val="00844CED"/>
    <w:rsid w:val="00844F28"/>
    <w:rsid w:val="00844F29"/>
    <w:rsid w:val="00844F8E"/>
    <w:rsid w:val="00844FA0"/>
    <w:rsid w:val="00844FF1"/>
    <w:rsid w:val="00845054"/>
    <w:rsid w:val="00845085"/>
    <w:rsid w:val="008450A6"/>
    <w:rsid w:val="008450B5"/>
    <w:rsid w:val="00845176"/>
    <w:rsid w:val="00845186"/>
    <w:rsid w:val="008452C5"/>
    <w:rsid w:val="008452EB"/>
    <w:rsid w:val="008453CD"/>
    <w:rsid w:val="00845400"/>
    <w:rsid w:val="0084554C"/>
    <w:rsid w:val="00845586"/>
    <w:rsid w:val="0084588A"/>
    <w:rsid w:val="008458E4"/>
    <w:rsid w:val="008458E7"/>
    <w:rsid w:val="00845909"/>
    <w:rsid w:val="00845921"/>
    <w:rsid w:val="008459C8"/>
    <w:rsid w:val="008459CB"/>
    <w:rsid w:val="00845B8B"/>
    <w:rsid w:val="00845BE8"/>
    <w:rsid w:val="00845C7F"/>
    <w:rsid w:val="00845C80"/>
    <w:rsid w:val="00845CA6"/>
    <w:rsid w:val="00845D1F"/>
    <w:rsid w:val="00845DA9"/>
    <w:rsid w:val="00845E6B"/>
    <w:rsid w:val="00845E7C"/>
    <w:rsid w:val="00845EDB"/>
    <w:rsid w:val="00845F8A"/>
    <w:rsid w:val="00845F92"/>
    <w:rsid w:val="00845FE1"/>
    <w:rsid w:val="00845FE3"/>
    <w:rsid w:val="00846007"/>
    <w:rsid w:val="00846010"/>
    <w:rsid w:val="0084607C"/>
    <w:rsid w:val="00846098"/>
    <w:rsid w:val="008460AD"/>
    <w:rsid w:val="00846187"/>
    <w:rsid w:val="0084621D"/>
    <w:rsid w:val="00846251"/>
    <w:rsid w:val="0084637E"/>
    <w:rsid w:val="00846425"/>
    <w:rsid w:val="008464BA"/>
    <w:rsid w:val="00846504"/>
    <w:rsid w:val="00846537"/>
    <w:rsid w:val="0084654E"/>
    <w:rsid w:val="008465C7"/>
    <w:rsid w:val="008465F3"/>
    <w:rsid w:val="00846631"/>
    <w:rsid w:val="008466D8"/>
    <w:rsid w:val="008469AC"/>
    <w:rsid w:val="00846A34"/>
    <w:rsid w:val="00846A40"/>
    <w:rsid w:val="00846A79"/>
    <w:rsid w:val="00846A85"/>
    <w:rsid w:val="00846A97"/>
    <w:rsid w:val="00846B95"/>
    <w:rsid w:val="00846BCF"/>
    <w:rsid w:val="00846BE7"/>
    <w:rsid w:val="00846C7D"/>
    <w:rsid w:val="00846DE5"/>
    <w:rsid w:val="00846F43"/>
    <w:rsid w:val="00846F74"/>
    <w:rsid w:val="00846F8D"/>
    <w:rsid w:val="00847011"/>
    <w:rsid w:val="00847054"/>
    <w:rsid w:val="008470B2"/>
    <w:rsid w:val="0084718B"/>
    <w:rsid w:val="0084720F"/>
    <w:rsid w:val="0084721B"/>
    <w:rsid w:val="0084721C"/>
    <w:rsid w:val="00847352"/>
    <w:rsid w:val="00847387"/>
    <w:rsid w:val="008473D2"/>
    <w:rsid w:val="008473FB"/>
    <w:rsid w:val="00847462"/>
    <w:rsid w:val="0084746C"/>
    <w:rsid w:val="008474D7"/>
    <w:rsid w:val="008475D6"/>
    <w:rsid w:val="00847626"/>
    <w:rsid w:val="00847628"/>
    <w:rsid w:val="00847656"/>
    <w:rsid w:val="008477E7"/>
    <w:rsid w:val="00847854"/>
    <w:rsid w:val="008478A9"/>
    <w:rsid w:val="008478F4"/>
    <w:rsid w:val="0084792F"/>
    <w:rsid w:val="008479B9"/>
    <w:rsid w:val="008479D7"/>
    <w:rsid w:val="00847A27"/>
    <w:rsid w:val="00847A31"/>
    <w:rsid w:val="00847ACA"/>
    <w:rsid w:val="00847B8C"/>
    <w:rsid w:val="00847BEA"/>
    <w:rsid w:val="00847C2F"/>
    <w:rsid w:val="00847C8C"/>
    <w:rsid w:val="00847D5F"/>
    <w:rsid w:val="00847D6A"/>
    <w:rsid w:val="00847E36"/>
    <w:rsid w:val="00847EC3"/>
    <w:rsid w:val="00847F5F"/>
    <w:rsid w:val="00847FA7"/>
    <w:rsid w:val="00847FCE"/>
    <w:rsid w:val="00850045"/>
    <w:rsid w:val="0085008F"/>
    <w:rsid w:val="008500C9"/>
    <w:rsid w:val="008500CB"/>
    <w:rsid w:val="008500DF"/>
    <w:rsid w:val="008500E4"/>
    <w:rsid w:val="00850175"/>
    <w:rsid w:val="00850176"/>
    <w:rsid w:val="00850187"/>
    <w:rsid w:val="008501BB"/>
    <w:rsid w:val="00850236"/>
    <w:rsid w:val="00850257"/>
    <w:rsid w:val="00850272"/>
    <w:rsid w:val="008502AE"/>
    <w:rsid w:val="008502B5"/>
    <w:rsid w:val="00850366"/>
    <w:rsid w:val="00850522"/>
    <w:rsid w:val="00850532"/>
    <w:rsid w:val="00850538"/>
    <w:rsid w:val="008506BE"/>
    <w:rsid w:val="00850730"/>
    <w:rsid w:val="00850765"/>
    <w:rsid w:val="0085076A"/>
    <w:rsid w:val="0085092D"/>
    <w:rsid w:val="0085093E"/>
    <w:rsid w:val="0085094A"/>
    <w:rsid w:val="00850968"/>
    <w:rsid w:val="00850A8D"/>
    <w:rsid w:val="00850BB1"/>
    <w:rsid w:val="00850D4D"/>
    <w:rsid w:val="00850D8B"/>
    <w:rsid w:val="00850DDB"/>
    <w:rsid w:val="00850E29"/>
    <w:rsid w:val="00850E37"/>
    <w:rsid w:val="00850E64"/>
    <w:rsid w:val="00850EF7"/>
    <w:rsid w:val="00850F1F"/>
    <w:rsid w:val="00851021"/>
    <w:rsid w:val="00851097"/>
    <w:rsid w:val="008510D7"/>
    <w:rsid w:val="0085110B"/>
    <w:rsid w:val="00851121"/>
    <w:rsid w:val="0085113C"/>
    <w:rsid w:val="00851172"/>
    <w:rsid w:val="008511CA"/>
    <w:rsid w:val="008511EF"/>
    <w:rsid w:val="0085125C"/>
    <w:rsid w:val="008512C4"/>
    <w:rsid w:val="0085131C"/>
    <w:rsid w:val="00851330"/>
    <w:rsid w:val="008513D7"/>
    <w:rsid w:val="00851588"/>
    <w:rsid w:val="008516F2"/>
    <w:rsid w:val="008517AF"/>
    <w:rsid w:val="008517EB"/>
    <w:rsid w:val="0085184E"/>
    <w:rsid w:val="00851865"/>
    <w:rsid w:val="008518F1"/>
    <w:rsid w:val="00851954"/>
    <w:rsid w:val="00851995"/>
    <w:rsid w:val="008519AC"/>
    <w:rsid w:val="00851A01"/>
    <w:rsid w:val="00851A74"/>
    <w:rsid w:val="00851AC2"/>
    <w:rsid w:val="00851AEB"/>
    <w:rsid w:val="00851AF4"/>
    <w:rsid w:val="00851AF6"/>
    <w:rsid w:val="00851B5A"/>
    <w:rsid w:val="00851BC7"/>
    <w:rsid w:val="00851C38"/>
    <w:rsid w:val="00851D0A"/>
    <w:rsid w:val="00851D93"/>
    <w:rsid w:val="00851DD9"/>
    <w:rsid w:val="00851DE8"/>
    <w:rsid w:val="00851F6B"/>
    <w:rsid w:val="00851FAE"/>
    <w:rsid w:val="00851FFA"/>
    <w:rsid w:val="00852051"/>
    <w:rsid w:val="00852116"/>
    <w:rsid w:val="00852118"/>
    <w:rsid w:val="00852196"/>
    <w:rsid w:val="00852266"/>
    <w:rsid w:val="00852327"/>
    <w:rsid w:val="008523E8"/>
    <w:rsid w:val="008524C0"/>
    <w:rsid w:val="008524FE"/>
    <w:rsid w:val="00852522"/>
    <w:rsid w:val="0085257F"/>
    <w:rsid w:val="00852771"/>
    <w:rsid w:val="00852859"/>
    <w:rsid w:val="008528CA"/>
    <w:rsid w:val="00852971"/>
    <w:rsid w:val="0085297A"/>
    <w:rsid w:val="008529CE"/>
    <w:rsid w:val="00852ABC"/>
    <w:rsid w:val="00852B0D"/>
    <w:rsid w:val="00852B29"/>
    <w:rsid w:val="00852B76"/>
    <w:rsid w:val="00852B81"/>
    <w:rsid w:val="00852BE1"/>
    <w:rsid w:val="00852CB9"/>
    <w:rsid w:val="00852D0A"/>
    <w:rsid w:val="00852D0E"/>
    <w:rsid w:val="00852D54"/>
    <w:rsid w:val="00852DED"/>
    <w:rsid w:val="00852E84"/>
    <w:rsid w:val="00852E99"/>
    <w:rsid w:val="00852F3E"/>
    <w:rsid w:val="0085305A"/>
    <w:rsid w:val="00853077"/>
    <w:rsid w:val="008530B7"/>
    <w:rsid w:val="008530D3"/>
    <w:rsid w:val="0085323B"/>
    <w:rsid w:val="008532AA"/>
    <w:rsid w:val="00853379"/>
    <w:rsid w:val="00853389"/>
    <w:rsid w:val="008533BB"/>
    <w:rsid w:val="0085343F"/>
    <w:rsid w:val="0085344A"/>
    <w:rsid w:val="00853458"/>
    <w:rsid w:val="008534B1"/>
    <w:rsid w:val="0085357A"/>
    <w:rsid w:val="0085359A"/>
    <w:rsid w:val="008535A8"/>
    <w:rsid w:val="00853771"/>
    <w:rsid w:val="0085378B"/>
    <w:rsid w:val="008537E7"/>
    <w:rsid w:val="00853815"/>
    <w:rsid w:val="00853917"/>
    <w:rsid w:val="0085392C"/>
    <w:rsid w:val="00853990"/>
    <w:rsid w:val="008539B7"/>
    <w:rsid w:val="00853A21"/>
    <w:rsid w:val="00853A26"/>
    <w:rsid w:val="00853A4B"/>
    <w:rsid w:val="00853B21"/>
    <w:rsid w:val="00853BEA"/>
    <w:rsid w:val="00853C47"/>
    <w:rsid w:val="00853D46"/>
    <w:rsid w:val="00853D7A"/>
    <w:rsid w:val="00853E17"/>
    <w:rsid w:val="00853F5C"/>
    <w:rsid w:val="00853FD1"/>
    <w:rsid w:val="00853FE3"/>
    <w:rsid w:val="008541C2"/>
    <w:rsid w:val="00854227"/>
    <w:rsid w:val="00854290"/>
    <w:rsid w:val="008542DC"/>
    <w:rsid w:val="008544B7"/>
    <w:rsid w:val="008544BB"/>
    <w:rsid w:val="008544D7"/>
    <w:rsid w:val="00854525"/>
    <w:rsid w:val="008545E8"/>
    <w:rsid w:val="00854651"/>
    <w:rsid w:val="0085466D"/>
    <w:rsid w:val="0085471D"/>
    <w:rsid w:val="0085472C"/>
    <w:rsid w:val="00854859"/>
    <w:rsid w:val="0085493E"/>
    <w:rsid w:val="0085499D"/>
    <w:rsid w:val="00854AB8"/>
    <w:rsid w:val="00854B46"/>
    <w:rsid w:val="00854B4F"/>
    <w:rsid w:val="00854B98"/>
    <w:rsid w:val="00854B9C"/>
    <w:rsid w:val="00854BD8"/>
    <w:rsid w:val="00854BF9"/>
    <w:rsid w:val="00854C0E"/>
    <w:rsid w:val="00854C7C"/>
    <w:rsid w:val="00854CCA"/>
    <w:rsid w:val="00854CF8"/>
    <w:rsid w:val="00854D46"/>
    <w:rsid w:val="00854E3D"/>
    <w:rsid w:val="00854E66"/>
    <w:rsid w:val="00854E7B"/>
    <w:rsid w:val="00854E80"/>
    <w:rsid w:val="00854F3E"/>
    <w:rsid w:val="00854F9E"/>
    <w:rsid w:val="00854FBE"/>
    <w:rsid w:val="0085500C"/>
    <w:rsid w:val="00855013"/>
    <w:rsid w:val="008551FB"/>
    <w:rsid w:val="0085520C"/>
    <w:rsid w:val="0085527C"/>
    <w:rsid w:val="00855360"/>
    <w:rsid w:val="00855364"/>
    <w:rsid w:val="00855389"/>
    <w:rsid w:val="008553C7"/>
    <w:rsid w:val="008553CA"/>
    <w:rsid w:val="008554B9"/>
    <w:rsid w:val="008554BC"/>
    <w:rsid w:val="008554C9"/>
    <w:rsid w:val="0085550A"/>
    <w:rsid w:val="00855522"/>
    <w:rsid w:val="00855531"/>
    <w:rsid w:val="0085553D"/>
    <w:rsid w:val="00855599"/>
    <w:rsid w:val="008555B3"/>
    <w:rsid w:val="00855648"/>
    <w:rsid w:val="0085568B"/>
    <w:rsid w:val="0085579B"/>
    <w:rsid w:val="008558BC"/>
    <w:rsid w:val="008558C3"/>
    <w:rsid w:val="00855A08"/>
    <w:rsid w:val="00855A17"/>
    <w:rsid w:val="00855A47"/>
    <w:rsid w:val="00855ABA"/>
    <w:rsid w:val="00855B16"/>
    <w:rsid w:val="00855B36"/>
    <w:rsid w:val="00855BC6"/>
    <w:rsid w:val="00855C2A"/>
    <w:rsid w:val="00855CA8"/>
    <w:rsid w:val="00855CE6"/>
    <w:rsid w:val="00855D94"/>
    <w:rsid w:val="00855DEA"/>
    <w:rsid w:val="00855EDE"/>
    <w:rsid w:val="00855EE2"/>
    <w:rsid w:val="00855F59"/>
    <w:rsid w:val="00855FD3"/>
    <w:rsid w:val="00855FDE"/>
    <w:rsid w:val="00856138"/>
    <w:rsid w:val="0085619D"/>
    <w:rsid w:val="008561D6"/>
    <w:rsid w:val="00856214"/>
    <w:rsid w:val="00856242"/>
    <w:rsid w:val="00856398"/>
    <w:rsid w:val="008563A6"/>
    <w:rsid w:val="008563DF"/>
    <w:rsid w:val="00856437"/>
    <w:rsid w:val="008564A8"/>
    <w:rsid w:val="00856504"/>
    <w:rsid w:val="008565D7"/>
    <w:rsid w:val="008566D8"/>
    <w:rsid w:val="008567C4"/>
    <w:rsid w:val="0085680D"/>
    <w:rsid w:val="008568D9"/>
    <w:rsid w:val="008568F4"/>
    <w:rsid w:val="008569B3"/>
    <w:rsid w:val="00856A00"/>
    <w:rsid w:val="00856AAB"/>
    <w:rsid w:val="00856AEB"/>
    <w:rsid w:val="00856AEC"/>
    <w:rsid w:val="00856B27"/>
    <w:rsid w:val="00856BED"/>
    <w:rsid w:val="00856C49"/>
    <w:rsid w:val="00856CB5"/>
    <w:rsid w:val="00856D0B"/>
    <w:rsid w:val="00856D62"/>
    <w:rsid w:val="00856DB9"/>
    <w:rsid w:val="00856DE3"/>
    <w:rsid w:val="00856E2F"/>
    <w:rsid w:val="00856EA5"/>
    <w:rsid w:val="00856F91"/>
    <w:rsid w:val="00857074"/>
    <w:rsid w:val="00857172"/>
    <w:rsid w:val="008571AF"/>
    <w:rsid w:val="008571CC"/>
    <w:rsid w:val="00857277"/>
    <w:rsid w:val="00857300"/>
    <w:rsid w:val="0085730C"/>
    <w:rsid w:val="00857344"/>
    <w:rsid w:val="008573DA"/>
    <w:rsid w:val="00857466"/>
    <w:rsid w:val="0085748B"/>
    <w:rsid w:val="0085752A"/>
    <w:rsid w:val="008575A3"/>
    <w:rsid w:val="008575AD"/>
    <w:rsid w:val="008575EB"/>
    <w:rsid w:val="008576DC"/>
    <w:rsid w:val="008576EB"/>
    <w:rsid w:val="00857722"/>
    <w:rsid w:val="0085773A"/>
    <w:rsid w:val="00857793"/>
    <w:rsid w:val="0085785C"/>
    <w:rsid w:val="008578EA"/>
    <w:rsid w:val="0085791F"/>
    <w:rsid w:val="00857B4C"/>
    <w:rsid w:val="00857BA4"/>
    <w:rsid w:val="00857C58"/>
    <w:rsid w:val="00857DC0"/>
    <w:rsid w:val="00857DC8"/>
    <w:rsid w:val="00857E01"/>
    <w:rsid w:val="00857E24"/>
    <w:rsid w:val="00857E26"/>
    <w:rsid w:val="0086000A"/>
    <w:rsid w:val="0086006A"/>
    <w:rsid w:val="00860094"/>
    <w:rsid w:val="008600A1"/>
    <w:rsid w:val="008600B4"/>
    <w:rsid w:val="008600EF"/>
    <w:rsid w:val="008601E6"/>
    <w:rsid w:val="00860226"/>
    <w:rsid w:val="0086022E"/>
    <w:rsid w:val="0086028E"/>
    <w:rsid w:val="00860298"/>
    <w:rsid w:val="008602B4"/>
    <w:rsid w:val="00860307"/>
    <w:rsid w:val="00860335"/>
    <w:rsid w:val="00860439"/>
    <w:rsid w:val="008604B2"/>
    <w:rsid w:val="008604C6"/>
    <w:rsid w:val="00860517"/>
    <w:rsid w:val="0086062D"/>
    <w:rsid w:val="00860632"/>
    <w:rsid w:val="00860656"/>
    <w:rsid w:val="008606AF"/>
    <w:rsid w:val="008606F0"/>
    <w:rsid w:val="00860711"/>
    <w:rsid w:val="008607F4"/>
    <w:rsid w:val="008607FC"/>
    <w:rsid w:val="00860952"/>
    <w:rsid w:val="0086097F"/>
    <w:rsid w:val="008609A2"/>
    <w:rsid w:val="008609C6"/>
    <w:rsid w:val="00860A0E"/>
    <w:rsid w:val="00860A3D"/>
    <w:rsid w:val="00860A75"/>
    <w:rsid w:val="00860B7F"/>
    <w:rsid w:val="00860C13"/>
    <w:rsid w:val="00860C1A"/>
    <w:rsid w:val="00860C42"/>
    <w:rsid w:val="00860C44"/>
    <w:rsid w:val="00860C7F"/>
    <w:rsid w:val="00860DCC"/>
    <w:rsid w:val="00860ECF"/>
    <w:rsid w:val="00860EF3"/>
    <w:rsid w:val="00860F04"/>
    <w:rsid w:val="00860F53"/>
    <w:rsid w:val="00861058"/>
    <w:rsid w:val="008610E5"/>
    <w:rsid w:val="0086110B"/>
    <w:rsid w:val="00861150"/>
    <w:rsid w:val="00861190"/>
    <w:rsid w:val="008611E8"/>
    <w:rsid w:val="0086120D"/>
    <w:rsid w:val="00861212"/>
    <w:rsid w:val="0086128E"/>
    <w:rsid w:val="008612B0"/>
    <w:rsid w:val="008612F8"/>
    <w:rsid w:val="008612FA"/>
    <w:rsid w:val="0086131B"/>
    <w:rsid w:val="0086133D"/>
    <w:rsid w:val="0086135C"/>
    <w:rsid w:val="0086135D"/>
    <w:rsid w:val="008613A0"/>
    <w:rsid w:val="008615D9"/>
    <w:rsid w:val="00861601"/>
    <w:rsid w:val="008616AD"/>
    <w:rsid w:val="00861708"/>
    <w:rsid w:val="0086170F"/>
    <w:rsid w:val="0086173F"/>
    <w:rsid w:val="00861882"/>
    <w:rsid w:val="00861887"/>
    <w:rsid w:val="00861914"/>
    <w:rsid w:val="00861939"/>
    <w:rsid w:val="00861951"/>
    <w:rsid w:val="00861997"/>
    <w:rsid w:val="008619D4"/>
    <w:rsid w:val="00861AA1"/>
    <w:rsid w:val="00861C36"/>
    <w:rsid w:val="00861CAB"/>
    <w:rsid w:val="00861CD5"/>
    <w:rsid w:val="00861D4E"/>
    <w:rsid w:val="00861D8D"/>
    <w:rsid w:val="00861DB1"/>
    <w:rsid w:val="00861E8A"/>
    <w:rsid w:val="00861EA1"/>
    <w:rsid w:val="00861EEE"/>
    <w:rsid w:val="00861F87"/>
    <w:rsid w:val="00861F9C"/>
    <w:rsid w:val="00861FA6"/>
    <w:rsid w:val="00861FED"/>
    <w:rsid w:val="00861FF9"/>
    <w:rsid w:val="00862016"/>
    <w:rsid w:val="00862061"/>
    <w:rsid w:val="008620FD"/>
    <w:rsid w:val="00862109"/>
    <w:rsid w:val="00862117"/>
    <w:rsid w:val="0086216C"/>
    <w:rsid w:val="008621E8"/>
    <w:rsid w:val="00862271"/>
    <w:rsid w:val="0086227A"/>
    <w:rsid w:val="0086228E"/>
    <w:rsid w:val="008622A8"/>
    <w:rsid w:val="00862308"/>
    <w:rsid w:val="00862425"/>
    <w:rsid w:val="00862536"/>
    <w:rsid w:val="0086255A"/>
    <w:rsid w:val="008625E9"/>
    <w:rsid w:val="00862636"/>
    <w:rsid w:val="0086263C"/>
    <w:rsid w:val="0086270E"/>
    <w:rsid w:val="00862718"/>
    <w:rsid w:val="00862786"/>
    <w:rsid w:val="008627EF"/>
    <w:rsid w:val="0086281D"/>
    <w:rsid w:val="00862898"/>
    <w:rsid w:val="00862966"/>
    <w:rsid w:val="00862A03"/>
    <w:rsid w:val="00862A31"/>
    <w:rsid w:val="00862B3C"/>
    <w:rsid w:val="00862C24"/>
    <w:rsid w:val="00862C3F"/>
    <w:rsid w:val="00862CA7"/>
    <w:rsid w:val="00862DA5"/>
    <w:rsid w:val="00862E00"/>
    <w:rsid w:val="00862E21"/>
    <w:rsid w:val="00862E3B"/>
    <w:rsid w:val="00862E78"/>
    <w:rsid w:val="00862EAC"/>
    <w:rsid w:val="00862F34"/>
    <w:rsid w:val="00862F51"/>
    <w:rsid w:val="00862F7D"/>
    <w:rsid w:val="00862FB1"/>
    <w:rsid w:val="00862FE1"/>
    <w:rsid w:val="00863106"/>
    <w:rsid w:val="00863129"/>
    <w:rsid w:val="00863172"/>
    <w:rsid w:val="0086318D"/>
    <w:rsid w:val="00863249"/>
    <w:rsid w:val="0086332C"/>
    <w:rsid w:val="0086339D"/>
    <w:rsid w:val="008633CF"/>
    <w:rsid w:val="00863410"/>
    <w:rsid w:val="00863418"/>
    <w:rsid w:val="0086350A"/>
    <w:rsid w:val="0086368E"/>
    <w:rsid w:val="00863780"/>
    <w:rsid w:val="0086383A"/>
    <w:rsid w:val="00863880"/>
    <w:rsid w:val="0086390B"/>
    <w:rsid w:val="0086391A"/>
    <w:rsid w:val="00863A11"/>
    <w:rsid w:val="00863A2E"/>
    <w:rsid w:val="00863C44"/>
    <w:rsid w:val="00863C46"/>
    <w:rsid w:val="00863D1C"/>
    <w:rsid w:val="00863D28"/>
    <w:rsid w:val="00863D2C"/>
    <w:rsid w:val="00863DB8"/>
    <w:rsid w:val="00863E39"/>
    <w:rsid w:val="00863FCC"/>
    <w:rsid w:val="00864000"/>
    <w:rsid w:val="00864083"/>
    <w:rsid w:val="00864094"/>
    <w:rsid w:val="0086424D"/>
    <w:rsid w:val="0086426C"/>
    <w:rsid w:val="0086431D"/>
    <w:rsid w:val="00864334"/>
    <w:rsid w:val="00864336"/>
    <w:rsid w:val="00864393"/>
    <w:rsid w:val="00864425"/>
    <w:rsid w:val="0086449A"/>
    <w:rsid w:val="008644C1"/>
    <w:rsid w:val="00864517"/>
    <w:rsid w:val="00864518"/>
    <w:rsid w:val="00864534"/>
    <w:rsid w:val="00864593"/>
    <w:rsid w:val="0086462D"/>
    <w:rsid w:val="00864641"/>
    <w:rsid w:val="008646AD"/>
    <w:rsid w:val="0086473B"/>
    <w:rsid w:val="0086473E"/>
    <w:rsid w:val="00864751"/>
    <w:rsid w:val="00864764"/>
    <w:rsid w:val="0086476A"/>
    <w:rsid w:val="0086476D"/>
    <w:rsid w:val="008647D5"/>
    <w:rsid w:val="008647F6"/>
    <w:rsid w:val="00864817"/>
    <w:rsid w:val="00864819"/>
    <w:rsid w:val="00864838"/>
    <w:rsid w:val="008648CE"/>
    <w:rsid w:val="0086498D"/>
    <w:rsid w:val="0086499E"/>
    <w:rsid w:val="008649CF"/>
    <w:rsid w:val="008649D6"/>
    <w:rsid w:val="008649FF"/>
    <w:rsid w:val="00864A20"/>
    <w:rsid w:val="00864A37"/>
    <w:rsid w:val="00864A63"/>
    <w:rsid w:val="00864A6D"/>
    <w:rsid w:val="00864AF4"/>
    <w:rsid w:val="00864B8D"/>
    <w:rsid w:val="00864C07"/>
    <w:rsid w:val="00864C2A"/>
    <w:rsid w:val="00864C4C"/>
    <w:rsid w:val="00864CF8"/>
    <w:rsid w:val="00864D30"/>
    <w:rsid w:val="00864D96"/>
    <w:rsid w:val="00864DF0"/>
    <w:rsid w:val="00864DFC"/>
    <w:rsid w:val="00864E4A"/>
    <w:rsid w:val="00864FB0"/>
    <w:rsid w:val="00864FC8"/>
    <w:rsid w:val="0086507A"/>
    <w:rsid w:val="008650B6"/>
    <w:rsid w:val="008650E5"/>
    <w:rsid w:val="00865213"/>
    <w:rsid w:val="00865349"/>
    <w:rsid w:val="0086534C"/>
    <w:rsid w:val="00865390"/>
    <w:rsid w:val="008653BD"/>
    <w:rsid w:val="008653E1"/>
    <w:rsid w:val="00865446"/>
    <w:rsid w:val="008654D7"/>
    <w:rsid w:val="00865500"/>
    <w:rsid w:val="008655D3"/>
    <w:rsid w:val="008655ED"/>
    <w:rsid w:val="0086560C"/>
    <w:rsid w:val="0086565E"/>
    <w:rsid w:val="00865679"/>
    <w:rsid w:val="008656F7"/>
    <w:rsid w:val="00865708"/>
    <w:rsid w:val="0086570F"/>
    <w:rsid w:val="0086577F"/>
    <w:rsid w:val="008657DB"/>
    <w:rsid w:val="00865819"/>
    <w:rsid w:val="00865885"/>
    <w:rsid w:val="008658B2"/>
    <w:rsid w:val="00865A6E"/>
    <w:rsid w:val="00865B30"/>
    <w:rsid w:val="00865C42"/>
    <w:rsid w:val="00865CF0"/>
    <w:rsid w:val="00865DDE"/>
    <w:rsid w:val="00865E59"/>
    <w:rsid w:val="00865E79"/>
    <w:rsid w:val="00865EEA"/>
    <w:rsid w:val="00865F82"/>
    <w:rsid w:val="00866028"/>
    <w:rsid w:val="0086602C"/>
    <w:rsid w:val="00866217"/>
    <w:rsid w:val="00866267"/>
    <w:rsid w:val="008662D8"/>
    <w:rsid w:val="00866342"/>
    <w:rsid w:val="00866476"/>
    <w:rsid w:val="00866485"/>
    <w:rsid w:val="008664C6"/>
    <w:rsid w:val="008664D5"/>
    <w:rsid w:val="008664E1"/>
    <w:rsid w:val="0086654E"/>
    <w:rsid w:val="00866578"/>
    <w:rsid w:val="008665D8"/>
    <w:rsid w:val="00866600"/>
    <w:rsid w:val="00866635"/>
    <w:rsid w:val="00866697"/>
    <w:rsid w:val="008666E1"/>
    <w:rsid w:val="008666F3"/>
    <w:rsid w:val="008667A7"/>
    <w:rsid w:val="008667B2"/>
    <w:rsid w:val="00866864"/>
    <w:rsid w:val="008668D4"/>
    <w:rsid w:val="0086693D"/>
    <w:rsid w:val="00866991"/>
    <w:rsid w:val="008669BA"/>
    <w:rsid w:val="00866A42"/>
    <w:rsid w:val="00866A5A"/>
    <w:rsid w:val="00866A83"/>
    <w:rsid w:val="00866AF2"/>
    <w:rsid w:val="00866C4F"/>
    <w:rsid w:val="00866CE1"/>
    <w:rsid w:val="00866D55"/>
    <w:rsid w:val="00866DB6"/>
    <w:rsid w:val="00866E1E"/>
    <w:rsid w:val="00866F38"/>
    <w:rsid w:val="0086704E"/>
    <w:rsid w:val="0086705C"/>
    <w:rsid w:val="00867084"/>
    <w:rsid w:val="008670D8"/>
    <w:rsid w:val="00867164"/>
    <w:rsid w:val="008671BD"/>
    <w:rsid w:val="008671F5"/>
    <w:rsid w:val="00867210"/>
    <w:rsid w:val="008672D8"/>
    <w:rsid w:val="00867364"/>
    <w:rsid w:val="00867366"/>
    <w:rsid w:val="008673D4"/>
    <w:rsid w:val="00867452"/>
    <w:rsid w:val="0086746B"/>
    <w:rsid w:val="00867545"/>
    <w:rsid w:val="00867557"/>
    <w:rsid w:val="008675C7"/>
    <w:rsid w:val="008675EE"/>
    <w:rsid w:val="0086761B"/>
    <w:rsid w:val="008677F5"/>
    <w:rsid w:val="00867862"/>
    <w:rsid w:val="008678E0"/>
    <w:rsid w:val="008678FD"/>
    <w:rsid w:val="00867944"/>
    <w:rsid w:val="00867946"/>
    <w:rsid w:val="00867960"/>
    <w:rsid w:val="008679FA"/>
    <w:rsid w:val="00867A10"/>
    <w:rsid w:val="00867A4D"/>
    <w:rsid w:val="00867A8E"/>
    <w:rsid w:val="00867AC0"/>
    <w:rsid w:val="00867B55"/>
    <w:rsid w:val="00867C3A"/>
    <w:rsid w:val="00867C57"/>
    <w:rsid w:val="00867CA0"/>
    <w:rsid w:val="00867D52"/>
    <w:rsid w:val="00867D58"/>
    <w:rsid w:val="00867DEE"/>
    <w:rsid w:val="00867E8A"/>
    <w:rsid w:val="00867F38"/>
    <w:rsid w:val="00867FD5"/>
    <w:rsid w:val="0087006F"/>
    <w:rsid w:val="00870094"/>
    <w:rsid w:val="00870262"/>
    <w:rsid w:val="00870271"/>
    <w:rsid w:val="00870338"/>
    <w:rsid w:val="00870382"/>
    <w:rsid w:val="00870384"/>
    <w:rsid w:val="008703BB"/>
    <w:rsid w:val="008703E7"/>
    <w:rsid w:val="008704AB"/>
    <w:rsid w:val="0087050A"/>
    <w:rsid w:val="00870543"/>
    <w:rsid w:val="0087055F"/>
    <w:rsid w:val="008705AD"/>
    <w:rsid w:val="008705E3"/>
    <w:rsid w:val="008706A8"/>
    <w:rsid w:val="008706C7"/>
    <w:rsid w:val="00870730"/>
    <w:rsid w:val="00870768"/>
    <w:rsid w:val="008707E6"/>
    <w:rsid w:val="00870826"/>
    <w:rsid w:val="00870841"/>
    <w:rsid w:val="00870853"/>
    <w:rsid w:val="008708B3"/>
    <w:rsid w:val="008708CC"/>
    <w:rsid w:val="008708D4"/>
    <w:rsid w:val="00870905"/>
    <w:rsid w:val="00870914"/>
    <w:rsid w:val="00870963"/>
    <w:rsid w:val="00870983"/>
    <w:rsid w:val="008709AE"/>
    <w:rsid w:val="00870A0A"/>
    <w:rsid w:val="00870A72"/>
    <w:rsid w:val="00870AB8"/>
    <w:rsid w:val="00870ACA"/>
    <w:rsid w:val="00870C75"/>
    <w:rsid w:val="00870D98"/>
    <w:rsid w:val="00870E17"/>
    <w:rsid w:val="00870E6C"/>
    <w:rsid w:val="00870E87"/>
    <w:rsid w:val="00870E94"/>
    <w:rsid w:val="00870F2B"/>
    <w:rsid w:val="00871056"/>
    <w:rsid w:val="00871059"/>
    <w:rsid w:val="0087106A"/>
    <w:rsid w:val="008710B6"/>
    <w:rsid w:val="00871117"/>
    <w:rsid w:val="00871240"/>
    <w:rsid w:val="0087129F"/>
    <w:rsid w:val="008712BB"/>
    <w:rsid w:val="008712C0"/>
    <w:rsid w:val="008712F1"/>
    <w:rsid w:val="008713E9"/>
    <w:rsid w:val="00871400"/>
    <w:rsid w:val="00871419"/>
    <w:rsid w:val="00871495"/>
    <w:rsid w:val="008714A9"/>
    <w:rsid w:val="00871507"/>
    <w:rsid w:val="00871535"/>
    <w:rsid w:val="00871544"/>
    <w:rsid w:val="00871561"/>
    <w:rsid w:val="0087165A"/>
    <w:rsid w:val="008716CE"/>
    <w:rsid w:val="0087178F"/>
    <w:rsid w:val="008717A6"/>
    <w:rsid w:val="00871949"/>
    <w:rsid w:val="00871A4C"/>
    <w:rsid w:val="00871AAC"/>
    <w:rsid w:val="00871B25"/>
    <w:rsid w:val="00871B37"/>
    <w:rsid w:val="00871B8A"/>
    <w:rsid w:val="00871C22"/>
    <w:rsid w:val="00871CB1"/>
    <w:rsid w:val="00871D38"/>
    <w:rsid w:val="00871F08"/>
    <w:rsid w:val="00871FF8"/>
    <w:rsid w:val="008722DD"/>
    <w:rsid w:val="008722F0"/>
    <w:rsid w:val="008724F6"/>
    <w:rsid w:val="00872504"/>
    <w:rsid w:val="008725D0"/>
    <w:rsid w:val="008725D6"/>
    <w:rsid w:val="008726D8"/>
    <w:rsid w:val="008726FF"/>
    <w:rsid w:val="00872898"/>
    <w:rsid w:val="008728AB"/>
    <w:rsid w:val="008728D5"/>
    <w:rsid w:val="00872961"/>
    <w:rsid w:val="008729DA"/>
    <w:rsid w:val="00872AA2"/>
    <w:rsid w:val="00872AB5"/>
    <w:rsid w:val="00872B72"/>
    <w:rsid w:val="00872C67"/>
    <w:rsid w:val="00872CD2"/>
    <w:rsid w:val="00872EA2"/>
    <w:rsid w:val="00872F37"/>
    <w:rsid w:val="0087303C"/>
    <w:rsid w:val="0087317A"/>
    <w:rsid w:val="0087319E"/>
    <w:rsid w:val="008731B4"/>
    <w:rsid w:val="00873246"/>
    <w:rsid w:val="008732A3"/>
    <w:rsid w:val="008732D2"/>
    <w:rsid w:val="008733CA"/>
    <w:rsid w:val="008734E3"/>
    <w:rsid w:val="0087351C"/>
    <w:rsid w:val="0087353F"/>
    <w:rsid w:val="00873580"/>
    <w:rsid w:val="008735BC"/>
    <w:rsid w:val="008735E1"/>
    <w:rsid w:val="0087369E"/>
    <w:rsid w:val="00873720"/>
    <w:rsid w:val="00873762"/>
    <w:rsid w:val="0087377A"/>
    <w:rsid w:val="00873836"/>
    <w:rsid w:val="00873910"/>
    <w:rsid w:val="008739AB"/>
    <w:rsid w:val="008739CF"/>
    <w:rsid w:val="00873A68"/>
    <w:rsid w:val="00873A71"/>
    <w:rsid w:val="00873ADE"/>
    <w:rsid w:val="00873B24"/>
    <w:rsid w:val="00873BE2"/>
    <w:rsid w:val="00873C28"/>
    <w:rsid w:val="00873C7C"/>
    <w:rsid w:val="00873CA8"/>
    <w:rsid w:val="00873DCC"/>
    <w:rsid w:val="00873DE5"/>
    <w:rsid w:val="00873E0D"/>
    <w:rsid w:val="00873E3D"/>
    <w:rsid w:val="00873E54"/>
    <w:rsid w:val="00873EB5"/>
    <w:rsid w:val="00873ED5"/>
    <w:rsid w:val="00873EDB"/>
    <w:rsid w:val="00873EE5"/>
    <w:rsid w:val="008740DD"/>
    <w:rsid w:val="00874165"/>
    <w:rsid w:val="008741A5"/>
    <w:rsid w:val="008741EA"/>
    <w:rsid w:val="00874226"/>
    <w:rsid w:val="00874279"/>
    <w:rsid w:val="008742F2"/>
    <w:rsid w:val="008742F5"/>
    <w:rsid w:val="008743D2"/>
    <w:rsid w:val="008743D3"/>
    <w:rsid w:val="008743FE"/>
    <w:rsid w:val="00874406"/>
    <w:rsid w:val="0087445F"/>
    <w:rsid w:val="008744B7"/>
    <w:rsid w:val="0087452C"/>
    <w:rsid w:val="00874549"/>
    <w:rsid w:val="00874587"/>
    <w:rsid w:val="008745D4"/>
    <w:rsid w:val="008745DA"/>
    <w:rsid w:val="0087460B"/>
    <w:rsid w:val="00874618"/>
    <w:rsid w:val="008746BF"/>
    <w:rsid w:val="0087471E"/>
    <w:rsid w:val="0087476E"/>
    <w:rsid w:val="008747A2"/>
    <w:rsid w:val="00874810"/>
    <w:rsid w:val="00874969"/>
    <w:rsid w:val="00874989"/>
    <w:rsid w:val="00874AC1"/>
    <w:rsid w:val="00874B29"/>
    <w:rsid w:val="00874CF5"/>
    <w:rsid w:val="00874EB4"/>
    <w:rsid w:val="00874F55"/>
    <w:rsid w:val="00874F92"/>
    <w:rsid w:val="0087506C"/>
    <w:rsid w:val="008750A8"/>
    <w:rsid w:val="008750DE"/>
    <w:rsid w:val="008751C8"/>
    <w:rsid w:val="0087523E"/>
    <w:rsid w:val="00875372"/>
    <w:rsid w:val="0087538D"/>
    <w:rsid w:val="00875430"/>
    <w:rsid w:val="0087555B"/>
    <w:rsid w:val="0087565C"/>
    <w:rsid w:val="008756FA"/>
    <w:rsid w:val="00875788"/>
    <w:rsid w:val="0087592B"/>
    <w:rsid w:val="00875930"/>
    <w:rsid w:val="0087598B"/>
    <w:rsid w:val="00875996"/>
    <w:rsid w:val="00875A78"/>
    <w:rsid w:val="00875ADE"/>
    <w:rsid w:val="00875B60"/>
    <w:rsid w:val="00875BA1"/>
    <w:rsid w:val="00875BB4"/>
    <w:rsid w:val="00875BD8"/>
    <w:rsid w:val="00875C15"/>
    <w:rsid w:val="00875C33"/>
    <w:rsid w:val="00875C65"/>
    <w:rsid w:val="00875C8E"/>
    <w:rsid w:val="00875E07"/>
    <w:rsid w:val="00875E0E"/>
    <w:rsid w:val="00875E7B"/>
    <w:rsid w:val="00875E99"/>
    <w:rsid w:val="00875FB6"/>
    <w:rsid w:val="00875FBB"/>
    <w:rsid w:val="00876032"/>
    <w:rsid w:val="00876360"/>
    <w:rsid w:val="00876433"/>
    <w:rsid w:val="00876466"/>
    <w:rsid w:val="008764C4"/>
    <w:rsid w:val="0087650F"/>
    <w:rsid w:val="00876621"/>
    <w:rsid w:val="0087668A"/>
    <w:rsid w:val="00876709"/>
    <w:rsid w:val="00876737"/>
    <w:rsid w:val="00876745"/>
    <w:rsid w:val="00876747"/>
    <w:rsid w:val="008767A2"/>
    <w:rsid w:val="008767F9"/>
    <w:rsid w:val="0087681D"/>
    <w:rsid w:val="008768CB"/>
    <w:rsid w:val="008768D5"/>
    <w:rsid w:val="0087696C"/>
    <w:rsid w:val="008769B0"/>
    <w:rsid w:val="00876A2B"/>
    <w:rsid w:val="00876A50"/>
    <w:rsid w:val="00876B34"/>
    <w:rsid w:val="00876CD8"/>
    <w:rsid w:val="00876CDE"/>
    <w:rsid w:val="00876D18"/>
    <w:rsid w:val="00876DA2"/>
    <w:rsid w:val="00876DFA"/>
    <w:rsid w:val="00876E5E"/>
    <w:rsid w:val="00876EA0"/>
    <w:rsid w:val="00876ECE"/>
    <w:rsid w:val="00876F7E"/>
    <w:rsid w:val="00876F90"/>
    <w:rsid w:val="00876F92"/>
    <w:rsid w:val="00876F9E"/>
    <w:rsid w:val="00876FE0"/>
    <w:rsid w:val="00876FE4"/>
    <w:rsid w:val="00876FF8"/>
    <w:rsid w:val="0087703A"/>
    <w:rsid w:val="008770EB"/>
    <w:rsid w:val="00877177"/>
    <w:rsid w:val="008771AA"/>
    <w:rsid w:val="008771B7"/>
    <w:rsid w:val="0087729C"/>
    <w:rsid w:val="008772DA"/>
    <w:rsid w:val="00877320"/>
    <w:rsid w:val="00877373"/>
    <w:rsid w:val="00877374"/>
    <w:rsid w:val="00877433"/>
    <w:rsid w:val="00877470"/>
    <w:rsid w:val="0087747E"/>
    <w:rsid w:val="00877483"/>
    <w:rsid w:val="00877509"/>
    <w:rsid w:val="00877528"/>
    <w:rsid w:val="00877607"/>
    <w:rsid w:val="0087761C"/>
    <w:rsid w:val="0087771E"/>
    <w:rsid w:val="00877749"/>
    <w:rsid w:val="00877799"/>
    <w:rsid w:val="008777E2"/>
    <w:rsid w:val="0087780E"/>
    <w:rsid w:val="00877958"/>
    <w:rsid w:val="00877A1A"/>
    <w:rsid w:val="00877AD3"/>
    <w:rsid w:val="00877AE4"/>
    <w:rsid w:val="00877AF5"/>
    <w:rsid w:val="00877C6C"/>
    <w:rsid w:val="00877DC4"/>
    <w:rsid w:val="00877DFF"/>
    <w:rsid w:val="00877E71"/>
    <w:rsid w:val="00877F71"/>
    <w:rsid w:val="00877F77"/>
    <w:rsid w:val="00880017"/>
    <w:rsid w:val="00880029"/>
    <w:rsid w:val="0088008A"/>
    <w:rsid w:val="008800A0"/>
    <w:rsid w:val="008800D9"/>
    <w:rsid w:val="008801D4"/>
    <w:rsid w:val="00880217"/>
    <w:rsid w:val="008802DC"/>
    <w:rsid w:val="00880398"/>
    <w:rsid w:val="008804DC"/>
    <w:rsid w:val="00880554"/>
    <w:rsid w:val="00880585"/>
    <w:rsid w:val="008805ED"/>
    <w:rsid w:val="0088060E"/>
    <w:rsid w:val="008806C2"/>
    <w:rsid w:val="008806FF"/>
    <w:rsid w:val="00880854"/>
    <w:rsid w:val="0088088F"/>
    <w:rsid w:val="008808DD"/>
    <w:rsid w:val="00880900"/>
    <w:rsid w:val="0088096F"/>
    <w:rsid w:val="008809D7"/>
    <w:rsid w:val="008809E7"/>
    <w:rsid w:val="00880A6B"/>
    <w:rsid w:val="00880B83"/>
    <w:rsid w:val="00880C44"/>
    <w:rsid w:val="00880C4A"/>
    <w:rsid w:val="00880C77"/>
    <w:rsid w:val="00880CA2"/>
    <w:rsid w:val="00880CFC"/>
    <w:rsid w:val="00880D0E"/>
    <w:rsid w:val="00880DC4"/>
    <w:rsid w:val="00880DEF"/>
    <w:rsid w:val="00880E62"/>
    <w:rsid w:val="00880E6A"/>
    <w:rsid w:val="00880F15"/>
    <w:rsid w:val="00880F18"/>
    <w:rsid w:val="00880F98"/>
    <w:rsid w:val="0088103D"/>
    <w:rsid w:val="00881084"/>
    <w:rsid w:val="008810B4"/>
    <w:rsid w:val="00881181"/>
    <w:rsid w:val="0088119D"/>
    <w:rsid w:val="008812F7"/>
    <w:rsid w:val="008813F7"/>
    <w:rsid w:val="0088143F"/>
    <w:rsid w:val="00881442"/>
    <w:rsid w:val="0088150A"/>
    <w:rsid w:val="00881556"/>
    <w:rsid w:val="00881558"/>
    <w:rsid w:val="00881601"/>
    <w:rsid w:val="0088165D"/>
    <w:rsid w:val="0088168C"/>
    <w:rsid w:val="00881763"/>
    <w:rsid w:val="0088176D"/>
    <w:rsid w:val="008817DE"/>
    <w:rsid w:val="008817F4"/>
    <w:rsid w:val="0088181E"/>
    <w:rsid w:val="0088184F"/>
    <w:rsid w:val="00881908"/>
    <w:rsid w:val="00881987"/>
    <w:rsid w:val="00881A54"/>
    <w:rsid w:val="00881A71"/>
    <w:rsid w:val="00881C68"/>
    <w:rsid w:val="00881CC8"/>
    <w:rsid w:val="00881CF6"/>
    <w:rsid w:val="00881D1E"/>
    <w:rsid w:val="00881DC0"/>
    <w:rsid w:val="00881E4D"/>
    <w:rsid w:val="00881EAF"/>
    <w:rsid w:val="00881F60"/>
    <w:rsid w:val="0088201D"/>
    <w:rsid w:val="0088214E"/>
    <w:rsid w:val="008821DB"/>
    <w:rsid w:val="0088220F"/>
    <w:rsid w:val="0088221A"/>
    <w:rsid w:val="00882255"/>
    <w:rsid w:val="0088225A"/>
    <w:rsid w:val="008822D8"/>
    <w:rsid w:val="008823BF"/>
    <w:rsid w:val="00882400"/>
    <w:rsid w:val="0088259E"/>
    <w:rsid w:val="008825A2"/>
    <w:rsid w:val="008825DD"/>
    <w:rsid w:val="0088266B"/>
    <w:rsid w:val="0088267E"/>
    <w:rsid w:val="008826B6"/>
    <w:rsid w:val="008826F3"/>
    <w:rsid w:val="008826F5"/>
    <w:rsid w:val="00882707"/>
    <w:rsid w:val="00882715"/>
    <w:rsid w:val="00882818"/>
    <w:rsid w:val="00882873"/>
    <w:rsid w:val="008828D2"/>
    <w:rsid w:val="00882974"/>
    <w:rsid w:val="008829AD"/>
    <w:rsid w:val="00882AD6"/>
    <w:rsid w:val="00882B48"/>
    <w:rsid w:val="00882B68"/>
    <w:rsid w:val="00882CCB"/>
    <w:rsid w:val="00882CD2"/>
    <w:rsid w:val="00882D25"/>
    <w:rsid w:val="00882D77"/>
    <w:rsid w:val="00882E99"/>
    <w:rsid w:val="00882EFF"/>
    <w:rsid w:val="00882F16"/>
    <w:rsid w:val="00882F23"/>
    <w:rsid w:val="00882F4D"/>
    <w:rsid w:val="0088302B"/>
    <w:rsid w:val="00883081"/>
    <w:rsid w:val="008832FE"/>
    <w:rsid w:val="0088333F"/>
    <w:rsid w:val="00883356"/>
    <w:rsid w:val="0088344E"/>
    <w:rsid w:val="0088352E"/>
    <w:rsid w:val="00883537"/>
    <w:rsid w:val="00883571"/>
    <w:rsid w:val="008835AF"/>
    <w:rsid w:val="00883668"/>
    <w:rsid w:val="0088369D"/>
    <w:rsid w:val="008836C3"/>
    <w:rsid w:val="00883783"/>
    <w:rsid w:val="0088384A"/>
    <w:rsid w:val="008838FD"/>
    <w:rsid w:val="0088398F"/>
    <w:rsid w:val="00883A90"/>
    <w:rsid w:val="00883AAB"/>
    <w:rsid w:val="00883B05"/>
    <w:rsid w:val="00883B3A"/>
    <w:rsid w:val="00883BC2"/>
    <w:rsid w:val="00883C02"/>
    <w:rsid w:val="00883C97"/>
    <w:rsid w:val="00883D85"/>
    <w:rsid w:val="00883DAE"/>
    <w:rsid w:val="00883DAF"/>
    <w:rsid w:val="00883EBD"/>
    <w:rsid w:val="00883FAA"/>
    <w:rsid w:val="00883FE1"/>
    <w:rsid w:val="00884158"/>
    <w:rsid w:val="008842A0"/>
    <w:rsid w:val="008842A4"/>
    <w:rsid w:val="008843E2"/>
    <w:rsid w:val="008844AF"/>
    <w:rsid w:val="0088454F"/>
    <w:rsid w:val="0088457E"/>
    <w:rsid w:val="00884674"/>
    <w:rsid w:val="008846EF"/>
    <w:rsid w:val="008846F1"/>
    <w:rsid w:val="008847B9"/>
    <w:rsid w:val="008847E0"/>
    <w:rsid w:val="0088486C"/>
    <w:rsid w:val="0088486D"/>
    <w:rsid w:val="00884889"/>
    <w:rsid w:val="0088489D"/>
    <w:rsid w:val="008848AF"/>
    <w:rsid w:val="008848CF"/>
    <w:rsid w:val="00884941"/>
    <w:rsid w:val="008849CD"/>
    <w:rsid w:val="00884AF5"/>
    <w:rsid w:val="00884C40"/>
    <w:rsid w:val="00884C4F"/>
    <w:rsid w:val="00884C56"/>
    <w:rsid w:val="00884C8C"/>
    <w:rsid w:val="00884C96"/>
    <w:rsid w:val="00884C9C"/>
    <w:rsid w:val="00884D4E"/>
    <w:rsid w:val="00884D64"/>
    <w:rsid w:val="00884DA1"/>
    <w:rsid w:val="00884DB6"/>
    <w:rsid w:val="00884E14"/>
    <w:rsid w:val="00884E60"/>
    <w:rsid w:val="00884E8C"/>
    <w:rsid w:val="00884FFD"/>
    <w:rsid w:val="00885009"/>
    <w:rsid w:val="00885069"/>
    <w:rsid w:val="008850A9"/>
    <w:rsid w:val="008850CC"/>
    <w:rsid w:val="008850E4"/>
    <w:rsid w:val="008850F0"/>
    <w:rsid w:val="008851DF"/>
    <w:rsid w:val="00885210"/>
    <w:rsid w:val="0088530A"/>
    <w:rsid w:val="00885390"/>
    <w:rsid w:val="008853B2"/>
    <w:rsid w:val="0088542E"/>
    <w:rsid w:val="00885559"/>
    <w:rsid w:val="008855D3"/>
    <w:rsid w:val="00885616"/>
    <w:rsid w:val="00885637"/>
    <w:rsid w:val="0088574F"/>
    <w:rsid w:val="008857AE"/>
    <w:rsid w:val="00885832"/>
    <w:rsid w:val="00885ACD"/>
    <w:rsid w:val="00885BEE"/>
    <w:rsid w:val="00885C34"/>
    <w:rsid w:val="00885C3A"/>
    <w:rsid w:val="00885C76"/>
    <w:rsid w:val="00885CD7"/>
    <w:rsid w:val="00885D45"/>
    <w:rsid w:val="00885D63"/>
    <w:rsid w:val="00885ECC"/>
    <w:rsid w:val="00885F1F"/>
    <w:rsid w:val="00885FA0"/>
    <w:rsid w:val="00885FF0"/>
    <w:rsid w:val="00886002"/>
    <w:rsid w:val="00886004"/>
    <w:rsid w:val="0088600C"/>
    <w:rsid w:val="0088610F"/>
    <w:rsid w:val="00886211"/>
    <w:rsid w:val="00886290"/>
    <w:rsid w:val="0088632D"/>
    <w:rsid w:val="00886372"/>
    <w:rsid w:val="00886394"/>
    <w:rsid w:val="00886450"/>
    <w:rsid w:val="008864C9"/>
    <w:rsid w:val="00886581"/>
    <w:rsid w:val="008865F1"/>
    <w:rsid w:val="008866BF"/>
    <w:rsid w:val="008866D3"/>
    <w:rsid w:val="008869D6"/>
    <w:rsid w:val="00886A3A"/>
    <w:rsid w:val="00886A92"/>
    <w:rsid w:val="00886A9A"/>
    <w:rsid w:val="00886ACC"/>
    <w:rsid w:val="00886B3E"/>
    <w:rsid w:val="00886B47"/>
    <w:rsid w:val="00886B54"/>
    <w:rsid w:val="00886BA6"/>
    <w:rsid w:val="00886BFC"/>
    <w:rsid w:val="00886C3B"/>
    <w:rsid w:val="00886C86"/>
    <w:rsid w:val="00886D31"/>
    <w:rsid w:val="00886D4F"/>
    <w:rsid w:val="00886DFA"/>
    <w:rsid w:val="00886EE5"/>
    <w:rsid w:val="00887049"/>
    <w:rsid w:val="0088704D"/>
    <w:rsid w:val="00887064"/>
    <w:rsid w:val="0088709E"/>
    <w:rsid w:val="0088710E"/>
    <w:rsid w:val="00887188"/>
    <w:rsid w:val="008871DE"/>
    <w:rsid w:val="008872EB"/>
    <w:rsid w:val="00887320"/>
    <w:rsid w:val="008873A6"/>
    <w:rsid w:val="008873E6"/>
    <w:rsid w:val="00887454"/>
    <w:rsid w:val="008874A2"/>
    <w:rsid w:val="008874DC"/>
    <w:rsid w:val="008875E1"/>
    <w:rsid w:val="00887600"/>
    <w:rsid w:val="00887603"/>
    <w:rsid w:val="00887882"/>
    <w:rsid w:val="00887936"/>
    <w:rsid w:val="008879E5"/>
    <w:rsid w:val="00887B72"/>
    <w:rsid w:val="00887B77"/>
    <w:rsid w:val="00887C19"/>
    <w:rsid w:val="00887C25"/>
    <w:rsid w:val="00887C39"/>
    <w:rsid w:val="00887C4D"/>
    <w:rsid w:val="00887C5C"/>
    <w:rsid w:val="00887CB2"/>
    <w:rsid w:val="00887CB5"/>
    <w:rsid w:val="00887D21"/>
    <w:rsid w:val="00887D23"/>
    <w:rsid w:val="00887DF6"/>
    <w:rsid w:val="00887EFA"/>
    <w:rsid w:val="00887F58"/>
    <w:rsid w:val="00887FE6"/>
    <w:rsid w:val="008900B3"/>
    <w:rsid w:val="00890121"/>
    <w:rsid w:val="00890125"/>
    <w:rsid w:val="0089014D"/>
    <w:rsid w:val="008901EA"/>
    <w:rsid w:val="00890287"/>
    <w:rsid w:val="008902CB"/>
    <w:rsid w:val="00890412"/>
    <w:rsid w:val="00890422"/>
    <w:rsid w:val="00890486"/>
    <w:rsid w:val="008904F6"/>
    <w:rsid w:val="00890522"/>
    <w:rsid w:val="008905FC"/>
    <w:rsid w:val="0089069D"/>
    <w:rsid w:val="008906AE"/>
    <w:rsid w:val="00890732"/>
    <w:rsid w:val="0089082E"/>
    <w:rsid w:val="0089089A"/>
    <w:rsid w:val="0089092C"/>
    <w:rsid w:val="008909C2"/>
    <w:rsid w:val="00890A08"/>
    <w:rsid w:val="00890B6E"/>
    <w:rsid w:val="00890BF1"/>
    <w:rsid w:val="00890C9E"/>
    <w:rsid w:val="00890CBA"/>
    <w:rsid w:val="00890D5D"/>
    <w:rsid w:val="00890D92"/>
    <w:rsid w:val="00890D94"/>
    <w:rsid w:val="00890E18"/>
    <w:rsid w:val="00890E1F"/>
    <w:rsid w:val="00890EC0"/>
    <w:rsid w:val="00890F4F"/>
    <w:rsid w:val="00890F6E"/>
    <w:rsid w:val="008910AC"/>
    <w:rsid w:val="008910D6"/>
    <w:rsid w:val="00891158"/>
    <w:rsid w:val="00891375"/>
    <w:rsid w:val="00891381"/>
    <w:rsid w:val="0089138D"/>
    <w:rsid w:val="00891443"/>
    <w:rsid w:val="00891488"/>
    <w:rsid w:val="008915C1"/>
    <w:rsid w:val="0089167C"/>
    <w:rsid w:val="00891741"/>
    <w:rsid w:val="008917A3"/>
    <w:rsid w:val="008917B0"/>
    <w:rsid w:val="008918C9"/>
    <w:rsid w:val="008919A4"/>
    <w:rsid w:val="00891B61"/>
    <w:rsid w:val="00891B6A"/>
    <w:rsid w:val="00891DA8"/>
    <w:rsid w:val="00891DB4"/>
    <w:rsid w:val="00891E34"/>
    <w:rsid w:val="00891F8C"/>
    <w:rsid w:val="008920A6"/>
    <w:rsid w:val="008920BB"/>
    <w:rsid w:val="0089215F"/>
    <w:rsid w:val="008921ED"/>
    <w:rsid w:val="0089225F"/>
    <w:rsid w:val="00892299"/>
    <w:rsid w:val="008922F4"/>
    <w:rsid w:val="00892343"/>
    <w:rsid w:val="008923C3"/>
    <w:rsid w:val="008923DC"/>
    <w:rsid w:val="008924BB"/>
    <w:rsid w:val="0089255C"/>
    <w:rsid w:val="008925C1"/>
    <w:rsid w:val="008925D8"/>
    <w:rsid w:val="00892604"/>
    <w:rsid w:val="00892633"/>
    <w:rsid w:val="00892681"/>
    <w:rsid w:val="0089271A"/>
    <w:rsid w:val="00892729"/>
    <w:rsid w:val="008927E7"/>
    <w:rsid w:val="008929E7"/>
    <w:rsid w:val="00892A47"/>
    <w:rsid w:val="00892A64"/>
    <w:rsid w:val="00892BAF"/>
    <w:rsid w:val="00892C42"/>
    <w:rsid w:val="00892D3F"/>
    <w:rsid w:val="00892D7D"/>
    <w:rsid w:val="00892E24"/>
    <w:rsid w:val="00892E55"/>
    <w:rsid w:val="00892E94"/>
    <w:rsid w:val="00892EF7"/>
    <w:rsid w:val="00892F03"/>
    <w:rsid w:val="00892F20"/>
    <w:rsid w:val="00892F61"/>
    <w:rsid w:val="00892FAF"/>
    <w:rsid w:val="00892FEA"/>
    <w:rsid w:val="0089322F"/>
    <w:rsid w:val="008932BD"/>
    <w:rsid w:val="00893455"/>
    <w:rsid w:val="0089346D"/>
    <w:rsid w:val="008934F8"/>
    <w:rsid w:val="008934F9"/>
    <w:rsid w:val="00893575"/>
    <w:rsid w:val="008935DF"/>
    <w:rsid w:val="00893647"/>
    <w:rsid w:val="00893696"/>
    <w:rsid w:val="008936A9"/>
    <w:rsid w:val="008936AE"/>
    <w:rsid w:val="008936B9"/>
    <w:rsid w:val="008936F7"/>
    <w:rsid w:val="0089371A"/>
    <w:rsid w:val="008937B3"/>
    <w:rsid w:val="008938DA"/>
    <w:rsid w:val="0089391A"/>
    <w:rsid w:val="0089396E"/>
    <w:rsid w:val="00893A19"/>
    <w:rsid w:val="00893A29"/>
    <w:rsid w:val="00893AFF"/>
    <w:rsid w:val="00893B1E"/>
    <w:rsid w:val="00893B85"/>
    <w:rsid w:val="00893BBE"/>
    <w:rsid w:val="00893BDC"/>
    <w:rsid w:val="00893C78"/>
    <w:rsid w:val="00893CF8"/>
    <w:rsid w:val="00893E77"/>
    <w:rsid w:val="00893E80"/>
    <w:rsid w:val="00893F58"/>
    <w:rsid w:val="00893FA3"/>
    <w:rsid w:val="00893FFA"/>
    <w:rsid w:val="00894011"/>
    <w:rsid w:val="00894075"/>
    <w:rsid w:val="0089416F"/>
    <w:rsid w:val="00894178"/>
    <w:rsid w:val="00894186"/>
    <w:rsid w:val="008941FE"/>
    <w:rsid w:val="00894251"/>
    <w:rsid w:val="0089430C"/>
    <w:rsid w:val="0089430F"/>
    <w:rsid w:val="00894374"/>
    <w:rsid w:val="00894401"/>
    <w:rsid w:val="00894521"/>
    <w:rsid w:val="00894634"/>
    <w:rsid w:val="008946E7"/>
    <w:rsid w:val="0089470B"/>
    <w:rsid w:val="0089471E"/>
    <w:rsid w:val="00894778"/>
    <w:rsid w:val="008947FD"/>
    <w:rsid w:val="008948B6"/>
    <w:rsid w:val="008949F1"/>
    <w:rsid w:val="008949FB"/>
    <w:rsid w:val="00894B65"/>
    <w:rsid w:val="00894C1F"/>
    <w:rsid w:val="00894C21"/>
    <w:rsid w:val="00894C4E"/>
    <w:rsid w:val="00894C5C"/>
    <w:rsid w:val="00894C75"/>
    <w:rsid w:val="00894D58"/>
    <w:rsid w:val="00894E26"/>
    <w:rsid w:val="00894E74"/>
    <w:rsid w:val="00894EE2"/>
    <w:rsid w:val="00894F06"/>
    <w:rsid w:val="00894F2E"/>
    <w:rsid w:val="00894F33"/>
    <w:rsid w:val="00894F73"/>
    <w:rsid w:val="00895068"/>
    <w:rsid w:val="00895084"/>
    <w:rsid w:val="008950D6"/>
    <w:rsid w:val="00895164"/>
    <w:rsid w:val="0089518F"/>
    <w:rsid w:val="008951E8"/>
    <w:rsid w:val="00895241"/>
    <w:rsid w:val="00895248"/>
    <w:rsid w:val="0089526A"/>
    <w:rsid w:val="00895286"/>
    <w:rsid w:val="008952B3"/>
    <w:rsid w:val="008952D1"/>
    <w:rsid w:val="00895327"/>
    <w:rsid w:val="00895345"/>
    <w:rsid w:val="008953CE"/>
    <w:rsid w:val="008953DB"/>
    <w:rsid w:val="00895449"/>
    <w:rsid w:val="008954A2"/>
    <w:rsid w:val="008954D2"/>
    <w:rsid w:val="008955B9"/>
    <w:rsid w:val="008955CD"/>
    <w:rsid w:val="00895639"/>
    <w:rsid w:val="0089571F"/>
    <w:rsid w:val="008957BB"/>
    <w:rsid w:val="008959D3"/>
    <w:rsid w:val="00895A10"/>
    <w:rsid w:val="00895A18"/>
    <w:rsid w:val="00895A3B"/>
    <w:rsid w:val="00895A85"/>
    <w:rsid w:val="00895C77"/>
    <w:rsid w:val="00895CDE"/>
    <w:rsid w:val="00895D1C"/>
    <w:rsid w:val="00895E14"/>
    <w:rsid w:val="00895F31"/>
    <w:rsid w:val="00895F57"/>
    <w:rsid w:val="00896074"/>
    <w:rsid w:val="00896084"/>
    <w:rsid w:val="008960BA"/>
    <w:rsid w:val="00896129"/>
    <w:rsid w:val="008961A6"/>
    <w:rsid w:val="008961E8"/>
    <w:rsid w:val="00896214"/>
    <w:rsid w:val="00896246"/>
    <w:rsid w:val="0089628A"/>
    <w:rsid w:val="008962B9"/>
    <w:rsid w:val="00896399"/>
    <w:rsid w:val="008963F7"/>
    <w:rsid w:val="00896424"/>
    <w:rsid w:val="008965D9"/>
    <w:rsid w:val="00896748"/>
    <w:rsid w:val="0089678E"/>
    <w:rsid w:val="008967A7"/>
    <w:rsid w:val="008968B4"/>
    <w:rsid w:val="008968BA"/>
    <w:rsid w:val="008968F8"/>
    <w:rsid w:val="008969F3"/>
    <w:rsid w:val="00896A61"/>
    <w:rsid w:val="00896A6A"/>
    <w:rsid w:val="00896AAB"/>
    <w:rsid w:val="00896B74"/>
    <w:rsid w:val="00896D8A"/>
    <w:rsid w:val="00896EBA"/>
    <w:rsid w:val="00896EDB"/>
    <w:rsid w:val="00896FC3"/>
    <w:rsid w:val="00896FE6"/>
    <w:rsid w:val="00896FFB"/>
    <w:rsid w:val="00897004"/>
    <w:rsid w:val="0089709C"/>
    <w:rsid w:val="00897247"/>
    <w:rsid w:val="008972AA"/>
    <w:rsid w:val="00897339"/>
    <w:rsid w:val="0089735D"/>
    <w:rsid w:val="008973AE"/>
    <w:rsid w:val="0089740A"/>
    <w:rsid w:val="0089742A"/>
    <w:rsid w:val="00897442"/>
    <w:rsid w:val="0089750B"/>
    <w:rsid w:val="00897523"/>
    <w:rsid w:val="0089764E"/>
    <w:rsid w:val="008976CD"/>
    <w:rsid w:val="0089774A"/>
    <w:rsid w:val="00897792"/>
    <w:rsid w:val="008977B9"/>
    <w:rsid w:val="0089782D"/>
    <w:rsid w:val="008978AB"/>
    <w:rsid w:val="0089791A"/>
    <w:rsid w:val="00897972"/>
    <w:rsid w:val="00897978"/>
    <w:rsid w:val="0089798D"/>
    <w:rsid w:val="0089798F"/>
    <w:rsid w:val="008979A2"/>
    <w:rsid w:val="008979CD"/>
    <w:rsid w:val="00897AF1"/>
    <w:rsid w:val="00897B52"/>
    <w:rsid w:val="00897BF7"/>
    <w:rsid w:val="00897C55"/>
    <w:rsid w:val="00897C94"/>
    <w:rsid w:val="00897F77"/>
    <w:rsid w:val="008A0023"/>
    <w:rsid w:val="008A0053"/>
    <w:rsid w:val="008A00D4"/>
    <w:rsid w:val="008A00E8"/>
    <w:rsid w:val="008A0111"/>
    <w:rsid w:val="008A0123"/>
    <w:rsid w:val="008A022B"/>
    <w:rsid w:val="008A0314"/>
    <w:rsid w:val="008A0414"/>
    <w:rsid w:val="008A04CE"/>
    <w:rsid w:val="008A05F7"/>
    <w:rsid w:val="008A0722"/>
    <w:rsid w:val="008A0762"/>
    <w:rsid w:val="008A07E7"/>
    <w:rsid w:val="008A0802"/>
    <w:rsid w:val="008A0885"/>
    <w:rsid w:val="008A0983"/>
    <w:rsid w:val="008A0A46"/>
    <w:rsid w:val="008A0AAD"/>
    <w:rsid w:val="008A0B76"/>
    <w:rsid w:val="008A0C53"/>
    <w:rsid w:val="008A0C60"/>
    <w:rsid w:val="008A0CE1"/>
    <w:rsid w:val="008A0D3D"/>
    <w:rsid w:val="008A0D5D"/>
    <w:rsid w:val="008A0DF3"/>
    <w:rsid w:val="008A0E0B"/>
    <w:rsid w:val="008A0E28"/>
    <w:rsid w:val="008A0E68"/>
    <w:rsid w:val="008A0F0F"/>
    <w:rsid w:val="008A0F37"/>
    <w:rsid w:val="008A0F72"/>
    <w:rsid w:val="008A0F89"/>
    <w:rsid w:val="008A0FB5"/>
    <w:rsid w:val="008A0FFA"/>
    <w:rsid w:val="008A1025"/>
    <w:rsid w:val="008A1066"/>
    <w:rsid w:val="008A115F"/>
    <w:rsid w:val="008A1245"/>
    <w:rsid w:val="008A1450"/>
    <w:rsid w:val="008A14D4"/>
    <w:rsid w:val="008A1501"/>
    <w:rsid w:val="008A153B"/>
    <w:rsid w:val="008A16B6"/>
    <w:rsid w:val="008A16B8"/>
    <w:rsid w:val="008A16E1"/>
    <w:rsid w:val="008A186C"/>
    <w:rsid w:val="008A1911"/>
    <w:rsid w:val="008A1A4C"/>
    <w:rsid w:val="008A1AAA"/>
    <w:rsid w:val="008A1B08"/>
    <w:rsid w:val="008A1BCA"/>
    <w:rsid w:val="008A1C1A"/>
    <w:rsid w:val="008A1C37"/>
    <w:rsid w:val="008A1C74"/>
    <w:rsid w:val="008A1CFD"/>
    <w:rsid w:val="008A1DCF"/>
    <w:rsid w:val="008A1E03"/>
    <w:rsid w:val="008A1E1E"/>
    <w:rsid w:val="008A1E89"/>
    <w:rsid w:val="008A1EA6"/>
    <w:rsid w:val="008A1EAE"/>
    <w:rsid w:val="008A1F7D"/>
    <w:rsid w:val="008A2084"/>
    <w:rsid w:val="008A2091"/>
    <w:rsid w:val="008A2101"/>
    <w:rsid w:val="008A2187"/>
    <w:rsid w:val="008A21CD"/>
    <w:rsid w:val="008A21F3"/>
    <w:rsid w:val="008A2234"/>
    <w:rsid w:val="008A2257"/>
    <w:rsid w:val="008A22BF"/>
    <w:rsid w:val="008A241D"/>
    <w:rsid w:val="008A2474"/>
    <w:rsid w:val="008A2570"/>
    <w:rsid w:val="008A25DF"/>
    <w:rsid w:val="008A2615"/>
    <w:rsid w:val="008A262A"/>
    <w:rsid w:val="008A268D"/>
    <w:rsid w:val="008A26B9"/>
    <w:rsid w:val="008A27FF"/>
    <w:rsid w:val="008A2913"/>
    <w:rsid w:val="008A2925"/>
    <w:rsid w:val="008A29A4"/>
    <w:rsid w:val="008A2A71"/>
    <w:rsid w:val="008A2B4E"/>
    <w:rsid w:val="008A2B5A"/>
    <w:rsid w:val="008A2CB3"/>
    <w:rsid w:val="008A2D16"/>
    <w:rsid w:val="008A2D70"/>
    <w:rsid w:val="008A2E4F"/>
    <w:rsid w:val="008A2E53"/>
    <w:rsid w:val="008A2F51"/>
    <w:rsid w:val="008A302D"/>
    <w:rsid w:val="008A3266"/>
    <w:rsid w:val="008A3279"/>
    <w:rsid w:val="008A327F"/>
    <w:rsid w:val="008A3391"/>
    <w:rsid w:val="008A343B"/>
    <w:rsid w:val="008A3445"/>
    <w:rsid w:val="008A3450"/>
    <w:rsid w:val="008A3472"/>
    <w:rsid w:val="008A34EC"/>
    <w:rsid w:val="008A358C"/>
    <w:rsid w:val="008A364A"/>
    <w:rsid w:val="008A36E7"/>
    <w:rsid w:val="008A372E"/>
    <w:rsid w:val="008A3742"/>
    <w:rsid w:val="008A3761"/>
    <w:rsid w:val="008A38B8"/>
    <w:rsid w:val="008A38C3"/>
    <w:rsid w:val="008A3A0E"/>
    <w:rsid w:val="008A3A6B"/>
    <w:rsid w:val="008A3A8F"/>
    <w:rsid w:val="008A3AA6"/>
    <w:rsid w:val="008A3AC8"/>
    <w:rsid w:val="008A3B0A"/>
    <w:rsid w:val="008A3B95"/>
    <w:rsid w:val="008A3C1D"/>
    <w:rsid w:val="008A3C2B"/>
    <w:rsid w:val="008A3E15"/>
    <w:rsid w:val="008A3EB9"/>
    <w:rsid w:val="008A3F7D"/>
    <w:rsid w:val="008A3FA1"/>
    <w:rsid w:val="008A4015"/>
    <w:rsid w:val="008A401C"/>
    <w:rsid w:val="008A40D8"/>
    <w:rsid w:val="008A4171"/>
    <w:rsid w:val="008A4178"/>
    <w:rsid w:val="008A4198"/>
    <w:rsid w:val="008A41A8"/>
    <w:rsid w:val="008A41B8"/>
    <w:rsid w:val="008A41EA"/>
    <w:rsid w:val="008A41ED"/>
    <w:rsid w:val="008A4227"/>
    <w:rsid w:val="008A427E"/>
    <w:rsid w:val="008A42D0"/>
    <w:rsid w:val="008A4384"/>
    <w:rsid w:val="008A4396"/>
    <w:rsid w:val="008A446F"/>
    <w:rsid w:val="008A4530"/>
    <w:rsid w:val="008A4578"/>
    <w:rsid w:val="008A457C"/>
    <w:rsid w:val="008A45E1"/>
    <w:rsid w:val="008A460C"/>
    <w:rsid w:val="008A4616"/>
    <w:rsid w:val="008A467B"/>
    <w:rsid w:val="008A46A2"/>
    <w:rsid w:val="008A4728"/>
    <w:rsid w:val="008A47C6"/>
    <w:rsid w:val="008A47E9"/>
    <w:rsid w:val="008A4845"/>
    <w:rsid w:val="008A488C"/>
    <w:rsid w:val="008A48FF"/>
    <w:rsid w:val="008A4997"/>
    <w:rsid w:val="008A49AA"/>
    <w:rsid w:val="008A49D8"/>
    <w:rsid w:val="008A49F0"/>
    <w:rsid w:val="008A4A37"/>
    <w:rsid w:val="008A4AA0"/>
    <w:rsid w:val="008A4C45"/>
    <w:rsid w:val="008A4C4C"/>
    <w:rsid w:val="008A4CBD"/>
    <w:rsid w:val="008A4D16"/>
    <w:rsid w:val="008A4DFA"/>
    <w:rsid w:val="008A4E24"/>
    <w:rsid w:val="008A4E2C"/>
    <w:rsid w:val="008A4FA7"/>
    <w:rsid w:val="008A4FDA"/>
    <w:rsid w:val="008A5066"/>
    <w:rsid w:val="008A51F2"/>
    <w:rsid w:val="008A5422"/>
    <w:rsid w:val="008A5457"/>
    <w:rsid w:val="008A545C"/>
    <w:rsid w:val="008A5467"/>
    <w:rsid w:val="008A54CC"/>
    <w:rsid w:val="008A54E8"/>
    <w:rsid w:val="008A5584"/>
    <w:rsid w:val="008A5594"/>
    <w:rsid w:val="008A55CE"/>
    <w:rsid w:val="008A55F5"/>
    <w:rsid w:val="008A5611"/>
    <w:rsid w:val="008A5688"/>
    <w:rsid w:val="008A57B7"/>
    <w:rsid w:val="008A5810"/>
    <w:rsid w:val="008A588D"/>
    <w:rsid w:val="008A58A0"/>
    <w:rsid w:val="008A58AE"/>
    <w:rsid w:val="008A5950"/>
    <w:rsid w:val="008A5B63"/>
    <w:rsid w:val="008A5B67"/>
    <w:rsid w:val="008A5BCF"/>
    <w:rsid w:val="008A5BE5"/>
    <w:rsid w:val="008A5BE8"/>
    <w:rsid w:val="008A5C2B"/>
    <w:rsid w:val="008A5D1A"/>
    <w:rsid w:val="008A5D21"/>
    <w:rsid w:val="008A5D4C"/>
    <w:rsid w:val="008A5E07"/>
    <w:rsid w:val="008A5E2C"/>
    <w:rsid w:val="008A5EE5"/>
    <w:rsid w:val="008A5F58"/>
    <w:rsid w:val="008A5F62"/>
    <w:rsid w:val="008A5F9C"/>
    <w:rsid w:val="008A5FB2"/>
    <w:rsid w:val="008A614F"/>
    <w:rsid w:val="008A61D7"/>
    <w:rsid w:val="008A61EB"/>
    <w:rsid w:val="008A621D"/>
    <w:rsid w:val="008A6291"/>
    <w:rsid w:val="008A62D4"/>
    <w:rsid w:val="008A633B"/>
    <w:rsid w:val="008A636B"/>
    <w:rsid w:val="008A641A"/>
    <w:rsid w:val="008A6421"/>
    <w:rsid w:val="008A642B"/>
    <w:rsid w:val="008A6435"/>
    <w:rsid w:val="008A6536"/>
    <w:rsid w:val="008A65C1"/>
    <w:rsid w:val="008A65D5"/>
    <w:rsid w:val="008A6692"/>
    <w:rsid w:val="008A66D7"/>
    <w:rsid w:val="008A67EF"/>
    <w:rsid w:val="008A6809"/>
    <w:rsid w:val="008A684D"/>
    <w:rsid w:val="008A6905"/>
    <w:rsid w:val="008A69FB"/>
    <w:rsid w:val="008A6A61"/>
    <w:rsid w:val="008A6A72"/>
    <w:rsid w:val="008A6C6D"/>
    <w:rsid w:val="008A6CB5"/>
    <w:rsid w:val="008A6CBE"/>
    <w:rsid w:val="008A6E00"/>
    <w:rsid w:val="008A6E7A"/>
    <w:rsid w:val="008A6EA6"/>
    <w:rsid w:val="008A6EB2"/>
    <w:rsid w:val="008A6FBA"/>
    <w:rsid w:val="008A7062"/>
    <w:rsid w:val="008A7075"/>
    <w:rsid w:val="008A7101"/>
    <w:rsid w:val="008A7199"/>
    <w:rsid w:val="008A7208"/>
    <w:rsid w:val="008A7210"/>
    <w:rsid w:val="008A7225"/>
    <w:rsid w:val="008A7241"/>
    <w:rsid w:val="008A7385"/>
    <w:rsid w:val="008A73BF"/>
    <w:rsid w:val="008A749C"/>
    <w:rsid w:val="008A74BE"/>
    <w:rsid w:val="008A74CA"/>
    <w:rsid w:val="008A757B"/>
    <w:rsid w:val="008A75F6"/>
    <w:rsid w:val="008A763C"/>
    <w:rsid w:val="008A77B9"/>
    <w:rsid w:val="008A7993"/>
    <w:rsid w:val="008A799F"/>
    <w:rsid w:val="008A79A2"/>
    <w:rsid w:val="008A7A27"/>
    <w:rsid w:val="008A7A48"/>
    <w:rsid w:val="008A7B1E"/>
    <w:rsid w:val="008A7B4A"/>
    <w:rsid w:val="008A7B4B"/>
    <w:rsid w:val="008A7B5A"/>
    <w:rsid w:val="008A7B8E"/>
    <w:rsid w:val="008A7BB4"/>
    <w:rsid w:val="008A7BD9"/>
    <w:rsid w:val="008A7C00"/>
    <w:rsid w:val="008A7CA2"/>
    <w:rsid w:val="008A7CE8"/>
    <w:rsid w:val="008A7D5A"/>
    <w:rsid w:val="008A7DD6"/>
    <w:rsid w:val="008A7F8F"/>
    <w:rsid w:val="008B001A"/>
    <w:rsid w:val="008B004B"/>
    <w:rsid w:val="008B0133"/>
    <w:rsid w:val="008B017C"/>
    <w:rsid w:val="008B01F0"/>
    <w:rsid w:val="008B01FA"/>
    <w:rsid w:val="008B0240"/>
    <w:rsid w:val="008B0274"/>
    <w:rsid w:val="008B0349"/>
    <w:rsid w:val="008B0364"/>
    <w:rsid w:val="008B038A"/>
    <w:rsid w:val="008B045B"/>
    <w:rsid w:val="008B04F1"/>
    <w:rsid w:val="008B05D5"/>
    <w:rsid w:val="008B0788"/>
    <w:rsid w:val="008B0806"/>
    <w:rsid w:val="008B08C1"/>
    <w:rsid w:val="008B0911"/>
    <w:rsid w:val="008B0A14"/>
    <w:rsid w:val="008B0A8B"/>
    <w:rsid w:val="008B0AE3"/>
    <w:rsid w:val="008B0C25"/>
    <w:rsid w:val="008B0DCF"/>
    <w:rsid w:val="008B0F1E"/>
    <w:rsid w:val="008B0F47"/>
    <w:rsid w:val="008B0F4B"/>
    <w:rsid w:val="008B0F89"/>
    <w:rsid w:val="008B0FAB"/>
    <w:rsid w:val="008B1041"/>
    <w:rsid w:val="008B1161"/>
    <w:rsid w:val="008B116D"/>
    <w:rsid w:val="008B1221"/>
    <w:rsid w:val="008B1271"/>
    <w:rsid w:val="008B12C8"/>
    <w:rsid w:val="008B133F"/>
    <w:rsid w:val="008B1344"/>
    <w:rsid w:val="008B1476"/>
    <w:rsid w:val="008B14A8"/>
    <w:rsid w:val="008B14DD"/>
    <w:rsid w:val="008B15C5"/>
    <w:rsid w:val="008B1629"/>
    <w:rsid w:val="008B1641"/>
    <w:rsid w:val="008B166D"/>
    <w:rsid w:val="008B1763"/>
    <w:rsid w:val="008B1B0D"/>
    <w:rsid w:val="008B1BCF"/>
    <w:rsid w:val="008B1BFE"/>
    <w:rsid w:val="008B1C1D"/>
    <w:rsid w:val="008B1C61"/>
    <w:rsid w:val="008B1D0A"/>
    <w:rsid w:val="008B1E53"/>
    <w:rsid w:val="008B1ED9"/>
    <w:rsid w:val="008B1F7E"/>
    <w:rsid w:val="008B1F8F"/>
    <w:rsid w:val="008B2080"/>
    <w:rsid w:val="008B209B"/>
    <w:rsid w:val="008B20F9"/>
    <w:rsid w:val="008B20FF"/>
    <w:rsid w:val="008B2118"/>
    <w:rsid w:val="008B2217"/>
    <w:rsid w:val="008B2287"/>
    <w:rsid w:val="008B228C"/>
    <w:rsid w:val="008B229F"/>
    <w:rsid w:val="008B2308"/>
    <w:rsid w:val="008B231B"/>
    <w:rsid w:val="008B23AD"/>
    <w:rsid w:val="008B23F8"/>
    <w:rsid w:val="008B2453"/>
    <w:rsid w:val="008B2459"/>
    <w:rsid w:val="008B24F2"/>
    <w:rsid w:val="008B255E"/>
    <w:rsid w:val="008B268F"/>
    <w:rsid w:val="008B2799"/>
    <w:rsid w:val="008B2838"/>
    <w:rsid w:val="008B288D"/>
    <w:rsid w:val="008B28F4"/>
    <w:rsid w:val="008B2B27"/>
    <w:rsid w:val="008B2B56"/>
    <w:rsid w:val="008B2BC9"/>
    <w:rsid w:val="008B2C52"/>
    <w:rsid w:val="008B2CAD"/>
    <w:rsid w:val="008B2DA6"/>
    <w:rsid w:val="008B2DD8"/>
    <w:rsid w:val="008B2E18"/>
    <w:rsid w:val="008B2F25"/>
    <w:rsid w:val="008B2F5B"/>
    <w:rsid w:val="008B2FA9"/>
    <w:rsid w:val="008B2FF9"/>
    <w:rsid w:val="008B3015"/>
    <w:rsid w:val="008B306C"/>
    <w:rsid w:val="008B3072"/>
    <w:rsid w:val="008B30D9"/>
    <w:rsid w:val="008B30EA"/>
    <w:rsid w:val="008B3203"/>
    <w:rsid w:val="008B3223"/>
    <w:rsid w:val="008B328B"/>
    <w:rsid w:val="008B32AD"/>
    <w:rsid w:val="008B33CD"/>
    <w:rsid w:val="008B343B"/>
    <w:rsid w:val="008B34E3"/>
    <w:rsid w:val="008B34FC"/>
    <w:rsid w:val="008B352E"/>
    <w:rsid w:val="008B356A"/>
    <w:rsid w:val="008B357E"/>
    <w:rsid w:val="008B3596"/>
    <w:rsid w:val="008B3692"/>
    <w:rsid w:val="008B36E3"/>
    <w:rsid w:val="008B3799"/>
    <w:rsid w:val="008B3829"/>
    <w:rsid w:val="008B382F"/>
    <w:rsid w:val="008B38A4"/>
    <w:rsid w:val="008B3998"/>
    <w:rsid w:val="008B39CC"/>
    <w:rsid w:val="008B3A3C"/>
    <w:rsid w:val="008B3A94"/>
    <w:rsid w:val="008B3B1C"/>
    <w:rsid w:val="008B3B21"/>
    <w:rsid w:val="008B3B5C"/>
    <w:rsid w:val="008B3BAC"/>
    <w:rsid w:val="008B3C4F"/>
    <w:rsid w:val="008B3CC8"/>
    <w:rsid w:val="008B3D5F"/>
    <w:rsid w:val="008B3E63"/>
    <w:rsid w:val="008B3E6B"/>
    <w:rsid w:val="008B3E7D"/>
    <w:rsid w:val="008B3EAD"/>
    <w:rsid w:val="008B3ECF"/>
    <w:rsid w:val="008B3EEA"/>
    <w:rsid w:val="008B3F76"/>
    <w:rsid w:val="008B402D"/>
    <w:rsid w:val="008B4152"/>
    <w:rsid w:val="008B41D8"/>
    <w:rsid w:val="008B41F0"/>
    <w:rsid w:val="008B42DF"/>
    <w:rsid w:val="008B43FA"/>
    <w:rsid w:val="008B4450"/>
    <w:rsid w:val="008B445E"/>
    <w:rsid w:val="008B449D"/>
    <w:rsid w:val="008B44DD"/>
    <w:rsid w:val="008B44E9"/>
    <w:rsid w:val="008B450D"/>
    <w:rsid w:val="008B4510"/>
    <w:rsid w:val="008B454D"/>
    <w:rsid w:val="008B455C"/>
    <w:rsid w:val="008B45FE"/>
    <w:rsid w:val="008B4653"/>
    <w:rsid w:val="008B4785"/>
    <w:rsid w:val="008B47A3"/>
    <w:rsid w:val="008B47BC"/>
    <w:rsid w:val="008B480B"/>
    <w:rsid w:val="008B4925"/>
    <w:rsid w:val="008B493A"/>
    <w:rsid w:val="008B4A95"/>
    <w:rsid w:val="008B4AFC"/>
    <w:rsid w:val="008B4B2E"/>
    <w:rsid w:val="008B4BBD"/>
    <w:rsid w:val="008B4CA9"/>
    <w:rsid w:val="008B4CCD"/>
    <w:rsid w:val="008B4D46"/>
    <w:rsid w:val="008B4DC7"/>
    <w:rsid w:val="008B4DD6"/>
    <w:rsid w:val="008B4E84"/>
    <w:rsid w:val="008B4F8C"/>
    <w:rsid w:val="008B5029"/>
    <w:rsid w:val="008B5049"/>
    <w:rsid w:val="008B5108"/>
    <w:rsid w:val="008B511F"/>
    <w:rsid w:val="008B513F"/>
    <w:rsid w:val="008B5171"/>
    <w:rsid w:val="008B5227"/>
    <w:rsid w:val="008B5261"/>
    <w:rsid w:val="008B52B3"/>
    <w:rsid w:val="008B53B7"/>
    <w:rsid w:val="008B53D5"/>
    <w:rsid w:val="008B5411"/>
    <w:rsid w:val="008B5452"/>
    <w:rsid w:val="008B545D"/>
    <w:rsid w:val="008B5482"/>
    <w:rsid w:val="008B54E2"/>
    <w:rsid w:val="008B5537"/>
    <w:rsid w:val="008B554F"/>
    <w:rsid w:val="008B5552"/>
    <w:rsid w:val="008B55D7"/>
    <w:rsid w:val="008B55DE"/>
    <w:rsid w:val="008B5695"/>
    <w:rsid w:val="008B56DB"/>
    <w:rsid w:val="008B582B"/>
    <w:rsid w:val="008B583C"/>
    <w:rsid w:val="008B58A9"/>
    <w:rsid w:val="008B58BC"/>
    <w:rsid w:val="008B58E8"/>
    <w:rsid w:val="008B5929"/>
    <w:rsid w:val="008B5938"/>
    <w:rsid w:val="008B594B"/>
    <w:rsid w:val="008B59A8"/>
    <w:rsid w:val="008B5A12"/>
    <w:rsid w:val="008B5A16"/>
    <w:rsid w:val="008B5A33"/>
    <w:rsid w:val="008B5A55"/>
    <w:rsid w:val="008B5B24"/>
    <w:rsid w:val="008B5B8A"/>
    <w:rsid w:val="008B5CA4"/>
    <w:rsid w:val="008B5D27"/>
    <w:rsid w:val="008B5D64"/>
    <w:rsid w:val="008B5DA5"/>
    <w:rsid w:val="008B5F97"/>
    <w:rsid w:val="008B625C"/>
    <w:rsid w:val="008B62F9"/>
    <w:rsid w:val="008B6329"/>
    <w:rsid w:val="008B641E"/>
    <w:rsid w:val="008B6494"/>
    <w:rsid w:val="008B64B9"/>
    <w:rsid w:val="008B653C"/>
    <w:rsid w:val="008B657B"/>
    <w:rsid w:val="008B65CD"/>
    <w:rsid w:val="008B664B"/>
    <w:rsid w:val="008B6692"/>
    <w:rsid w:val="008B66E8"/>
    <w:rsid w:val="008B68B6"/>
    <w:rsid w:val="008B68F4"/>
    <w:rsid w:val="008B69B0"/>
    <w:rsid w:val="008B6AA7"/>
    <w:rsid w:val="008B6C5C"/>
    <w:rsid w:val="008B6CC2"/>
    <w:rsid w:val="008B6D00"/>
    <w:rsid w:val="008B6DCC"/>
    <w:rsid w:val="008B6E27"/>
    <w:rsid w:val="008B6EA4"/>
    <w:rsid w:val="008B6EFD"/>
    <w:rsid w:val="008B6F49"/>
    <w:rsid w:val="008B6FF1"/>
    <w:rsid w:val="008B7098"/>
    <w:rsid w:val="008B70E3"/>
    <w:rsid w:val="008B71D0"/>
    <w:rsid w:val="008B727C"/>
    <w:rsid w:val="008B7356"/>
    <w:rsid w:val="008B7372"/>
    <w:rsid w:val="008B73A8"/>
    <w:rsid w:val="008B73B9"/>
    <w:rsid w:val="008B73BE"/>
    <w:rsid w:val="008B7440"/>
    <w:rsid w:val="008B74D2"/>
    <w:rsid w:val="008B7519"/>
    <w:rsid w:val="008B7561"/>
    <w:rsid w:val="008B767D"/>
    <w:rsid w:val="008B76A0"/>
    <w:rsid w:val="008B77B0"/>
    <w:rsid w:val="008B785D"/>
    <w:rsid w:val="008B78B5"/>
    <w:rsid w:val="008B78CC"/>
    <w:rsid w:val="008B79E0"/>
    <w:rsid w:val="008B7A1A"/>
    <w:rsid w:val="008B7A33"/>
    <w:rsid w:val="008B7B9C"/>
    <w:rsid w:val="008B7C45"/>
    <w:rsid w:val="008B7C7A"/>
    <w:rsid w:val="008C001E"/>
    <w:rsid w:val="008C004A"/>
    <w:rsid w:val="008C0084"/>
    <w:rsid w:val="008C022D"/>
    <w:rsid w:val="008C0308"/>
    <w:rsid w:val="008C041F"/>
    <w:rsid w:val="008C0474"/>
    <w:rsid w:val="008C0484"/>
    <w:rsid w:val="008C05F8"/>
    <w:rsid w:val="008C0662"/>
    <w:rsid w:val="008C06B3"/>
    <w:rsid w:val="008C06F5"/>
    <w:rsid w:val="008C07F7"/>
    <w:rsid w:val="008C0821"/>
    <w:rsid w:val="008C09EB"/>
    <w:rsid w:val="008C0A92"/>
    <w:rsid w:val="008C0ABB"/>
    <w:rsid w:val="008C0ADD"/>
    <w:rsid w:val="008C0B6D"/>
    <w:rsid w:val="008C0C14"/>
    <w:rsid w:val="008C0C8F"/>
    <w:rsid w:val="008C0CAC"/>
    <w:rsid w:val="008C0D02"/>
    <w:rsid w:val="008C0E0A"/>
    <w:rsid w:val="008C0E53"/>
    <w:rsid w:val="008C0E8E"/>
    <w:rsid w:val="008C0FC4"/>
    <w:rsid w:val="008C100A"/>
    <w:rsid w:val="008C1041"/>
    <w:rsid w:val="008C10BA"/>
    <w:rsid w:val="008C1145"/>
    <w:rsid w:val="008C137D"/>
    <w:rsid w:val="008C13C5"/>
    <w:rsid w:val="008C1420"/>
    <w:rsid w:val="008C14BD"/>
    <w:rsid w:val="008C1528"/>
    <w:rsid w:val="008C1589"/>
    <w:rsid w:val="008C1598"/>
    <w:rsid w:val="008C15F1"/>
    <w:rsid w:val="008C1614"/>
    <w:rsid w:val="008C1656"/>
    <w:rsid w:val="008C165F"/>
    <w:rsid w:val="008C17D5"/>
    <w:rsid w:val="008C183B"/>
    <w:rsid w:val="008C1845"/>
    <w:rsid w:val="008C184C"/>
    <w:rsid w:val="008C18E0"/>
    <w:rsid w:val="008C1904"/>
    <w:rsid w:val="008C19A8"/>
    <w:rsid w:val="008C1ABA"/>
    <w:rsid w:val="008C1AFE"/>
    <w:rsid w:val="008C1B39"/>
    <w:rsid w:val="008C1C4A"/>
    <w:rsid w:val="008C1D07"/>
    <w:rsid w:val="008C1DA7"/>
    <w:rsid w:val="008C1EF1"/>
    <w:rsid w:val="008C1FF0"/>
    <w:rsid w:val="008C2118"/>
    <w:rsid w:val="008C212C"/>
    <w:rsid w:val="008C21DC"/>
    <w:rsid w:val="008C2246"/>
    <w:rsid w:val="008C227E"/>
    <w:rsid w:val="008C2285"/>
    <w:rsid w:val="008C2399"/>
    <w:rsid w:val="008C23EA"/>
    <w:rsid w:val="008C248A"/>
    <w:rsid w:val="008C248D"/>
    <w:rsid w:val="008C24A8"/>
    <w:rsid w:val="008C2555"/>
    <w:rsid w:val="008C259E"/>
    <w:rsid w:val="008C25EE"/>
    <w:rsid w:val="008C26C4"/>
    <w:rsid w:val="008C27A3"/>
    <w:rsid w:val="008C2865"/>
    <w:rsid w:val="008C28BF"/>
    <w:rsid w:val="008C2A3E"/>
    <w:rsid w:val="008C2ADD"/>
    <w:rsid w:val="008C2B96"/>
    <w:rsid w:val="008C2B9B"/>
    <w:rsid w:val="008C2BD9"/>
    <w:rsid w:val="008C2DC8"/>
    <w:rsid w:val="008C2DE4"/>
    <w:rsid w:val="008C2F59"/>
    <w:rsid w:val="008C2FC1"/>
    <w:rsid w:val="008C305B"/>
    <w:rsid w:val="008C309F"/>
    <w:rsid w:val="008C30BF"/>
    <w:rsid w:val="008C3189"/>
    <w:rsid w:val="008C31FC"/>
    <w:rsid w:val="008C3337"/>
    <w:rsid w:val="008C338C"/>
    <w:rsid w:val="008C33B5"/>
    <w:rsid w:val="008C3528"/>
    <w:rsid w:val="008C3570"/>
    <w:rsid w:val="008C35F5"/>
    <w:rsid w:val="008C36AE"/>
    <w:rsid w:val="008C370F"/>
    <w:rsid w:val="008C3786"/>
    <w:rsid w:val="008C378C"/>
    <w:rsid w:val="008C38BE"/>
    <w:rsid w:val="008C3909"/>
    <w:rsid w:val="008C398A"/>
    <w:rsid w:val="008C3A30"/>
    <w:rsid w:val="008C3ADE"/>
    <w:rsid w:val="008C3B97"/>
    <w:rsid w:val="008C3BA7"/>
    <w:rsid w:val="008C3BDA"/>
    <w:rsid w:val="008C3C0D"/>
    <w:rsid w:val="008C3C2A"/>
    <w:rsid w:val="008C3C4F"/>
    <w:rsid w:val="008C3C5B"/>
    <w:rsid w:val="008C3CEF"/>
    <w:rsid w:val="008C3D26"/>
    <w:rsid w:val="008C3E2A"/>
    <w:rsid w:val="008C3F70"/>
    <w:rsid w:val="008C3FCC"/>
    <w:rsid w:val="008C3FD7"/>
    <w:rsid w:val="008C41BD"/>
    <w:rsid w:val="008C42C9"/>
    <w:rsid w:val="008C430C"/>
    <w:rsid w:val="008C43C0"/>
    <w:rsid w:val="008C43D9"/>
    <w:rsid w:val="008C4557"/>
    <w:rsid w:val="008C459B"/>
    <w:rsid w:val="008C459C"/>
    <w:rsid w:val="008C4630"/>
    <w:rsid w:val="008C474E"/>
    <w:rsid w:val="008C4807"/>
    <w:rsid w:val="008C480F"/>
    <w:rsid w:val="008C4833"/>
    <w:rsid w:val="008C4864"/>
    <w:rsid w:val="008C48C3"/>
    <w:rsid w:val="008C48F9"/>
    <w:rsid w:val="008C4950"/>
    <w:rsid w:val="008C4965"/>
    <w:rsid w:val="008C49CA"/>
    <w:rsid w:val="008C4A40"/>
    <w:rsid w:val="008C4A68"/>
    <w:rsid w:val="008C4B17"/>
    <w:rsid w:val="008C4B74"/>
    <w:rsid w:val="008C4BA4"/>
    <w:rsid w:val="008C4BBE"/>
    <w:rsid w:val="008C4C28"/>
    <w:rsid w:val="008C4C3A"/>
    <w:rsid w:val="008C4C67"/>
    <w:rsid w:val="008C4C93"/>
    <w:rsid w:val="008C4D05"/>
    <w:rsid w:val="008C4DC6"/>
    <w:rsid w:val="008C4E47"/>
    <w:rsid w:val="008C4E56"/>
    <w:rsid w:val="008C4EE1"/>
    <w:rsid w:val="008C4F08"/>
    <w:rsid w:val="008C4F0E"/>
    <w:rsid w:val="008C4FF2"/>
    <w:rsid w:val="008C5052"/>
    <w:rsid w:val="008C50CC"/>
    <w:rsid w:val="008C50F5"/>
    <w:rsid w:val="008C5205"/>
    <w:rsid w:val="008C5234"/>
    <w:rsid w:val="008C5255"/>
    <w:rsid w:val="008C52AF"/>
    <w:rsid w:val="008C52D4"/>
    <w:rsid w:val="008C52E9"/>
    <w:rsid w:val="008C5352"/>
    <w:rsid w:val="008C5462"/>
    <w:rsid w:val="008C557B"/>
    <w:rsid w:val="008C55B1"/>
    <w:rsid w:val="008C562D"/>
    <w:rsid w:val="008C577F"/>
    <w:rsid w:val="008C5856"/>
    <w:rsid w:val="008C59F9"/>
    <w:rsid w:val="008C5AFE"/>
    <w:rsid w:val="008C5B03"/>
    <w:rsid w:val="008C5BD1"/>
    <w:rsid w:val="008C5CB4"/>
    <w:rsid w:val="008C5DA2"/>
    <w:rsid w:val="008C5DEC"/>
    <w:rsid w:val="008C5E9F"/>
    <w:rsid w:val="008C5EC0"/>
    <w:rsid w:val="008C5EF7"/>
    <w:rsid w:val="008C5F11"/>
    <w:rsid w:val="008C60A5"/>
    <w:rsid w:val="008C60D4"/>
    <w:rsid w:val="008C60F8"/>
    <w:rsid w:val="008C6315"/>
    <w:rsid w:val="008C6325"/>
    <w:rsid w:val="008C6329"/>
    <w:rsid w:val="008C632E"/>
    <w:rsid w:val="008C637D"/>
    <w:rsid w:val="008C6408"/>
    <w:rsid w:val="008C642F"/>
    <w:rsid w:val="008C6468"/>
    <w:rsid w:val="008C648D"/>
    <w:rsid w:val="008C64F3"/>
    <w:rsid w:val="008C6574"/>
    <w:rsid w:val="008C65FE"/>
    <w:rsid w:val="008C677F"/>
    <w:rsid w:val="008C67A8"/>
    <w:rsid w:val="008C67B0"/>
    <w:rsid w:val="008C67B8"/>
    <w:rsid w:val="008C68F0"/>
    <w:rsid w:val="008C6988"/>
    <w:rsid w:val="008C699B"/>
    <w:rsid w:val="008C6AA5"/>
    <w:rsid w:val="008C6ACD"/>
    <w:rsid w:val="008C6B44"/>
    <w:rsid w:val="008C6C1F"/>
    <w:rsid w:val="008C6C42"/>
    <w:rsid w:val="008C6CB0"/>
    <w:rsid w:val="008C6D2A"/>
    <w:rsid w:val="008C6D44"/>
    <w:rsid w:val="008C6DBA"/>
    <w:rsid w:val="008C6E04"/>
    <w:rsid w:val="008C6F09"/>
    <w:rsid w:val="008C6F7C"/>
    <w:rsid w:val="008C6F9D"/>
    <w:rsid w:val="008C7045"/>
    <w:rsid w:val="008C7080"/>
    <w:rsid w:val="008C708F"/>
    <w:rsid w:val="008C70B4"/>
    <w:rsid w:val="008C70C5"/>
    <w:rsid w:val="008C70F4"/>
    <w:rsid w:val="008C7132"/>
    <w:rsid w:val="008C7135"/>
    <w:rsid w:val="008C71B7"/>
    <w:rsid w:val="008C7201"/>
    <w:rsid w:val="008C72DC"/>
    <w:rsid w:val="008C73FD"/>
    <w:rsid w:val="008C7522"/>
    <w:rsid w:val="008C75B5"/>
    <w:rsid w:val="008C75C9"/>
    <w:rsid w:val="008C7642"/>
    <w:rsid w:val="008C7733"/>
    <w:rsid w:val="008C7755"/>
    <w:rsid w:val="008C775B"/>
    <w:rsid w:val="008C78D1"/>
    <w:rsid w:val="008C78F1"/>
    <w:rsid w:val="008C7924"/>
    <w:rsid w:val="008C79A6"/>
    <w:rsid w:val="008C7A17"/>
    <w:rsid w:val="008C7A7A"/>
    <w:rsid w:val="008C7B71"/>
    <w:rsid w:val="008C7B93"/>
    <w:rsid w:val="008C7BA3"/>
    <w:rsid w:val="008C7BEA"/>
    <w:rsid w:val="008C7C38"/>
    <w:rsid w:val="008C7CB4"/>
    <w:rsid w:val="008C7D0A"/>
    <w:rsid w:val="008C7D6A"/>
    <w:rsid w:val="008C7D82"/>
    <w:rsid w:val="008C7F9A"/>
    <w:rsid w:val="008C7FAF"/>
    <w:rsid w:val="008C7FBC"/>
    <w:rsid w:val="008C7FFA"/>
    <w:rsid w:val="008D0109"/>
    <w:rsid w:val="008D0110"/>
    <w:rsid w:val="008D0165"/>
    <w:rsid w:val="008D01AA"/>
    <w:rsid w:val="008D01CB"/>
    <w:rsid w:val="008D022C"/>
    <w:rsid w:val="008D025D"/>
    <w:rsid w:val="008D035C"/>
    <w:rsid w:val="008D038E"/>
    <w:rsid w:val="008D03A3"/>
    <w:rsid w:val="008D044D"/>
    <w:rsid w:val="008D04BA"/>
    <w:rsid w:val="008D0528"/>
    <w:rsid w:val="008D05E6"/>
    <w:rsid w:val="008D063A"/>
    <w:rsid w:val="008D069F"/>
    <w:rsid w:val="008D0772"/>
    <w:rsid w:val="008D0789"/>
    <w:rsid w:val="008D079C"/>
    <w:rsid w:val="008D08CA"/>
    <w:rsid w:val="008D08D5"/>
    <w:rsid w:val="008D0917"/>
    <w:rsid w:val="008D09AB"/>
    <w:rsid w:val="008D09F0"/>
    <w:rsid w:val="008D0A04"/>
    <w:rsid w:val="008D0A2F"/>
    <w:rsid w:val="008D0A57"/>
    <w:rsid w:val="008D0BDE"/>
    <w:rsid w:val="008D0C05"/>
    <w:rsid w:val="008D0C4B"/>
    <w:rsid w:val="008D0C59"/>
    <w:rsid w:val="008D0C79"/>
    <w:rsid w:val="008D0C7A"/>
    <w:rsid w:val="008D0D07"/>
    <w:rsid w:val="008D0DBC"/>
    <w:rsid w:val="008D0DF0"/>
    <w:rsid w:val="008D0E72"/>
    <w:rsid w:val="008D0EB4"/>
    <w:rsid w:val="008D0ED6"/>
    <w:rsid w:val="008D0F02"/>
    <w:rsid w:val="008D0F35"/>
    <w:rsid w:val="008D0FBB"/>
    <w:rsid w:val="008D1118"/>
    <w:rsid w:val="008D11E2"/>
    <w:rsid w:val="008D1286"/>
    <w:rsid w:val="008D12DE"/>
    <w:rsid w:val="008D130E"/>
    <w:rsid w:val="008D1441"/>
    <w:rsid w:val="008D14BC"/>
    <w:rsid w:val="008D155D"/>
    <w:rsid w:val="008D15B2"/>
    <w:rsid w:val="008D15D2"/>
    <w:rsid w:val="008D1604"/>
    <w:rsid w:val="008D167F"/>
    <w:rsid w:val="008D1736"/>
    <w:rsid w:val="008D17CD"/>
    <w:rsid w:val="008D17EB"/>
    <w:rsid w:val="008D1839"/>
    <w:rsid w:val="008D185A"/>
    <w:rsid w:val="008D1929"/>
    <w:rsid w:val="008D19AC"/>
    <w:rsid w:val="008D19F7"/>
    <w:rsid w:val="008D1A05"/>
    <w:rsid w:val="008D1AF6"/>
    <w:rsid w:val="008D1B12"/>
    <w:rsid w:val="008D1B2A"/>
    <w:rsid w:val="008D1B4D"/>
    <w:rsid w:val="008D1B5E"/>
    <w:rsid w:val="008D1BB7"/>
    <w:rsid w:val="008D1C3F"/>
    <w:rsid w:val="008D1C50"/>
    <w:rsid w:val="008D1C85"/>
    <w:rsid w:val="008D1CDA"/>
    <w:rsid w:val="008D1D2B"/>
    <w:rsid w:val="008D1DE1"/>
    <w:rsid w:val="008D1E27"/>
    <w:rsid w:val="008D1E4C"/>
    <w:rsid w:val="008D1E68"/>
    <w:rsid w:val="008D1ED0"/>
    <w:rsid w:val="008D1F68"/>
    <w:rsid w:val="008D1FA4"/>
    <w:rsid w:val="008D2031"/>
    <w:rsid w:val="008D2107"/>
    <w:rsid w:val="008D2201"/>
    <w:rsid w:val="008D2215"/>
    <w:rsid w:val="008D2220"/>
    <w:rsid w:val="008D228B"/>
    <w:rsid w:val="008D22C1"/>
    <w:rsid w:val="008D235A"/>
    <w:rsid w:val="008D2393"/>
    <w:rsid w:val="008D239E"/>
    <w:rsid w:val="008D23B8"/>
    <w:rsid w:val="008D248D"/>
    <w:rsid w:val="008D24BC"/>
    <w:rsid w:val="008D24CC"/>
    <w:rsid w:val="008D26F1"/>
    <w:rsid w:val="008D2706"/>
    <w:rsid w:val="008D27DF"/>
    <w:rsid w:val="008D2839"/>
    <w:rsid w:val="008D2885"/>
    <w:rsid w:val="008D296C"/>
    <w:rsid w:val="008D2984"/>
    <w:rsid w:val="008D2A0A"/>
    <w:rsid w:val="008D2A6B"/>
    <w:rsid w:val="008D2A7B"/>
    <w:rsid w:val="008D2AFE"/>
    <w:rsid w:val="008D2B73"/>
    <w:rsid w:val="008D2BB9"/>
    <w:rsid w:val="008D2BE6"/>
    <w:rsid w:val="008D2C6F"/>
    <w:rsid w:val="008D2C8B"/>
    <w:rsid w:val="008D2DBE"/>
    <w:rsid w:val="008D2E05"/>
    <w:rsid w:val="008D2E07"/>
    <w:rsid w:val="008D2E33"/>
    <w:rsid w:val="008D2E3E"/>
    <w:rsid w:val="008D2E79"/>
    <w:rsid w:val="008D2EB6"/>
    <w:rsid w:val="008D2EF3"/>
    <w:rsid w:val="008D2F1D"/>
    <w:rsid w:val="008D2F5B"/>
    <w:rsid w:val="008D3049"/>
    <w:rsid w:val="008D307E"/>
    <w:rsid w:val="008D320F"/>
    <w:rsid w:val="008D3242"/>
    <w:rsid w:val="008D33BF"/>
    <w:rsid w:val="008D343A"/>
    <w:rsid w:val="008D343D"/>
    <w:rsid w:val="008D3560"/>
    <w:rsid w:val="008D35C4"/>
    <w:rsid w:val="008D35D8"/>
    <w:rsid w:val="008D3656"/>
    <w:rsid w:val="008D366C"/>
    <w:rsid w:val="008D36D4"/>
    <w:rsid w:val="008D36FD"/>
    <w:rsid w:val="008D3721"/>
    <w:rsid w:val="008D377D"/>
    <w:rsid w:val="008D379E"/>
    <w:rsid w:val="008D37FC"/>
    <w:rsid w:val="008D383C"/>
    <w:rsid w:val="008D38D7"/>
    <w:rsid w:val="008D395F"/>
    <w:rsid w:val="008D3B28"/>
    <w:rsid w:val="008D3C04"/>
    <w:rsid w:val="008D3C21"/>
    <w:rsid w:val="008D3D21"/>
    <w:rsid w:val="008D3E0D"/>
    <w:rsid w:val="008D3FCA"/>
    <w:rsid w:val="008D3FDA"/>
    <w:rsid w:val="008D40CD"/>
    <w:rsid w:val="008D40FB"/>
    <w:rsid w:val="008D4122"/>
    <w:rsid w:val="008D4158"/>
    <w:rsid w:val="008D4268"/>
    <w:rsid w:val="008D426F"/>
    <w:rsid w:val="008D4388"/>
    <w:rsid w:val="008D43BD"/>
    <w:rsid w:val="008D44DA"/>
    <w:rsid w:val="008D4524"/>
    <w:rsid w:val="008D4532"/>
    <w:rsid w:val="008D4534"/>
    <w:rsid w:val="008D4543"/>
    <w:rsid w:val="008D457B"/>
    <w:rsid w:val="008D462A"/>
    <w:rsid w:val="008D464D"/>
    <w:rsid w:val="008D465D"/>
    <w:rsid w:val="008D46BD"/>
    <w:rsid w:val="008D46C0"/>
    <w:rsid w:val="008D473B"/>
    <w:rsid w:val="008D4749"/>
    <w:rsid w:val="008D475D"/>
    <w:rsid w:val="008D47A2"/>
    <w:rsid w:val="008D47A8"/>
    <w:rsid w:val="008D481C"/>
    <w:rsid w:val="008D484C"/>
    <w:rsid w:val="008D4890"/>
    <w:rsid w:val="008D48D2"/>
    <w:rsid w:val="008D4900"/>
    <w:rsid w:val="008D4960"/>
    <w:rsid w:val="008D49AB"/>
    <w:rsid w:val="008D49B2"/>
    <w:rsid w:val="008D4A27"/>
    <w:rsid w:val="008D4A39"/>
    <w:rsid w:val="008D4BE5"/>
    <w:rsid w:val="008D4C50"/>
    <w:rsid w:val="008D4C51"/>
    <w:rsid w:val="008D4C8A"/>
    <w:rsid w:val="008D4C90"/>
    <w:rsid w:val="008D4CDE"/>
    <w:rsid w:val="008D4D06"/>
    <w:rsid w:val="008D4D5D"/>
    <w:rsid w:val="008D4E67"/>
    <w:rsid w:val="008D4E77"/>
    <w:rsid w:val="008D4F0F"/>
    <w:rsid w:val="008D4F26"/>
    <w:rsid w:val="008D4F59"/>
    <w:rsid w:val="008D4FAC"/>
    <w:rsid w:val="008D4FB6"/>
    <w:rsid w:val="008D5026"/>
    <w:rsid w:val="008D5037"/>
    <w:rsid w:val="008D5157"/>
    <w:rsid w:val="008D5176"/>
    <w:rsid w:val="008D5179"/>
    <w:rsid w:val="008D517A"/>
    <w:rsid w:val="008D51A9"/>
    <w:rsid w:val="008D5256"/>
    <w:rsid w:val="008D535A"/>
    <w:rsid w:val="008D5388"/>
    <w:rsid w:val="008D5444"/>
    <w:rsid w:val="008D54AC"/>
    <w:rsid w:val="008D5596"/>
    <w:rsid w:val="008D56B5"/>
    <w:rsid w:val="008D5749"/>
    <w:rsid w:val="008D5858"/>
    <w:rsid w:val="008D5866"/>
    <w:rsid w:val="008D5893"/>
    <w:rsid w:val="008D5B25"/>
    <w:rsid w:val="008D5B31"/>
    <w:rsid w:val="008D5B73"/>
    <w:rsid w:val="008D5BCE"/>
    <w:rsid w:val="008D5C51"/>
    <w:rsid w:val="008D5C9F"/>
    <w:rsid w:val="008D5CF6"/>
    <w:rsid w:val="008D5D45"/>
    <w:rsid w:val="008D5D4B"/>
    <w:rsid w:val="008D5D64"/>
    <w:rsid w:val="008D5D8F"/>
    <w:rsid w:val="008D5E24"/>
    <w:rsid w:val="008D5E2D"/>
    <w:rsid w:val="008D5EEE"/>
    <w:rsid w:val="008D5F47"/>
    <w:rsid w:val="008D6090"/>
    <w:rsid w:val="008D60A9"/>
    <w:rsid w:val="008D60BF"/>
    <w:rsid w:val="008D60E2"/>
    <w:rsid w:val="008D610F"/>
    <w:rsid w:val="008D6117"/>
    <w:rsid w:val="008D611D"/>
    <w:rsid w:val="008D6279"/>
    <w:rsid w:val="008D62D4"/>
    <w:rsid w:val="008D636B"/>
    <w:rsid w:val="008D63FC"/>
    <w:rsid w:val="008D642F"/>
    <w:rsid w:val="008D644B"/>
    <w:rsid w:val="008D64A8"/>
    <w:rsid w:val="008D64AA"/>
    <w:rsid w:val="008D6613"/>
    <w:rsid w:val="008D6644"/>
    <w:rsid w:val="008D668E"/>
    <w:rsid w:val="008D6762"/>
    <w:rsid w:val="008D67AB"/>
    <w:rsid w:val="008D67C2"/>
    <w:rsid w:val="008D67CB"/>
    <w:rsid w:val="008D6888"/>
    <w:rsid w:val="008D6889"/>
    <w:rsid w:val="008D68B5"/>
    <w:rsid w:val="008D692F"/>
    <w:rsid w:val="008D699C"/>
    <w:rsid w:val="008D6A49"/>
    <w:rsid w:val="008D6A53"/>
    <w:rsid w:val="008D6A71"/>
    <w:rsid w:val="008D6ADC"/>
    <w:rsid w:val="008D6AE0"/>
    <w:rsid w:val="008D6C3F"/>
    <w:rsid w:val="008D6CAE"/>
    <w:rsid w:val="008D6CFA"/>
    <w:rsid w:val="008D6D0D"/>
    <w:rsid w:val="008D6D42"/>
    <w:rsid w:val="008D6E6C"/>
    <w:rsid w:val="008D6E7D"/>
    <w:rsid w:val="008D6F40"/>
    <w:rsid w:val="008D6F6A"/>
    <w:rsid w:val="008D6F9D"/>
    <w:rsid w:val="008D7007"/>
    <w:rsid w:val="008D70A8"/>
    <w:rsid w:val="008D723E"/>
    <w:rsid w:val="008D724B"/>
    <w:rsid w:val="008D724F"/>
    <w:rsid w:val="008D7273"/>
    <w:rsid w:val="008D735E"/>
    <w:rsid w:val="008D7360"/>
    <w:rsid w:val="008D73D3"/>
    <w:rsid w:val="008D73E8"/>
    <w:rsid w:val="008D73EE"/>
    <w:rsid w:val="008D73F6"/>
    <w:rsid w:val="008D740F"/>
    <w:rsid w:val="008D748A"/>
    <w:rsid w:val="008D74CD"/>
    <w:rsid w:val="008D74D2"/>
    <w:rsid w:val="008D75E1"/>
    <w:rsid w:val="008D7776"/>
    <w:rsid w:val="008D7784"/>
    <w:rsid w:val="008D77DC"/>
    <w:rsid w:val="008D7837"/>
    <w:rsid w:val="008D78C4"/>
    <w:rsid w:val="008D797B"/>
    <w:rsid w:val="008D79A6"/>
    <w:rsid w:val="008D7A70"/>
    <w:rsid w:val="008D7A8F"/>
    <w:rsid w:val="008D7B03"/>
    <w:rsid w:val="008D7D48"/>
    <w:rsid w:val="008D7DBF"/>
    <w:rsid w:val="008D7E00"/>
    <w:rsid w:val="008D7E70"/>
    <w:rsid w:val="008D7ED2"/>
    <w:rsid w:val="008E0038"/>
    <w:rsid w:val="008E0058"/>
    <w:rsid w:val="008E00E0"/>
    <w:rsid w:val="008E01BB"/>
    <w:rsid w:val="008E0208"/>
    <w:rsid w:val="008E02C8"/>
    <w:rsid w:val="008E0317"/>
    <w:rsid w:val="008E033F"/>
    <w:rsid w:val="008E039C"/>
    <w:rsid w:val="008E03E1"/>
    <w:rsid w:val="008E03E7"/>
    <w:rsid w:val="008E045D"/>
    <w:rsid w:val="008E0465"/>
    <w:rsid w:val="008E0503"/>
    <w:rsid w:val="008E0510"/>
    <w:rsid w:val="008E0561"/>
    <w:rsid w:val="008E0577"/>
    <w:rsid w:val="008E05A7"/>
    <w:rsid w:val="008E05C8"/>
    <w:rsid w:val="008E05CE"/>
    <w:rsid w:val="008E0602"/>
    <w:rsid w:val="008E0675"/>
    <w:rsid w:val="008E0686"/>
    <w:rsid w:val="008E0691"/>
    <w:rsid w:val="008E06FC"/>
    <w:rsid w:val="008E09B6"/>
    <w:rsid w:val="008E09F1"/>
    <w:rsid w:val="008E0A3E"/>
    <w:rsid w:val="008E0A85"/>
    <w:rsid w:val="008E0AB3"/>
    <w:rsid w:val="008E0B82"/>
    <w:rsid w:val="008E0B86"/>
    <w:rsid w:val="008E0BC1"/>
    <w:rsid w:val="008E0BF5"/>
    <w:rsid w:val="008E0C53"/>
    <w:rsid w:val="008E0C7E"/>
    <w:rsid w:val="008E0D65"/>
    <w:rsid w:val="008E0D74"/>
    <w:rsid w:val="008E0E17"/>
    <w:rsid w:val="008E0E19"/>
    <w:rsid w:val="008E0E4E"/>
    <w:rsid w:val="008E0E6E"/>
    <w:rsid w:val="008E0F10"/>
    <w:rsid w:val="008E0FCA"/>
    <w:rsid w:val="008E11B2"/>
    <w:rsid w:val="008E11B9"/>
    <w:rsid w:val="008E11DD"/>
    <w:rsid w:val="008E1263"/>
    <w:rsid w:val="008E1287"/>
    <w:rsid w:val="008E12ED"/>
    <w:rsid w:val="008E138C"/>
    <w:rsid w:val="008E1429"/>
    <w:rsid w:val="008E14CE"/>
    <w:rsid w:val="008E1525"/>
    <w:rsid w:val="008E152D"/>
    <w:rsid w:val="008E155B"/>
    <w:rsid w:val="008E161A"/>
    <w:rsid w:val="008E164F"/>
    <w:rsid w:val="008E16A1"/>
    <w:rsid w:val="008E16E5"/>
    <w:rsid w:val="008E1723"/>
    <w:rsid w:val="008E179F"/>
    <w:rsid w:val="008E183D"/>
    <w:rsid w:val="008E1950"/>
    <w:rsid w:val="008E19B1"/>
    <w:rsid w:val="008E19E9"/>
    <w:rsid w:val="008E1AA5"/>
    <w:rsid w:val="008E1AD6"/>
    <w:rsid w:val="008E1AE3"/>
    <w:rsid w:val="008E1AEB"/>
    <w:rsid w:val="008E1B34"/>
    <w:rsid w:val="008E1C78"/>
    <w:rsid w:val="008E1CC8"/>
    <w:rsid w:val="008E1D1A"/>
    <w:rsid w:val="008E1D73"/>
    <w:rsid w:val="008E1DC8"/>
    <w:rsid w:val="008E1FAD"/>
    <w:rsid w:val="008E2009"/>
    <w:rsid w:val="008E2046"/>
    <w:rsid w:val="008E20E9"/>
    <w:rsid w:val="008E2122"/>
    <w:rsid w:val="008E21A2"/>
    <w:rsid w:val="008E21BD"/>
    <w:rsid w:val="008E2204"/>
    <w:rsid w:val="008E221A"/>
    <w:rsid w:val="008E2240"/>
    <w:rsid w:val="008E2375"/>
    <w:rsid w:val="008E2440"/>
    <w:rsid w:val="008E2452"/>
    <w:rsid w:val="008E2461"/>
    <w:rsid w:val="008E253B"/>
    <w:rsid w:val="008E2588"/>
    <w:rsid w:val="008E259C"/>
    <w:rsid w:val="008E25D8"/>
    <w:rsid w:val="008E2663"/>
    <w:rsid w:val="008E26C7"/>
    <w:rsid w:val="008E2805"/>
    <w:rsid w:val="008E2869"/>
    <w:rsid w:val="008E298D"/>
    <w:rsid w:val="008E29A3"/>
    <w:rsid w:val="008E2AF7"/>
    <w:rsid w:val="008E2B55"/>
    <w:rsid w:val="008E2B69"/>
    <w:rsid w:val="008E2C11"/>
    <w:rsid w:val="008E2C13"/>
    <w:rsid w:val="008E2C39"/>
    <w:rsid w:val="008E2CD0"/>
    <w:rsid w:val="008E2CD7"/>
    <w:rsid w:val="008E2D06"/>
    <w:rsid w:val="008E2D2C"/>
    <w:rsid w:val="008E2D8D"/>
    <w:rsid w:val="008E2D90"/>
    <w:rsid w:val="008E2E17"/>
    <w:rsid w:val="008E2E55"/>
    <w:rsid w:val="008E2F91"/>
    <w:rsid w:val="008E2FDC"/>
    <w:rsid w:val="008E304B"/>
    <w:rsid w:val="008E30AF"/>
    <w:rsid w:val="008E3198"/>
    <w:rsid w:val="008E3217"/>
    <w:rsid w:val="008E3263"/>
    <w:rsid w:val="008E32BB"/>
    <w:rsid w:val="008E330B"/>
    <w:rsid w:val="008E331D"/>
    <w:rsid w:val="008E33CE"/>
    <w:rsid w:val="008E33DA"/>
    <w:rsid w:val="008E3444"/>
    <w:rsid w:val="008E3467"/>
    <w:rsid w:val="008E349D"/>
    <w:rsid w:val="008E34A0"/>
    <w:rsid w:val="008E34F0"/>
    <w:rsid w:val="008E34F1"/>
    <w:rsid w:val="008E3521"/>
    <w:rsid w:val="008E3589"/>
    <w:rsid w:val="008E3616"/>
    <w:rsid w:val="008E3648"/>
    <w:rsid w:val="008E365E"/>
    <w:rsid w:val="008E37B6"/>
    <w:rsid w:val="008E37EE"/>
    <w:rsid w:val="008E37F0"/>
    <w:rsid w:val="008E384B"/>
    <w:rsid w:val="008E3893"/>
    <w:rsid w:val="008E38A5"/>
    <w:rsid w:val="008E3B91"/>
    <w:rsid w:val="008E3B98"/>
    <w:rsid w:val="008E3BC1"/>
    <w:rsid w:val="008E3C2A"/>
    <w:rsid w:val="008E3CCE"/>
    <w:rsid w:val="008E3D35"/>
    <w:rsid w:val="008E3D4B"/>
    <w:rsid w:val="008E3E17"/>
    <w:rsid w:val="008E3E1F"/>
    <w:rsid w:val="008E3E66"/>
    <w:rsid w:val="008E3E6F"/>
    <w:rsid w:val="008E3ECE"/>
    <w:rsid w:val="008E3F28"/>
    <w:rsid w:val="008E3F30"/>
    <w:rsid w:val="008E403F"/>
    <w:rsid w:val="008E40C7"/>
    <w:rsid w:val="008E4117"/>
    <w:rsid w:val="008E4148"/>
    <w:rsid w:val="008E41B4"/>
    <w:rsid w:val="008E41D3"/>
    <w:rsid w:val="008E41D8"/>
    <w:rsid w:val="008E4223"/>
    <w:rsid w:val="008E42FB"/>
    <w:rsid w:val="008E430F"/>
    <w:rsid w:val="008E4378"/>
    <w:rsid w:val="008E43E2"/>
    <w:rsid w:val="008E44B7"/>
    <w:rsid w:val="008E44F7"/>
    <w:rsid w:val="008E45C1"/>
    <w:rsid w:val="008E462F"/>
    <w:rsid w:val="008E46CF"/>
    <w:rsid w:val="008E475C"/>
    <w:rsid w:val="008E47DA"/>
    <w:rsid w:val="008E47EC"/>
    <w:rsid w:val="008E4853"/>
    <w:rsid w:val="008E493B"/>
    <w:rsid w:val="008E4A1B"/>
    <w:rsid w:val="008E4A43"/>
    <w:rsid w:val="008E4AB9"/>
    <w:rsid w:val="008E4B49"/>
    <w:rsid w:val="008E4C2B"/>
    <w:rsid w:val="008E4C7A"/>
    <w:rsid w:val="008E4DBC"/>
    <w:rsid w:val="008E4DDC"/>
    <w:rsid w:val="008E4DFB"/>
    <w:rsid w:val="008E4E16"/>
    <w:rsid w:val="008E4E5F"/>
    <w:rsid w:val="008E4EC0"/>
    <w:rsid w:val="008E4F26"/>
    <w:rsid w:val="008E4FDC"/>
    <w:rsid w:val="008E508C"/>
    <w:rsid w:val="008E50ED"/>
    <w:rsid w:val="008E50EF"/>
    <w:rsid w:val="008E5143"/>
    <w:rsid w:val="008E515A"/>
    <w:rsid w:val="008E5221"/>
    <w:rsid w:val="008E5269"/>
    <w:rsid w:val="008E52D2"/>
    <w:rsid w:val="008E53B3"/>
    <w:rsid w:val="008E53F1"/>
    <w:rsid w:val="008E53F3"/>
    <w:rsid w:val="008E548B"/>
    <w:rsid w:val="008E5491"/>
    <w:rsid w:val="008E55CF"/>
    <w:rsid w:val="008E5695"/>
    <w:rsid w:val="008E56A4"/>
    <w:rsid w:val="008E56E1"/>
    <w:rsid w:val="008E57E2"/>
    <w:rsid w:val="008E58CF"/>
    <w:rsid w:val="008E595F"/>
    <w:rsid w:val="008E59C0"/>
    <w:rsid w:val="008E5BBE"/>
    <w:rsid w:val="008E5C53"/>
    <w:rsid w:val="008E5C66"/>
    <w:rsid w:val="008E5C9B"/>
    <w:rsid w:val="008E5DB5"/>
    <w:rsid w:val="008E5DC8"/>
    <w:rsid w:val="008E5DE6"/>
    <w:rsid w:val="008E5DF5"/>
    <w:rsid w:val="008E5E39"/>
    <w:rsid w:val="008E5E54"/>
    <w:rsid w:val="008E5EB5"/>
    <w:rsid w:val="008E5EC1"/>
    <w:rsid w:val="008E5EFA"/>
    <w:rsid w:val="008E5F40"/>
    <w:rsid w:val="008E5F64"/>
    <w:rsid w:val="008E5FE7"/>
    <w:rsid w:val="008E608C"/>
    <w:rsid w:val="008E616A"/>
    <w:rsid w:val="008E6215"/>
    <w:rsid w:val="008E6241"/>
    <w:rsid w:val="008E6339"/>
    <w:rsid w:val="008E6346"/>
    <w:rsid w:val="008E6352"/>
    <w:rsid w:val="008E63EB"/>
    <w:rsid w:val="008E6468"/>
    <w:rsid w:val="008E648E"/>
    <w:rsid w:val="008E6671"/>
    <w:rsid w:val="008E6699"/>
    <w:rsid w:val="008E685E"/>
    <w:rsid w:val="008E68C0"/>
    <w:rsid w:val="008E69BB"/>
    <w:rsid w:val="008E69C8"/>
    <w:rsid w:val="008E6B0E"/>
    <w:rsid w:val="008E6B95"/>
    <w:rsid w:val="008E6CF1"/>
    <w:rsid w:val="008E6DD3"/>
    <w:rsid w:val="008E6E93"/>
    <w:rsid w:val="008E6EB9"/>
    <w:rsid w:val="008E6F4A"/>
    <w:rsid w:val="008E705A"/>
    <w:rsid w:val="008E7138"/>
    <w:rsid w:val="008E7163"/>
    <w:rsid w:val="008E718C"/>
    <w:rsid w:val="008E71B0"/>
    <w:rsid w:val="008E71D1"/>
    <w:rsid w:val="008E7211"/>
    <w:rsid w:val="008E7416"/>
    <w:rsid w:val="008E7449"/>
    <w:rsid w:val="008E7488"/>
    <w:rsid w:val="008E74A5"/>
    <w:rsid w:val="008E74B7"/>
    <w:rsid w:val="008E754A"/>
    <w:rsid w:val="008E75C4"/>
    <w:rsid w:val="008E75CF"/>
    <w:rsid w:val="008E76BE"/>
    <w:rsid w:val="008E76BF"/>
    <w:rsid w:val="008E7700"/>
    <w:rsid w:val="008E77E9"/>
    <w:rsid w:val="008E78C2"/>
    <w:rsid w:val="008E78C7"/>
    <w:rsid w:val="008E7933"/>
    <w:rsid w:val="008E7976"/>
    <w:rsid w:val="008E79D6"/>
    <w:rsid w:val="008E7A1D"/>
    <w:rsid w:val="008E7A3D"/>
    <w:rsid w:val="008E7A41"/>
    <w:rsid w:val="008E7A48"/>
    <w:rsid w:val="008E7B05"/>
    <w:rsid w:val="008E7B1C"/>
    <w:rsid w:val="008E7BF8"/>
    <w:rsid w:val="008E7F97"/>
    <w:rsid w:val="008E7FC3"/>
    <w:rsid w:val="008E7FFD"/>
    <w:rsid w:val="008F0003"/>
    <w:rsid w:val="008F004A"/>
    <w:rsid w:val="008F004E"/>
    <w:rsid w:val="008F00BA"/>
    <w:rsid w:val="008F016B"/>
    <w:rsid w:val="008F01A5"/>
    <w:rsid w:val="008F01E5"/>
    <w:rsid w:val="008F0203"/>
    <w:rsid w:val="008F0247"/>
    <w:rsid w:val="008F03F5"/>
    <w:rsid w:val="008F0407"/>
    <w:rsid w:val="008F042C"/>
    <w:rsid w:val="008F04CF"/>
    <w:rsid w:val="008F0570"/>
    <w:rsid w:val="008F0574"/>
    <w:rsid w:val="008F057D"/>
    <w:rsid w:val="008F069A"/>
    <w:rsid w:val="008F06A0"/>
    <w:rsid w:val="008F06F8"/>
    <w:rsid w:val="008F0708"/>
    <w:rsid w:val="008F0722"/>
    <w:rsid w:val="008F07A8"/>
    <w:rsid w:val="008F07F3"/>
    <w:rsid w:val="008F0845"/>
    <w:rsid w:val="008F08A1"/>
    <w:rsid w:val="008F08CF"/>
    <w:rsid w:val="008F08FB"/>
    <w:rsid w:val="008F0937"/>
    <w:rsid w:val="008F093C"/>
    <w:rsid w:val="008F0A61"/>
    <w:rsid w:val="008F0A8E"/>
    <w:rsid w:val="008F0B14"/>
    <w:rsid w:val="008F0B4F"/>
    <w:rsid w:val="008F0B67"/>
    <w:rsid w:val="008F0B91"/>
    <w:rsid w:val="008F0C03"/>
    <w:rsid w:val="008F0C55"/>
    <w:rsid w:val="008F0D4A"/>
    <w:rsid w:val="008F0D84"/>
    <w:rsid w:val="008F0DA0"/>
    <w:rsid w:val="008F0E2B"/>
    <w:rsid w:val="008F1054"/>
    <w:rsid w:val="008F108A"/>
    <w:rsid w:val="008F118B"/>
    <w:rsid w:val="008F11DC"/>
    <w:rsid w:val="008F1220"/>
    <w:rsid w:val="008F12C4"/>
    <w:rsid w:val="008F12C5"/>
    <w:rsid w:val="008F1406"/>
    <w:rsid w:val="008F15F0"/>
    <w:rsid w:val="008F1605"/>
    <w:rsid w:val="008F161D"/>
    <w:rsid w:val="008F1679"/>
    <w:rsid w:val="008F180E"/>
    <w:rsid w:val="008F1833"/>
    <w:rsid w:val="008F184F"/>
    <w:rsid w:val="008F192B"/>
    <w:rsid w:val="008F1A26"/>
    <w:rsid w:val="008F1A5E"/>
    <w:rsid w:val="008F1AAA"/>
    <w:rsid w:val="008F1B5F"/>
    <w:rsid w:val="008F1BE5"/>
    <w:rsid w:val="008F1C6B"/>
    <w:rsid w:val="008F1C9B"/>
    <w:rsid w:val="008F1CD4"/>
    <w:rsid w:val="008F1D1B"/>
    <w:rsid w:val="008F1D7F"/>
    <w:rsid w:val="008F1EC3"/>
    <w:rsid w:val="008F2118"/>
    <w:rsid w:val="008F2157"/>
    <w:rsid w:val="008F2229"/>
    <w:rsid w:val="008F22A0"/>
    <w:rsid w:val="008F232E"/>
    <w:rsid w:val="008F239A"/>
    <w:rsid w:val="008F23AE"/>
    <w:rsid w:val="008F23FE"/>
    <w:rsid w:val="008F2428"/>
    <w:rsid w:val="008F243A"/>
    <w:rsid w:val="008F2488"/>
    <w:rsid w:val="008F2565"/>
    <w:rsid w:val="008F25DE"/>
    <w:rsid w:val="008F26B6"/>
    <w:rsid w:val="008F2735"/>
    <w:rsid w:val="008F273E"/>
    <w:rsid w:val="008F2746"/>
    <w:rsid w:val="008F27A1"/>
    <w:rsid w:val="008F28BC"/>
    <w:rsid w:val="008F290F"/>
    <w:rsid w:val="008F29AE"/>
    <w:rsid w:val="008F29C0"/>
    <w:rsid w:val="008F2C63"/>
    <w:rsid w:val="008F2C6C"/>
    <w:rsid w:val="008F2D18"/>
    <w:rsid w:val="008F2D33"/>
    <w:rsid w:val="008F2DBF"/>
    <w:rsid w:val="008F2DEB"/>
    <w:rsid w:val="008F2E36"/>
    <w:rsid w:val="008F2F3F"/>
    <w:rsid w:val="008F2FF1"/>
    <w:rsid w:val="008F3051"/>
    <w:rsid w:val="008F305B"/>
    <w:rsid w:val="008F3384"/>
    <w:rsid w:val="008F346B"/>
    <w:rsid w:val="008F3478"/>
    <w:rsid w:val="008F3512"/>
    <w:rsid w:val="008F3520"/>
    <w:rsid w:val="008F356F"/>
    <w:rsid w:val="008F35A5"/>
    <w:rsid w:val="008F35E3"/>
    <w:rsid w:val="008F3789"/>
    <w:rsid w:val="008F37D9"/>
    <w:rsid w:val="008F3921"/>
    <w:rsid w:val="008F3927"/>
    <w:rsid w:val="008F39B2"/>
    <w:rsid w:val="008F3AD1"/>
    <w:rsid w:val="008F3BEA"/>
    <w:rsid w:val="008F3BF5"/>
    <w:rsid w:val="008F3CDD"/>
    <w:rsid w:val="008F3D8F"/>
    <w:rsid w:val="008F3E0F"/>
    <w:rsid w:val="008F3E6A"/>
    <w:rsid w:val="008F3E9C"/>
    <w:rsid w:val="008F3EA6"/>
    <w:rsid w:val="008F3F20"/>
    <w:rsid w:val="008F3F7B"/>
    <w:rsid w:val="008F3F8A"/>
    <w:rsid w:val="008F3FA3"/>
    <w:rsid w:val="008F3FF4"/>
    <w:rsid w:val="008F4013"/>
    <w:rsid w:val="008F40C4"/>
    <w:rsid w:val="008F418A"/>
    <w:rsid w:val="008F4195"/>
    <w:rsid w:val="008F4278"/>
    <w:rsid w:val="008F433C"/>
    <w:rsid w:val="008F439E"/>
    <w:rsid w:val="008F43BF"/>
    <w:rsid w:val="008F43E3"/>
    <w:rsid w:val="008F451E"/>
    <w:rsid w:val="008F4558"/>
    <w:rsid w:val="008F45A2"/>
    <w:rsid w:val="008F45BD"/>
    <w:rsid w:val="008F4626"/>
    <w:rsid w:val="008F466D"/>
    <w:rsid w:val="008F4787"/>
    <w:rsid w:val="008F47BF"/>
    <w:rsid w:val="008F480E"/>
    <w:rsid w:val="008F48AC"/>
    <w:rsid w:val="008F4918"/>
    <w:rsid w:val="008F4959"/>
    <w:rsid w:val="008F498A"/>
    <w:rsid w:val="008F4A20"/>
    <w:rsid w:val="008F4A62"/>
    <w:rsid w:val="008F4A63"/>
    <w:rsid w:val="008F4AC7"/>
    <w:rsid w:val="008F4AFA"/>
    <w:rsid w:val="008F4C3A"/>
    <w:rsid w:val="008F4CB4"/>
    <w:rsid w:val="008F4CB6"/>
    <w:rsid w:val="008F4D12"/>
    <w:rsid w:val="008F4D1A"/>
    <w:rsid w:val="008F4E50"/>
    <w:rsid w:val="008F4F62"/>
    <w:rsid w:val="008F4F7F"/>
    <w:rsid w:val="008F4FBE"/>
    <w:rsid w:val="008F51D5"/>
    <w:rsid w:val="008F52CD"/>
    <w:rsid w:val="008F52EA"/>
    <w:rsid w:val="008F532D"/>
    <w:rsid w:val="008F5369"/>
    <w:rsid w:val="008F5378"/>
    <w:rsid w:val="008F53E1"/>
    <w:rsid w:val="008F5413"/>
    <w:rsid w:val="008F545D"/>
    <w:rsid w:val="008F549B"/>
    <w:rsid w:val="008F54C0"/>
    <w:rsid w:val="008F554C"/>
    <w:rsid w:val="008F555E"/>
    <w:rsid w:val="008F5674"/>
    <w:rsid w:val="008F5765"/>
    <w:rsid w:val="008F5825"/>
    <w:rsid w:val="008F594C"/>
    <w:rsid w:val="008F5966"/>
    <w:rsid w:val="008F5AC4"/>
    <w:rsid w:val="008F5B0E"/>
    <w:rsid w:val="008F5BD3"/>
    <w:rsid w:val="008F5C2E"/>
    <w:rsid w:val="008F5C64"/>
    <w:rsid w:val="008F5C82"/>
    <w:rsid w:val="008F5C8C"/>
    <w:rsid w:val="008F5CA8"/>
    <w:rsid w:val="008F5D0C"/>
    <w:rsid w:val="008F5D84"/>
    <w:rsid w:val="008F5DE7"/>
    <w:rsid w:val="008F5E25"/>
    <w:rsid w:val="008F5E8B"/>
    <w:rsid w:val="008F5ECA"/>
    <w:rsid w:val="008F5F58"/>
    <w:rsid w:val="008F5F61"/>
    <w:rsid w:val="008F5F7E"/>
    <w:rsid w:val="008F603A"/>
    <w:rsid w:val="008F6068"/>
    <w:rsid w:val="008F608F"/>
    <w:rsid w:val="008F60C8"/>
    <w:rsid w:val="008F62F1"/>
    <w:rsid w:val="008F62F4"/>
    <w:rsid w:val="008F632B"/>
    <w:rsid w:val="008F63B2"/>
    <w:rsid w:val="008F63CE"/>
    <w:rsid w:val="008F640D"/>
    <w:rsid w:val="008F6497"/>
    <w:rsid w:val="008F64DC"/>
    <w:rsid w:val="008F657A"/>
    <w:rsid w:val="008F6585"/>
    <w:rsid w:val="008F6597"/>
    <w:rsid w:val="008F66A0"/>
    <w:rsid w:val="008F6792"/>
    <w:rsid w:val="008F6861"/>
    <w:rsid w:val="008F6871"/>
    <w:rsid w:val="008F68D3"/>
    <w:rsid w:val="008F6958"/>
    <w:rsid w:val="008F6A22"/>
    <w:rsid w:val="008F6A51"/>
    <w:rsid w:val="008F6A67"/>
    <w:rsid w:val="008F6B1A"/>
    <w:rsid w:val="008F6B84"/>
    <w:rsid w:val="008F6CC4"/>
    <w:rsid w:val="008F6D56"/>
    <w:rsid w:val="008F6DAC"/>
    <w:rsid w:val="008F6DC5"/>
    <w:rsid w:val="008F6E73"/>
    <w:rsid w:val="008F6E7A"/>
    <w:rsid w:val="008F6E7F"/>
    <w:rsid w:val="008F6E9A"/>
    <w:rsid w:val="008F6F1F"/>
    <w:rsid w:val="008F6FB0"/>
    <w:rsid w:val="008F6FB1"/>
    <w:rsid w:val="008F6FC8"/>
    <w:rsid w:val="008F70BA"/>
    <w:rsid w:val="008F713F"/>
    <w:rsid w:val="008F71CB"/>
    <w:rsid w:val="008F7256"/>
    <w:rsid w:val="008F7287"/>
    <w:rsid w:val="008F7290"/>
    <w:rsid w:val="008F7498"/>
    <w:rsid w:val="008F74A7"/>
    <w:rsid w:val="008F7536"/>
    <w:rsid w:val="008F7592"/>
    <w:rsid w:val="008F75C7"/>
    <w:rsid w:val="008F7610"/>
    <w:rsid w:val="008F761B"/>
    <w:rsid w:val="008F7791"/>
    <w:rsid w:val="008F77F9"/>
    <w:rsid w:val="008F7855"/>
    <w:rsid w:val="008F78EC"/>
    <w:rsid w:val="008F7A86"/>
    <w:rsid w:val="008F7ACD"/>
    <w:rsid w:val="008F7B53"/>
    <w:rsid w:val="008F7CA9"/>
    <w:rsid w:val="008F7CDB"/>
    <w:rsid w:val="008F7CDC"/>
    <w:rsid w:val="008F7D62"/>
    <w:rsid w:val="008F7E0E"/>
    <w:rsid w:val="008F7EDD"/>
    <w:rsid w:val="008F7F3F"/>
    <w:rsid w:val="008F7FC2"/>
    <w:rsid w:val="00900068"/>
    <w:rsid w:val="0090015B"/>
    <w:rsid w:val="0090022B"/>
    <w:rsid w:val="00900259"/>
    <w:rsid w:val="009002B7"/>
    <w:rsid w:val="009002BB"/>
    <w:rsid w:val="00900340"/>
    <w:rsid w:val="009004CC"/>
    <w:rsid w:val="00900514"/>
    <w:rsid w:val="00900680"/>
    <w:rsid w:val="009006D7"/>
    <w:rsid w:val="00900774"/>
    <w:rsid w:val="00900896"/>
    <w:rsid w:val="009008E3"/>
    <w:rsid w:val="00900944"/>
    <w:rsid w:val="00900959"/>
    <w:rsid w:val="0090099D"/>
    <w:rsid w:val="009009E3"/>
    <w:rsid w:val="00900ACB"/>
    <w:rsid w:val="00900B4D"/>
    <w:rsid w:val="00900B56"/>
    <w:rsid w:val="00900B8D"/>
    <w:rsid w:val="00900BE0"/>
    <w:rsid w:val="00900DF5"/>
    <w:rsid w:val="0090102C"/>
    <w:rsid w:val="00901096"/>
    <w:rsid w:val="009010B5"/>
    <w:rsid w:val="00901214"/>
    <w:rsid w:val="00901224"/>
    <w:rsid w:val="009012B8"/>
    <w:rsid w:val="009012BE"/>
    <w:rsid w:val="00901393"/>
    <w:rsid w:val="009013E0"/>
    <w:rsid w:val="009013FF"/>
    <w:rsid w:val="009014EF"/>
    <w:rsid w:val="009015C5"/>
    <w:rsid w:val="009015D0"/>
    <w:rsid w:val="00901604"/>
    <w:rsid w:val="00901737"/>
    <w:rsid w:val="00901748"/>
    <w:rsid w:val="00901764"/>
    <w:rsid w:val="0090182A"/>
    <w:rsid w:val="009018E3"/>
    <w:rsid w:val="009018E7"/>
    <w:rsid w:val="00901A7F"/>
    <w:rsid w:val="00901ACA"/>
    <w:rsid w:val="00901B3B"/>
    <w:rsid w:val="00901B92"/>
    <w:rsid w:val="00901C3D"/>
    <w:rsid w:val="00901C41"/>
    <w:rsid w:val="00901C4B"/>
    <w:rsid w:val="00901CB0"/>
    <w:rsid w:val="00901E0C"/>
    <w:rsid w:val="00901E3D"/>
    <w:rsid w:val="00901ECF"/>
    <w:rsid w:val="00901F29"/>
    <w:rsid w:val="00901F66"/>
    <w:rsid w:val="00901F97"/>
    <w:rsid w:val="00902026"/>
    <w:rsid w:val="00902134"/>
    <w:rsid w:val="009022A4"/>
    <w:rsid w:val="00902385"/>
    <w:rsid w:val="00902402"/>
    <w:rsid w:val="00902516"/>
    <w:rsid w:val="0090251C"/>
    <w:rsid w:val="0090251F"/>
    <w:rsid w:val="00902614"/>
    <w:rsid w:val="00902662"/>
    <w:rsid w:val="00902696"/>
    <w:rsid w:val="009026A8"/>
    <w:rsid w:val="00902744"/>
    <w:rsid w:val="00902755"/>
    <w:rsid w:val="00902762"/>
    <w:rsid w:val="009028B9"/>
    <w:rsid w:val="0090294A"/>
    <w:rsid w:val="009029E4"/>
    <w:rsid w:val="009029F5"/>
    <w:rsid w:val="00902A07"/>
    <w:rsid w:val="00902A97"/>
    <w:rsid w:val="00902B3B"/>
    <w:rsid w:val="00902C6C"/>
    <w:rsid w:val="00902C7D"/>
    <w:rsid w:val="00902CB2"/>
    <w:rsid w:val="00902CDA"/>
    <w:rsid w:val="00902D1D"/>
    <w:rsid w:val="00902D35"/>
    <w:rsid w:val="00902D6B"/>
    <w:rsid w:val="00902D8F"/>
    <w:rsid w:val="00902DAF"/>
    <w:rsid w:val="00902E20"/>
    <w:rsid w:val="00902ED4"/>
    <w:rsid w:val="00902F68"/>
    <w:rsid w:val="009030BC"/>
    <w:rsid w:val="009031CF"/>
    <w:rsid w:val="009031EE"/>
    <w:rsid w:val="0090321D"/>
    <w:rsid w:val="00903257"/>
    <w:rsid w:val="00903345"/>
    <w:rsid w:val="009033D3"/>
    <w:rsid w:val="0090349B"/>
    <w:rsid w:val="0090367F"/>
    <w:rsid w:val="0090370E"/>
    <w:rsid w:val="00903719"/>
    <w:rsid w:val="00903726"/>
    <w:rsid w:val="009037B8"/>
    <w:rsid w:val="00903825"/>
    <w:rsid w:val="009039CC"/>
    <w:rsid w:val="00903AB0"/>
    <w:rsid w:val="00903B16"/>
    <w:rsid w:val="00903BC1"/>
    <w:rsid w:val="00903C72"/>
    <w:rsid w:val="00903DFF"/>
    <w:rsid w:val="00903E48"/>
    <w:rsid w:val="00903F3B"/>
    <w:rsid w:val="00903F3E"/>
    <w:rsid w:val="00903F5B"/>
    <w:rsid w:val="00904159"/>
    <w:rsid w:val="0090418D"/>
    <w:rsid w:val="009041D3"/>
    <w:rsid w:val="0090423B"/>
    <w:rsid w:val="009042AB"/>
    <w:rsid w:val="0090432F"/>
    <w:rsid w:val="0090442F"/>
    <w:rsid w:val="0090446F"/>
    <w:rsid w:val="009044CC"/>
    <w:rsid w:val="009044FC"/>
    <w:rsid w:val="009044FF"/>
    <w:rsid w:val="0090457F"/>
    <w:rsid w:val="009045B6"/>
    <w:rsid w:val="00904661"/>
    <w:rsid w:val="009046DB"/>
    <w:rsid w:val="009046E2"/>
    <w:rsid w:val="0090475E"/>
    <w:rsid w:val="009047D5"/>
    <w:rsid w:val="009047F8"/>
    <w:rsid w:val="00904802"/>
    <w:rsid w:val="00904850"/>
    <w:rsid w:val="009048B4"/>
    <w:rsid w:val="009048CE"/>
    <w:rsid w:val="00904985"/>
    <w:rsid w:val="009049B6"/>
    <w:rsid w:val="009049D6"/>
    <w:rsid w:val="009049F7"/>
    <w:rsid w:val="00904A13"/>
    <w:rsid w:val="00904A4A"/>
    <w:rsid w:val="00904B0A"/>
    <w:rsid w:val="00904BA8"/>
    <w:rsid w:val="00904BF4"/>
    <w:rsid w:val="00904E38"/>
    <w:rsid w:val="00904E43"/>
    <w:rsid w:val="00904EBD"/>
    <w:rsid w:val="00904EF5"/>
    <w:rsid w:val="00904F39"/>
    <w:rsid w:val="00904FE6"/>
    <w:rsid w:val="009050FD"/>
    <w:rsid w:val="0090515F"/>
    <w:rsid w:val="00905207"/>
    <w:rsid w:val="00905296"/>
    <w:rsid w:val="009052A6"/>
    <w:rsid w:val="009052F1"/>
    <w:rsid w:val="009054DB"/>
    <w:rsid w:val="00905534"/>
    <w:rsid w:val="0090556E"/>
    <w:rsid w:val="00905595"/>
    <w:rsid w:val="009055B8"/>
    <w:rsid w:val="009055B9"/>
    <w:rsid w:val="00905619"/>
    <w:rsid w:val="0090562A"/>
    <w:rsid w:val="0090564D"/>
    <w:rsid w:val="00905671"/>
    <w:rsid w:val="009056C4"/>
    <w:rsid w:val="009056C7"/>
    <w:rsid w:val="009056DF"/>
    <w:rsid w:val="0090574F"/>
    <w:rsid w:val="00905918"/>
    <w:rsid w:val="00905940"/>
    <w:rsid w:val="0090598C"/>
    <w:rsid w:val="009059A4"/>
    <w:rsid w:val="00905A5B"/>
    <w:rsid w:val="00905AFA"/>
    <w:rsid w:val="00905B70"/>
    <w:rsid w:val="00905BED"/>
    <w:rsid w:val="00905C1F"/>
    <w:rsid w:val="00905C35"/>
    <w:rsid w:val="00905C86"/>
    <w:rsid w:val="00905CC7"/>
    <w:rsid w:val="00905D04"/>
    <w:rsid w:val="00905D10"/>
    <w:rsid w:val="00905D9A"/>
    <w:rsid w:val="00905DDB"/>
    <w:rsid w:val="00905E74"/>
    <w:rsid w:val="00905E8D"/>
    <w:rsid w:val="00905F56"/>
    <w:rsid w:val="00905F90"/>
    <w:rsid w:val="00905FB8"/>
    <w:rsid w:val="00905FF0"/>
    <w:rsid w:val="00906001"/>
    <w:rsid w:val="00906006"/>
    <w:rsid w:val="00906116"/>
    <w:rsid w:val="009061BA"/>
    <w:rsid w:val="00906233"/>
    <w:rsid w:val="00906293"/>
    <w:rsid w:val="009062DA"/>
    <w:rsid w:val="0090643D"/>
    <w:rsid w:val="0090652D"/>
    <w:rsid w:val="00906552"/>
    <w:rsid w:val="0090658C"/>
    <w:rsid w:val="009065C9"/>
    <w:rsid w:val="00906635"/>
    <w:rsid w:val="009066A8"/>
    <w:rsid w:val="009066E9"/>
    <w:rsid w:val="009067B4"/>
    <w:rsid w:val="009068CC"/>
    <w:rsid w:val="009068F9"/>
    <w:rsid w:val="00906AB7"/>
    <w:rsid w:val="00906B0D"/>
    <w:rsid w:val="00906C11"/>
    <w:rsid w:val="00906CF7"/>
    <w:rsid w:val="00906D8D"/>
    <w:rsid w:val="00906D97"/>
    <w:rsid w:val="00906E5C"/>
    <w:rsid w:val="00906E5D"/>
    <w:rsid w:val="00906E90"/>
    <w:rsid w:val="0090713B"/>
    <w:rsid w:val="00907144"/>
    <w:rsid w:val="00907153"/>
    <w:rsid w:val="0090727E"/>
    <w:rsid w:val="009072D3"/>
    <w:rsid w:val="009073A4"/>
    <w:rsid w:val="009073EE"/>
    <w:rsid w:val="00907423"/>
    <w:rsid w:val="00907498"/>
    <w:rsid w:val="009074D0"/>
    <w:rsid w:val="00907577"/>
    <w:rsid w:val="00907588"/>
    <w:rsid w:val="009075B3"/>
    <w:rsid w:val="00907636"/>
    <w:rsid w:val="00907705"/>
    <w:rsid w:val="009077B1"/>
    <w:rsid w:val="00907816"/>
    <w:rsid w:val="0090781E"/>
    <w:rsid w:val="0090782E"/>
    <w:rsid w:val="0090785B"/>
    <w:rsid w:val="009078BE"/>
    <w:rsid w:val="009078C1"/>
    <w:rsid w:val="00907908"/>
    <w:rsid w:val="0090796D"/>
    <w:rsid w:val="00907A72"/>
    <w:rsid w:val="00907A8E"/>
    <w:rsid w:val="00907AFD"/>
    <w:rsid w:val="00907B23"/>
    <w:rsid w:val="00907B94"/>
    <w:rsid w:val="00907C74"/>
    <w:rsid w:val="00907C93"/>
    <w:rsid w:val="00907CA1"/>
    <w:rsid w:val="00907CC1"/>
    <w:rsid w:val="00907CF5"/>
    <w:rsid w:val="00907D2E"/>
    <w:rsid w:val="00907D5C"/>
    <w:rsid w:val="00907E20"/>
    <w:rsid w:val="00907E3E"/>
    <w:rsid w:val="00907E64"/>
    <w:rsid w:val="00907E73"/>
    <w:rsid w:val="00907E74"/>
    <w:rsid w:val="00907E99"/>
    <w:rsid w:val="00907EEF"/>
    <w:rsid w:val="00910006"/>
    <w:rsid w:val="0091006D"/>
    <w:rsid w:val="00910074"/>
    <w:rsid w:val="00910143"/>
    <w:rsid w:val="00910147"/>
    <w:rsid w:val="009101A9"/>
    <w:rsid w:val="009101F0"/>
    <w:rsid w:val="009101F5"/>
    <w:rsid w:val="0091029D"/>
    <w:rsid w:val="009102EC"/>
    <w:rsid w:val="00910376"/>
    <w:rsid w:val="009103CC"/>
    <w:rsid w:val="0091041C"/>
    <w:rsid w:val="00910465"/>
    <w:rsid w:val="009104E2"/>
    <w:rsid w:val="00910576"/>
    <w:rsid w:val="0091065C"/>
    <w:rsid w:val="0091079D"/>
    <w:rsid w:val="009107CF"/>
    <w:rsid w:val="009108EC"/>
    <w:rsid w:val="00910932"/>
    <w:rsid w:val="0091095C"/>
    <w:rsid w:val="00910962"/>
    <w:rsid w:val="00910AE4"/>
    <w:rsid w:val="00910CE7"/>
    <w:rsid w:val="00910CFD"/>
    <w:rsid w:val="00910E53"/>
    <w:rsid w:val="00910FDE"/>
    <w:rsid w:val="0091103F"/>
    <w:rsid w:val="00911053"/>
    <w:rsid w:val="009110E7"/>
    <w:rsid w:val="0091112D"/>
    <w:rsid w:val="0091125B"/>
    <w:rsid w:val="009113A7"/>
    <w:rsid w:val="0091149E"/>
    <w:rsid w:val="009114F7"/>
    <w:rsid w:val="00911518"/>
    <w:rsid w:val="0091161E"/>
    <w:rsid w:val="00911734"/>
    <w:rsid w:val="00911766"/>
    <w:rsid w:val="0091178D"/>
    <w:rsid w:val="009117AD"/>
    <w:rsid w:val="00911865"/>
    <w:rsid w:val="00911983"/>
    <w:rsid w:val="009119E8"/>
    <w:rsid w:val="00911A26"/>
    <w:rsid w:val="00911A46"/>
    <w:rsid w:val="00911AD8"/>
    <w:rsid w:val="00911B27"/>
    <w:rsid w:val="00911B44"/>
    <w:rsid w:val="00911B85"/>
    <w:rsid w:val="00911C11"/>
    <w:rsid w:val="00911C47"/>
    <w:rsid w:val="00911C6F"/>
    <w:rsid w:val="00911CC8"/>
    <w:rsid w:val="00911CDE"/>
    <w:rsid w:val="00911EC9"/>
    <w:rsid w:val="00911EDB"/>
    <w:rsid w:val="00911F63"/>
    <w:rsid w:val="0091204A"/>
    <w:rsid w:val="00912055"/>
    <w:rsid w:val="009120A4"/>
    <w:rsid w:val="009120AE"/>
    <w:rsid w:val="00912123"/>
    <w:rsid w:val="0091218F"/>
    <w:rsid w:val="009121B6"/>
    <w:rsid w:val="0091223F"/>
    <w:rsid w:val="0091228F"/>
    <w:rsid w:val="009122C8"/>
    <w:rsid w:val="0091231A"/>
    <w:rsid w:val="00912383"/>
    <w:rsid w:val="009123A3"/>
    <w:rsid w:val="00912595"/>
    <w:rsid w:val="009125A7"/>
    <w:rsid w:val="009125C8"/>
    <w:rsid w:val="009125E1"/>
    <w:rsid w:val="00912641"/>
    <w:rsid w:val="0091275D"/>
    <w:rsid w:val="009127AA"/>
    <w:rsid w:val="0091281F"/>
    <w:rsid w:val="009128B1"/>
    <w:rsid w:val="00912949"/>
    <w:rsid w:val="00912954"/>
    <w:rsid w:val="009129E8"/>
    <w:rsid w:val="00912A8C"/>
    <w:rsid w:val="00912AA2"/>
    <w:rsid w:val="00912ACB"/>
    <w:rsid w:val="00912ADB"/>
    <w:rsid w:val="00912B14"/>
    <w:rsid w:val="00912B30"/>
    <w:rsid w:val="00912B60"/>
    <w:rsid w:val="00912B83"/>
    <w:rsid w:val="00912C1B"/>
    <w:rsid w:val="00912C1F"/>
    <w:rsid w:val="00912C2E"/>
    <w:rsid w:val="00912C7F"/>
    <w:rsid w:val="00912CD9"/>
    <w:rsid w:val="00912CFA"/>
    <w:rsid w:val="00912D1A"/>
    <w:rsid w:val="00912D4A"/>
    <w:rsid w:val="00912D6F"/>
    <w:rsid w:val="00912E15"/>
    <w:rsid w:val="00912E1A"/>
    <w:rsid w:val="00912E1B"/>
    <w:rsid w:val="00912E34"/>
    <w:rsid w:val="00912E3B"/>
    <w:rsid w:val="00912E48"/>
    <w:rsid w:val="00912E63"/>
    <w:rsid w:val="00912E8D"/>
    <w:rsid w:val="00912F42"/>
    <w:rsid w:val="00912F59"/>
    <w:rsid w:val="00913102"/>
    <w:rsid w:val="00913136"/>
    <w:rsid w:val="009131AC"/>
    <w:rsid w:val="00913354"/>
    <w:rsid w:val="00913377"/>
    <w:rsid w:val="00913398"/>
    <w:rsid w:val="00913468"/>
    <w:rsid w:val="009134BF"/>
    <w:rsid w:val="00913520"/>
    <w:rsid w:val="009135A4"/>
    <w:rsid w:val="009135C8"/>
    <w:rsid w:val="009135FE"/>
    <w:rsid w:val="00913676"/>
    <w:rsid w:val="0091379F"/>
    <w:rsid w:val="0091383D"/>
    <w:rsid w:val="00913840"/>
    <w:rsid w:val="0091384E"/>
    <w:rsid w:val="00913925"/>
    <w:rsid w:val="00913987"/>
    <w:rsid w:val="00913997"/>
    <w:rsid w:val="0091399F"/>
    <w:rsid w:val="009139EA"/>
    <w:rsid w:val="009139FB"/>
    <w:rsid w:val="00913A8B"/>
    <w:rsid w:val="00913B80"/>
    <w:rsid w:val="00913C16"/>
    <w:rsid w:val="00913CB9"/>
    <w:rsid w:val="00913D57"/>
    <w:rsid w:val="00913D6F"/>
    <w:rsid w:val="00913F34"/>
    <w:rsid w:val="00913FCE"/>
    <w:rsid w:val="00914029"/>
    <w:rsid w:val="00914044"/>
    <w:rsid w:val="009140A5"/>
    <w:rsid w:val="009140AD"/>
    <w:rsid w:val="00914169"/>
    <w:rsid w:val="009141EF"/>
    <w:rsid w:val="00914249"/>
    <w:rsid w:val="009142A0"/>
    <w:rsid w:val="009142AB"/>
    <w:rsid w:val="0091437D"/>
    <w:rsid w:val="0091450B"/>
    <w:rsid w:val="00914530"/>
    <w:rsid w:val="0091463D"/>
    <w:rsid w:val="00914676"/>
    <w:rsid w:val="009146C1"/>
    <w:rsid w:val="00914848"/>
    <w:rsid w:val="00914953"/>
    <w:rsid w:val="0091498C"/>
    <w:rsid w:val="0091499D"/>
    <w:rsid w:val="00914A3D"/>
    <w:rsid w:val="00914AE0"/>
    <w:rsid w:val="00914AEB"/>
    <w:rsid w:val="00914B8B"/>
    <w:rsid w:val="00914B9E"/>
    <w:rsid w:val="00914C76"/>
    <w:rsid w:val="00914CB2"/>
    <w:rsid w:val="00914CF5"/>
    <w:rsid w:val="00914D8F"/>
    <w:rsid w:val="00914E7F"/>
    <w:rsid w:val="00914E8C"/>
    <w:rsid w:val="00914EE0"/>
    <w:rsid w:val="00914F84"/>
    <w:rsid w:val="009150B7"/>
    <w:rsid w:val="009150D1"/>
    <w:rsid w:val="0091514B"/>
    <w:rsid w:val="009151CB"/>
    <w:rsid w:val="009151E6"/>
    <w:rsid w:val="009151F4"/>
    <w:rsid w:val="0091525D"/>
    <w:rsid w:val="00915297"/>
    <w:rsid w:val="009152D1"/>
    <w:rsid w:val="00915334"/>
    <w:rsid w:val="0091534F"/>
    <w:rsid w:val="0091537A"/>
    <w:rsid w:val="009153D7"/>
    <w:rsid w:val="0091546D"/>
    <w:rsid w:val="009154E3"/>
    <w:rsid w:val="00915519"/>
    <w:rsid w:val="009155E0"/>
    <w:rsid w:val="0091562B"/>
    <w:rsid w:val="009156F3"/>
    <w:rsid w:val="0091576F"/>
    <w:rsid w:val="009158B8"/>
    <w:rsid w:val="009158C1"/>
    <w:rsid w:val="009158DB"/>
    <w:rsid w:val="00915942"/>
    <w:rsid w:val="00915953"/>
    <w:rsid w:val="0091597D"/>
    <w:rsid w:val="009159D5"/>
    <w:rsid w:val="00915A85"/>
    <w:rsid w:val="00915AA7"/>
    <w:rsid w:val="00915ABD"/>
    <w:rsid w:val="00915ACA"/>
    <w:rsid w:val="00915ACF"/>
    <w:rsid w:val="00915B0D"/>
    <w:rsid w:val="00915B42"/>
    <w:rsid w:val="00915C1D"/>
    <w:rsid w:val="00915D91"/>
    <w:rsid w:val="00915DA8"/>
    <w:rsid w:val="00915E17"/>
    <w:rsid w:val="00915E54"/>
    <w:rsid w:val="00915ED9"/>
    <w:rsid w:val="00915EF1"/>
    <w:rsid w:val="009160D6"/>
    <w:rsid w:val="009160E6"/>
    <w:rsid w:val="0091611F"/>
    <w:rsid w:val="0091616C"/>
    <w:rsid w:val="009161AB"/>
    <w:rsid w:val="00916273"/>
    <w:rsid w:val="00916321"/>
    <w:rsid w:val="009163E8"/>
    <w:rsid w:val="00916520"/>
    <w:rsid w:val="00916584"/>
    <w:rsid w:val="009166F5"/>
    <w:rsid w:val="00916716"/>
    <w:rsid w:val="00916725"/>
    <w:rsid w:val="00916753"/>
    <w:rsid w:val="009167D0"/>
    <w:rsid w:val="00916872"/>
    <w:rsid w:val="009168E9"/>
    <w:rsid w:val="00916959"/>
    <w:rsid w:val="00916A5B"/>
    <w:rsid w:val="00916A6E"/>
    <w:rsid w:val="00916AA0"/>
    <w:rsid w:val="00916AA2"/>
    <w:rsid w:val="00916AC3"/>
    <w:rsid w:val="00916B4D"/>
    <w:rsid w:val="00916BBA"/>
    <w:rsid w:val="00916C03"/>
    <w:rsid w:val="00916C22"/>
    <w:rsid w:val="00916C5C"/>
    <w:rsid w:val="00916CBF"/>
    <w:rsid w:val="00916D05"/>
    <w:rsid w:val="00916D3E"/>
    <w:rsid w:val="00916D43"/>
    <w:rsid w:val="00916D86"/>
    <w:rsid w:val="00916F3C"/>
    <w:rsid w:val="00916F40"/>
    <w:rsid w:val="00916F4D"/>
    <w:rsid w:val="00916F9C"/>
    <w:rsid w:val="00916FAD"/>
    <w:rsid w:val="00916FB8"/>
    <w:rsid w:val="0091704D"/>
    <w:rsid w:val="0091715C"/>
    <w:rsid w:val="0091717A"/>
    <w:rsid w:val="00917191"/>
    <w:rsid w:val="009171A6"/>
    <w:rsid w:val="009171DD"/>
    <w:rsid w:val="00917268"/>
    <w:rsid w:val="00917304"/>
    <w:rsid w:val="0091740B"/>
    <w:rsid w:val="009174E7"/>
    <w:rsid w:val="009175F0"/>
    <w:rsid w:val="0091766D"/>
    <w:rsid w:val="009176DD"/>
    <w:rsid w:val="00917708"/>
    <w:rsid w:val="0091776F"/>
    <w:rsid w:val="00917783"/>
    <w:rsid w:val="009177A4"/>
    <w:rsid w:val="00917814"/>
    <w:rsid w:val="00917859"/>
    <w:rsid w:val="00917A1E"/>
    <w:rsid w:val="00917AA5"/>
    <w:rsid w:val="00917AFE"/>
    <w:rsid w:val="00917BA5"/>
    <w:rsid w:val="00917C48"/>
    <w:rsid w:val="00917C83"/>
    <w:rsid w:val="00917D8A"/>
    <w:rsid w:val="00917DCA"/>
    <w:rsid w:val="00917EAC"/>
    <w:rsid w:val="00917F12"/>
    <w:rsid w:val="0092003E"/>
    <w:rsid w:val="009200DD"/>
    <w:rsid w:val="0092019F"/>
    <w:rsid w:val="009201D3"/>
    <w:rsid w:val="009201DA"/>
    <w:rsid w:val="0092027F"/>
    <w:rsid w:val="009202D4"/>
    <w:rsid w:val="009202D9"/>
    <w:rsid w:val="00920331"/>
    <w:rsid w:val="009203A7"/>
    <w:rsid w:val="00920420"/>
    <w:rsid w:val="00920428"/>
    <w:rsid w:val="0092049A"/>
    <w:rsid w:val="009204D6"/>
    <w:rsid w:val="0092053C"/>
    <w:rsid w:val="00920651"/>
    <w:rsid w:val="009206B9"/>
    <w:rsid w:val="009206CC"/>
    <w:rsid w:val="009206DF"/>
    <w:rsid w:val="009206FB"/>
    <w:rsid w:val="0092074A"/>
    <w:rsid w:val="00920753"/>
    <w:rsid w:val="00920801"/>
    <w:rsid w:val="009208D5"/>
    <w:rsid w:val="009208E5"/>
    <w:rsid w:val="00920964"/>
    <w:rsid w:val="00920AB2"/>
    <w:rsid w:val="00920B7F"/>
    <w:rsid w:val="00920C25"/>
    <w:rsid w:val="00920CFB"/>
    <w:rsid w:val="00920CFC"/>
    <w:rsid w:val="00920D1D"/>
    <w:rsid w:val="00920D4A"/>
    <w:rsid w:val="00920D63"/>
    <w:rsid w:val="00920DCE"/>
    <w:rsid w:val="00920E43"/>
    <w:rsid w:val="00920E74"/>
    <w:rsid w:val="00920E98"/>
    <w:rsid w:val="00920F18"/>
    <w:rsid w:val="00920F39"/>
    <w:rsid w:val="00920F46"/>
    <w:rsid w:val="00920F9A"/>
    <w:rsid w:val="0092102E"/>
    <w:rsid w:val="00921082"/>
    <w:rsid w:val="0092113A"/>
    <w:rsid w:val="00921162"/>
    <w:rsid w:val="009211A8"/>
    <w:rsid w:val="00921243"/>
    <w:rsid w:val="0092129A"/>
    <w:rsid w:val="009212F9"/>
    <w:rsid w:val="00921317"/>
    <w:rsid w:val="00921467"/>
    <w:rsid w:val="00921477"/>
    <w:rsid w:val="00921496"/>
    <w:rsid w:val="009214F5"/>
    <w:rsid w:val="0092160B"/>
    <w:rsid w:val="0092166A"/>
    <w:rsid w:val="009216FB"/>
    <w:rsid w:val="009217C5"/>
    <w:rsid w:val="009217E5"/>
    <w:rsid w:val="009218E1"/>
    <w:rsid w:val="00921973"/>
    <w:rsid w:val="00921A05"/>
    <w:rsid w:val="00921A57"/>
    <w:rsid w:val="00921A86"/>
    <w:rsid w:val="00921B65"/>
    <w:rsid w:val="00921C3E"/>
    <w:rsid w:val="00921C41"/>
    <w:rsid w:val="00921C7F"/>
    <w:rsid w:val="00921CDB"/>
    <w:rsid w:val="00921D17"/>
    <w:rsid w:val="00921DF9"/>
    <w:rsid w:val="00921E30"/>
    <w:rsid w:val="00921E34"/>
    <w:rsid w:val="00921E6C"/>
    <w:rsid w:val="00921F17"/>
    <w:rsid w:val="00921FF9"/>
    <w:rsid w:val="009220B0"/>
    <w:rsid w:val="0092212D"/>
    <w:rsid w:val="0092216D"/>
    <w:rsid w:val="009221E7"/>
    <w:rsid w:val="0092221E"/>
    <w:rsid w:val="00922226"/>
    <w:rsid w:val="0092235F"/>
    <w:rsid w:val="0092240B"/>
    <w:rsid w:val="00922461"/>
    <w:rsid w:val="009224D5"/>
    <w:rsid w:val="00922526"/>
    <w:rsid w:val="00922564"/>
    <w:rsid w:val="0092256F"/>
    <w:rsid w:val="009225AC"/>
    <w:rsid w:val="00922625"/>
    <w:rsid w:val="0092264B"/>
    <w:rsid w:val="0092268E"/>
    <w:rsid w:val="009226DF"/>
    <w:rsid w:val="009226E4"/>
    <w:rsid w:val="009227D2"/>
    <w:rsid w:val="009227E8"/>
    <w:rsid w:val="009228B5"/>
    <w:rsid w:val="00922903"/>
    <w:rsid w:val="0092298C"/>
    <w:rsid w:val="00922A90"/>
    <w:rsid w:val="00922B81"/>
    <w:rsid w:val="00922BE0"/>
    <w:rsid w:val="00922BE9"/>
    <w:rsid w:val="00922BF7"/>
    <w:rsid w:val="00922C51"/>
    <w:rsid w:val="00922C83"/>
    <w:rsid w:val="00922D88"/>
    <w:rsid w:val="00922D90"/>
    <w:rsid w:val="00922E1C"/>
    <w:rsid w:val="00922E3A"/>
    <w:rsid w:val="00922ED5"/>
    <w:rsid w:val="00922F52"/>
    <w:rsid w:val="00922F82"/>
    <w:rsid w:val="00922FAC"/>
    <w:rsid w:val="00922FBC"/>
    <w:rsid w:val="00923000"/>
    <w:rsid w:val="00923048"/>
    <w:rsid w:val="00923222"/>
    <w:rsid w:val="00923257"/>
    <w:rsid w:val="00923258"/>
    <w:rsid w:val="009232B7"/>
    <w:rsid w:val="00923387"/>
    <w:rsid w:val="009233D2"/>
    <w:rsid w:val="009234CE"/>
    <w:rsid w:val="009236A6"/>
    <w:rsid w:val="009236B4"/>
    <w:rsid w:val="0092380A"/>
    <w:rsid w:val="009238DC"/>
    <w:rsid w:val="009238E8"/>
    <w:rsid w:val="00923916"/>
    <w:rsid w:val="00923960"/>
    <w:rsid w:val="009239BA"/>
    <w:rsid w:val="00923A99"/>
    <w:rsid w:val="00923AB7"/>
    <w:rsid w:val="00923BE1"/>
    <w:rsid w:val="00923C3C"/>
    <w:rsid w:val="00923C57"/>
    <w:rsid w:val="00923C59"/>
    <w:rsid w:val="00923D27"/>
    <w:rsid w:val="00923D3D"/>
    <w:rsid w:val="00923D87"/>
    <w:rsid w:val="00923DD5"/>
    <w:rsid w:val="00923E1C"/>
    <w:rsid w:val="00923E61"/>
    <w:rsid w:val="00923EE6"/>
    <w:rsid w:val="00923EED"/>
    <w:rsid w:val="00923FAD"/>
    <w:rsid w:val="00924071"/>
    <w:rsid w:val="009240E2"/>
    <w:rsid w:val="00924190"/>
    <w:rsid w:val="0092420C"/>
    <w:rsid w:val="00924245"/>
    <w:rsid w:val="0092424E"/>
    <w:rsid w:val="00924274"/>
    <w:rsid w:val="009242A1"/>
    <w:rsid w:val="009242D9"/>
    <w:rsid w:val="0092431C"/>
    <w:rsid w:val="009245FD"/>
    <w:rsid w:val="00924610"/>
    <w:rsid w:val="009246F5"/>
    <w:rsid w:val="009247B8"/>
    <w:rsid w:val="009248CD"/>
    <w:rsid w:val="0092497E"/>
    <w:rsid w:val="009249C3"/>
    <w:rsid w:val="00924A44"/>
    <w:rsid w:val="00924A83"/>
    <w:rsid w:val="00924B89"/>
    <w:rsid w:val="00924D7E"/>
    <w:rsid w:val="00924DBA"/>
    <w:rsid w:val="00924DDE"/>
    <w:rsid w:val="00924E01"/>
    <w:rsid w:val="00924E3C"/>
    <w:rsid w:val="00924E43"/>
    <w:rsid w:val="00924E53"/>
    <w:rsid w:val="00924F1B"/>
    <w:rsid w:val="00924F1D"/>
    <w:rsid w:val="00924FF8"/>
    <w:rsid w:val="0092502E"/>
    <w:rsid w:val="009252C9"/>
    <w:rsid w:val="0092538E"/>
    <w:rsid w:val="0092555D"/>
    <w:rsid w:val="009255CC"/>
    <w:rsid w:val="00925676"/>
    <w:rsid w:val="00925693"/>
    <w:rsid w:val="009256B7"/>
    <w:rsid w:val="00925727"/>
    <w:rsid w:val="00925832"/>
    <w:rsid w:val="009258B9"/>
    <w:rsid w:val="0092592E"/>
    <w:rsid w:val="00925947"/>
    <w:rsid w:val="009259DB"/>
    <w:rsid w:val="00925A16"/>
    <w:rsid w:val="00925B17"/>
    <w:rsid w:val="00925B4D"/>
    <w:rsid w:val="00925B7F"/>
    <w:rsid w:val="00925C9E"/>
    <w:rsid w:val="00925D8C"/>
    <w:rsid w:val="00925DB3"/>
    <w:rsid w:val="00925E39"/>
    <w:rsid w:val="00925EE8"/>
    <w:rsid w:val="00925F5E"/>
    <w:rsid w:val="00925FE3"/>
    <w:rsid w:val="00926003"/>
    <w:rsid w:val="00926030"/>
    <w:rsid w:val="00926031"/>
    <w:rsid w:val="0092630F"/>
    <w:rsid w:val="0092631E"/>
    <w:rsid w:val="009263CB"/>
    <w:rsid w:val="00926437"/>
    <w:rsid w:val="0092644C"/>
    <w:rsid w:val="00926469"/>
    <w:rsid w:val="00926661"/>
    <w:rsid w:val="00926691"/>
    <w:rsid w:val="00926712"/>
    <w:rsid w:val="009267C7"/>
    <w:rsid w:val="009269B8"/>
    <w:rsid w:val="00926B8C"/>
    <w:rsid w:val="00926BEF"/>
    <w:rsid w:val="00926CBA"/>
    <w:rsid w:val="00926D47"/>
    <w:rsid w:val="00926DAD"/>
    <w:rsid w:val="00926DD5"/>
    <w:rsid w:val="00926F26"/>
    <w:rsid w:val="00926F72"/>
    <w:rsid w:val="0092706F"/>
    <w:rsid w:val="00927073"/>
    <w:rsid w:val="009271A7"/>
    <w:rsid w:val="0092724B"/>
    <w:rsid w:val="0092726F"/>
    <w:rsid w:val="009272D2"/>
    <w:rsid w:val="00927327"/>
    <w:rsid w:val="0092732A"/>
    <w:rsid w:val="00927359"/>
    <w:rsid w:val="00927425"/>
    <w:rsid w:val="00927541"/>
    <w:rsid w:val="009275B2"/>
    <w:rsid w:val="009275C2"/>
    <w:rsid w:val="009275D1"/>
    <w:rsid w:val="00927709"/>
    <w:rsid w:val="00927744"/>
    <w:rsid w:val="0092778E"/>
    <w:rsid w:val="009277A6"/>
    <w:rsid w:val="0092781D"/>
    <w:rsid w:val="0092785A"/>
    <w:rsid w:val="009278B9"/>
    <w:rsid w:val="0092793B"/>
    <w:rsid w:val="009279DC"/>
    <w:rsid w:val="00927A9F"/>
    <w:rsid w:val="00927AE9"/>
    <w:rsid w:val="00927BA3"/>
    <w:rsid w:val="00927BD1"/>
    <w:rsid w:val="00927BF7"/>
    <w:rsid w:val="00927D6C"/>
    <w:rsid w:val="00927DF3"/>
    <w:rsid w:val="00927E98"/>
    <w:rsid w:val="00927EA7"/>
    <w:rsid w:val="00927EED"/>
    <w:rsid w:val="00927F07"/>
    <w:rsid w:val="00927F13"/>
    <w:rsid w:val="00927F1A"/>
    <w:rsid w:val="00927F34"/>
    <w:rsid w:val="00927F87"/>
    <w:rsid w:val="00927FB7"/>
    <w:rsid w:val="0093008A"/>
    <w:rsid w:val="009300AC"/>
    <w:rsid w:val="009301EF"/>
    <w:rsid w:val="00930269"/>
    <w:rsid w:val="0093027B"/>
    <w:rsid w:val="00930287"/>
    <w:rsid w:val="00930292"/>
    <w:rsid w:val="009302DB"/>
    <w:rsid w:val="00930391"/>
    <w:rsid w:val="009304F2"/>
    <w:rsid w:val="00930566"/>
    <w:rsid w:val="00930576"/>
    <w:rsid w:val="0093059D"/>
    <w:rsid w:val="009305E9"/>
    <w:rsid w:val="00930606"/>
    <w:rsid w:val="0093060E"/>
    <w:rsid w:val="00930691"/>
    <w:rsid w:val="009306AC"/>
    <w:rsid w:val="009306AE"/>
    <w:rsid w:val="0093081D"/>
    <w:rsid w:val="00930966"/>
    <w:rsid w:val="0093096D"/>
    <w:rsid w:val="009309D7"/>
    <w:rsid w:val="00930A3C"/>
    <w:rsid w:val="00930A7C"/>
    <w:rsid w:val="00930A9C"/>
    <w:rsid w:val="00930AB7"/>
    <w:rsid w:val="00930B1E"/>
    <w:rsid w:val="00930B22"/>
    <w:rsid w:val="00930B80"/>
    <w:rsid w:val="00930BE6"/>
    <w:rsid w:val="00930C11"/>
    <w:rsid w:val="00930C15"/>
    <w:rsid w:val="00930C39"/>
    <w:rsid w:val="00930C61"/>
    <w:rsid w:val="00930C6C"/>
    <w:rsid w:val="00930C79"/>
    <w:rsid w:val="00930CB6"/>
    <w:rsid w:val="00930CF1"/>
    <w:rsid w:val="00930D02"/>
    <w:rsid w:val="00930D4F"/>
    <w:rsid w:val="00930D89"/>
    <w:rsid w:val="00930D95"/>
    <w:rsid w:val="00930E4F"/>
    <w:rsid w:val="00930F00"/>
    <w:rsid w:val="00930F50"/>
    <w:rsid w:val="00930F60"/>
    <w:rsid w:val="00930F6B"/>
    <w:rsid w:val="00930F7E"/>
    <w:rsid w:val="00931011"/>
    <w:rsid w:val="00931178"/>
    <w:rsid w:val="00931333"/>
    <w:rsid w:val="009314DC"/>
    <w:rsid w:val="00931670"/>
    <w:rsid w:val="009316FC"/>
    <w:rsid w:val="00931761"/>
    <w:rsid w:val="00931802"/>
    <w:rsid w:val="00931900"/>
    <w:rsid w:val="00931910"/>
    <w:rsid w:val="00931927"/>
    <w:rsid w:val="00931A34"/>
    <w:rsid w:val="00931B2E"/>
    <w:rsid w:val="00931C6A"/>
    <w:rsid w:val="00931CA0"/>
    <w:rsid w:val="00931CAE"/>
    <w:rsid w:val="00931D13"/>
    <w:rsid w:val="00931D26"/>
    <w:rsid w:val="00931D44"/>
    <w:rsid w:val="00931D59"/>
    <w:rsid w:val="00931DB8"/>
    <w:rsid w:val="00932067"/>
    <w:rsid w:val="00932121"/>
    <w:rsid w:val="00932147"/>
    <w:rsid w:val="00932169"/>
    <w:rsid w:val="0093224F"/>
    <w:rsid w:val="0093229B"/>
    <w:rsid w:val="009322BA"/>
    <w:rsid w:val="009322BE"/>
    <w:rsid w:val="0093236E"/>
    <w:rsid w:val="00932404"/>
    <w:rsid w:val="00932407"/>
    <w:rsid w:val="00932416"/>
    <w:rsid w:val="00932438"/>
    <w:rsid w:val="00932440"/>
    <w:rsid w:val="009324B0"/>
    <w:rsid w:val="009324E3"/>
    <w:rsid w:val="00932504"/>
    <w:rsid w:val="009326A1"/>
    <w:rsid w:val="009326FE"/>
    <w:rsid w:val="00932704"/>
    <w:rsid w:val="0093273C"/>
    <w:rsid w:val="00932877"/>
    <w:rsid w:val="009329D6"/>
    <w:rsid w:val="009329FA"/>
    <w:rsid w:val="00932B1B"/>
    <w:rsid w:val="00932B2C"/>
    <w:rsid w:val="00932BB9"/>
    <w:rsid w:val="00932BC4"/>
    <w:rsid w:val="00932BDF"/>
    <w:rsid w:val="00932C59"/>
    <w:rsid w:val="00932C68"/>
    <w:rsid w:val="00932D02"/>
    <w:rsid w:val="00932D12"/>
    <w:rsid w:val="00932DB9"/>
    <w:rsid w:val="00932DC3"/>
    <w:rsid w:val="00932E49"/>
    <w:rsid w:val="00932FC5"/>
    <w:rsid w:val="00932FD1"/>
    <w:rsid w:val="009330AD"/>
    <w:rsid w:val="00933142"/>
    <w:rsid w:val="00933245"/>
    <w:rsid w:val="009332A1"/>
    <w:rsid w:val="009332F3"/>
    <w:rsid w:val="00933329"/>
    <w:rsid w:val="00933344"/>
    <w:rsid w:val="0093337A"/>
    <w:rsid w:val="009334EC"/>
    <w:rsid w:val="009335B3"/>
    <w:rsid w:val="009335C6"/>
    <w:rsid w:val="009336D0"/>
    <w:rsid w:val="0093372E"/>
    <w:rsid w:val="009337C6"/>
    <w:rsid w:val="00933835"/>
    <w:rsid w:val="00933893"/>
    <w:rsid w:val="0093389A"/>
    <w:rsid w:val="00933960"/>
    <w:rsid w:val="009339C0"/>
    <w:rsid w:val="00933A22"/>
    <w:rsid w:val="00933A84"/>
    <w:rsid w:val="00933B37"/>
    <w:rsid w:val="00933C5B"/>
    <w:rsid w:val="00933CE6"/>
    <w:rsid w:val="00933D62"/>
    <w:rsid w:val="00933E9D"/>
    <w:rsid w:val="00933F02"/>
    <w:rsid w:val="0093401F"/>
    <w:rsid w:val="009340D7"/>
    <w:rsid w:val="00934112"/>
    <w:rsid w:val="00934177"/>
    <w:rsid w:val="009341F6"/>
    <w:rsid w:val="00934239"/>
    <w:rsid w:val="00934248"/>
    <w:rsid w:val="0093425F"/>
    <w:rsid w:val="009342CB"/>
    <w:rsid w:val="00934330"/>
    <w:rsid w:val="00934347"/>
    <w:rsid w:val="009343BE"/>
    <w:rsid w:val="009343D7"/>
    <w:rsid w:val="009344A0"/>
    <w:rsid w:val="0093455F"/>
    <w:rsid w:val="0093458A"/>
    <w:rsid w:val="009345E3"/>
    <w:rsid w:val="00934676"/>
    <w:rsid w:val="00934683"/>
    <w:rsid w:val="009346D4"/>
    <w:rsid w:val="00934749"/>
    <w:rsid w:val="009347B4"/>
    <w:rsid w:val="009347DB"/>
    <w:rsid w:val="009347DE"/>
    <w:rsid w:val="009347E2"/>
    <w:rsid w:val="009347ED"/>
    <w:rsid w:val="00934807"/>
    <w:rsid w:val="00934835"/>
    <w:rsid w:val="0093488B"/>
    <w:rsid w:val="00934B0A"/>
    <w:rsid w:val="00934BDA"/>
    <w:rsid w:val="00934C44"/>
    <w:rsid w:val="00934CA0"/>
    <w:rsid w:val="00934CEE"/>
    <w:rsid w:val="00934D52"/>
    <w:rsid w:val="00934D5F"/>
    <w:rsid w:val="00934E78"/>
    <w:rsid w:val="00934F33"/>
    <w:rsid w:val="00934FB8"/>
    <w:rsid w:val="00935013"/>
    <w:rsid w:val="0093504D"/>
    <w:rsid w:val="00935304"/>
    <w:rsid w:val="00935329"/>
    <w:rsid w:val="0093532D"/>
    <w:rsid w:val="0093534B"/>
    <w:rsid w:val="00935358"/>
    <w:rsid w:val="009353CF"/>
    <w:rsid w:val="0093541A"/>
    <w:rsid w:val="009354EA"/>
    <w:rsid w:val="009354EC"/>
    <w:rsid w:val="00935524"/>
    <w:rsid w:val="00935558"/>
    <w:rsid w:val="009355F5"/>
    <w:rsid w:val="009355F8"/>
    <w:rsid w:val="0093570A"/>
    <w:rsid w:val="00935718"/>
    <w:rsid w:val="0093573C"/>
    <w:rsid w:val="00935780"/>
    <w:rsid w:val="009357DC"/>
    <w:rsid w:val="00935819"/>
    <w:rsid w:val="0093586D"/>
    <w:rsid w:val="0093588C"/>
    <w:rsid w:val="00935963"/>
    <w:rsid w:val="00935AD2"/>
    <w:rsid w:val="00935C75"/>
    <w:rsid w:val="00935C93"/>
    <w:rsid w:val="00935D26"/>
    <w:rsid w:val="00935DAE"/>
    <w:rsid w:val="00935E21"/>
    <w:rsid w:val="00935E2E"/>
    <w:rsid w:val="00935E74"/>
    <w:rsid w:val="00935EDA"/>
    <w:rsid w:val="00935FFE"/>
    <w:rsid w:val="00936016"/>
    <w:rsid w:val="00936038"/>
    <w:rsid w:val="0093605C"/>
    <w:rsid w:val="009360CD"/>
    <w:rsid w:val="00936201"/>
    <w:rsid w:val="0093622B"/>
    <w:rsid w:val="00936253"/>
    <w:rsid w:val="00936269"/>
    <w:rsid w:val="009362B3"/>
    <w:rsid w:val="00936320"/>
    <w:rsid w:val="00936332"/>
    <w:rsid w:val="0093634A"/>
    <w:rsid w:val="0093637C"/>
    <w:rsid w:val="00936392"/>
    <w:rsid w:val="009363AD"/>
    <w:rsid w:val="009363B4"/>
    <w:rsid w:val="009363C6"/>
    <w:rsid w:val="00936452"/>
    <w:rsid w:val="009364BE"/>
    <w:rsid w:val="009364F7"/>
    <w:rsid w:val="00936576"/>
    <w:rsid w:val="009365D7"/>
    <w:rsid w:val="00936626"/>
    <w:rsid w:val="00936664"/>
    <w:rsid w:val="0093667A"/>
    <w:rsid w:val="00936684"/>
    <w:rsid w:val="00936707"/>
    <w:rsid w:val="00936736"/>
    <w:rsid w:val="0093680F"/>
    <w:rsid w:val="00936819"/>
    <w:rsid w:val="00936825"/>
    <w:rsid w:val="00936837"/>
    <w:rsid w:val="009368E2"/>
    <w:rsid w:val="00936A6F"/>
    <w:rsid w:val="00936AE9"/>
    <w:rsid w:val="00936B0D"/>
    <w:rsid w:val="00936BE5"/>
    <w:rsid w:val="00936CB1"/>
    <w:rsid w:val="00936E27"/>
    <w:rsid w:val="00936E6E"/>
    <w:rsid w:val="00936EB9"/>
    <w:rsid w:val="00936EEA"/>
    <w:rsid w:val="00937008"/>
    <w:rsid w:val="0093701E"/>
    <w:rsid w:val="00937083"/>
    <w:rsid w:val="00937127"/>
    <w:rsid w:val="00937130"/>
    <w:rsid w:val="00937141"/>
    <w:rsid w:val="0093732E"/>
    <w:rsid w:val="00937344"/>
    <w:rsid w:val="009373C1"/>
    <w:rsid w:val="00937404"/>
    <w:rsid w:val="00937441"/>
    <w:rsid w:val="00937458"/>
    <w:rsid w:val="00937468"/>
    <w:rsid w:val="009374F5"/>
    <w:rsid w:val="00937515"/>
    <w:rsid w:val="00937527"/>
    <w:rsid w:val="0093763C"/>
    <w:rsid w:val="009376D9"/>
    <w:rsid w:val="009376F8"/>
    <w:rsid w:val="0093770C"/>
    <w:rsid w:val="00937714"/>
    <w:rsid w:val="0093774D"/>
    <w:rsid w:val="00937835"/>
    <w:rsid w:val="00937893"/>
    <w:rsid w:val="009378B7"/>
    <w:rsid w:val="00937970"/>
    <w:rsid w:val="009379EC"/>
    <w:rsid w:val="00937A47"/>
    <w:rsid w:val="00937A8B"/>
    <w:rsid w:val="00937AA8"/>
    <w:rsid w:val="00937B7F"/>
    <w:rsid w:val="00937BC0"/>
    <w:rsid w:val="00937C77"/>
    <w:rsid w:val="00937D03"/>
    <w:rsid w:val="00937D7A"/>
    <w:rsid w:val="00937D7B"/>
    <w:rsid w:val="00937FAA"/>
    <w:rsid w:val="00940008"/>
    <w:rsid w:val="0094013B"/>
    <w:rsid w:val="00940213"/>
    <w:rsid w:val="009403F9"/>
    <w:rsid w:val="00940436"/>
    <w:rsid w:val="0094045D"/>
    <w:rsid w:val="0094046C"/>
    <w:rsid w:val="009404A2"/>
    <w:rsid w:val="009404BF"/>
    <w:rsid w:val="009404E3"/>
    <w:rsid w:val="00940616"/>
    <w:rsid w:val="009406FB"/>
    <w:rsid w:val="00940705"/>
    <w:rsid w:val="00940775"/>
    <w:rsid w:val="009407A1"/>
    <w:rsid w:val="009407B8"/>
    <w:rsid w:val="009407B9"/>
    <w:rsid w:val="00940858"/>
    <w:rsid w:val="009408E8"/>
    <w:rsid w:val="009409AA"/>
    <w:rsid w:val="009409B7"/>
    <w:rsid w:val="00940ACD"/>
    <w:rsid w:val="00940AF6"/>
    <w:rsid w:val="00940B37"/>
    <w:rsid w:val="00940C4A"/>
    <w:rsid w:val="00940CD6"/>
    <w:rsid w:val="00940D2C"/>
    <w:rsid w:val="00940D66"/>
    <w:rsid w:val="00940D87"/>
    <w:rsid w:val="00940E26"/>
    <w:rsid w:val="00940EAC"/>
    <w:rsid w:val="00940F1D"/>
    <w:rsid w:val="00940F94"/>
    <w:rsid w:val="00940F9B"/>
    <w:rsid w:val="00940FDE"/>
    <w:rsid w:val="00941132"/>
    <w:rsid w:val="00941180"/>
    <w:rsid w:val="0094130A"/>
    <w:rsid w:val="00941370"/>
    <w:rsid w:val="009413A7"/>
    <w:rsid w:val="009413C6"/>
    <w:rsid w:val="009413E3"/>
    <w:rsid w:val="009413F6"/>
    <w:rsid w:val="0094141B"/>
    <w:rsid w:val="0094143C"/>
    <w:rsid w:val="00941452"/>
    <w:rsid w:val="00941467"/>
    <w:rsid w:val="009414F9"/>
    <w:rsid w:val="00941525"/>
    <w:rsid w:val="00941574"/>
    <w:rsid w:val="00941667"/>
    <w:rsid w:val="009416A0"/>
    <w:rsid w:val="009417B6"/>
    <w:rsid w:val="00941826"/>
    <w:rsid w:val="009418E0"/>
    <w:rsid w:val="009418EE"/>
    <w:rsid w:val="00941A1F"/>
    <w:rsid w:val="00941A6C"/>
    <w:rsid w:val="00941BA8"/>
    <w:rsid w:val="00941C73"/>
    <w:rsid w:val="00941CA5"/>
    <w:rsid w:val="00941D21"/>
    <w:rsid w:val="00941DAC"/>
    <w:rsid w:val="00941FB6"/>
    <w:rsid w:val="00941FED"/>
    <w:rsid w:val="00942185"/>
    <w:rsid w:val="009421D2"/>
    <w:rsid w:val="0094226E"/>
    <w:rsid w:val="00942287"/>
    <w:rsid w:val="009422F6"/>
    <w:rsid w:val="0094232A"/>
    <w:rsid w:val="0094237E"/>
    <w:rsid w:val="009423C3"/>
    <w:rsid w:val="009423D6"/>
    <w:rsid w:val="00942414"/>
    <w:rsid w:val="009424A0"/>
    <w:rsid w:val="0094253C"/>
    <w:rsid w:val="00942571"/>
    <w:rsid w:val="00942639"/>
    <w:rsid w:val="0094265A"/>
    <w:rsid w:val="009426F8"/>
    <w:rsid w:val="00942877"/>
    <w:rsid w:val="0094297D"/>
    <w:rsid w:val="00942A05"/>
    <w:rsid w:val="00942B70"/>
    <w:rsid w:val="00942C50"/>
    <w:rsid w:val="00942C60"/>
    <w:rsid w:val="00942D30"/>
    <w:rsid w:val="00942D36"/>
    <w:rsid w:val="00942D90"/>
    <w:rsid w:val="00942E3B"/>
    <w:rsid w:val="00942ED1"/>
    <w:rsid w:val="00942FC5"/>
    <w:rsid w:val="00942FDC"/>
    <w:rsid w:val="00943051"/>
    <w:rsid w:val="009430AB"/>
    <w:rsid w:val="00943112"/>
    <w:rsid w:val="0094316F"/>
    <w:rsid w:val="009431AB"/>
    <w:rsid w:val="009431E3"/>
    <w:rsid w:val="0094321D"/>
    <w:rsid w:val="00943310"/>
    <w:rsid w:val="00943332"/>
    <w:rsid w:val="00943383"/>
    <w:rsid w:val="009433E7"/>
    <w:rsid w:val="00943444"/>
    <w:rsid w:val="00943471"/>
    <w:rsid w:val="009434D7"/>
    <w:rsid w:val="00943503"/>
    <w:rsid w:val="009435CC"/>
    <w:rsid w:val="009435E6"/>
    <w:rsid w:val="0094366F"/>
    <w:rsid w:val="0094373D"/>
    <w:rsid w:val="00943776"/>
    <w:rsid w:val="00943783"/>
    <w:rsid w:val="009437C8"/>
    <w:rsid w:val="009437DA"/>
    <w:rsid w:val="00943861"/>
    <w:rsid w:val="009439BE"/>
    <w:rsid w:val="009439EF"/>
    <w:rsid w:val="00943A1A"/>
    <w:rsid w:val="00943A2F"/>
    <w:rsid w:val="00943A48"/>
    <w:rsid w:val="00943A83"/>
    <w:rsid w:val="00943A87"/>
    <w:rsid w:val="00943B14"/>
    <w:rsid w:val="00943B21"/>
    <w:rsid w:val="00943B42"/>
    <w:rsid w:val="00943B55"/>
    <w:rsid w:val="00943B56"/>
    <w:rsid w:val="00943BDF"/>
    <w:rsid w:val="00943C64"/>
    <w:rsid w:val="00943CDA"/>
    <w:rsid w:val="00943D4A"/>
    <w:rsid w:val="00943D5F"/>
    <w:rsid w:val="00943D76"/>
    <w:rsid w:val="00943D8D"/>
    <w:rsid w:val="00943E5B"/>
    <w:rsid w:val="00943E7D"/>
    <w:rsid w:val="00943EE1"/>
    <w:rsid w:val="00943F66"/>
    <w:rsid w:val="00943F70"/>
    <w:rsid w:val="00943FC8"/>
    <w:rsid w:val="00943FF4"/>
    <w:rsid w:val="00944002"/>
    <w:rsid w:val="00944094"/>
    <w:rsid w:val="009440B2"/>
    <w:rsid w:val="009442A3"/>
    <w:rsid w:val="00944334"/>
    <w:rsid w:val="00944439"/>
    <w:rsid w:val="00944493"/>
    <w:rsid w:val="009444BB"/>
    <w:rsid w:val="00944503"/>
    <w:rsid w:val="00944545"/>
    <w:rsid w:val="009445F6"/>
    <w:rsid w:val="00944632"/>
    <w:rsid w:val="0094464B"/>
    <w:rsid w:val="0094469E"/>
    <w:rsid w:val="009446BD"/>
    <w:rsid w:val="009446FF"/>
    <w:rsid w:val="00944752"/>
    <w:rsid w:val="00944763"/>
    <w:rsid w:val="00944793"/>
    <w:rsid w:val="009448A9"/>
    <w:rsid w:val="009448F8"/>
    <w:rsid w:val="00944A39"/>
    <w:rsid w:val="00944B33"/>
    <w:rsid w:val="00944B4D"/>
    <w:rsid w:val="00944BA1"/>
    <w:rsid w:val="00944C2B"/>
    <w:rsid w:val="00944C61"/>
    <w:rsid w:val="00944CF3"/>
    <w:rsid w:val="00944CF6"/>
    <w:rsid w:val="00944D02"/>
    <w:rsid w:val="00944D26"/>
    <w:rsid w:val="00944DEC"/>
    <w:rsid w:val="00944E58"/>
    <w:rsid w:val="00944FAC"/>
    <w:rsid w:val="00944FCB"/>
    <w:rsid w:val="00945011"/>
    <w:rsid w:val="00945027"/>
    <w:rsid w:val="009450C1"/>
    <w:rsid w:val="00945185"/>
    <w:rsid w:val="0094523E"/>
    <w:rsid w:val="0094524C"/>
    <w:rsid w:val="00945339"/>
    <w:rsid w:val="00945374"/>
    <w:rsid w:val="009453F5"/>
    <w:rsid w:val="0094543D"/>
    <w:rsid w:val="00945446"/>
    <w:rsid w:val="0094544C"/>
    <w:rsid w:val="009454AC"/>
    <w:rsid w:val="009454C0"/>
    <w:rsid w:val="00945511"/>
    <w:rsid w:val="009455B6"/>
    <w:rsid w:val="0094560B"/>
    <w:rsid w:val="0094564B"/>
    <w:rsid w:val="0094567A"/>
    <w:rsid w:val="00945737"/>
    <w:rsid w:val="00945800"/>
    <w:rsid w:val="009458BD"/>
    <w:rsid w:val="009458E5"/>
    <w:rsid w:val="00945905"/>
    <w:rsid w:val="0094599F"/>
    <w:rsid w:val="009459CD"/>
    <w:rsid w:val="009459D9"/>
    <w:rsid w:val="009459EA"/>
    <w:rsid w:val="00945A16"/>
    <w:rsid w:val="00945AA1"/>
    <w:rsid w:val="00945B66"/>
    <w:rsid w:val="00945B84"/>
    <w:rsid w:val="00945BA7"/>
    <w:rsid w:val="00945BB7"/>
    <w:rsid w:val="00945BC3"/>
    <w:rsid w:val="00945D8E"/>
    <w:rsid w:val="00945E7C"/>
    <w:rsid w:val="00945EB9"/>
    <w:rsid w:val="00945EFD"/>
    <w:rsid w:val="00945EFF"/>
    <w:rsid w:val="00945F14"/>
    <w:rsid w:val="00945F87"/>
    <w:rsid w:val="00945F9D"/>
    <w:rsid w:val="00945FFC"/>
    <w:rsid w:val="009461C7"/>
    <w:rsid w:val="0094622F"/>
    <w:rsid w:val="0094624A"/>
    <w:rsid w:val="0094626D"/>
    <w:rsid w:val="009462B6"/>
    <w:rsid w:val="009462CA"/>
    <w:rsid w:val="009462F2"/>
    <w:rsid w:val="0094638F"/>
    <w:rsid w:val="009463E6"/>
    <w:rsid w:val="0094649A"/>
    <w:rsid w:val="009464B6"/>
    <w:rsid w:val="00946519"/>
    <w:rsid w:val="00946598"/>
    <w:rsid w:val="0094664F"/>
    <w:rsid w:val="009466C5"/>
    <w:rsid w:val="009466F7"/>
    <w:rsid w:val="009467F7"/>
    <w:rsid w:val="009468E0"/>
    <w:rsid w:val="00946910"/>
    <w:rsid w:val="00946936"/>
    <w:rsid w:val="00946955"/>
    <w:rsid w:val="00946A47"/>
    <w:rsid w:val="00946AB1"/>
    <w:rsid w:val="00946ABD"/>
    <w:rsid w:val="00946B11"/>
    <w:rsid w:val="00946B53"/>
    <w:rsid w:val="00946BD2"/>
    <w:rsid w:val="00946BD4"/>
    <w:rsid w:val="00946C1D"/>
    <w:rsid w:val="00946C63"/>
    <w:rsid w:val="00946CCE"/>
    <w:rsid w:val="00946D06"/>
    <w:rsid w:val="00946D09"/>
    <w:rsid w:val="00946D4F"/>
    <w:rsid w:val="00946D63"/>
    <w:rsid w:val="00946DBC"/>
    <w:rsid w:val="00946E2B"/>
    <w:rsid w:val="00947082"/>
    <w:rsid w:val="0094718C"/>
    <w:rsid w:val="009471B6"/>
    <w:rsid w:val="009471C4"/>
    <w:rsid w:val="009471EC"/>
    <w:rsid w:val="00947269"/>
    <w:rsid w:val="009472F7"/>
    <w:rsid w:val="00947399"/>
    <w:rsid w:val="00947457"/>
    <w:rsid w:val="009474B1"/>
    <w:rsid w:val="0094755B"/>
    <w:rsid w:val="0094756B"/>
    <w:rsid w:val="009475EF"/>
    <w:rsid w:val="0094762C"/>
    <w:rsid w:val="00947664"/>
    <w:rsid w:val="0094768B"/>
    <w:rsid w:val="00947715"/>
    <w:rsid w:val="0094773D"/>
    <w:rsid w:val="0094773E"/>
    <w:rsid w:val="00947778"/>
    <w:rsid w:val="0094780A"/>
    <w:rsid w:val="0094781A"/>
    <w:rsid w:val="00947885"/>
    <w:rsid w:val="00947899"/>
    <w:rsid w:val="0094792F"/>
    <w:rsid w:val="00947936"/>
    <w:rsid w:val="00947A20"/>
    <w:rsid w:val="00947A3F"/>
    <w:rsid w:val="00947A77"/>
    <w:rsid w:val="00947B02"/>
    <w:rsid w:val="00947B20"/>
    <w:rsid w:val="00947B78"/>
    <w:rsid w:val="00947B7A"/>
    <w:rsid w:val="00947B81"/>
    <w:rsid w:val="00947CB7"/>
    <w:rsid w:val="00947CBB"/>
    <w:rsid w:val="00947D39"/>
    <w:rsid w:val="00947E43"/>
    <w:rsid w:val="00947E70"/>
    <w:rsid w:val="00947EB3"/>
    <w:rsid w:val="00947F10"/>
    <w:rsid w:val="00947F7D"/>
    <w:rsid w:val="0095002B"/>
    <w:rsid w:val="00950082"/>
    <w:rsid w:val="00950192"/>
    <w:rsid w:val="009501B7"/>
    <w:rsid w:val="009502FC"/>
    <w:rsid w:val="0095032B"/>
    <w:rsid w:val="0095037D"/>
    <w:rsid w:val="00950386"/>
    <w:rsid w:val="009503C7"/>
    <w:rsid w:val="00950462"/>
    <w:rsid w:val="00950467"/>
    <w:rsid w:val="00950470"/>
    <w:rsid w:val="009504AD"/>
    <w:rsid w:val="00950520"/>
    <w:rsid w:val="009505A0"/>
    <w:rsid w:val="009505B5"/>
    <w:rsid w:val="00950704"/>
    <w:rsid w:val="00950705"/>
    <w:rsid w:val="00950812"/>
    <w:rsid w:val="00950829"/>
    <w:rsid w:val="00950884"/>
    <w:rsid w:val="009508C1"/>
    <w:rsid w:val="009508DE"/>
    <w:rsid w:val="00950910"/>
    <w:rsid w:val="0095096E"/>
    <w:rsid w:val="00950AB3"/>
    <w:rsid w:val="00950ABC"/>
    <w:rsid w:val="00950B22"/>
    <w:rsid w:val="00950C0F"/>
    <w:rsid w:val="00950C40"/>
    <w:rsid w:val="00950C57"/>
    <w:rsid w:val="00950D43"/>
    <w:rsid w:val="00950DC0"/>
    <w:rsid w:val="00950E14"/>
    <w:rsid w:val="00950E82"/>
    <w:rsid w:val="00950FAE"/>
    <w:rsid w:val="00950FEF"/>
    <w:rsid w:val="0095103C"/>
    <w:rsid w:val="00951169"/>
    <w:rsid w:val="00951210"/>
    <w:rsid w:val="009512D5"/>
    <w:rsid w:val="0095132F"/>
    <w:rsid w:val="0095139F"/>
    <w:rsid w:val="009513F9"/>
    <w:rsid w:val="00951464"/>
    <w:rsid w:val="009514E7"/>
    <w:rsid w:val="00951505"/>
    <w:rsid w:val="00951519"/>
    <w:rsid w:val="0095157D"/>
    <w:rsid w:val="009515AE"/>
    <w:rsid w:val="009515F2"/>
    <w:rsid w:val="00951689"/>
    <w:rsid w:val="009516A5"/>
    <w:rsid w:val="009516D3"/>
    <w:rsid w:val="009517C9"/>
    <w:rsid w:val="0095180E"/>
    <w:rsid w:val="00951831"/>
    <w:rsid w:val="009518A6"/>
    <w:rsid w:val="009518B8"/>
    <w:rsid w:val="009518D5"/>
    <w:rsid w:val="0095191A"/>
    <w:rsid w:val="00951A11"/>
    <w:rsid w:val="00951AF3"/>
    <w:rsid w:val="00951B4D"/>
    <w:rsid w:val="00951B9D"/>
    <w:rsid w:val="00951BE1"/>
    <w:rsid w:val="00951C2B"/>
    <w:rsid w:val="00951C2E"/>
    <w:rsid w:val="00951C42"/>
    <w:rsid w:val="00951C67"/>
    <w:rsid w:val="00951C69"/>
    <w:rsid w:val="00951D2B"/>
    <w:rsid w:val="00951D93"/>
    <w:rsid w:val="00951E53"/>
    <w:rsid w:val="00951EA0"/>
    <w:rsid w:val="0095202C"/>
    <w:rsid w:val="00952035"/>
    <w:rsid w:val="0095207B"/>
    <w:rsid w:val="009520B8"/>
    <w:rsid w:val="009520C2"/>
    <w:rsid w:val="009520FD"/>
    <w:rsid w:val="0095224E"/>
    <w:rsid w:val="00952278"/>
    <w:rsid w:val="0095227B"/>
    <w:rsid w:val="009522B4"/>
    <w:rsid w:val="009522C0"/>
    <w:rsid w:val="00952309"/>
    <w:rsid w:val="00952360"/>
    <w:rsid w:val="00952394"/>
    <w:rsid w:val="009523F1"/>
    <w:rsid w:val="00952406"/>
    <w:rsid w:val="00952446"/>
    <w:rsid w:val="0095252A"/>
    <w:rsid w:val="009525C0"/>
    <w:rsid w:val="0095264E"/>
    <w:rsid w:val="009526B4"/>
    <w:rsid w:val="009527E9"/>
    <w:rsid w:val="009528C2"/>
    <w:rsid w:val="009528F9"/>
    <w:rsid w:val="00952969"/>
    <w:rsid w:val="009529F3"/>
    <w:rsid w:val="00952A00"/>
    <w:rsid w:val="00952AB8"/>
    <w:rsid w:val="00952BE8"/>
    <w:rsid w:val="00952C64"/>
    <w:rsid w:val="00952D2B"/>
    <w:rsid w:val="00952DBA"/>
    <w:rsid w:val="00952EC0"/>
    <w:rsid w:val="00952EEA"/>
    <w:rsid w:val="00952F5E"/>
    <w:rsid w:val="00952FC9"/>
    <w:rsid w:val="00953029"/>
    <w:rsid w:val="0095304B"/>
    <w:rsid w:val="00953054"/>
    <w:rsid w:val="00953061"/>
    <w:rsid w:val="00953168"/>
    <w:rsid w:val="0095316A"/>
    <w:rsid w:val="009531DF"/>
    <w:rsid w:val="00953238"/>
    <w:rsid w:val="00953247"/>
    <w:rsid w:val="00953318"/>
    <w:rsid w:val="009533A9"/>
    <w:rsid w:val="009533DC"/>
    <w:rsid w:val="00953405"/>
    <w:rsid w:val="0095345D"/>
    <w:rsid w:val="00953571"/>
    <w:rsid w:val="00953644"/>
    <w:rsid w:val="00953684"/>
    <w:rsid w:val="00953699"/>
    <w:rsid w:val="009536C7"/>
    <w:rsid w:val="009536CB"/>
    <w:rsid w:val="009536F9"/>
    <w:rsid w:val="0095371A"/>
    <w:rsid w:val="00953736"/>
    <w:rsid w:val="00953814"/>
    <w:rsid w:val="009538AB"/>
    <w:rsid w:val="0095395A"/>
    <w:rsid w:val="0095397E"/>
    <w:rsid w:val="00953A79"/>
    <w:rsid w:val="00953A8D"/>
    <w:rsid w:val="00953B29"/>
    <w:rsid w:val="00953BA2"/>
    <w:rsid w:val="00953CC0"/>
    <w:rsid w:val="00953CD1"/>
    <w:rsid w:val="00953D41"/>
    <w:rsid w:val="00953D66"/>
    <w:rsid w:val="00953DAD"/>
    <w:rsid w:val="00953DDC"/>
    <w:rsid w:val="00953E16"/>
    <w:rsid w:val="00953E47"/>
    <w:rsid w:val="00953F20"/>
    <w:rsid w:val="009540C9"/>
    <w:rsid w:val="009540CC"/>
    <w:rsid w:val="0095417C"/>
    <w:rsid w:val="009541E0"/>
    <w:rsid w:val="009542EB"/>
    <w:rsid w:val="00954307"/>
    <w:rsid w:val="009544A9"/>
    <w:rsid w:val="009544C1"/>
    <w:rsid w:val="00954545"/>
    <w:rsid w:val="0095454F"/>
    <w:rsid w:val="0095457A"/>
    <w:rsid w:val="009545B3"/>
    <w:rsid w:val="009545E3"/>
    <w:rsid w:val="009545EA"/>
    <w:rsid w:val="0095462D"/>
    <w:rsid w:val="009546E6"/>
    <w:rsid w:val="00954936"/>
    <w:rsid w:val="00954990"/>
    <w:rsid w:val="00954AA8"/>
    <w:rsid w:val="00954AAA"/>
    <w:rsid w:val="00954AB4"/>
    <w:rsid w:val="00954AD8"/>
    <w:rsid w:val="00954B24"/>
    <w:rsid w:val="00954B51"/>
    <w:rsid w:val="00954BC5"/>
    <w:rsid w:val="00954BDB"/>
    <w:rsid w:val="00954C09"/>
    <w:rsid w:val="00954CAC"/>
    <w:rsid w:val="00954EED"/>
    <w:rsid w:val="00954EFA"/>
    <w:rsid w:val="00954F87"/>
    <w:rsid w:val="00955013"/>
    <w:rsid w:val="0095508B"/>
    <w:rsid w:val="00955227"/>
    <w:rsid w:val="009552DC"/>
    <w:rsid w:val="0095530D"/>
    <w:rsid w:val="00955371"/>
    <w:rsid w:val="009553A8"/>
    <w:rsid w:val="00955405"/>
    <w:rsid w:val="00955437"/>
    <w:rsid w:val="0095545D"/>
    <w:rsid w:val="00955564"/>
    <w:rsid w:val="009555BE"/>
    <w:rsid w:val="009556B7"/>
    <w:rsid w:val="009556DD"/>
    <w:rsid w:val="00955831"/>
    <w:rsid w:val="0095584F"/>
    <w:rsid w:val="00955989"/>
    <w:rsid w:val="009559B9"/>
    <w:rsid w:val="00955A91"/>
    <w:rsid w:val="00955C80"/>
    <w:rsid w:val="00955CA6"/>
    <w:rsid w:val="00955D35"/>
    <w:rsid w:val="00955D4A"/>
    <w:rsid w:val="00955E5C"/>
    <w:rsid w:val="00955EC8"/>
    <w:rsid w:val="00955EFA"/>
    <w:rsid w:val="00955F01"/>
    <w:rsid w:val="00955F27"/>
    <w:rsid w:val="00955FEF"/>
    <w:rsid w:val="00956083"/>
    <w:rsid w:val="00956249"/>
    <w:rsid w:val="00956284"/>
    <w:rsid w:val="00956408"/>
    <w:rsid w:val="0095644D"/>
    <w:rsid w:val="009564A2"/>
    <w:rsid w:val="009564C0"/>
    <w:rsid w:val="009564CD"/>
    <w:rsid w:val="009564D8"/>
    <w:rsid w:val="00956531"/>
    <w:rsid w:val="009565FA"/>
    <w:rsid w:val="009566AA"/>
    <w:rsid w:val="009566E9"/>
    <w:rsid w:val="00956703"/>
    <w:rsid w:val="0095678E"/>
    <w:rsid w:val="009567EA"/>
    <w:rsid w:val="00956820"/>
    <w:rsid w:val="00956847"/>
    <w:rsid w:val="009568CD"/>
    <w:rsid w:val="00956909"/>
    <w:rsid w:val="009569E1"/>
    <w:rsid w:val="00956A8E"/>
    <w:rsid w:val="00956ABF"/>
    <w:rsid w:val="00956B65"/>
    <w:rsid w:val="00956BC1"/>
    <w:rsid w:val="00956BEC"/>
    <w:rsid w:val="00956E39"/>
    <w:rsid w:val="00956E6D"/>
    <w:rsid w:val="00956EB5"/>
    <w:rsid w:val="00956EC5"/>
    <w:rsid w:val="00956FB3"/>
    <w:rsid w:val="00956FC0"/>
    <w:rsid w:val="00956FDC"/>
    <w:rsid w:val="00957066"/>
    <w:rsid w:val="009570A1"/>
    <w:rsid w:val="009570FB"/>
    <w:rsid w:val="0095711F"/>
    <w:rsid w:val="009571A4"/>
    <w:rsid w:val="009571AA"/>
    <w:rsid w:val="0095720C"/>
    <w:rsid w:val="00957368"/>
    <w:rsid w:val="009573DF"/>
    <w:rsid w:val="009573F0"/>
    <w:rsid w:val="0095742A"/>
    <w:rsid w:val="0095743C"/>
    <w:rsid w:val="00957472"/>
    <w:rsid w:val="00957544"/>
    <w:rsid w:val="0095758B"/>
    <w:rsid w:val="009575FA"/>
    <w:rsid w:val="00957695"/>
    <w:rsid w:val="00957705"/>
    <w:rsid w:val="0095786B"/>
    <w:rsid w:val="00957891"/>
    <w:rsid w:val="009578E5"/>
    <w:rsid w:val="00957901"/>
    <w:rsid w:val="00957A1E"/>
    <w:rsid w:val="00957B7B"/>
    <w:rsid w:val="00957B92"/>
    <w:rsid w:val="00957BF2"/>
    <w:rsid w:val="00957C1C"/>
    <w:rsid w:val="00957DA7"/>
    <w:rsid w:val="00957DC6"/>
    <w:rsid w:val="00957DD9"/>
    <w:rsid w:val="00957E2D"/>
    <w:rsid w:val="0095E0AD"/>
    <w:rsid w:val="00960059"/>
    <w:rsid w:val="0096010B"/>
    <w:rsid w:val="0096012C"/>
    <w:rsid w:val="009601AC"/>
    <w:rsid w:val="009601B3"/>
    <w:rsid w:val="009601C0"/>
    <w:rsid w:val="00960218"/>
    <w:rsid w:val="00960257"/>
    <w:rsid w:val="009602D5"/>
    <w:rsid w:val="0096034F"/>
    <w:rsid w:val="009603D6"/>
    <w:rsid w:val="009603D8"/>
    <w:rsid w:val="00960471"/>
    <w:rsid w:val="0096052A"/>
    <w:rsid w:val="009605E3"/>
    <w:rsid w:val="009605FB"/>
    <w:rsid w:val="009607CA"/>
    <w:rsid w:val="009607CE"/>
    <w:rsid w:val="00960867"/>
    <w:rsid w:val="00960880"/>
    <w:rsid w:val="00960889"/>
    <w:rsid w:val="0096089E"/>
    <w:rsid w:val="00960902"/>
    <w:rsid w:val="00960911"/>
    <w:rsid w:val="00960916"/>
    <w:rsid w:val="0096096D"/>
    <w:rsid w:val="009609BF"/>
    <w:rsid w:val="00960B0C"/>
    <w:rsid w:val="00960C6F"/>
    <w:rsid w:val="00960CE3"/>
    <w:rsid w:val="00960D8C"/>
    <w:rsid w:val="00960DAA"/>
    <w:rsid w:val="00960EA3"/>
    <w:rsid w:val="00960EF0"/>
    <w:rsid w:val="00960EF1"/>
    <w:rsid w:val="00960F82"/>
    <w:rsid w:val="00960FB9"/>
    <w:rsid w:val="00960FE4"/>
    <w:rsid w:val="0096101A"/>
    <w:rsid w:val="00961167"/>
    <w:rsid w:val="00961220"/>
    <w:rsid w:val="00961289"/>
    <w:rsid w:val="009612B7"/>
    <w:rsid w:val="009612E6"/>
    <w:rsid w:val="00961385"/>
    <w:rsid w:val="009613C3"/>
    <w:rsid w:val="00961477"/>
    <w:rsid w:val="0096147E"/>
    <w:rsid w:val="00961841"/>
    <w:rsid w:val="0096186E"/>
    <w:rsid w:val="00961874"/>
    <w:rsid w:val="009618B0"/>
    <w:rsid w:val="009618B1"/>
    <w:rsid w:val="009618E7"/>
    <w:rsid w:val="00961902"/>
    <w:rsid w:val="00961930"/>
    <w:rsid w:val="00961938"/>
    <w:rsid w:val="00961A04"/>
    <w:rsid w:val="00961A10"/>
    <w:rsid w:val="00961AA7"/>
    <w:rsid w:val="00961B10"/>
    <w:rsid w:val="00961D00"/>
    <w:rsid w:val="00961D86"/>
    <w:rsid w:val="00961DBB"/>
    <w:rsid w:val="00961DFB"/>
    <w:rsid w:val="00961E23"/>
    <w:rsid w:val="00961E5B"/>
    <w:rsid w:val="00961F01"/>
    <w:rsid w:val="00962021"/>
    <w:rsid w:val="00962038"/>
    <w:rsid w:val="009620B3"/>
    <w:rsid w:val="0096218D"/>
    <w:rsid w:val="009621C6"/>
    <w:rsid w:val="009621EC"/>
    <w:rsid w:val="0096226B"/>
    <w:rsid w:val="0096233E"/>
    <w:rsid w:val="0096240E"/>
    <w:rsid w:val="00962509"/>
    <w:rsid w:val="00962576"/>
    <w:rsid w:val="0096257E"/>
    <w:rsid w:val="009625A1"/>
    <w:rsid w:val="009626F3"/>
    <w:rsid w:val="00962723"/>
    <w:rsid w:val="0096276D"/>
    <w:rsid w:val="0096279C"/>
    <w:rsid w:val="009628F6"/>
    <w:rsid w:val="00962B0C"/>
    <w:rsid w:val="00962B83"/>
    <w:rsid w:val="00962BE8"/>
    <w:rsid w:val="00962C14"/>
    <w:rsid w:val="00962C58"/>
    <w:rsid w:val="00962CBA"/>
    <w:rsid w:val="00962CCD"/>
    <w:rsid w:val="00962CE4"/>
    <w:rsid w:val="00962D24"/>
    <w:rsid w:val="00962D32"/>
    <w:rsid w:val="00962D9F"/>
    <w:rsid w:val="00962E3A"/>
    <w:rsid w:val="00962E49"/>
    <w:rsid w:val="00962E71"/>
    <w:rsid w:val="00962E7C"/>
    <w:rsid w:val="00962E83"/>
    <w:rsid w:val="00962ECB"/>
    <w:rsid w:val="00962F0C"/>
    <w:rsid w:val="00962F14"/>
    <w:rsid w:val="00962F3C"/>
    <w:rsid w:val="00962F42"/>
    <w:rsid w:val="00962F4B"/>
    <w:rsid w:val="00962F7C"/>
    <w:rsid w:val="00962FE4"/>
    <w:rsid w:val="00962FFB"/>
    <w:rsid w:val="009630DD"/>
    <w:rsid w:val="0096311D"/>
    <w:rsid w:val="00963180"/>
    <w:rsid w:val="009631B3"/>
    <w:rsid w:val="009631D0"/>
    <w:rsid w:val="0096321E"/>
    <w:rsid w:val="00963260"/>
    <w:rsid w:val="00963301"/>
    <w:rsid w:val="00963304"/>
    <w:rsid w:val="00963361"/>
    <w:rsid w:val="0096356C"/>
    <w:rsid w:val="009635F3"/>
    <w:rsid w:val="009636C2"/>
    <w:rsid w:val="00963722"/>
    <w:rsid w:val="00963756"/>
    <w:rsid w:val="009637D2"/>
    <w:rsid w:val="00963883"/>
    <w:rsid w:val="009638C8"/>
    <w:rsid w:val="009638DD"/>
    <w:rsid w:val="00963903"/>
    <w:rsid w:val="00963944"/>
    <w:rsid w:val="0096396C"/>
    <w:rsid w:val="00963A3C"/>
    <w:rsid w:val="00963A87"/>
    <w:rsid w:val="00963AEB"/>
    <w:rsid w:val="00963B0E"/>
    <w:rsid w:val="00963BE2"/>
    <w:rsid w:val="00963C03"/>
    <w:rsid w:val="00963CB7"/>
    <w:rsid w:val="00963D2C"/>
    <w:rsid w:val="00963D70"/>
    <w:rsid w:val="00963D85"/>
    <w:rsid w:val="00963D87"/>
    <w:rsid w:val="00963DE2"/>
    <w:rsid w:val="00963E09"/>
    <w:rsid w:val="00963E85"/>
    <w:rsid w:val="00963EEC"/>
    <w:rsid w:val="00963F3A"/>
    <w:rsid w:val="009641D7"/>
    <w:rsid w:val="0096428C"/>
    <w:rsid w:val="0096437D"/>
    <w:rsid w:val="00964414"/>
    <w:rsid w:val="00964442"/>
    <w:rsid w:val="0096445F"/>
    <w:rsid w:val="00964465"/>
    <w:rsid w:val="0096450D"/>
    <w:rsid w:val="009645D7"/>
    <w:rsid w:val="00964726"/>
    <w:rsid w:val="009647CE"/>
    <w:rsid w:val="00964807"/>
    <w:rsid w:val="00964832"/>
    <w:rsid w:val="00964870"/>
    <w:rsid w:val="00964898"/>
    <w:rsid w:val="00964A7E"/>
    <w:rsid w:val="00964B29"/>
    <w:rsid w:val="00964BC2"/>
    <w:rsid w:val="00964BC9"/>
    <w:rsid w:val="00964C49"/>
    <w:rsid w:val="00964D04"/>
    <w:rsid w:val="00964D0F"/>
    <w:rsid w:val="00964D3C"/>
    <w:rsid w:val="00964D7E"/>
    <w:rsid w:val="00964D9B"/>
    <w:rsid w:val="00964DE7"/>
    <w:rsid w:val="00964E39"/>
    <w:rsid w:val="00964E3C"/>
    <w:rsid w:val="00964E3F"/>
    <w:rsid w:val="00964F7E"/>
    <w:rsid w:val="00964FE8"/>
    <w:rsid w:val="009650F8"/>
    <w:rsid w:val="00965128"/>
    <w:rsid w:val="0096513B"/>
    <w:rsid w:val="0096516C"/>
    <w:rsid w:val="00965170"/>
    <w:rsid w:val="009652B0"/>
    <w:rsid w:val="00965380"/>
    <w:rsid w:val="00965485"/>
    <w:rsid w:val="0096548A"/>
    <w:rsid w:val="009654F6"/>
    <w:rsid w:val="00965563"/>
    <w:rsid w:val="00965583"/>
    <w:rsid w:val="009655BD"/>
    <w:rsid w:val="00965614"/>
    <w:rsid w:val="00965654"/>
    <w:rsid w:val="009656B9"/>
    <w:rsid w:val="00965735"/>
    <w:rsid w:val="00965743"/>
    <w:rsid w:val="00965768"/>
    <w:rsid w:val="009657D8"/>
    <w:rsid w:val="00965867"/>
    <w:rsid w:val="00965955"/>
    <w:rsid w:val="0096597F"/>
    <w:rsid w:val="0096598D"/>
    <w:rsid w:val="009659DF"/>
    <w:rsid w:val="00965A37"/>
    <w:rsid w:val="00965B0B"/>
    <w:rsid w:val="00965C3C"/>
    <w:rsid w:val="00965CE9"/>
    <w:rsid w:val="00965D7A"/>
    <w:rsid w:val="00965DE2"/>
    <w:rsid w:val="00965DEB"/>
    <w:rsid w:val="00965F1D"/>
    <w:rsid w:val="00965F90"/>
    <w:rsid w:val="00965FDB"/>
    <w:rsid w:val="00965FE2"/>
    <w:rsid w:val="00966100"/>
    <w:rsid w:val="00966144"/>
    <w:rsid w:val="00966180"/>
    <w:rsid w:val="009661EA"/>
    <w:rsid w:val="00966246"/>
    <w:rsid w:val="009662D9"/>
    <w:rsid w:val="009662F6"/>
    <w:rsid w:val="00966329"/>
    <w:rsid w:val="0096635D"/>
    <w:rsid w:val="00966397"/>
    <w:rsid w:val="009663A2"/>
    <w:rsid w:val="009663F8"/>
    <w:rsid w:val="0096643B"/>
    <w:rsid w:val="00966479"/>
    <w:rsid w:val="00966537"/>
    <w:rsid w:val="00966543"/>
    <w:rsid w:val="009665A0"/>
    <w:rsid w:val="009665C8"/>
    <w:rsid w:val="009665CC"/>
    <w:rsid w:val="0096660D"/>
    <w:rsid w:val="00966667"/>
    <w:rsid w:val="0096674A"/>
    <w:rsid w:val="0096676B"/>
    <w:rsid w:val="009667F4"/>
    <w:rsid w:val="00966804"/>
    <w:rsid w:val="00966879"/>
    <w:rsid w:val="00966891"/>
    <w:rsid w:val="0096698E"/>
    <w:rsid w:val="009669CA"/>
    <w:rsid w:val="00966A74"/>
    <w:rsid w:val="00966B8D"/>
    <w:rsid w:val="00966C48"/>
    <w:rsid w:val="00966CED"/>
    <w:rsid w:val="00966DDC"/>
    <w:rsid w:val="00966E27"/>
    <w:rsid w:val="00966E32"/>
    <w:rsid w:val="00966E56"/>
    <w:rsid w:val="00966E95"/>
    <w:rsid w:val="00966EB1"/>
    <w:rsid w:val="00966F65"/>
    <w:rsid w:val="0096702C"/>
    <w:rsid w:val="0096708F"/>
    <w:rsid w:val="009670A9"/>
    <w:rsid w:val="0096713D"/>
    <w:rsid w:val="009671AC"/>
    <w:rsid w:val="009671BF"/>
    <w:rsid w:val="00967283"/>
    <w:rsid w:val="00967299"/>
    <w:rsid w:val="00967302"/>
    <w:rsid w:val="0096732F"/>
    <w:rsid w:val="0096737D"/>
    <w:rsid w:val="0096741D"/>
    <w:rsid w:val="0096747B"/>
    <w:rsid w:val="009674BE"/>
    <w:rsid w:val="009674F8"/>
    <w:rsid w:val="0096753A"/>
    <w:rsid w:val="00967564"/>
    <w:rsid w:val="00967570"/>
    <w:rsid w:val="00967583"/>
    <w:rsid w:val="009677BE"/>
    <w:rsid w:val="009677E2"/>
    <w:rsid w:val="00967802"/>
    <w:rsid w:val="00967811"/>
    <w:rsid w:val="00967839"/>
    <w:rsid w:val="009678BF"/>
    <w:rsid w:val="00967A04"/>
    <w:rsid w:val="00967A3E"/>
    <w:rsid w:val="00967A92"/>
    <w:rsid w:val="00967B86"/>
    <w:rsid w:val="00967BB4"/>
    <w:rsid w:val="00967C17"/>
    <w:rsid w:val="00967C6F"/>
    <w:rsid w:val="00967C72"/>
    <w:rsid w:val="00967D2F"/>
    <w:rsid w:val="00967D97"/>
    <w:rsid w:val="00967DAD"/>
    <w:rsid w:val="00967E1D"/>
    <w:rsid w:val="00967E64"/>
    <w:rsid w:val="00967EBC"/>
    <w:rsid w:val="00967EDC"/>
    <w:rsid w:val="009700B1"/>
    <w:rsid w:val="00970165"/>
    <w:rsid w:val="009701BA"/>
    <w:rsid w:val="009701BB"/>
    <w:rsid w:val="00970277"/>
    <w:rsid w:val="00970299"/>
    <w:rsid w:val="0097030A"/>
    <w:rsid w:val="0097034A"/>
    <w:rsid w:val="009703E3"/>
    <w:rsid w:val="00970461"/>
    <w:rsid w:val="009704CD"/>
    <w:rsid w:val="0097051D"/>
    <w:rsid w:val="00970588"/>
    <w:rsid w:val="009705E0"/>
    <w:rsid w:val="00970606"/>
    <w:rsid w:val="00970724"/>
    <w:rsid w:val="0097072E"/>
    <w:rsid w:val="009707BC"/>
    <w:rsid w:val="00970938"/>
    <w:rsid w:val="009709F7"/>
    <w:rsid w:val="00970AA5"/>
    <w:rsid w:val="00970ACC"/>
    <w:rsid w:val="00970AD8"/>
    <w:rsid w:val="00970B61"/>
    <w:rsid w:val="00970BDA"/>
    <w:rsid w:val="00970D4A"/>
    <w:rsid w:val="00970E37"/>
    <w:rsid w:val="00970E61"/>
    <w:rsid w:val="00970F9F"/>
    <w:rsid w:val="00970FAB"/>
    <w:rsid w:val="00970FC8"/>
    <w:rsid w:val="00970FE2"/>
    <w:rsid w:val="00971008"/>
    <w:rsid w:val="00971024"/>
    <w:rsid w:val="009710B5"/>
    <w:rsid w:val="00971106"/>
    <w:rsid w:val="0097118A"/>
    <w:rsid w:val="009711A3"/>
    <w:rsid w:val="009711E3"/>
    <w:rsid w:val="00971281"/>
    <w:rsid w:val="00971284"/>
    <w:rsid w:val="00971320"/>
    <w:rsid w:val="00971324"/>
    <w:rsid w:val="00971364"/>
    <w:rsid w:val="00971649"/>
    <w:rsid w:val="00971673"/>
    <w:rsid w:val="00971680"/>
    <w:rsid w:val="0097169F"/>
    <w:rsid w:val="0097170B"/>
    <w:rsid w:val="00971736"/>
    <w:rsid w:val="00971744"/>
    <w:rsid w:val="00971790"/>
    <w:rsid w:val="009717A8"/>
    <w:rsid w:val="009718EE"/>
    <w:rsid w:val="0097196F"/>
    <w:rsid w:val="009719E0"/>
    <w:rsid w:val="009719FB"/>
    <w:rsid w:val="00971B09"/>
    <w:rsid w:val="00971BC6"/>
    <w:rsid w:val="00971C0E"/>
    <w:rsid w:val="00971D6B"/>
    <w:rsid w:val="00971DCC"/>
    <w:rsid w:val="00971E88"/>
    <w:rsid w:val="00971F04"/>
    <w:rsid w:val="00971F69"/>
    <w:rsid w:val="00971F9B"/>
    <w:rsid w:val="00971FE5"/>
    <w:rsid w:val="0097200A"/>
    <w:rsid w:val="0097202A"/>
    <w:rsid w:val="00972090"/>
    <w:rsid w:val="00972097"/>
    <w:rsid w:val="009720B5"/>
    <w:rsid w:val="00972168"/>
    <w:rsid w:val="00972208"/>
    <w:rsid w:val="00972249"/>
    <w:rsid w:val="00972319"/>
    <w:rsid w:val="009723F5"/>
    <w:rsid w:val="00972416"/>
    <w:rsid w:val="00972457"/>
    <w:rsid w:val="00972460"/>
    <w:rsid w:val="009725AC"/>
    <w:rsid w:val="0097260B"/>
    <w:rsid w:val="00972639"/>
    <w:rsid w:val="009726B8"/>
    <w:rsid w:val="0097273D"/>
    <w:rsid w:val="0097275A"/>
    <w:rsid w:val="009727F9"/>
    <w:rsid w:val="0097282B"/>
    <w:rsid w:val="009728BE"/>
    <w:rsid w:val="009728C5"/>
    <w:rsid w:val="009729E1"/>
    <w:rsid w:val="00972A6E"/>
    <w:rsid w:val="00972A71"/>
    <w:rsid w:val="00972AA8"/>
    <w:rsid w:val="00972ACA"/>
    <w:rsid w:val="00972BD4"/>
    <w:rsid w:val="00972C40"/>
    <w:rsid w:val="00972C6B"/>
    <w:rsid w:val="00972C8B"/>
    <w:rsid w:val="00972D1B"/>
    <w:rsid w:val="00972ECD"/>
    <w:rsid w:val="00972F44"/>
    <w:rsid w:val="00972F91"/>
    <w:rsid w:val="00972FDE"/>
    <w:rsid w:val="0097300C"/>
    <w:rsid w:val="009731D6"/>
    <w:rsid w:val="009731E1"/>
    <w:rsid w:val="0097322A"/>
    <w:rsid w:val="0097326E"/>
    <w:rsid w:val="00973347"/>
    <w:rsid w:val="009733A2"/>
    <w:rsid w:val="009733F1"/>
    <w:rsid w:val="00973433"/>
    <w:rsid w:val="0097355F"/>
    <w:rsid w:val="00973620"/>
    <w:rsid w:val="00973623"/>
    <w:rsid w:val="00973625"/>
    <w:rsid w:val="0097365F"/>
    <w:rsid w:val="00973692"/>
    <w:rsid w:val="0097371D"/>
    <w:rsid w:val="009737BE"/>
    <w:rsid w:val="009738DB"/>
    <w:rsid w:val="009738FF"/>
    <w:rsid w:val="0097391D"/>
    <w:rsid w:val="00973989"/>
    <w:rsid w:val="009739D8"/>
    <w:rsid w:val="00973A73"/>
    <w:rsid w:val="00973AE1"/>
    <w:rsid w:val="00973DDF"/>
    <w:rsid w:val="00973E16"/>
    <w:rsid w:val="00973E64"/>
    <w:rsid w:val="00973E76"/>
    <w:rsid w:val="00973F13"/>
    <w:rsid w:val="00973F65"/>
    <w:rsid w:val="00974013"/>
    <w:rsid w:val="00974089"/>
    <w:rsid w:val="0097413C"/>
    <w:rsid w:val="00974183"/>
    <w:rsid w:val="0097427B"/>
    <w:rsid w:val="0097440C"/>
    <w:rsid w:val="00974449"/>
    <w:rsid w:val="0097445A"/>
    <w:rsid w:val="0097445D"/>
    <w:rsid w:val="00974508"/>
    <w:rsid w:val="00974511"/>
    <w:rsid w:val="00974598"/>
    <w:rsid w:val="009745A9"/>
    <w:rsid w:val="009746BE"/>
    <w:rsid w:val="009746C0"/>
    <w:rsid w:val="00974702"/>
    <w:rsid w:val="0097473F"/>
    <w:rsid w:val="009747A3"/>
    <w:rsid w:val="00974843"/>
    <w:rsid w:val="009748B1"/>
    <w:rsid w:val="009748FD"/>
    <w:rsid w:val="009749C6"/>
    <w:rsid w:val="00974A48"/>
    <w:rsid w:val="00974B09"/>
    <w:rsid w:val="00974B48"/>
    <w:rsid w:val="00974BAB"/>
    <w:rsid w:val="00974BB1"/>
    <w:rsid w:val="00974BF4"/>
    <w:rsid w:val="00974D51"/>
    <w:rsid w:val="00974E2A"/>
    <w:rsid w:val="00974E67"/>
    <w:rsid w:val="00974EBB"/>
    <w:rsid w:val="00974F5B"/>
    <w:rsid w:val="00974FDB"/>
    <w:rsid w:val="0097505E"/>
    <w:rsid w:val="009750A7"/>
    <w:rsid w:val="009750CF"/>
    <w:rsid w:val="0097519F"/>
    <w:rsid w:val="009751FB"/>
    <w:rsid w:val="0097526F"/>
    <w:rsid w:val="0097537C"/>
    <w:rsid w:val="0097539F"/>
    <w:rsid w:val="00975413"/>
    <w:rsid w:val="009754BA"/>
    <w:rsid w:val="0097562B"/>
    <w:rsid w:val="0097564E"/>
    <w:rsid w:val="00975675"/>
    <w:rsid w:val="00975689"/>
    <w:rsid w:val="00975696"/>
    <w:rsid w:val="00975712"/>
    <w:rsid w:val="009757A4"/>
    <w:rsid w:val="009757A6"/>
    <w:rsid w:val="009757BC"/>
    <w:rsid w:val="009757FD"/>
    <w:rsid w:val="00975864"/>
    <w:rsid w:val="00975871"/>
    <w:rsid w:val="00975897"/>
    <w:rsid w:val="00975921"/>
    <w:rsid w:val="0097593E"/>
    <w:rsid w:val="009759DC"/>
    <w:rsid w:val="009759ED"/>
    <w:rsid w:val="00975A79"/>
    <w:rsid w:val="00975AB0"/>
    <w:rsid w:val="00975B04"/>
    <w:rsid w:val="00975C18"/>
    <w:rsid w:val="00975C1C"/>
    <w:rsid w:val="00975C24"/>
    <w:rsid w:val="00975D54"/>
    <w:rsid w:val="00975DA5"/>
    <w:rsid w:val="00975E26"/>
    <w:rsid w:val="00975E3B"/>
    <w:rsid w:val="00975E5B"/>
    <w:rsid w:val="00975F2B"/>
    <w:rsid w:val="00975F45"/>
    <w:rsid w:val="00975F68"/>
    <w:rsid w:val="00975FAF"/>
    <w:rsid w:val="00976004"/>
    <w:rsid w:val="00976083"/>
    <w:rsid w:val="00976104"/>
    <w:rsid w:val="009761B2"/>
    <w:rsid w:val="0097627E"/>
    <w:rsid w:val="009763E0"/>
    <w:rsid w:val="0097662A"/>
    <w:rsid w:val="00976651"/>
    <w:rsid w:val="00976659"/>
    <w:rsid w:val="0097668A"/>
    <w:rsid w:val="009766D7"/>
    <w:rsid w:val="0097673C"/>
    <w:rsid w:val="00976789"/>
    <w:rsid w:val="009767AA"/>
    <w:rsid w:val="00976890"/>
    <w:rsid w:val="009768F7"/>
    <w:rsid w:val="009769E2"/>
    <w:rsid w:val="009769F6"/>
    <w:rsid w:val="00976A2A"/>
    <w:rsid w:val="00976ABB"/>
    <w:rsid w:val="00976AFE"/>
    <w:rsid w:val="00976BBC"/>
    <w:rsid w:val="00976C21"/>
    <w:rsid w:val="00976D0E"/>
    <w:rsid w:val="00976D37"/>
    <w:rsid w:val="00976D7F"/>
    <w:rsid w:val="00976DF0"/>
    <w:rsid w:val="00976DF9"/>
    <w:rsid w:val="00976E3D"/>
    <w:rsid w:val="00976E54"/>
    <w:rsid w:val="00976E56"/>
    <w:rsid w:val="00976EDA"/>
    <w:rsid w:val="0097704D"/>
    <w:rsid w:val="00977078"/>
    <w:rsid w:val="009770D0"/>
    <w:rsid w:val="00977106"/>
    <w:rsid w:val="0097710F"/>
    <w:rsid w:val="00977194"/>
    <w:rsid w:val="009771CB"/>
    <w:rsid w:val="00977225"/>
    <w:rsid w:val="00977252"/>
    <w:rsid w:val="009772E4"/>
    <w:rsid w:val="0097749C"/>
    <w:rsid w:val="0097761C"/>
    <w:rsid w:val="009776BC"/>
    <w:rsid w:val="009776C9"/>
    <w:rsid w:val="009776E7"/>
    <w:rsid w:val="00977735"/>
    <w:rsid w:val="00977796"/>
    <w:rsid w:val="009777C2"/>
    <w:rsid w:val="009777F2"/>
    <w:rsid w:val="00977835"/>
    <w:rsid w:val="009778A9"/>
    <w:rsid w:val="009778AB"/>
    <w:rsid w:val="009778BA"/>
    <w:rsid w:val="009779E8"/>
    <w:rsid w:val="00977A3A"/>
    <w:rsid w:val="00977A49"/>
    <w:rsid w:val="00977B21"/>
    <w:rsid w:val="00977B61"/>
    <w:rsid w:val="00977BEF"/>
    <w:rsid w:val="00977C27"/>
    <w:rsid w:val="00977C38"/>
    <w:rsid w:val="00977C45"/>
    <w:rsid w:val="00977C72"/>
    <w:rsid w:val="00977CA8"/>
    <w:rsid w:val="00977D0B"/>
    <w:rsid w:val="00977D60"/>
    <w:rsid w:val="00977E81"/>
    <w:rsid w:val="0098012E"/>
    <w:rsid w:val="009801B8"/>
    <w:rsid w:val="009801D0"/>
    <w:rsid w:val="0098026C"/>
    <w:rsid w:val="0098027E"/>
    <w:rsid w:val="009802A8"/>
    <w:rsid w:val="009802EF"/>
    <w:rsid w:val="009802FF"/>
    <w:rsid w:val="0098037F"/>
    <w:rsid w:val="009803BF"/>
    <w:rsid w:val="009803EF"/>
    <w:rsid w:val="00980474"/>
    <w:rsid w:val="00980495"/>
    <w:rsid w:val="00980563"/>
    <w:rsid w:val="00980566"/>
    <w:rsid w:val="009806B6"/>
    <w:rsid w:val="0098075A"/>
    <w:rsid w:val="0098087A"/>
    <w:rsid w:val="00980A73"/>
    <w:rsid w:val="00980A7C"/>
    <w:rsid w:val="00980BAA"/>
    <w:rsid w:val="00980BAB"/>
    <w:rsid w:val="00980BD9"/>
    <w:rsid w:val="00980CB4"/>
    <w:rsid w:val="00980E9E"/>
    <w:rsid w:val="00980F46"/>
    <w:rsid w:val="00980F6B"/>
    <w:rsid w:val="00981045"/>
    <w:rsid w:val="0098107D"/>
    <w:rsid w:val="00981166"/>
    <w:rsid w:val="0098117C"/>
    <w:rsid w:val="009811BB"/>
    <w:rsid w:val="009811EE"/>
    <w:rsid w:val="009812D4"/>
    <w:rsid w:val="00981320"/>
    <w:rsid w:val="0098135C"/>
    <w:rsid w:val="0098140A"/>
    <w:rsid w:val="0098142C"/>
    <w:rsid w:val="00981476"/>
    <w:rsid w:val="009814BD"/>
    <w:rsid w:val="009814D6"/>
    <w:rsid w:val="009814EF"/>
    <w:rsid w:val="009814F0"/>
    <w:rsid w:val="00981512"/>
    <w:rsid w:val="00981601"/>
    <w:rsid w:val="00981612"/>
    <w:rsid w:val="0098169B"/>
    <w:rsid w:val="009816D9"/>
    <w:rsid w:val="0098170B"/>
    <w:rsid w:val="009818FF"/>
    <w:rsid w:val="00981906"/>
    <w:rsid w:val="00981996"/>
    <w:rsid w:val="00981C25"/>
    <w:rsid w:val="00981C4A"/>
    <w:rsid w:val="00981C78"/>
    <w:rsid w:val="00981CF0"/>
    <w:rsid w:val="00981DA8"/>
    <w:rsid w:val="00981E18"/>
    <w:rsid w:val="00981E31"/>
    <w:rsid w:val="00981E35"/>
    <w:rsid w:val="00981E5D"/>
    <w:rsid w:val="00981E7C"/>
    <w:rsid w:val="00981F5E"/>
    <w:rsid w:val="00982034"/>
    <w:rsid w:val="009820B6"/>
    <w:rsid w:val="009820D6"/>
    <w:rsid w:val="009820D7"/>
    <w:rsid w:val="009820D9"/>
    <w:rsid w:val="0098226B"/>
    <w:rsid w:val="009822DF"/>
    <w:rsid w:val="00982406"/>
    <w:rsid w:val="00982483"/>
    <w:rsid w:val="009824D0"/>
    <w:rsid w:val="00982640"/>
    <w:rsid w:val="009826A0"/>
    <w:rsid w:val="0098279B"/>
    <w:rsid w:val="00982878"/>
    <w:rsid w:val="009828AD"/>
    <w:rsid w:val="009828ED"/>
    <w:rsid w:val="00982912"/>
    <w:rsid w:val="0098292D"/>
    <w:rsid w:val="00982960"/>
    <w:rsid w:val="009829CC"/>
    <w:rsid w:val="009829DD"/>
    <w:rsid w:val="00982A6A"/>
    <w:rsid w:val="00982ABB"/>
    <w:rsid w:val="00982B2E"/>
    <w:rsid w:val="00982BDE"/>
    <w:rsid w:val="00982C12"/>
    <w:rsid w:val="00982CDF"/>
    <w:rsid w:val="00982CE4"/>
    <w:rsid w:val="00982D2C"/>
    <w:rsid w:val="00982D39"/>
    <w:rsid w:val="00982E20"/>
    <w:rsid w:val="00982EA1"/>
    <w:rsid w:val="00982EA6"/>
    <w:rsid w:val="00982EB2"/>
    <w:rsid w:val="00982F04"/>
    <w:rsid w:val="00982F62"/>
    <w:rsid w:val="00982FA5"/>
    <w:rsid w:val="00982FE3"/>
    <w:rsid w:val="009830D0"/>
    <w:rsid w:val="00983147"/>
    <w:rsid w:val="0098318F"/>
    <w:rsid w:val="00983286"/>
    <w:rsid w:val="00983319"/>
    <w:rsid w:val="0098336A"/>
    <w:rsid w:val="00983387"/>
    <w:rsid w:val="00983467"/>
    <w:rsid w:val="0098347B"/>
    <w:rsid w:val="00983503"/>
    <w:rsid w:val="0098359B"/>
    <w:rsid w:val="0098359D"/>
    <w:rsid w:val="00983695"/>
    <w:rsid w:val="009836B4"/>
    <w:rsid w:val="00983719"/>
    <w:rsid w:val="009837FB"/>
    <w:rsid w:val="009837FC"/>
    <w:rsid w:val="00983804"/>
    <w:rsid w:val="00983881"/>
    <w:rsid w:val="0098390F"/>
    <w:rsid w:val="0098393B"/>
    <w:rsid w:val="00983B57"/>
    <w:rsid w:val="00983BC8"/>
    <w:rsid w:val="00983C3F"/>
    <w:rsid w:val="00983C4C"/>
    <w:rsid w:val="00983C51"/>
    <w:rsid w:val="00983DBF"/>
    <w:rsid w:val="00983E67"/>
    <w:rsid w:val="00983EEE"/>
    <w:rsid w:val="00983F5B"/>
    <w:rsid w:val="00983F77"/>
    <w:rsid w:val="00983FAC"/>
    <w:rsid w:val="00983FBA"/>
    <w:rsid w:val="0098406F"/>
    <w:rsid w:val="009840A0"/>
    <w:rsid w:val="0098411B"/>
    <w:rsid w:val="00984151"/>
    <w:rsid w:val="0098416C"/>
    <w:rsid w:val="009841AC"/>
    <w:rsid w:val="009841D2"/>
    <w:rsid w:val="009841F5"/>
    <w:rsid w:val="00984253"/>
    <w:rsid w:val="009842FF"/>
    <w:rsid w:val="0098437A"/>
    <w:rsid w:val="009843A7"/>
    <w:rsid w:val="009843D7"/>
    <w:rsid w:val="0098443F"/>
    <w:rsid w:val="009844AC"/>
    <w:rsid w:val="00984507"/>
    <w:rsid w:val="0098453A"/>
    <w:rsid w:val="009845FD"/>
    <w:rsid w:val="00984615"/>
    <w:rsid w:val="0098469E"/>
    <w:rsid w:val="0098472D"/>
    <w:rsid w:val="00984860"/>
    <w:rsid w:val="0098490D"/>
    <w:rsid w:val="0098493F"/>
    <w:rsid w:val="009849CC"/>
    <w:rsid w:val="009849FB"/>
    <w:rsid w:val="00984A20"/>
    <w:rsid w:val="00984A62"/>
    <w:rsid w:val="00984AC0"/>
    <w:rsid w:val="00984AC4"/>
    <w:rsid w:val="00984B63"/>
    <w:rsid w:val="00984B7E"/>
    <w:rsid w:val="00984BB3"/>
    <w:rsid w:val="00984BC7"/>
    <w:rsid w:val="00984BE3"/>
    <w:rsid w:val="00984C5E"/>
    <w:rsid w:val="00984C6F"/>
    <w:rsid w:val="00984C83"/>
    <w:rsid w:val="00984CE0"/>
    <w:rsid w:val="00984D04"/>
    <w:rsid w:val="00984DEB"/>
    <w:rsid w:val="00984E0A"/>
    <w:rsid w:val="00984ED1"/>
    <w:rsid w:val="00984F9F"/>
    <w:rsid w:val="00984FD0"/>
    <w:rsid w:val="009850FD"/>
    <w:rsid w:val="009851A5"/>
    <w:rsid w:val="009851B0"/>
    <w:rsid w:val="00985218"/>
    <w:rsid w:val="009852A0"/>
    <w:rsid w:val="009852A3"/>
    <w:rsid w:val="009852AD"/>
    <w:rsid w:val="009852C4"/>
    <w:rsid w:val="009852CA"/>
    <w:rsid w:val="009852E2"/>
    <w:rsid w:val="00985391"/>
    <w:rsid w:val="009853BA"/>
    <w:rsid w:val="009853BE"/>
    <w:rsid w:val="009853F5"/>
    <w:rsid w:val="00985551"/>
    <w:rsid w:val="00985589"/>
    <w:rsid w:val="009855ED"/>
    <w:rsid w:val="009855F8"/>
    <w:rsid w:val="00985626"/>
    <w:rsid w:val="009856BB"/>
    <w:rsid w:val="009856FE"/>
    <w:rsid w:val="0098575C"/>
    <w:rsid w:val="009857AD"/>
    <w:rsid w:val="0098580E"/>
    <w:rsid w:val="009858BB"/>
    <w:rsid w:val="00985966"/>
    <w:rsid w:val="009859D2"/>
    <w:rsid w:val="009859EB"/>
    <w:rsid w:val="00985A72"/>
    <w:rsid w:val="00985A7A"/>
    <w:rsid w:val="00985A9D"/>
    <w:rsid w:val="00985AA6"/>
    <w:rsid w:val="00985AD9"/>
    <w:rsid w:val="00985B55"/>
    <w:rsid w:val="00985BE2"/>
    <w:rsid w:val="00985BF7"/>
    <w:rsid w:val="00985C58"/>
    <w:rsid w:val="00985C8A"/>
    <w:rsid w:val="00985C94"/>
    <w:rsid w:val="00985DFA"/>
    <w:rsid w:val="00985DFD"/>
    <w:rsid w:val="00985EAE"/>
    <w:rsid w:val="00985FF5"/>
    <w:rsid w:val="00986046"/>
    <w:rsid w:val="00986069"/>
    <w:rsid w:val="0098609D"/>
    <w:rsid w:val="009860C8"/>
    <w:rsid w:val="009860E4"/>
    <w:rsid w:val="00986104"/>
    <w:rsid w:val="0098615B"/>
    <w:rsid w:val="0098616B"/>
    <w:rsid w:val="0098620F"/>
    <w:rsid w:val="009862E2"/>
    <w:rsid w:val="009862F9"/>
    <w:rsid w:val="00986309"/>
    <w:rsid w:val="00986484"/>
    <w:rsid w:val="00986494"/>
    <w:rsid w:val="00986531"/>
    <w:rsid w:val="00986579"/>
    <w:rsid w:val="00986650"/>
    <w:rsid w:val="0098665D"/>
    <w:rsid w:val="00986684"/>
    <w:rsid w:val="009867E9"/>
    <w:rsid w:val="009867FD"/>
    <w:rsid w:val="009868D5"/>
    <w:rsid w:val="00986923"/>
    <w:rsid w:val="00986940"/>
    <w:rsid w:val="0098696A"/>
    <w:rsid w:val="009869AC"/>
    <w:rsid w:val="009869CE"/>
    <w:rsid w:val="00986B60"/>
    <w:rsid w:val="00986CA7"/>
    <w:rsid w:val="00986D58"/>
    <w:rsid w:val="00986E86"/>
    <w:rsid w:val="00986EB4"/>
    <w:rsid w:val="00986F2B"/>
    <w:rsid w:val="00986F6E"/>
    <w:rsid w:val="00986F98"/>
    <w:rsid w:val="00986FD8"/>
    <w:rsid w:val="00987005"/>
    <w:rsid w:val="009870C6"/>
    <w:rsid w:val="009870EE"/>
    <w:rsid w:val="009871B4"/>
    <w:rsid w:val="00987270"/>
    <w:rsid w:val="00987283"/>
    <w:rsid w:val="00987292"/>
    <w:rsid w:val="009872AC"/>
    <w:rsid w:val="00987340"/>
    <w:rsid w:val="009873E4"/>
    <w:rsid w:val="0098743B"/>
    <w:rsid w:val="0098749A"/>
    <w:rsid w:val="009874E6"/>
    <w:rsid w:val="009875EC"/>
    <w:rsid w:val="00987630"/>
    <w:rsid w:val="00987655"/>
    <w:rsid w:val="009876AA"/>
    <w:rsid w:val="0098770A"/>
    <w:rsid w:val="0098771D"/>
    <w:rsid w:val="009877B2"/>
    <w:rsid w:val="0098782A"/>
    <w:rsid w:val="00987838"/>
    <w:rsid w:val="009878C4"/>
    <w:rsid w:val="00987944"/>
    <w:rsid w:val="00987980"/>
    <w:rsid w:val="009879BC"/>
    <w:rsid w:val="00987AD6"/>
    <w:rsid w:val="00987B64"/>
    <w:rsid w:val="00987BA6"/>
    <w:rsid w:val="00987BAD"/>
    <w:rsid w:val="00987BFD"/>
    <w:rsid w:val="00987C22"/>
    <w:rsid w:val="00987C42"/>
    <w:rsid w:val="00987C4F"/>
    <w:rsid w:val="00987CD9"/>
    <w:rsid w:val="00987D56"/>
    <w:rsid w:val="00987DA6"/>
    <w:rsid w:val="00987DB0"/>
    <w:rsid w:val="00987DF4"/>
    <w:rsid w:val="00987E14"/>
    <w:rsid w:val="00987EA8"/>
    <w:rsid w:val="00987ED1"/>
    <w:rsid w:val="00987F26"/>
    <w:rsid w:val="00987F52"/>
    <w:rsid w:val="00987FBA"/>
    <w:rsid w:val="00987FD0"/>
    <w:rsid w:val="00990022"/>
    <w:rsid w:val="0099009D"/>
    <w:rsid w:val="009900AE"/>
    <w:rsid w:val="009901BB"/>
    <w:rsid w:val="00990225"/>
    <w:rsid w:val="009903B6"/>
    <w:rsid w:val="00990419"/>
    <w:rsid w:val="0099046A"/>
    <w:rsid w:val="00990491"/>
    <w:rsid w:val="009904BC"/>
    <w:rsid w:val="009904FA"/>
    <w:rsid w:val="00990558"/>
    <w:rsid w:val="009905C7"/>
    <w:rsid w:val="009905F6"/>
    <w:rsid w:val="00990602"/>
    <w:rsid w:val="0099067F"/>
    <w:rsid w:val="00990696"/>
    <w:rsid w:val="009906A8"/>
    <w:rsid w:val="0099078E"/>
    <w:rsid w:val="009907C1"/>
    <w:rsid w:val="0099084C"/>
    <w:rsid w:val="00990852"/>
    <w:rsid w:val="0099087D"/>
    <w:rsid w:val="009908E2"/>
    <w:rsid w:val="00990923"/>
    <w:rsid w:val="0099099F"/>
    <w:rsid w:val="009909B6"/>
    <w:rsid w:val="00990A25"/>
    <w:rsid w:val="00990ACF"/>
    <w:rsid w:val="00990B05"/>
    <w:rsid w:val="00990B2D"/>
    <w:rsid w:val="00990BF0"/>
    <w:rsid w:val="00990CE8"/>
    <w:rsid w:val="00990DBD"/>
    <w:rsid w:val="00990E9B"/>
    <w:rsid w:val="0099110A"/>
    <w:rsid w:val="0099112B"/>
    <w:rsid w:val="0099115C"/>
    <w:rsid w:val="0099120E"/>
    <w:rsid w:val="0099122B"/>
    <w:rsid w:val="0099147C"/>
    <w:rsid w:val="00991503"/>
    <w:rsid w:val="00991588"/>
    <w:rsid w:val="009915CB"/>
    <w:rsid w:val="0099167E"/>
    <w:rsid w:val="00991682"/>
    <w:rsid w:val="00991725"/>
    <w:rsid w:val="00991733"/>
    <w:rsid w:val="0099173C"/>
    <w:rsid w:val="009917C8"/>
    <w:rsid w:val="0099181A"/>
    <w:rsid w:val="00991A09"/>
    <w:rsid w:val="00991BA0"/>
    <w:rsid w:val="00991C7D"/>
    <w:rsid w:val="00991C80"/>
    <w:rsid w:val="00991CB4"/>
    <w:rsid w:val="00991CED"/>
    <w:rsid w:val="00991D00"/>
    <w:rsid w:val="00991D35"/>
    <w:rsid w:val="00991DA5"/>
    <w:rsid w:val="00991EA5"/>
    <w:rsid w:val="00991EFF"/>
    <w:rsid w:val="00991F34"/>
    <w:rsid w:val="00991F98"/>
    <w:rsid w:val="00992022"/>
    <w:rsid w:val="00992096"/>
    <w:rsid w:val="00992163"/>
    <w:rsid w:val="0099218D"/>
    <w:rsid w:val="00992191"/>
    <w:rsid w:val="0099222E"/>
    <w:rsid w:val="009922CB"/>
    <w:rsid w:val="0099232D"/>
    <w:rsid w:val="0099236E"/>
    <w:rsid w:val="00992521"/>
    <w:rsid w:val="009925D8"/>
    <w:rsid w:val="00992603"/>
    <w:rsid w:val="0099264B"/>
    <w:rsid w:val="00992667"/>
    <w:rsid w:val="00992678"/>
    <w:rsid w:val="00992691"/>
    <w:rsid w:val="00992724"/>
    <w:rsid w:val="00992777"/>
    <w:rsid w:val="009927F9"/>
    <w:rsid w:val="0099287A"/>
    <w:rsid w:val="00992912"/>
    <w:rsid w:val="009929A5"/>
    <w:rsid w:val="00992B1E"/>
    <w:rsid w:val="00992B40"/>
    <w:rsid w:val="00992B7D"/>
    <w:rsid w:val="00992B8C"/>
    <w:rsid w:val="00992C59"/>
    <w:rsid w:val="00992CB6"/>
    <w:rsid w:val="00992D8D"/>
    <w:rsid w:val="00992DB0"/>
    <w:rsid w:val="00992DF6"/>
    <w:rsid w:val="00992F06"/>
    <w:rsid w:val="00992F44"/>
    <w:rsid w:val="00992FB4"/>
    <w:rsid w:val="0099303E"/>
    <w:rsid w:val="009930D4"/>
    <w:rsid w:val="0099313F"/>
    <w:rsid w:val="009931DE"/>
    <w:rsid w:val="00993279"/>
    <w:rsid w:val="00993291"/>
    <w:rsid w:val="009932DD"/>
    <w:rsid w:val="00993347"/>
    <w:rsid w:val="0099337E"/>
    <w:rsid w:val="009933A6"/>
    <w:rsid w:val="009933AD"/>
    <w:rsid w:val="00993489"/>
    <w:rsid w:val="009934E7"/>
    <w:rsid w:val="009934F8"/>
    <w:rsid w:val="0099350A"/>
    <w:rsid w:val="00993596"/>
    <w:rsid w:val="00993646"/>
    <w:rsid w:val="0099365D"/>
    <w:rsid w:val="009937B7"/>
    <w:rsid w:val="0099384C"/>
    <w:rsid w:val="0099391F"/>
    <w:rsid w:val="00993966"/>
    <w:rsid w:val="0099398A"/>
    <w:rsid w:val="00993A1E"/>
    <w:rsid w:val="00993A64"/>
    <w:rsid w:val="00993A75"/>
    <w:rsid w:val="00993AED"/>
    <w:rsid w:val="00993B07"/>
    <w:rsid w:val="00993BA8"/>
    <w:rsid w:val="00993C2F"/>
    <w:rsid w:val="00993C4C"/>
    <w:rsid w:val="00993C83"/>
    <w:rsid w:val="00993CCE"/>
    <w:rsid w:val="00993D0C"/>
    <w:rsid w:val="00993D46"/>
    <w:rsid w:val="00993DB2"/>
    <w:rsid w:val="00993E18"/>
    <w:rsid w:val="00993E58"/>
    <w:rsid w:val="00993EB4"/>
    <w:rsid w:val="00993F85"/>
    <w:rsid w:val="00993FA5"/>
    <w:rsid w:val="00993FE8"/>
    <w:rsid w:val="00993FEC"/>
    <w:rsid w:val="00993FF6"/>
    <w:rsid w:val="00994013"/>
    <w:rsid w:val="00994062"/>
    <w:rsid w:val="0099406B"/>
    <w:rsid w:val="009940C1"/>
    <w:rsid w:val="00994204"/>
    <w:rsid w:val="0099422A"/>
    <w:rsid w:val="00994244"/>
    <w:rsid w:val="00994383"/>
    <w:rsid w:val="0099454A"/>
    <w:rsid w:val="0099456F"/>
    <w:rsid w:val="009945F1"/>
    <w:rsid w:val="00994642"/>
    <w:rsid w:val="0099465D"/>
    <w:rsid w:val="009946A0"/>
    <w:rsid w:val="009946A7"/>
    <w:rsid w:val="00994760"/>
    <w:rsid w:val="009947BD"/>
    <w:rsid w:val="0099480F"/>
    <w:rsid w:val="009948F7"/>
    <w:rsid w:val="0099499C"/>
    <w:rsid w:val="009949A0"/>
    <w:rsid w:val="009949E2"/>
    <w:rsid w:val="00994A20"/>
    <w:rsid w:val="00994A56"/>
    <w:rsid w:val="00994B09"/>
    <w:rsid w:val="00994BB7"/>
    <w:rsid w:val="00994BB9"/>
    <w:rsid w:val="00994D2D"/>
    <w:rsid w:val="00994D99"/>
    <w:rsid w:val="00994DDA"/>
    <w:rsid w:val="00994E38"/>
    <w:rsid w:val="00994EB3"/>
    <w:rsid w:val="00994EB5"/>
    <w:rsid w:val="00994F89"/>
    <w:rsid w:val="0099505A"/>
    <w:rsid w:val="009950F9"/>
    <w:rsid w:val="0099512E"/>
    <w:rsid w:val="009951E8"/>
    <w:rsid w:val="009951FD"/>
    <w:rsid w:val="00995375"/>
    <w:rsid w:val="009953EE"/>
    <w:rsid w:val="00995444"/>
    <w:rsid w:val="009954A2"/>
    <w:rsid w:val="0099563D"/>
    <w:rsid w:val="0099568C"/>
    <w:rsid w:val="009957A9"/>
    <w:rsid w:val="009957F4"/>
    <w:rsid w:val="00995973"/>
    <w:rsid w:val="00995B3A"/>
    <w:rsid w:val="00995B55"/>
    <w:rsid w:val="00995B85"/>
    <w:rsid w:val="00995B94"/>
    <w:rsid w:val="00995BD0"/>
    <w:rsid w:val="00995C42"/>
    <w:rsid w:val="00995C5C"/>
    <w:rsid w:val="00995E5C"/>
    <w:rsid w:val="00995ED6"/>
    <w:rsid w:val="00995F26"/>
    <w:rsid w:val="0099605B"/>
    <w:rsid w:val="0099609E"/>
    <w:rsid w:val="009960A8"/>
    <w:rsid w:val="0099613D"/>
    <w:rsid w:val="009961AD"/>
    <w:rsid w:val="009961CD"/>
    <w:rsid w:val="00996212"/>
    <w:rsid w:val="00996271"/>
    <w:rsid w:val="009964D0"/>
    <w:rsid w:val="00996633"/>
    <w:rsid w:val="00996664"/>
    <w:rsid w:val="009968CF"/>
    <w:rsid w:val="0099691B"/>
    <w:rsid w:val="00996969"/>
    <w:rsid w:val="0099699D"/>
    <w:rsid w:val="009969C0"/>
    <w:rsid w:val="00996ACF"/>
    <w:rsid w:val="00996B19"/>
    <w:rsid w:val="00996B85"/>
    <w:rsid w:val="00996BED"/>
    <w:rsid w:val="00996C06"/>
    <w:rsid w:val="00996C38"/>
    <w:rsid w:val="00996C39"/>
    <w:rsid w:val="00996C67"/>
    <w:rsid w:val="00996CBB"/>
    <w:rsid w:val="00996DFF"/>
    <w:rsid w:val="00996F12"/>
    <w:rsid w:val="00996FB9"/>
    <w:rsid w:val="00996FEF"/>
    <w:rsid w:val="00996FF1"/>
    <w:rsid w:val="00997023"/>
    <w:rsid w:val="00997037"/>
    <w:rsid w:val="009970AA"/>
    <w:rsid w:val="00997427"/>
    <w:rsid w:val="0099747C"/>
    <w:rsid w:val="00997585"/>
    <w:rsid w:val="0099758A"/>
    <w:rsid w:val="00997777"/>
    <w:rsid w:val="009977AC"/>
    <w:rsid w:val="00997840"/>
    <w:rsid w:val="00997863"/>
    <w:rsid w:val="00997884"/>
    <w:rsid w:val="009978FF"/>
    <w:rsid w:val="00997A1D"/>
    <w:rsid w:val="00997A21"/>
    <w:rsid w:val="00997A47"/>
    <w:rsid w:val="00997B09"/>
    <w:rsid w:val="00997B1C"/>
    <w:rsid w:val="00997DA9"/>
    <w:rsid w:val="00997DBF"/>
    <w:rsid w:val="00997DF7"/>
    <w:rsid w:val="00997E67"/>
    <w:rsid w:val="00997E98"/>
    <w:rsid w:val="00997F73"/>
    <w:rsid w:val="009A004B"/>
    <w:rsid w:val="009A0063"/>
    <w:rsid w:val="009A009D"/>
    <w:rsid w:val="009A0129"/>
    <w:rsid w:val="009A013C"/>
    <w:rsid w:val="009A0199"/>
    <w:rsid w:val="009A01D2"/>
    <w:rsid w:val="009A0225"/>
    <w:rsid w:val="009A02F2"/>
    <w:rsid w:val="009A0381"/>
    <w:rsid w:val="009A04CF"/>
    <w:rsid w:val="009A0539"/>
    <w:rsid w:val="009A05D2"/>
    <w:rsid w:val="009A05E3"/>
    <w:rsid w:val="009A06EA"/>
    <w:rsid w:val="009A06FD"/>
    <w:rsid w:val="009A0728"/>
    <w:rsid w:val="009A0781"/>
    <w:rsid w:val="009A07CD"/>
    <w:rsid w:val="009A07D8"/>
    <w:rsid w:val="009A08A1"/>
    <w:rsid w:val="009A08C7"/>
    <w:rsid w:val="009A08DB"/>
    <w:rsid w:val="009A08E1"/>
    <w:rsid w:val="009A08F3"/>
    <w:rsid w:val="009A098C"/>
    <w:rsid w:val="009A0991"/>
    <w:rsid w:val="009A099A"/>
    <w:rsid w:val="009A0B4B"/>
    <w:rsid w:val="009A0B5B"/>
    <w:rsid w:val="009A0C15"/>
    <w:rsid w:val="009A0C39"/>
    <w:rsid w:val="009A0C6E"/>
    <w:rsid w:val="009A0DA5"/>
    <w:rsid w:val="009A0E1D"/>
    <w:rsid w:val="009A0E6F"/>
    <w:rsid w:val="009A0EEE"/>
    <w:rsid w:val="009A0F3C"/>
    <w:rsid w:val="009A0FDD"/>
    <w:rsid w:val="009A101E"/>
    <w:rsid w:val="009A106A"/>
    <w:rsid w:val="009A106D"/>
    <w:rsid w:val="009A10D4"/>
    <w:rsid w:val="009A1101"/>
    <w:rsid w:val="009A114F"/>
    <w:rsid w:val="009A115F"/>
    <w:rsid w:val="009A11BF"/>
    <w:rsid w:val="009A1276"/>
    <w:rsid w:val="009A128E"/>
    <w:rsid w:val="009A1340"/>
    <w:rsid w:val="009A135F"/>
    <w:rsid w:val="009A1376"/>
    <w:rsid w:val="009A1413"/>
    <w:rsid w:val="009A145C"/>
    <w:rsid w:val="009A149C"/>
    <w:rsid w:val="009A14EE"/>
    <w:rsid w:val="009A152A"/>
    <w:rsid w:val="009A15D9"/>
    <w:rsid w:val="009A15DE"/>
    <w:rsid w:val="009A1633"/>
    <w:rsid w:val="009A1635"/>
    <w:rsid w:val="009A1640"/>
    <w:rsid w:val="009A16E2"/>
    <w:rsid w:val="009A17BD"/>
    <w:rsid w:val="009A1814"/>
    <w:rsid w:val="009A1834"/>
    <w:rsid w:val="009A1875"/>
    <w:rsid w:val="009A1890"/>
    <w:rsid w:val="009A19B2"/>
    <w:rsid w:val="009A1ADE"/>
    <w:rsid w:val="009A1C98"/>
    <w:rsid w:val="009A1D0E"/>
    <w:rsid w:val="009A1DD2"/>
    <w:rsid w:val="009A1DDD"/>
    <w:rsid w:val="009A1E2F"/>
    <w:rsid w:val="009A1E68"/>
    <w:rsid w:val="009A1EBC"/>
    <w:rsid w:val="009A1EFA"/>
    <w:rsid w:val="009A1F11"/>
    <w:rsid w:val="009A1FAD"/>
    <w:rsid w:val="009A20DF"/>
    <w:rsid w:val="009A21AA"/>
    <w:rsid w:val="009A2278"/>
    <w:rsid w:val="009A2288"/>
    <w:rsid w:val="009A2290"/>
    <w:rsid w:val="009A235E"/>
    <w:rsid w:val="009A237B"/>
    <w:rsid w:val="009A2399"/>
    <w:rsid w:val="009A23C8"/>
    <w:rsid w:val="009A23FC"/>
    <w:rsid w:val="009A241F"/>
    <w:rsid w:val="009A24D9"/>
    <w:rsid w:val="009A24ED"/>
    <w:rsid w:val="009A257C"/>
    <w:rsid w:val="009A25A9"/>
    <w:rsid w:val="009A2600"/>
    <w:rsid w:val="009A26B7"/>
    <w:rsid w:val="009A2712"/>
    <w:rsid w:val="009A274C"/>
    <w:rsid w:val="009A27C6"/>
    <w:rsid w:val="009A2814"/>
    <w:rsid w:val="009A297E"/>
    <w:rsid w:val="009A2A1E"/>
    <w:rsid w:val="009A2A66"/>
    <w:rsid w:val="009A2A7A"/>
    <w:rsid w:val="009A2ACF"/>
    <w:rsid w:val="009A2B50"/>
    <w:rsid w:val="009A2B8B"/>
    <w:rsid w:val="009A2B98"/>
    <w:rsid w:val="009A2D66"/>
    <w:rsid w:val="009A2E19"/>
    <w:rsid w:val="009A2E2D"/>
    <w:rsid w:val="009A2E3C"/>
    <w:rsid w:val="009A2EEA"/>
    <w:rsid w:val="009A2F4D"/>
    <w:rsid w:val="009A2FB4"/>
    <w:rsid w:val="009A2FD5"/>
    <w:rsid w:val="009A3010"/>
    <w:rsid w:val="009A3032"/>
    <w:rsid w:val="009A30E0"/>
    <w:rsid w:val="009A3129"/>
    <w:rsid w:val="009A3157"/>
    <w:rsid w:val="009A31D4"/>
    <w:rsid w:val="009A3227"/>
    <w:rsid w:val="009A3274"/>
    <w:rsid w:val="009A327C"/>
    <w:rsid w:val="009A32BA"/>
    <w:rsid w:val="009A3310"/>
    <w:rsid w:val="009A335E"/>
    <w:rsid w:val="009A3363"/>
    <w:rsid w:val="009A355A"/>
    <w:rsid w:val="009A3685"/>
    <w:rsid w:val="009A37A4"/>
    <w:rsid w:val="009A388C"/>
    <w:rsid w:val="009A38DD"/>
    <w:rsid w:val="009A398B"/>
    <w:rsid w:val="009A39C3"/>
    <w:rsid w:val="009A3AD5"/>
    <w:rsid w:val="009A3B2A"/>
    <w:rsid w:val="009A3CA2"/>
    <w:rsid w:val="009A3CFA"/>
    <w:rsid w:val="009A3D02"/>
    <w:rsid w:val="009A3DA1"/>
    <w:rsid w:val="009A3E11"/>
    <w:rsid w:val="009A3EAA"/>
    <w:rsid w:val="009A3EF3"/>
    <w:rsid w:val="009A3F02"/>
    <w:rsid w:val="009A3F2E"/>
    <w:rsid w:val="009A4050"/>
    <w:rsid w:val="009A40D1"/>
    <w:rsid w:val="009A418C"/>
    <w:rsid w:val="009A41A9"/>
    <w:rsid w:val="009A423F"/>
    <w:rsid w:val="009A428B"/>
    <w:rsid w:val="009A42DA"/>
    <w:rsid w:val="009A4307"/>
    <w:rsid w:val="009A4357"/>
    <w:rsid w:val="009A4369"/>
    <w:rsid w:val="009A442A"/>
    <w:rsid w:val="009A452C"/>
    <w:rsid w:val="009A453A"/>
    <w:rsid w:val="009A4543"/>
    <w:rsid w:val="009A45D5"/>
    <w:rsid w:val="009A4611"/>
    <w:rsid w:val="009A4632"/>
    <w:rsid w:val="009A4817"/>
    <w:rsid w:val="009A48BC"/>
    <w:rsid w:val="009A48E2"/>
    <w:rsid w:val="009A4A15"/>
    <w:rsid w:val="009A4A74"/>
    <w:rsid w:val="009A4ABF"/>
    <w:rsid w:val="009A4AD8"/>
    <w:rsid w:val="009A4B17"/>
    <w:rsid w:val="009A4B9A"/>
    <w:rsid w:val="009A4CA4"/>
    <w:rsid w:val="009A4DAD"/>
    <w:rsid w:val="009A4DC2"/>
    <w:rsid w:val="009A4E4F"/>
    <w:rsid w:val="009A4EB5"/>
    <w:rsid w:val="009A4EBD"/>
    <w:rsid w:val="009A4EFF"/>
    <w:rsid w:val="009A4F04"/>
    <w:rsid w:val="009A4F62"/>
    <w:rsid w:val="009A4FA1"/>
    <w:rsid w:val="009A513A"/>
    <w:rsid w:val="009A515A"/>
    <w:rsid w:val="009A5239"/>
    <w:rsid w:val="009A530F"/>
    <w:rsid w:val="009A534F"/>
    <w:rsid w:val="009A53DC"/>
    <w:rsid w:val="009A551A"/>
    <w:rsid w:val="009A566E"/>
    <w:rsid w:val="009A570B"/>
    <w:rsid w:val="009A57AB"/>
    <w:rsid w:val="009A57FB"/>
    <w:rsid w:val="009A5839"/>
    <w:rsid w:val="009A5883"/>
    <w:rsid w:val="009A58B1"/>
    <w:rsid w:val="009A58FE"/>
    <w:rsid w:val="009A5941"/>
    <w:rsid w:val="009A594A"/>
    <w:rsid w:val="009A5986"/>
    <w:rsid w:val="009A59F0"/>
    <w:rsid w:val="009A5A0E"/>
    <w:rsid w:val="009A5A5F"/>
    <w:rsid w:val="009A5AEC"/>
    <w:rsid w:val="009A5C99"/>
    <w:rsid w:val="009A5FDB"/>
    <w:rsid w:val="009A6129"/>
    <w:rsid w:val="009A615C"/>
    <w:rsid w:val="009A620F"/>
    <w:rsid w:val="009A624B"/>
    <w:rsid w:val="009A636D"/>
    <w:rsid w:val="009A640B"/>
    <w:rsid w:val="009A6428"/>
    <w:rsid w:val="009A6451"/>
    <w:rsid w:val="009A648F"/>
    <w:rsid w:val="009A65EF"/>
    <w:rsid w:val="009A6647"/>
    <w:rsid w:val="009A6653"/>
    <w:rsid w:val="009A66EF"/>
    <w:rsid w:val="009A6732"/>
    <w:rsid w:val="009A686B"/>
    <w:rsid w:val="009A6929"/>
    <w:rsid w:val="009A6A96"/>
    <w:rsid w:val="009A6AEC"/>
    <w:rsid w:val="009A6AF3"/>
    <w:rsid w:val="009A6B01"/>
    <w:rsid w:val="009A6B30"/>
    <w:rsid w:val="009A6B4F"/>
    <w:rsid w:val="009A6B86"/>
    <w:rsid w:val="009A6C74"/>
    <w:rsid w:val="009A6C84"/>
    <w:rsid w:val="009A6C9F"/>
    <w:rsid w:val="009A6CA1"/>
    <w:rsid w:val="009A6D36"/>
    <w:rsid w:val="009A6D6A"/>
    <w:rsid w:val="009A6E0D"/>
    <w:rsid w:val="009A6E44"/>
    <w:rsid w:val="009A6E79"/>
    <w:rsid w:val="009A6E8A"/>
    <w:rsid w:val="009A7079"/>
    <w:rsid w:val="009A70B2"/>
    <w:rsid w:val="009A7108"/>
    <w:rsid w:val="009A7242"/>
    <w:rsid w:val="009A73A8"/>
    <w:rsid w:val="009A73EF"/>
    <w:rsid w:val="009A7401"/>
    <w:rsid w:val="009A744E"/>
    <w:rsid w:val="009A74DA"/>
    <w:rsid w:val="009A75C2"/>
    <w:rsid w:val="009A75E6"/>
    <w:rsid w:val="009A75FF"/>
    <w:rsid w:val="009A76DF"/>
    <w:rsid w:val="009A776F"/>
    <w:rsid w:val="009A7801"/>
    <w:rsid w:val="009A786C"/>
    <w:rsid w:val="009A78EA"/>
    <w:rsid w:val="009A7989"/>
    <w:rsid w:val="009A79A2"/>
    <w:rsid w:val="009A79F0"/>
    <w:rsid w:val="009A7A0A"/>
    <w:rsid w:val="009A7A11"/>
    <w:rsid w:val="009A7A25"/>
    <w:rsid w:val="009A7A33"/>
    <w:rsid w:val="009A7AB0"/>
    <w:rsid w:val="009A7AB5"/>
    <w:rsid w:val="009A7AB6"/>
    <w:rsid w:val="009A7ADA"/>
    <w:rsid w:val="009A7AFF"/>
    <w:rsid w:val="009A7B05"/>
    <w:rsid w:val="009A7C0B"/>
    <w:rsid w:val="009A7C75"/>
    <w:rsid w:val="009A7D27"/>
    <w:rsid w:val="009A7D3C"/>
    <w:rsid w:val="009A7DDD"/>
    <w:rsid w:val="009A7E9C"/>
    <w:rsid w:val="009A7EF5"/>
    <w:rsid w:val="009A7FF1"/>
    <w:rsid w:val="009B0055"/>
    <w:rsid w:val="009B00C6"/>
    <w:rsid w:val="009B00F0"/>
    <w:rsid w:val="009B01B7"/>
    <w:rsid w:val="009B02A7"/>
    <w:rsid w:val="009B0311"/>
    <w:rsid w:val="009B033E"/>
    <w:rsid w:val="009B0383"/>
    <w:rsid w:val="009B04A5"/>
    <w:rsid w:val="009B04BF"/>
    <w:rsid w:val="009B057A"/>
    <w:rsid w:val="009B062F"/>
    <w:rsid w:val="009B06C5"/>
    <w:rsid w:val="009B0788"/>
    <w:rsid w:val="009B079D"/>
    <w:rsid w:val="009B07DB"/>
    <w:rsid w:val="009B07EC"/>
    <w:rsid w:val="009B08F7"/>
    <w:rsid w:val="009B0A1E"/>
    <w:rsid w:val="009B0A84"/>
    <w:rsid w:val="009B0B4D"/>
    <w:rsid w:val="009B0B94"/>
    <w:rsid w:val="009B0B9E"/>
    <w:rsid w:val="009B0BA2"/>
    <w:rsid w:val="009B0C1D"/>
    <w:rsid w:val="009B0C2D"/>
    <w:rsid w:val="009B0C61"/>
    <w:rsid w:val="009B0C77"/>
    <w:rsid w:val="009B0CE2"/>
    <w:rsid w:val="009B0D74"/>
    <w:rsid w:val="009B0DF7"/>
    <w:rsid w:val="009B0E84"/>
    <w:rsid w:val="009B0EE4"/>
    <w:rsid w:val="009B0F8D"/>
    <w:rsid w:val="009B1241"/>
    <w:rsid w:val="009B12EF"/>
    <w:rsid w:val="009B1356"/>
    <w:rsid w:val="009B1369"/>
    <w:rsid w:val="009B1393"/>
    <w:rsid w:val="009B13C3"/>
    <w:rsid w:val="009B13D1"/>
    <w:rsid w:val="009B14AA"/>
    <w:rsid w:val="009B14DE"/>
    <w:rsid w:val="009B15A0"/>
    <w:rsid w:val="009B1678"/>
    <w:rsid w:val="009B16C5"/>
    <w:rsid w:val="009B1712"/>
    <w:rsid w:val="009B172A"/>
    <w:rsid w:val="009B175D"/>
    <w:rsid w:val="009B17EB"/>
    <w:rsid w:val="009B18B0"/>
    <w:rsid w:val="009B19D9"/>
    <w:rsid w:val="009B1A54"/>
    <w:rsid w:val="009B1C09"/>
    <w:rsid w:val="009B1C53"/>
    <w:rsid w:val="009B1CA3"/>
    <w:rsid w:val="009B1DEA"/>
    <w:rsid w:val="009B1E37"/>
    <w:rsid w:val="009B1E6C"/>
    <w:rsid w:val="009B1EED"/>
    <w:rsid w:val="009B1EF5"/>
    <w:rsid w:val="009B1F70"/>
    <w:rsid w:val="009B1F76"/>
    <w:rsid w:val="009B1F7F"/>
    <w:rsid w:val="009B1FC3"/>
    <w:rsid w:val="009B2002"/>
    <w:rsid w:val="009B2010"/>
    <w:rsid w:val="009B215C"/>
    <w:rsid w:val="009B217A"/>
    <w:rsid w:val="009B21A5"/>
    <w:rsid w:val="009B21D2"/>
    <w:rsid w:val="009B23A4"/>
    <w:rsid w:val="009B2413"/>
    <w:rsid w:val="009B241A"/>
    <w:rsid w:val="009B2452"/>
    <w:rsid w:val="009B24C0"/>
    <w:rsid w:val="009B253E"/>
    <w:rsid w:val="009B25F2"/>
    <w:rsid w:val="009B25FB"/>
    <w:rsid w:val="009B275A"/>
    <w:rsid w:val="009B2796"/>
    <w:rsid w:val="009B27A5"/>
    <w:rsid w:val="009B290C"/>
    <w:rsid w:val="009B29B6"/>
    <w:rsid w:val="009B2AAA"/>
    <w:rsid w:val="009B2C16"/>
    <w:rsid w:val="009B2CDC"/>
    <w:rsid w:val="009B2D15"/>
    <w:rsid w:val="009B2D35"/>
    <w:rsid w:val="009B2E33"/>
    <w:rsid w:val="009B2EF2"/>
    <w:rsid w:val="009B2EFD"/>
    <w:rsid w:val="009B2F2E"/>
    <w:rsid w:val="009B2F70"/>
    <w:rsid w:val="009B3098"/>
    <w:rsid w:val="009B30DE"/>
    <w:rsid w:val="009B3106"/>
    <w:rsid w:val="009B31BE"/>
    <w:rsid w:val="009B3262"/>
    <w:rsid w:val="009B32D0"/>
    <w:rsid w:val="009B3314"/>
    <w:rsid w:val="009B335E"/>
    <w:rsid w:val="009B3382"/>
    <w:rsid w:val="009B3454"/>
    <w:rsid w:val="009B3458"/>
    <w:rsid w:val="009B346B"/>
    <w:rsid w:val="009B3518"/>
    <w:rsid w:val="009B3538"/>
    <w:rsid w:val="009B3591"/>
    <w:rsid w:val="009B364F"/>
    <w:rsid w:val="009B36EB"/>
    <w:rsid w:val="009B36FE"/>
    <w:rsid w:val="009B3709"/>
    <w:rsid w:val="009B373A"/>
    <w:rsid w:val="009B3767"/>
    <w:rsid w:val="009B37CB"/>
    <w:rsid w:val="009B38A4"/>
    <w:rsid w:val="009B38E8"/>
    <w:rsid w:val="009B39CF"/>
    <w:rsid w:val="009B39EF"/>
    <w:rsid w:val="009B3A51"/>
    <w:rsid w:val="009B3A98"/>
    <w:rsid w:val="009B3B1A"/>
    <w:rsid w:val="009B3BF4"/>
    <w:rsid w:val="009B3C0F"/>
    <w:rsid w:val="009B3C62"/>
    <w:rsid w:val="009B3C6C"/>
    <w:rsid w:val="009B3CC0"/>
    <w:rsid w:val="009B3CC2"/>
    <w:rsid w:val="009B3D11"/>
    <w:rsid w:val="009B3D1A"/>
    <w:rsid w:val="009B3D8C"/>
    <w:rsid w:val="009B3DE8"/>
    <w:rsid w:val="009B3E52"/>
    <w:rsid w:val="009B3EC4"/>
    <w:rsid w:val="009B3EF5"/>
    <w:rsid w:val="009B3EF8"/>
    <w:rsid w:val="009B3F69"/>
    <w:rsid w:val="009B3F7B"/>
    <w:rsid w:val="009B3FD9"/>
    <w:rsid w:val="009B408E"/>
    <w:rsid w:val="009B40FB"/>
    <w:rsid w:val="009B414D"/>
    <w:rsid w:val="009B415B"/>
    <w:rsid w:val="009B41DF"/>
    <w:rsid w:val="009B4299"/>
    <w:rsid w:val="009B42E1"/>
    <w:rsid w:val="009B43B2"/>
    <w:rsid w:val="009B4565"/>
    <w:rsid w:val="009B457F"/>
    <w:rsid w:val="009B466F"/>
    <w:rsid w:val="009B467C"/>
    <w:rsid w:val="009B4731"/>
    <w:rsid w:val="009B474D"/>
    <w:rsid w:val="009B4823"/>
    <w:rsid w:val="009B484D"/>
    <w:rsid w:val="009B4856"/>
    <w:rsid w:val="009B487E"/>
    <w:rsid w:val="009B48FF"/>
    <w:rsid w:val="009B4915"/>
    <w:rsid w:val="009B492B"/>
    <w:rsid w:val="009B4956"/>
    <w:rsid w:val="009B4968"/>
    <w:rsid w:val="009B498F"/>
    <w:rsid w:val="009B4A3E"/>
    <w:rsid w:val="009B4A53"/>
    <w:rsid w:val="009B4A78"/>
    <w:rsid w:val="009B4B06"/>
    <w:rsid w:val="009B4B89"/>
    <w:rsid w:val="009B4C9C"/>
    <w:rsid w:val="009B4DFA"/>
    <w:rsid w:val="009B4E70"/>
    <w:rsid w:val="009B4EBF"/>
    <w:rsid w:val="009B4EF4"/>
    <w:rsid w:val="009B4FDA"/>
    <w:rsid w:val="009B51DF"/>
    <w:rsid w:val="009B51ED"/>
    <w:rsid w:val="009B5301"/>
    <w:rsid w:val="009B5316"/>
    <w:rsid w:val="009B5320"/>
    <w:rsid w:val="009B53C6"/>
    <w:rsid w:val="009B5405"/>
    <w:rsid w:val="009B55EF"/>
    <w:rsid w:val="009B560F"/>
    <w:rsid w:val="009B569D"/>
    <w:rsid w:val="009B56D3"/>
    <w:rsid w:val="009B57B8"/>
    <w:rsid w:val="009B57D1"/>
    <w:rsid w:val="009B57D9"/>
    <w:rsid w:val="009B57DE"/>
    <w:rsid w:val="009B5883"/>
    <w:rsid w:val="009B58F6"/>
    <w:rsid w:val="009B5984"/>
    <w:rsid w:val="009B59E5"/>
    <w:rsid w:val="009B5B38"/>
    <w:rsid w:val="009B5B39"/>
    <w:rsid w:val="009B5B45"/>
    <w:rsid w:val="009B5B84"/>
    <w:rsid w:val="009B5B8D"/>
    <w:rsid w:val="009B5BFA"/>
    <w:rsid w:val="009B5C35"/>
    <w:rsid w:val="009B5C97"/>
    <w:rsid w:val="009B5CE8"/>
    <w:rsid w:val="009B5D08"/>
    <w:rsid w:val="009B5D75"/>
    <w:rsid w:val="009B5EA8"/>
    <w:rsid w:val="009B60FC"/>
    <w:rsid w:val="009B6142"/>
    <w:rsid w:val="009B61B4"/>
    <w:rsid w:val="009B61B6"/>
    <w:rsid w:val="009B6209"/>
    <w:rsid w:val="009B622B"/>
    <w:rsid w:val="009B634D"/>
    <w:rsid w:val="009B63F4"/>
    <w:rsid w:val="009B6499"/>
    <w:rsid w:val="009B64E0"/>
    <w:rsid w:val="009B6519"/>
    <w:rsid w:val="009B656C"/>
    <w:rsid w:val="009B6594"/>
    <w:rsid w:val="009B6623"/>
    <w:rsid w:val="009B6678"/>
    <w:rsid w:val="009B6796"/>
    <w:rsid w:val="009B6839"/>
    <w:rsid w:val="009B6876"/>
    <w:rsid w:val="009B6886"/>
    <w:rsid w:val="009B6A4A"/>
    <w:rsid w:val="009B6A5D"/>
    <w:rsid w:val="009B6B0F"/>
    <w:rsid w:val="009B6B3C"/>
    <w:rsid w:val="009B6B46"/>
    <w:rsid w:val="009B6B57"/>
    <w:rsid w:val="009B6C10"/>
    <w:rsid w:val="009B6C35"/>
    <w:rsid w:val="009B6C47"/>
    <w:rsid w:val="009B6C83"/>
    <w:rsid w:val="009B6CBE"/>
    <w:rsid w:val="009B6CE0"/>
    <w:rsid w:val="009B6E0A"/>
    <w:rsid w:val="009B6F28"/>
    <w:rsid w:val="009B6FDB"/>
    <w:rsid w:val="009B7003"/>
    <w:rsid w:val="009B700B"/>
    <w:rsid w:val="009B703A"/>
    <w:rsid w:val="009B7064"/>
    <w:rsid w:val="009B70E7"/>
    <w:rsid w:val="009B70EA"/>
    <w:rsid w:val="009B719D"/>
    <w:rsid w:val="009B71E1"/>
    <w:rsid w:val="009B71E6"/>
    <w:rsid w:val="009B72F0"/>
    <w:rsid w:val="009B7330"/>
    <w:rsid w:val="009B7376"/>
    <w:rsid w:val="009B73DD"/>
    <w:rsid w:val="009B73E4"/>
    <w:rsid w:val="009B7422"/>
    <w:rsid w:val="009B757F"/>
    <w:rsid w:val="009B75AB"/>
    <w:rsid w:val="009B7615"/>
    <w:rsid w:val="009B76E4"/>
    <w:rsid w:val="009B7866"/>
    <w:rsid w:val="009B78BB"/>
    <w:rsid w:val="009B78E2"/>
    <w:rsid w:val="009B791C"/>
    <w:rsid w:val="009B7A0A"/>
    <w:rsid w:val="009B7A7F"/>
    <w:rsid w:val="009B7B28"/>
    <w:rsid w:val="009B7B55"/>
    <w:rsid w:val="009B7B72"/>
    <w:rsid w:val="009B7B9E"/>
    <w:rsid w:val="009B7C5B"/>
    <w:rsid w:val="009B7D08"/>
    <w:rsid w:val="009B7D09"/>
    <w:rsid w:val="009B7D4E"/>
    <w:rsid w:val="009B7D84"/>
    <w:rsid w:val="009B7DEA"/>
    <w:rsid w:val="009B7E11"/>
    <w:rsid w:val="009B7E59"/>
    <w:rsid w:val="009B7E9A"/>
    <w:rsid w:val="009B7EB7"/>
    <w:rsid w:val="009B7F2C"/>
    <w:rsid w:val="009B7F6E"/>
    <w:rsid w:val="009C00F5"/>
    <w:rsid w:val="009C013B"/>
    <w:rsid w:val="009C019A"/>
    <w:rsid w:val="009C01F5"/>
    <w:rsid w:val="009C0236"/>
    <w:rsid w:val="009C023A"/>
    <w:rsid w:val="009C02B1"/>
    <w:rsid w:val="009C0314"/>
    <w:rsid w:val="009C03BB"/>
    <w:rsid w:val="009C046F"/>
    <w:rsid w:val="009C05D1"/>
    <w:rsid w:val="009C05F3"/>
    <w:rsid w:val="009C065E"/>
    <w:rsid w:val="009C066B"/>
    <w:rsid w:val="009C06BA"/>
    <w:rsid w:val="009C06EB"/>
    <w:rsid w:val="009C08B5"/>
    <w:rsid w:val="009C08E3"/>
    <w:rsid w:val="009C08E6"/>
    <w:rsid w:val="009C0A33"/>
    <w:rsid w:val="009C0ABF"/>
    <w:rsid w:val="009C0ACA"/>
    <w:rsid w:val="009C0AED"/>
    <w:rsid w:val="009C0B13"/>
    <w:rsid w:val="009C0BEB"/>
    <w:rsid w:val="009C0C41"/>
    <w:rsid w:val="009C0DDE"/>
    <w:rsid w:val="009C0E0F"/>
    <w:rsid w:val="009C0E41"/>
    <w:rsid w:val="009C0E64"/>
    <w:rsid w:val="009C0E6D"/>
    <w:rsid w:val="009C0EC9"/>
    <w:rsid w:val="009C0F30"/>
    <w:rsid w:val="009C0F78"/>
    <w:rsid w:val="009C0F84"/>
    <w:rsid w:val="009C0F94"/>
    <w:rsid w:val="009C0FB3"/>
    <w:rsid w:val="009C0FDE"/>
    <w:rsid w:val="009C1002"/>
    <w:rsid w:val="009C1023"/>
    <w:rsid w:val="009C104B"/>
    <w:rsid w:val="009C1078"/>
    <w:rsid w:val="009C11B8"/>
    <w:rsid w:val="009C126D"/>
    <w:rsid w:val="009C12EF"/>
    <w:rsid w:val="009C135F"/>
    <w:rsid w:val="009C13E1"/>
    <w:rsid w:val="009C1507"/>
    <w:rsid w:val="009C1564"/>
    <w:rsid w:val="009C15B6"/>
    <w:rsid w:val="009C1605"/>
    <w:rsid w:val="009C1689"/>
    <w:rsid w:val="009C16CC"/>
    <w:rsid w:val="009C16EF"/>
    <w:rsid w:val="009C16F1"/>
    <w:rsid w:val="009C1726"/>
    <w:rsid w:val="009C17AE"/>
    <w:rsid w:val="009C181A"/>
    <w:rsid w:val="009C1996"/>
    <w:rsid w:val="009C1A55"/>
    <w:rsid w:val="009C1A63"/>
    <w:rsid w:val="009C1B22"/>
    <w:rsid w:val="009C1B30"/>
    <w:rsid w:val="009C1B45"/>
    <w:rsid w:val="009C1B6E"/>
    <w:rsid w:val="009C1B90"/>
    <w:rsid w:val="009C1DF8"/>
    <w:rsid w:val="009C1E0E"/>
    <w:rsid w:val="009C1E36"/>
    <w:rsid w:val="009C1E44"/>
    <w:rsid w:val="009C1F61"/>
    <w:rsid w:val="009C1FE9"/>
    <w:rsid w:val="009C2129"/>
    <w:rsid w:val="009C2183"/>
    <w:rsid w:val="009C232B"/>
    <w:rsid w:val="009C2443"/>
    <w:rsid w:val="009C2457"/>
    <w:rsid w:val="009C2460"/>
    <w:rsid w:val="009C246D"/>
    <w:rsid w:val="009C2483"/>
    <w:rsid w:val="009C24BE"/>
    <w:rsid w:val="009C2589"/>
    <w:rsid w:val="009C259F"/>
    <w:rsid w:val="009C25C0"/>
    <w:rsid w:val="009C25CA"/>
    <w:rsid w:val="009C2609"/>
    <w:rsid w:val="009C262B"/>
    <w:rsid w:val="009C26C2"/>
    <w:rsid w:val="009C26C5"/>
    <w:rsid w:val="009C270F"/>
    <w:rsid w:val="009C27C2"/>
    <w:rsid w:val="009C290D"/>
    <w:rsid w:val="009C2B45"/>
    <w:rsid w:val="009C2C25"/>
    <w:rsid w:val="009C2C41"/>
    <w:rsid w:val="009C2CCA"/>
    <w:rsid w:val="009C2CCE"/>
    <w:rsid w:val="009C2DAA"/>
    <w:rsid w:val="009C2DC8"/>
    <w:rsid w:val="009C2DE0"/>
    <w:rsid w:val="009C2E57"/>
    <w:rsid w:val="009C2F10"/>
    <w:rsid w:val="009C2F94"/>
    <w:rsid w:val="009C2FE1"/>
    <w:rsid w:val="009C301B"/>
    <w:rsid w:val="009C30E8"/>
    <w:rsid w:val="009C3121"/>
    <w:rsid w:val="009C317C"/>
    <w:rsid w:val="009C3218"/>
    <w:rsid w:val="009C326D"/>
    <w:rsid w:val="009C32B1"/>
    <w:rsid w:val="009C337E"/>
    <w:rsid w:val="009C349A"/>
    <w:rsid w:val="009C34FA"/>
    <w:rsid w:val="009C3506"/>
    <w:rsid w:val="009C3625"/>
    <w:rsid w:val="009C3784"/>
    <w:rsid w:val="009C3874"/>
    <w:rsid w:val="009C387C"/>
    <w:rsid w:val="009C38B7"/>
    <w:rsid w:val="009C395E"/>
    <w:rsid w:val="009C39B7"/>
    <w:rsid w:val="009C3AF0"/>
    <w:rsid w:val="009C3B14"/>
    <w:rsid w:val="009C3C29"/>
    <w:rsid w:val="009C3C90"/>
    <w:rsid w:val="009C3CD5"/>
    <w:rsid w:val="009C3DCD"/>
    <w:rsid w:val="009C3E00"/>
    <w:rsid w:val="009C3E7B"/>
    <w:rsid w:val="009C3F3E"/>
    <w:rsid w:val="009C3F61"/>
    <w:rsid w:val="009C3F94"/>
    <w:rsid w:val="009C3FF1"/>
    <w:rsid w:val="009C4068"/>
    <w:rsid w:val="009C419E"/>
    <w:rsid w:val="009C4234"/>
    <w:rsid w:val="009C4250"/>
    <w:rsid w:val="009C435C"/>
    <w:rsid w:val="009C43B7"/>
    <w:rsid w:val="009C440A"/>
    <w:rsid w:val="009C442A"/>
    <w:rsid w:val="009C446E"/>
    <w:rsid w:val="009C4498"/>
    <w:rsid w:val="009C4509"/>
    <w:rsid w:val="009C4623"/>
    <w:rsid w:val="009C464D"/>
    <w:rsid w:val="009C46A2"/>
    <w:rsid w:val="009C46F6"/>
    <w:rsid w:val="009C46FB"/>
    <w:rsid w:val="009C47BF"/>
    <w:rsid w:val="009C4856"/>
    <w:rsid w:val="009C48D4"/>
    <w:rsid w:val="009C490F"/>
    <w:rsid w:val="009C494B"/>
    <w:rsid w:val="009C4A2A"/>
    <w:rsid w:val="009C4BC1"/>
    <w:rsid w:val="009C4C12"/>
    <w:rsid w:val="009C4C1D"/>
    <w:rsid w:val="009C4CB4"/>
    <w:rsid w:val="009C4CFB"/>
    <w:rsid w:val="009C4D5E"/>
    <w:rsid w:val="009C4D7F"/>
    <w:rsid w:val="009C4DE2"/>
    <w:rsid w:val="009C4EAA"/>
    <w:rsid w:val="009C4EBB"/>
    <w:rsid w:val="009C4EEC"/>
    <w:rsid w:val="009C4F21"/>
    <w:rsid w:val="009C503B"/>
    <w:rsid w:val="009C5051"/>
    <w:rsid w:val="009C50FD"/>
    <w:rsid w:val="009C5124"/>
    <w:rsid w:val="009C5153"/>
    <w:rsid w:val="009C5171"/>
    <w:rsid w:val="009C5253"/>
    <w:rsid w:val="009C5272"/>
    <w:rsid w:val="009C5362"/>
    <w:rsid w:val="009C536E"/>
    <w:rsid w:val="009C5398"/>
    <w:rsid w:val="009C542A"/>
    <w:rsid w:val="009C5616"/>
    <w:rsid w:val="009C5638"/>
    <w:rsid w:val="009C5788"/>
    <w:rsid w:val="009C579E"/>
    <w:rsid w:val="009C57DC"/>
    <w:rsid w:val="009C57F2"/>
    <w:rsid w:val="009C586F"/>
    <w:rsid w:val="009C589E"/>
    <w:rsid w:val="009C58FF"/>
    <w:rsid w:val="009C5973"/>
    <w:rsid w:val="009C5A9A"/>
    <w:rsid w:val="009C5A9E"/>
    <w:rsid w:val="009C5AA0"/>
    <w:rsid w:val="009C5BD6"/>
    <w:rsid w:val="009C5C20"/>
    <w:rsid w:val="009C5D0E"/>
    <w:rsid w:val="009C5D48"/>
    <w:rsid w:val="009C5D87"/>
    <w:rsid w:val="009C5D8A"/>
    <w:rsid w:val="009C5EA7"/>
    <w:rsid w:val="009C5F53"/>
    <w:rsid w:val="009C5F86"/>
    <w:rsid w:val="009C5FA8"/>
    <w:rsid w:val="009C5FE6"/>
    <w:rsid w:val="009C602C"/>
    <w:rsid w:val="009C60A0"/>
    <w:rsid w:val="009C6129"/>
    <w:rsid w:val="009C6210"/>
    <w:rsid w:val="009C62A5"/>
    <w:rsid w:val="009C62A7"/>
    <w:rsid w:val="009C62AF"/>
    <w:rsid w:val="009C62D6"/>
    <w:rsid w:val="009C632A"/>
    <w:rsid w:val="009C63A6"/>
    <w:rsid w:val="009C63D5"/>
    <w:rsid w:val="009C6411"/>
    <w:rsid w:val="009C643B"/>
    <w:rsid w:val="009C6477"/>
    <w:rsid w:val="009C64D0"/>
    <w:rsid w:val="009C64D5"/>
    <w:rsid w:val="009C65E1"/>
    <w:rsid w:val="009C65F2"/>
    <w:rsid w:val="009C6629"/>
    <w:rsid w:val="009C66D8"/>
    <w:rsid w:val="009C67D8"/>
    <w:rsid w:val="009C6849"/>
    <w:rsid w:val="009C6938"/>
    <w:rsid w:val="009C69EC"/>
    <w:rsid w:val="009C6A77"/>
    <w:rsid w:val="009C6B08"/>
    <w:rsid w:val="009C6C8A"/>
    <w:rsid w:val="009C6C8B"/>
    <w:rsid w:val="009C6C9C"/>
    <w:rsid w:val="009C6DA1"/>
    <w:rsid w:val="009C6E2E"/>
    <w:rsid w:val="009C6E38"/>
    <w:rsid w:val="009C6E77"/>
    <w:rsid w:val="009C6EA7"/>
    <w:rsid w:val="009C6EB0"/>
    <w:rsid w:val="009C6EC2"/>
    <w:rsid w:val="009C6F1D"/>
    <w:rsid w:val="009C7108"/>
    <w:rsid w:val="009C711B"/>
    <w:rsid w:val="009C71DA"/>
    <w:rsid w:val="009C726F"/>
    <w:rsid w:val="009C72B5"/>
    <w:rsid w:val="009C754D"/>
    <w:rsid w:val="009C77CA"/>
    <w:rsid w:val="009C7810"/>
    <w:rsid w:val="009C7831"/>
    <w:rsid w:val="009C785B"/>
    <w:rsid w:val="009C78AC"/>
    <w:rsid w:val="009C78C2"/>
    <w:rsid w:val="009C78D7"/>
    <w:rsid w:val="009C799A"/>
    <w:rsid w:val="009C7B1D"/>
    <w:rsid w:val="009C7B72"/>
    <w:rsid w:val="009C7BAF"/>
    <w:rsid w:val="009C7C2C"/>
    <w:rsid w:val="009C7C7A"/>
    <w:rsid w:val="009C7D2D"/>
    <w:rsid w:val="009C7D4D"/>
    <w:rsid w:val="009C7D56"/>
    <w:rsid w:val="009C7D5A"/>
    <w:rsid w:val="009C7D6F"/>
    <w:rsid w:val="009C7DCA"/>
    <w:rsid w:val="009C7E16"/>
    <w:rsid w:val="009C7E51"/>
    <w:rsid w:val="009C7EA3"/>
    <w:rsid w:val="009C7EAF"/>
    <w:rsid w:val="009C7EB0"/>
    <w:rsid w:val="009C7EC3"/>
    <w:rsid w:val="009C7EC6"/>
    <w:rsid w:val="009C7F3B"/>
    <w:rsid w:val="009C7F57"/>
    <w:rsid w:val="009C7F8D"/>
    <w:rsid w:val="009D00CF"/>
    <w:rsid w:val="009D00DA"/>
    <w:rsid w:val="009D00EB"/>
    <w:rsid w:val="009D0145"/>
    <w:rsid w:val="009D01A5"/>
    <w:rsid w:val="009D01D2"/>
    <w:rsid w:val="009D0314"/>
    <w:rsid w:val="009D034E"/>
    <w:rsid w:val="009D03B1"/>
    <w:rsid w:val="009D03DC"/>
    <w:rsid w:val="009D041B"/>
    <w:rsid w:val="009D045D"/>
    <w:rsid w:val="009D048A"/>
    <w:rsid w:val="009D04D0"/>
    <w:rsid w:val="009D0550"/>
    <w:rsid w:val="009D0662"/>
    <w:rsid w:val="009D0675"/>
    <w:rsid w:val="009D07F1"/>
    <w:rsid w:val="009D08F5"/>
    <w:rsid w:val="009D099B"/>
    <w:rsid w:val="009D0A52"/>
    <w:rsid w:val="009D0AA5"/>
    <w:rsid w:val="009D0B1A"/>
    <w:rsid w:val="009D0B49"/>
    <w:rsid w:val="009D0B4F"/>
    <w:rsid w:val="009D0B64"/>
    <w:rsid w:val="009D0B84"/>
    <w:rsid w:val="009D0BAE"/>
    <w:rsid w:val="009D0C4A"/>
    <w:rsid w:val="009D0CAE"/>
    <w:rsid w:val="009D0D5B"/>
    <w:rsid w:val="009D0DD3"/>
    <w:rsid w:val="009D0E39"/>
    <w:rsid w:val="009D0E3D"/>
    <w:rsid w:val="009D0EF0"/>
    <w:rsid w:val="009D0F07"/>
    <w:rsid w:val="009D0F50"/>
    <w:rsid w:val="009D0FB1"/>
    <w:rsid w:val="009D10C9"/>
    <w:rsid w:val="009D10D2"/>
    <w:rsid w:val="009D1153"/>
    <w:rsid w:val="009D1326"/>
    <w:rsid w:val="009D13D7"/>
    <w:rsid w:val="009D13F8"/>
    <w:rsid w:val="009D160A"/>
    <w:rsid w:val="009D1784"/>
    <w:rsid w:val="009D1886"/>
    <w:rsid w:val="009D18AA"/>
    <w:rsid w:val="009D18C4"/>
    <w:rsid w:val="009D1927"/>
    <w:rsid w:val="009D1941"/>
    <w:rsid w:val="009D1957"/>
    <w:rsid w:val="009D199D"/>
    <w:rsid w:val="009D1B7B"/>
    <w:rsid w:val="009D1B88"/>
    <w:rsid w:val="009D1CD1"/>
    <w:rsid w:val="009D1D19"/>
    <w:rsid w:val="009D1DF6"/>
    <w:rsid w:val="009D1E08"/>
    <w:rsid w:val="009D1EE3"/>
    <w:rsid w:val="009D1F83"/>
    <w:rsid w:val="009D1FBA"/>
    <w:rsid w:val="009D1FE1"/>
    <w:rsid w:val="009D1FF1"/>
    <w:rsid w:val="009D1FF2"/>
    <w:rsid w:val="009D2013"/>
    <w:rsid w:val="009D201A"/>
    <w:rsid w:val="009D2064"/>
    <w:rsid w:val="009D2143"/>
    <w:rsid w:val="009D2150"/>
    <w:rsid w:val="009D218B"/>
    <w:rsid w:val="009D2283"/>
    <w:rsid w:val="009D22DE"/>
    <w:rsid w:val="009D2317"/>
    <w:rsid w:val="009D2376"/>
    <w:rsid w:val="009D23D6"/>
    <w:rsid w:val="009D23F2"/>
    <w:rsid w:val="009D2535"/>
    <w:rsid w:val="009D2543"/>
    <w:rsid w:val="009D2559"/>
    <w:rsid w:val="009D28C9"/>
    <w:rsid w:val="009D2904"/>
    <w:rsid w:val="009D29B3"/>
    <w:rsid w:val="009D2A14"/>
    <w:rsid w:val="009D2B3C"/>
    <w:rsid w:val="009D2BB1"/>
    <w:rsid w:val="009D2BB7"/>
    <w:rsid w:val="009D2BDB"/>
    <w:rsid w:val="009D2BE4"/>
    <w:rsid w:val="009D2C0A"/>
    <w:rsid w:val="009D2D23"/>
    <w:rsid w:val="009D2D3E"/>
    <w:rsid w:val="009D2DE6"/>
    <w:rsid w:val="009D2DF9"/>
    <w:rsid w:val="009D2E12"/>
    <w:rsid w:val="009D2E58"/>
    <w:rsid w:val="009D2EAD"/>
    <w:rsid w:val="009D2F51"/>
    <w:rsid w:val="009D3082"/>
    <w:rsid w:val="009D30CA"/>
    <w:rsid w:val="009D30D0"/>
    <w:rsid w:val="009D3132"/>
    <w:rsid w:val="009D3171"/>
    <w:rsid w:val="009D319F"/>
    <w:rsid w:val="009D321B"/>
    <w:rsid w:val="009D321C"/>
    <w:rsid w:val="009D3262"/>
    <w:rsid w:val="009D3273"/>
    <w:rsid w:val="009D32C3"/>
    <w:rsid w:val="009D32D8"/>
    <w:rsid w:val="009D3382"/>
    <w:rsid w:val="009D34AF"/>
    <w:rsid w:val="009D35C3"/>
    <w:rsid w:val="009D35E6"/>
    <w:rsid w:val="009D3638"/>
    <w:rsid w:val="009D367A"/>
    <w:rsid w:val="009D375A"/>
    <w:rsid w:val="009D3772"/>
    <w:rsid w:val="009D37BC"/>
    <w:rsid w:val="009D37D3"/>
    <w:rsid w:val="009D3830"/>
    <w:rsid w:val="009D3890"/>
    <w:rsid w:val="009D3931"/>
    <w:rsid w:val="009D39B0"/>
    <w:rsid w:val="009D39E9"/>
    <w:rsid w:val="009D3A0D"/>
    <w:rsid w:val="009D3A18"/>
    <w:rsid w:val="009D3A93"/>
    <w:rsid w:val="009D3AD8"/>
    <w:rsid w:val="009D3B33"/>
    <w:rsid w:val="009D3C41"/>
    <w:rsid w:val="009D3CA4"/>
    <w:rsid w:val="009D3D3A"/>
    <w:rsid w:val="009D3D9E"/>
    <w:rsid w:val="009D3EEC"/>
    <w:rsid w:val="009D3F45"/>
    <w:rsid w:val="009D3F7A"/>
    <w:rsid w:val="009D4055"/>
    <w:rsid w:val="009D40E5"/>
    <w:rsid w:val="009D4140"/>
    <w:rsid w:val="009D4169"/>
    <w:rsid w:val="009D417D"/>
    <w:rsid w:val="009D41A8"/>
    <w:rsid w:val="009D41CB"/>
    <w:rsid w:val="009D4209"/>
    <w:rsid w:val="009D4378"/>
    <w:rsid w:val="009D43C0"/>
    <w:rsid w:val="009D43DC"/>
    <w:rsid w:val="009D4403"/>
    <w:rsid w:val="009D4441"/>
    <w:rsid w:val="009D4469"/>
    <w:rsid w:val="009D44A7"/>
    <w:rsid w:val="009D44F4"/>
    <w:rsid w:val="009D4550"/>
    <w:rsid w:val="009D45A2"/>
    <w:rsid w:val="009D45BA"/>
    <w:rsid w:val="009D4664"/>
    <w:rsid w:val="009D481A"/>
    <w:rsid w:val="009D48A5"/>
    <w:rsid w:val="009D49D5"/>
    <w:rsid w:val="009D4AEE"/>
    <w:rsid w:val="009D4BED"/>
    <w:rsid w:val="009D4BF1"/>
    <w:rsid w:val="009D4C74"/>
    <w:rsid w:val="009D4D70"/>
    <w:rsid w:val="009D4E4F"/>
    <w:rsid w:val="009D4F3E"/>
    <w:rsid w:val="009D50F8"/>
    <w:rsid w:val="009D50FE"/>
    <w:rsid w:val="009D50FF"/>
    <w:rsid w:val="009D510B"/>
    <w:rsid w:val="009D512D"/>
    <w:rsid w:val="009D513B"/>
    <w:rsid w:val="009D5280"/>
    <w:rsid w:val="009D532E"/>
    <w:rsid w:val="009D5348"/>
    <w:rsid w:val="009D537E"/>
    <w:rsid w:val="009D53D0"/>
    <w:rsid w:val="009D543C"/>
    <w:rsid w:val="009D545F"/>
    <w:rsid w:val="009D54A6"/>
    <w:rsid w:val="009D54AB"/>
    <w:rsid w:val="009D54D1"/>
    <w:rsid w:val="009D551A"/>
    <w:rsid w:val="009D5595"/>
    <w:rsid w:val="009D55BF"/>
    <w:rsid w:val="009D5661"/>
    <w:rsid w:val="009D566C"/>
    <w:rsid w:val="009D56F3"/>
    <w:rsid w:val="009D5709"/>
    <w:rsid w:val="009D5730"/>
    <w:rsid w:val="009D574D"/>
    <w:rsid w:val="009D577D"/>
    <w:rsid w:val="009D57C8"/>
    <w:rsid w:val="009D588D"/>
    <w:rsid w:val="009D58A5"/>
    <w:rsid w:val="009D592E"/>
    <w:rsid w:val="009D5948"/>
    <w:rsid w:val="009D59F8"/>
    <w:rsid w:val="009D5A02"/>
    <w:rsid w:val="009D5A1A"/>
    <w:rsid w:val="009D5A35"/>
    <w:rsid w:val="009D5A6E"/>
    <w:rsid w:val="009D5C24"/>
    <w:rsid w:val="009D5C40"/>
    <w:rsid w:val="009D5DE5"/>
    <w:rsid w:val="009D5E22"/>
    <w:rsid w:val="009D5E41"/>
    <w:rsid w:val="009D5E94"/>
    <w:rsid w:val="009D5ED9"/>
    <w:rsid w:val="009D5F19"/>
    <w:rsid w:val="009D6079"/>
    <w:rsid w:val="009D60CB"/>
    <w:rsid w:val="009D62CA"/>
    <w:rsid w:val="009D634B"/>
    <w:rsid w:val="009D64EA"/>
    <w:rsid w:val="009D6507"/>
    <w:rsid w:val="009D653A"/>
    <w:rsid w:val="009D65DF"/>
    <w:rsid w:val="009D66F5"/>
    <w:rsid w:val="009D6785"/>
    <w:rsid w:val="009D679C"/>
    <w:rsid w:val="009D67D8"/>
    <w:rsid w:val="009D6808"/>
    <w:rsid w:val="009D68BA"/>
    <w:rsid w:val="009D69C8"/>
    <w:rsid w:val="009D6ABA"/>
    <w:rsid w:val="009D6AC7"/>
    <w:rsid w:val="009D6B56"/>
    <w:rsid w:val="009D6C0B"/>
    <w:rsid w:val="009D6C46"/>
    <w:rsid w:val="009D6C7D"/>
    <w:rsid w:val="009D6CAF"/>
    <w:rsid w:val="009D6CBC"/>
    <w:rsid w:val="009D6D78"/>
    <w:rsid w:val="009D6D8D"/>
    <w:rsid w:val="009D6E4B"/>
    <w:rsid w:val="009D6EC8"/>
    <w:rsid w:val="009D6F31"/>
    <w:rsid w:val="009D6F5E"/>
    <w:rsid w:val="009D703D"/>
    <w:rsid w:val="009D70BC"/>
    <w:rsid w:val="009D71B3"/>
    <w:rsid w:val="009D7246"/>
    <w:rsid w:val="009D724F"/>
    <w:rsid w:val="009D7357"/>
    <w:rsid w:val="009D73A8"/>
    <w:rsid w:val="009D73C2"/>
    <w:rsid w:val="009D73D1"/>
    <w:rsid w:val="009D73F6"/>
    <w:rsid w:val="009D74FA"/>
    <w:rsid w:val="009D7580"/>
    <w:rsid w:val="009D7674"/>
    <w:rsid w:val="009D76A5"/>
    <w:rsid w:val="009D76CA"/>
    <w:rsid w:val="009D7719"/>
    <w:rsid w:val="009D7847"/>
    <w:rsid w:val="009D7870"/>
    <w:rsid w:val="009D7883"/>
    <w:rsid w:val="009D78FD"/>
    <w:rsid w:val="009D791F"/>
    <w:rsid w:val="009D7952"/>
    <w:rsid w:val="009D7A2D"/>
    <w:rsid w:val="009D7A99"/>
    <w:rsid w:val="009D7B7A"/>
    <w:rsid w:val="009D7BC5"/>
    <w:rsid w:val="009D7C3C"/>
    <w:rsid w:val="009D7C67"/>
    <w:rsid w:val="009D7CBE"/>
    <w:rsid w:val="009D7E70"/>
    <w:rsid w:val="009D7E93"/>
    <w:rsid w:val="009D7EF0"/>
    <w:rsid w:val="009D7F31"/>
    <w:rsid w:val="009D7F68"/>
    <w:rsid w:val="009D7F79"/>
    <w:rsid w:val="009E0047"/>
    <w:rsid w:val="009E0078"/>
    <w:rsid w:val="009E00A5"/>
    <w:rsid w:val="009E0100"/>
    <w:rsid w:val="009E012B"/>
    <w:rsid w:val="009E0158"/>
    <w:rsid w:val="009E0194"/>
    <w:rsid w:val="009E01EE"/>
    <w:rsid w:val="009E025C"/>
    <w:rsid w:val="009E0297"/>
    <w:rsid w:val="009E0340"/>
    <w:rsid w:val="009E0389"/>
    <w:rsid w:val="009E03D0"/>
    <w:rsid w:val="009E03F5"/>
    <w:rsid w:val="009E0435"/>
    <w:rsid w:val="009E04D7"/>
    <w:rsid w:val="009E053E"/>
    <w:rsid w:val="009E0585"/>
    <w:rsid w:val="009E058B"/>
    <w:rsid w:val="009E05E9"/>
    <w:rsid w:val="009E0610"/>
    <w:rsid w:val="009E0623"/>
    <w:rsid w:val="009E07CB"/>
    <w:rsid w:val="009E0833"/>
    <w:rsid w:val="009E086C"/>
    <w:rsid w:val="009E08AF"/>
    <w:rsid w:val="009E090C"/>
    <w:rsid w:val="009E094A"/>
    <w:rsid w:val="009E0A32"/>
    <w:rsid w:val="009E0AE6"/>
    <w:rsid w:val="009E0AF6"/>
    <w:rsid w:val="009E0AFB"/>
    <w:rsid w:val="009E0B29"/>
    <w:rsid w:val="009E0C90"/>
    <w:rsid w:val="009E0D0B"/>
    <w:rsid w:val="009E0D97"/>
    <w:rsid w:val="009E0E9B"/>
    <w:rsid w:val="009E0F4D"/>
    <w:rsid w:val="009E0F76"/>
    <w:rsid w:val="009E0FA5"/>
    <w:rsid w:val="009E0FBC"/>
    <w:rsid w:val="009E0FCE"/>
    <w:rsid w:val="009E0FE3"/>
    <w:rsid w:val="009E1023"/>
    <w:rsid w:val="009E1027"/>
    <w:rsid w:val="009E10EB"/>
    <w:rsid w:val="009E1284"/>
    <w:rsid w:val="009E12DC"/>
    <w:rsid w:val="009E1482"/>
    <w:rsid w:val="009E148E"/>
    <w:rsid w:val="009E14EC"/>
    <w:rsid w:val="009E15A1"/>
    <w:rsid w:val="009E15D2"/>
    <w:rsid w:val="009E15EA"/>
    <w:rsid w:val="009E1618"/>
    <w:rsid w:val="009E166C"/>
    <w:rsid w:val="009E1675"/>
    <w:rsid w:val="009E170F"/>
    <w:rsid w:val="009E17B3"/>
    <w:rsid w:val="009E17C4"/>
    <w:rsid w:val="009E1874"/>
    <w:rsid w:val="009E1929"/>
    <w:rsid w:val="009E19A5"/>
    <w:rsid w:val="009E19F0"/>
    <w:rsid w:val="009E1B7B"/>
    <w:rsid w:val="009E1C2A"/>
    <w:rsid w:val="009E1C50"/>
    <w:rsid w:val="009E1C77"/>
    <w:rsid w:val="009E1CE1"/>
    <w:rsid w:val="009E1D4A"/>
    <w:rsid w:val="009E1D60"/>
    <w:rsid w:val="009E1D68"/>
    <w:rsid w:val="009E1D84"/>
    <w:rsid w:val="009E1D9A"/>
    <w:rsid w:val="009E1DBC"/>
    <w:rsid w:val="009E1EA1"/>
    <w:rsid w:val="009E1EA5"/>
    <w:rsid w:val="009E1EAD"/>
    <w:rsid w:val="009E1F8C"/>
    <w:rsid w:val="009E1FD1"/>
    <w:rsid w:val="009E2020"/>
    <w:rsid w:val="009E20DB"/>
    <w:rsid w:val="009E20E7"/>
    <w:rsid w:val="009E212B"/>
    <w:rsid w:val="009E215D"/>
    <w:rsid w:val="009E2169"/>
    <w:rsid w:val="009E2400"/>
    <w:rsid w:val="009E245D"/>
    <w:rsid w:val="009E2537"/>
    <w:rsid w:val="009E2573"/>
    <w:rsid w:val="009E25D1"/>
    <w:rsid w:val="009E260C"/>
    <w:rsid w:val="009E26C3"/>
    <w:rsid w:val="009E274A"/>
    <w:rsid w:val="009E2764"/>
    <w:rsid w:val="009E281D"/>
    <w:rsid w:val="009E283F"/>
    <w:rsid w:val="009E2925"/>
    <w:rsid w:val="009E29C9"/>
    <w:rsid w:val="009E2B53"/>
    <w:rsid w:val="009E2BA3"/>
    <w:rsid w:val="009E2BA4"/>
    <w:rsid w:val="009E2C80"/>
    <w:rsid w:val="009E2CF4"/>
    <w:rsid w:val="009E2CFE"/>
    <w:rsid w:val="009E2D04"/>
    <w:rsid w:val="009E2D2C"/>
    <w:rsid w:val="009E2DC3"/>
    <w:rsid w:val="009E2DCB"/>
    <w:rsid w:val="009E2F26"/>
    <w:rsid w:val="009E2F2F"/>
    <w:rsid w:val="009E2F58"/>
    <w:rsid w:val="009E2FFE"/>
    <w:rsid w:val="009E30DC"/>
    <w:rsid w:val="009E3168"/>
    <w:rsid w:val="009E3340"/>
    <w:rsid w:val="009E33EC"/>
    <w:rsid w:val="009E3416"/>
    <w:rsid w:val="009E3518"/>
    <w:rsid w:val="009E36C9"/>
    <w:rsid w:val="009E372D"/>
    <w:rsid w:val="009E377F"/>
    <w:rsid w:val="009E37DF"/>
    <w:rsid w:val="009E386C"/>
    <w:rsid w:val="009E3884"/>
    <w:rsid w:val="009E38D5"/>
    <w:rsid w:val="009E396F"/>
    <w:rsid w:val="009E39AE"/>
    <w:rsid w:val="009E39C5"/>
    <w:rsid w:val="009E3A0E"/>
    <w:rsid w:val="009E3B3D"/>
    <w:rsid w:val="009E3B67"/>
    <w:rsid w:val="009E3C2A"/>
    <w:rsid w:val="009E3C34"/>
    <w:rsid w:val="009E3C4E"/>
    <w:rsid w:val="009E3D32"/>
    <w:rsid w:val="009E3D57"/>
    <w:rsid w:val="009E3D68"/>
    <w:rsid w:val="009E3DB0"/>
    <w:rsid w:val="009E3E28"/>
    <w:rsid w:val="009E3E52"/>
    <w:rsid w:val="009E3F13"/>
    <w:rsid w:val="009E3F51"/>
    <w:rsid w:val="009E3FBB"/>
    <w:rsid w:val="009E403D"/>
    <w:rsid w:val="009E4079"/>
    <w:rsid w:val="009E4160"/>
    <w:rsid w:val="009E4164"/>
    <w:rsid w:val="009E41E9"/>
    <w:rsid w:val="009E422B"/>
    <w:rsid w:val="009E44C1"/>
    <w:rsid w:val="009E4505"/>
    <w:rsid w:val="009E45C0"/>
    <w:rsid w:val="009E45CB"/>
    <w:rsid w:val="009E46CC"/>
    <w:rsid w:val="009E46F9"/>
    <w:rsid w:val="009E4764"/>
    <w:rsid w:val="009E4771"/>
    <w:rsid w:val="009E47B4"/>
    <w:rsid w:val="009E47E0"/>
    <w:rsid w:val="009E487A"/>
    <w:rsid w:val="009E48D3"/>
    <w:rsid w:val="009E49EB"/>
    <w:rsid w:val="009E4B36"/>
    <w:rsid w:val="009E4BCC"/>
    <w:rsid w:val="009E4C6A"/>
    <w:rsid w:val="009E4C6E"/>
    <w:rsid w:val="009E4CE0"/>
    <w:rsid w:val="009E4CE9"/>
    <w:rsid w:val="009E4DE0"/>
    <w:rsid w:val="009E502F"/>
    <w:rsid w:val="009E50D6"/>
    <w:rsid w:val="009E5120"/>
    <w:rsid w:val="009E515A"/>
    <w:rsid w:val="009E5358"/>
    <w:rsid w:val="009E53DC"/>
    <w:rsid w:val="009E540A"/>
    <w:rsid w:val="009E548B"/>
    <w:rsid w:val="009E54E4"/>
    <w:rsid w:val="009E5570"/>
    <w:rsid w:val="009E557F"/>
    <w:rsid w:val="009E560A"/>
    <w:rsid w:val="009E5624"/>
    <w:rsid w:val="009E5641"/>
    <w:rsid w:val="009E5690"/>
    <w:rsid w:val="009E5699"/>
    <w:rsid w:val="009E575C"/>
    <w:rsid w:val="009E5782"/>
    <w:rsid w:val="009E5851"/>
    <w:rsid w:val="009E589B"/>
    <w:rsid w:val="009E59DF"/>
    <w:rsid w:val="009E5A09"/>
    <w:rsid w:val="009E5A52"/>
    <w:rsid w:val="009E5A70"/>
    <w:rsid w:val="009E5A8C"/>
    <w:rsid w:val="009E5AD3"/>
    <w:rsid w:val="009E5AF4"/>
    <w:rsid w:val="009E5B98"/>
    <w:rsid w:val="009E5BFD"/>
    <w:rsid w:val="009E5D55"/>
    <w:rsid w:val="009E5EAB"/>
    <w:rsid w:val="009E5ECE"/>
    <w:rsid w:val="009E5F78"/>
    <w:rsid w:val="009E5FE9"/>
    <w:rsid w:val="009E600B"/>
    <w:rsid w:val="009E6082"/>
    <w:rsid w:val="009E63D9"/>
    <w:rsid w:val="009E643C"/>
    <w:rsid w:val="009E6516"/>
    <w:rsid w:val="009E654C"/>
    <w:rsid w:val="009E65CC"/>
    <w:rsid w:val="009E6602"/>
    <w:rsid w:val="009E662D"/>
    <w:rsid w:val="009E6673"/>
    <w:rsid w:val="009E67E6"/>
    <w:rsid w:val="009E67FD"/>
    <w:rsid w:val="009E6813"/>
    <w:rsid w:val="009E6853"/>
    <w:rsid w:val="009E697A"/>
    <w:rsid w:val="009E6A03"/>
    <w:rsid w:val="009E6A18"/>
    <w:rsid w:val="009E6AA2"/>
    <w:rsid w:val="009E6B4E"/>
    <w:rsid w:val="009E6C79"/>
    <w:rsid w:val="009E6CAA"/>
    <w:rsid w:val="009E6CEE"/>
    <w:rsid w:val="009E6D9C"/>
    <w:rsid w:val="009E6E0B"/>
    <w:rsid w:val="009E70DF"/>
    <w:rsid w:val="009E70EC"/>
    <w:rsid w:val="009E7194"/>
    <w:rsid w:val="009E71ED"/>
    <w:rsid w:val="009E7257"/>
    <w:rsid w:val="009E730D"/>
    <w:rsid w:val="009E7342"/>
    <w:rsid w:val="009E741B"/>
    <w:rsid w:val="009E745A"/>
    <w:rsid w:val="009E74D3"/>
    <w:rsid w:val="009E74DB"/>
    <w:rsid w:val="009E755E"/>
    <w:rsid w:val="009E75A9"/>
    <w:rsid w:val="009E766E"/>
    <w:rsid w:val="009E76BA"/>
    <w:rsid w:val="009E773A"/>
    <w:rsid w:val="009E77E4"/>
    <w:rsid w:val="009E77FE"/>
    <w:rsid w:val="009E78E9"/>
    <w:rsid w:val="009E7922"/>
    <w:rsid w:val="009E7A7B"/>
    <w:rsid w:val="009E7B11"/>
    <w:rsid w:val="009E7B1B"/>
    <w:rsid w:val="009E7B79"/>
    <w:rsid w:val="009E7D43"/>
    <w:rsid w:val="009E7D4F"/>
    <w:rsid w:val="009E7EA7"/>
    <w:rsid w:val="009E7EE9"/>
    <w:rsid w:val="009E7EEA"/>
    <w:rsid w:val="009E7F67"/>
    <w:rsid w:val="009E7FE1"/>
    <w:rsid w:val="009F0068"/>
    <w:rsid w:val="009F00A3"/>
    <w:rsid w:val="009F00A7"/>
    <w:rsid w:val="009F00A9"/>
    <w:rsid w:val="009F00D4"/>
    <w:rsid w:val="009F01BB"/>
    <w:rsid w:val="009F0204"/>
    <w:rsid w:val="009F032E"/>
    <w:rsid w:val="009F0377"/>
    <w:rsid w:val="009F039D"/>
    <w:rsid w:val="009F04E2"/>
    <w:rsid w:val="009F05A2"/>
    <w:rsid w:val="009F05D2"/>
    <w:rsid w:val="009F0604"/>
    <w:rsid w:val="009F068C"/>
    <w:rsid w:val="009F06F5"/>
    <w:rsid w:val="009F0723"/>
    <w:rsid w:val="009F0749"/>
    <w:rsid w:val="009F079C"/>
    <w:rsid w:val="009F07B3"/>
    <w:rsid w:val="009F08A5"/>
    <w:rsid w:val="009F0946"/>
    <w:rsid w:val="009F09E5"/>
    <w:rsid w:val="009F0A1D"/>
    <w:rsid w:val="009F0A45"/>
    <w:rsid w:val="009F0A5B"/>
    <w:rsid w:val="009F0A82"/>
    <w:rsid w:val="009F0A93"/>
    <w:rsid w:val="009F0B77"/>
    <w:rsid w:val="009F0BA2"/>
    <w:rsid w:val="009F0C47"/>
    <w:rsid w:val="009F0C6D"/>
    <w:rsid w:val="009F0D84"/>
    <w:rsid w:val="009F0E23"/>
    <w:rsid w:val="009F0E5A"/>
    <w:rsid w:val="009F0E79"/>
    <w:rsid w:val="009F0ECA"/>
    <w:rsid w:val="009F0FA1"/>
    <w:rsid w:val="009F1175"/>
    <w:rsid w:val="009F12BB"/>
    <w:rsid w:val="009F12F4"/>
    <w:rsid w:val="009F1342"/>
    <w:rsid w:val="009F1399"/>
    <w:rsid w:val="009F13D2"/>
    <w:rsid w:val="009F145F"/>
    <w:rsid w:val="009F1493"/>
    <w:rsid w:val="009F14F7"/>
    <w:rsid w:val="009F1519"/>
    <w:rsid w:val="009F1557"/>
    <w:rsid w:val="009F159D"/>
    <w:rsid w:val="009F15B6"/>
    <w:rsid w:val="009F1728"/>
    <w:rsid w:val="009F173B"/>
    <w:rsid w:val="009F1755"/>
    <w:rsid w:val="009F18A9"/>
    <w:rsid w:val="009F190C"/>
    <w:rsid w:val="009F1980"/>
    <w:rsid w:val="009F1A72"/>
    <w:rsid w:val="009F1AF0"/>
    <w:rsid w:val="009F1B9C"/>
    <w:rsid w:val="009F1BBF"/>
    <w:rsid w:val="009F1BF5"/>
    <w:rsid w:val="009F1C41"/>
    <w:rsid w:val="009F1C7E"/>
    <w:rsid w:val="009F1D1C"/>
    <w:rsid w:val="009F1D1E"/>
    <w:rsid w:val="009F1D4B"/>
    <w:rsid w:val="009F1D80"/>
    <w:rsid w:val="009F1D9C"/>
    <w:rsid w:val="009F1E1E"/>
    <w:rsid w:val="009F1E38"/>
    <w:rsid w:val="009F1F12"/>
    <w:rsid w:val="009F1F29"/>
    <w:rsid w:val="009F2025"/>
    <w:rsid w:val="009F2082"/>
    <w:rsid w:val="009F21BC"/>
    <w:rsid w:val="009F238A"/>
    <w:rsid w:val="009F2438"/>
    <w:rsid w:val="009F25B6"/>
    <w:rsid w:val="009F2602"/>
    <w:rsid w:val="009F29D9"/>
    <w:rsid w:val="009F2AEA"/>
    <w:rsid w:val="009F2B20"/>
    <w:rsid w:val="009F2B72"/>
    <w:rsid w:val="009F2B73"/>
    <w:rsid w:val="009F2BC5"/>
    <w:rsid w:val="009F2BC7"/>
    <w:rsid w:val="009F2C43"/>
    <w:rsid w:val="009F2C83"/>
    <w:rsid w:val="009F2CD0"/>
    <w:rsid w:val="009F2CDB"/>
    <w:rsid w:val="009F2D2B"/>
    <w:rsid w:val="009F2DA7"/>
    <w:rsid w:val="009F2E60"/>
    <w:rsid w:val="009F2E62"/>
    <w:rsid w:val="009F2F3B"/>
    <w:rsid w:val="009F2F70"/>
    <w:rsid w:val="009F2FCA"/>
    <w:rsid w:val="009F2FCE"/>
    <w:rsid w:val="009F30FE"/>
    <w:rsid w:val="009F3141"/>
    <w:rsid w:val="009F3207"/>
    <w:rsid w:val="009F32BD"/>
    <w:rsid w:val="009F335B"/>
    <w:rsid w:val="009F3376"/>
    <w:rsid w:val="009F339B"/>
    <w:rsid w:val="009F33F8"/>
    <w:rsid w:val="009F345C"/>
    <w:rsid w:val="009F34D2"/>
    <w:rsid w:val="009F34E2"/>
    <w:rsid w:val="009F350D"/>
    <w:rsid w:val="009F352D"/>
    <w:rsid w:val="009F35A2"/>
    <w:rsid w:val="009F35E8"/>
    <w:rsid w:val="009F3632"/>
    <w:rsid w:val="009F3636"/>
    <w:rsid w:val="009F369B"/>
    <w:rsid w:val="009F36F5"/>
    <w:rsid w:val="009F3887"/>
    <w:rsid w:val="009F38DE"/>
    <w:rsid w:val="009F3906"/>
    <w:rsid w:val="009F394C"/>
    <w:rsid w:val="009F39A1"/>
    <w:rsid w:val="009F3A29"/>
    <w:rsid w:val="009F3A46"/>
    <w:rsid w:val="009F3A4E"/>
    <w:rsid w:val="009F3AAF"/>
    <w:rsid w:val="009F3AE4"/>
    <w:rsid w:val="009F3AF1"/>
    <w:rsid w:val="009F3C2C"/>
    <w:rsid w:val="009F3CB9"/>
    <w:rsid w:val="009F3D46"/>
    <w:rsid w:val="009F3DB3"/>
    <w:rsid w:val="009F3EE3"/>
    <w:rsid w:val="009F3F43"/>
    <w:rsid w:val="009F3F5D"/>
    <w:rsid w:val="009F3FB2"/>
    <w:rsid w:val="009F4015"/>
    <w:rsid w:val="009F40DF"/>
    <w:rsid w:val="009F40FC"/>
    <w:rsid w:val="009F4103"/>
    <w:rsid w:val="009F413D"/>
    <w:rsid w:val="009F4142"/>
    <w:rsid w:val="009F4159"/>
    <w:rsid w:val="009F41CF"/>
    <w:rsid w:val="009F42F1"/>
    <w:rsid w:val="009F4320"/>
    <w:rsid w:val="009F4388"/>
    <w:rsid w:val="009F44A3"/>
    <w:rsid w:val="009F44A6"/>
    <w:rsid w:val="009F44BF"/>
    <w:rsid w:val="009F44C0"/>
    <w:rsid w:val="009F4623"/>
    <w:rsid w:val="009F4646"/>
    <w:rsid w:val="009F46BF"/>
    <w:rsid w:val="009F4731"/>
    <w:rsid w:val="009F47BE"/>
    <w:rsid w:val="009F4882"/>
    <w:rsid w:val="009F496A"/>
    <w:rsid w:val="009F49DA"/>
    <w:rsid w:val="009F4A19"/>
    <w:rsid w:val="009F4A3A"/>
    <w:rsid w:val="009F4AE5"/>
    <w:rsid w:val="009F4AED"/>
    <w:rsid w:val="009F4B1F"/>
    <w:rsid w:val="009F4C36"/>
    <w:rsid w:val="009F4DA5"/>
    <w:rsid w:val="009F4DEB"/>
    <w:rsid w:val="009F4E80"/>
    <w:rsid w:val="009F4E94"/>
    <w:rsid w:val="009F4EA1"/>
    <w:rsid w:val="009F4FC7"/>
    <w:rsid w:val="009F4FEC"/>
    <w:rsid w:val="009F5074"/>
    <w:rsid w:val="009F5086"/>
    <w:rsid w:val="009F50AC"/>
    <w:rsid w:val="009F50BF"/>
    <w:rsid w:val="009F50D5"/>
    <w:rsid w:val="009F50D7"/>
    <w:rsid w:val="009F5127"/>
    <w:rsid w:val="009F516D"/>
    <w:rsid w:val="009F5197"/>
    <w:rsid w:val="009F51BD"/>
    <w:rsid w:val="009F533E"/>
    <w:rsid w:val="009F53AF"/>
    <w:rsid w:val="009F53C6"/>
    <w:rsid w:val="009F53D1"/>
    <w:rsid w:val="009F54B0"/>
    <w:rsid w:val="009F5588"/>
    <w:rsid w:val="009F55F6"/>
    <w:rsid w:val="009F5689"/>
    <w:rsid w:val="009F56FD"/>
    <w:rsid w:val="009F582B"/>
    <w:rsid w:val="009F583B"/>
    <w:rsid w:val="009F5A0A"/>
    <w:rsid w:val="009F5A3E"/>
    <w:rsid w:val="009F5B21"/>
    <w:rsid w:val="009F5C37"/>
    <w:rsid w:val="009F5C3C"/>
    <w:rsid w:val="009F5C53"/>
    <w:rsid w:val="009F5C83"/>
    <w:rsid w:val="009F5CF2"/>
    <w:rsid w:val="009F5DEF"/>
    <w:rsid w:val="009F5E78"/>
    <w:rsid w:val="009F5EB2"/>
    <w:rsid w:val="009F5EF6"/>
    <w:rsid w:val="009F6047"/>
    <w:rsid w:val="009F6180"/>
    <w:rsid w:val="009F61C2"/>
    <w:rsid w:val="009F621A"/>
    <w:rsid w:val="009F6253"/>
    <w:rsid w:val="009F636C"/>
    <w:rsid w:val="009F637E"/>
    <w:rsid w:val="009F647C"/>
    <w:rsid w:val="009F6510"/>
    <w:rsid w:val="009F6532"/>
    <w:rsid w:val="009F6617"/>
    <w:rsid w:val="009F6639"/>
    <w:rsid w:val="009F668C"/>
    <w:rsid w:val="009F66F5"/>
    <w:rsid w:val="009F6783"/>
    <w:rsid w:val="009F6791"/>
    <w:rsid w:val="009F67C9"/>
    <w:rsid w:val="009F6859"/>
    <w:rsid w:val="009F6984"/>
    <w:rsid w:val="009F69C0"/>
    <w:rsid w:val="009F6A31"/>
    <w:rsid w:val="009F6BC1"/>
    <w:rsid w:val="009F6C38"/>
    <w:rsid w:val="009F6CD9"/>
    <w:rsid w:val="009F6D8D"/>
    <w:rsid w:val="009F6DCF"/>
    <w:rsid w:val="009F6E12"/>
    <w:rsid w:val="009F6E3F"/>
    <w:rsid w:val="009F6E71"/>
    <w:rsid w:val="009F6EA8"/>
    <w:rsid w:val="009F6F43"/>
    <w:rsid w:val="009F6F44"/>
    <w:rsid w:val="009F6FCC"/>
    <w:rsid w:val="009F70B6"/>
    <w:rsid w:val="009F70EC"/>
    <w:rsid w:val="009F71FB"/>
    <w:rsid w:val="009F7436"/>
    <w:rsid w:val="009F7462"/>
    <w:rsid w:val="009F7562"/>
    <w:rsid w:val="009F75E2"/>
    <w:rsid w:val="009F7601"/>
    <w:rsid w:val="009F767C"/>
    <w:rsid w:val="009F771B"/>
    <w:rsid w:val="009F775F"/>
    <w:rsid w:val="009F77FA"/>
    <w:rsid w:val="009F7909"/>
    <w:rsid w:val="009F793B"/>
    <w:rsid w:val="009F796B"/>
    <w:rsid w:val="009F79C4"/>
    <w:rsid w:val="009F7A00"/>
    <w:rsid w:val="009F7B16"/>
    <w:rsid w:val="009F7B6C"/>
    <w:rsid w:val="009F7B8D"/>
    <w:rsid w:val="009F7C1A"/>
    <w:rsid w:val="009F7C1E"/>
    <w:rsid w:val="009F7C45"/>
    <w:rsid w:val="009F7C80"/>
    <w:rsid w:val="009F7C9B"/>
    <w:rsid w:val="009F7D0E"/>
    <w:rsid w:val="009F7D7F"/>
    <w:rsid w:val="009F7D83"/>
    <w:rsid w:val="009F7E92"/>
    <w:rsid w:val="009F7EBB"/>
    <w:rsid w:val="009F7ECD"/>
    <w:rsid w:val="009F7EE7"/>
    <w:rsid w:val="009F7FC0"/>
    <w:rsid w:val="009F7FD3"/>
    <w:rsid w:val="009F7FF4"/>
    <w:rsid w:val="00A000A4"/>
    <w:rsid w:val="00A000E9"/>
    <w:rsid w:val="00A000FB"/>
    <w:rsid w:val="00A0016E"/>
    <w:rsid w:val="00A001FF"/>
    <w:rsid w:val="00A002B9"/>
    <w:rsid w:val="00A00360"/>
    <w:rsid w:val="00A00382"/>
    <w:rsid w:val="00A0039E"/>
    <w:rsid w:val="00A003A8"/>
    <w:rsid w:val="00A003F7"/>
    <w:rsid w:val="00A003FD"/>
    <w:rsid w:val="00A00553"/>
    <w:rsid w:val="00A00571"/>
    <w:rsid w:val="00A005D2"/>
    <w:rsid w:val="00A00651"/>
    <w:rsid w:val="00A00690"/>
    <w:rsid w:val="00A006CB"/>
    <w:rsid w:val="00A006CF"/>
    <w:rsid w:val="00A006FF"/>
    <w:rsid w:val="00A00714"/>
    <w:rsid w:val="00A00724"/>
    <w:rsid w:val="00A007BB"/>
    <w:rsid w:val="00A00852"/>
    <w:rsid w:val="00A00928"/>
    <w:rsid w:val="00A0094C"/>
    <w:rsid w:val="00A00955"/>
    <w:rsid w:val="00A0096D"/>
    <w:rsid w:val="00A0099D"/>
    <w:rsid w:val="00A00C72"/>
    <w:rsid w:val="00A00ED2"/>
    <w:rsid w:val="00A00EF0"/>
    <w:rsid w:val="00A00EFB"/>
    <w:rsid w:val="00A00F16"/>
    <w:rsid w:val="00A00F1C"/>
    <w:rsid w:val="00A00FE4"/>
    <w:rsid w:val="00A01080"/>
    <w:rsid w:val="00A01081"/>
    <w:rsid w:val="00A010DE"/>
    <w:rsid w:val="00A01100"/>
    <w:rsid w:val="00A01184"/>
    <w:rsid w:val="00A011D6"/>
    <w:rsid w:val="00A01212"/>
    <w:rsid w:val="00A01243"/>
    <w:rsid w:val="00A01253"/>
    <w:rsid w:val="00A012B9"/>
    <w:rsid w:val="00A01301"/>
    <w:rsid w:val="00A01403"/>
    <w:rsid w:val="00A0143F"/>
    <w:rsid w:val="00A01446"/>
    <w:rsid w:val="00A0149C"/>
    <w:rsid w:val="00A014AE"/>
    <w:rsid w:val="00A0164C"/>
    <w:rsid w:val="00A01722"/>
    <w:rsid w:val="00A01745"/>
    <w:rsid w:val="00A017D4"/>
    <w:rsid w:val="00A01863"/>
    <w:rsid w:val="00A0187E"/>
    <w:rsid w:val="00A0190D"/>
    <w:rsid w:val="00A0191F"/>
    <w:rsid w:val="00A01A25"/>
    <w:rsid w:val="00A01ACF"/>
    <w:rsid w:val="00A01AD7"/>
    <w:rsid w:val="00A01B4B"/>
    <w:rsid w:val="00A01C36"/>
    <w:rsid w:val="00A01C7C"/>
    <w:rsid w:val="00A01C88"/>
    <w:rsid w:val="00A01DD1"/>
    <w:rsid w:val="00A01EBE"/>
    <w:rsid w:val="00A01F9C"/>
    <w:rsid w:val="00A01FA2"/>
    <w:rsid w:val="00A02031"/>
    <w:rsid w:val="00A0208F"/>
    <w:rsid w:val="00A020B7"/>
    <w:rsid w:val="00A02108"/>
    <w:rsid w:val="00A02110"/>
    <w:rsid w:val="00A02133"/>
    <w:rsid w:val="00A0217D"/>
    <w:rsid w:val="00A021DC"/>
    <w:rsid w:val="00A0224D"/>
    <w:rsid w:val="00A0224E"/>
    <w:rsid w:val="00A022B2"/>
    <w:rsid w:val="00A022B5"/>
    <w:rsid w:val="00A022C1"/>
    <w:rsid w:val="00A023D0"/>
    <w:rsid w:val="00A024C4"/>
    <w:rsid w:val="00A024CA"/>
    <w:rsid w:val="00A0250A"/>
    <w:rsid w:val="00A02532"/>
    <w:rsid w:val="00A02667"/>
    <w:rsid w:val="00A0279C"/>
    <w:rsid w:val="00A027F4"/>
    <w:rsid w:val="00A02849"/>
    <w:rsid w:val="00A028D0"/>
    <w:rsid w:val="00A028F1"/>
    <w:rsid w:val="00A02A10"/>
    <w:rsid w:val="00A02AD8"/>
    <w:rsid w:val="00A02ADA"/>
    <w:rsid w:val="00A02BC2"/>
    <w:rsid w:val="00A02C75"/>
    <w:rsid w:val="00A02CD7"/>
    <w:rsid w:val="00A02D3F"/>
    <w:rsid w:val="00A02DBE"/>
    <w:rsid w:val="00A02EEC"/>
    <w:rsid w:val="00A02EF0"/>
    <w:rsid w:val="00A0307D"/>
    <w:rsid w:val="00A030BC"/>
    <w:rsid w:val="00A030FA"/>
    <w:rsid w:val="00A03192"/>
    <w:rsid w:val="00A031E9"/>
    <w:rsid w:val="00A03227"/>
    <w:rsid w:val="00A0322B"/>
    <w:rsid w:val="00A03290"/>
    <w:rsid w:val="00A032FC"/>
    <w:rsid w:val="00A033B6"/>
    <w:rsid w:val="00A034AE"/>
    <w:rsid w:val="00A034C0"/>
    <w:rsid w:val="00A0357B"/>
    <w:rsid w:val="00A035D6"/>
    <w:rsid w:val="00A03699"/>
    <w:rsid w:val="00A03752"/>
    <w:rsid w:val="00A037BC"/>
    <w:rsid w:val="00A037FF"/>
    <w:rsid w:val="00A03880"/>
    <w:rsid w:val="00A03921"/>
    <w:rsid w:val="00A039EF"/>
    <w:rsid w:val="00A03BDF"/>
    <w:rsid w:val="00A03C51"/>
    <w:rsid w:val="00A03CF4"/>
    <w:rsid w:val="00A03DC7"/>
    <w:rsid w:val="00A03E29"/>
    <w:rsid w:val="00A03E9F"/>
    <w:rsid w:val="00A03ED2"/>
    <w:rsid w:val="00A03FA5"/>
    <w:rsid w:val="00A03FFC"/>
    <w:rsid w:val="00A0404A"/>
    <w:rsid w:val="00A040BA"/>
    <w:rsid w:val="00A040F3"/>
    <w:rsid w:val="00A04158"/>
    <w:rsid w:val="00A04385"/>
    <w:rsid w:val="00A04471"/>
    <w:rsid w:val="00A0464D"/>
    <w:rsid w:val="00A04654"/>
    <w:rsid w:val="00A04958"/>
    <w:rsid w:val="00A0496A"/>
    <w:rsid w:val="00A0496F"/>
    <w:rsid w:val="00A04A91"/>
    <w:rsid w:val="00A04A95"/>
    <w:rsid w:val="00A04AA0"/>
    <w:rsid w:val="00A04AC3"/>
    <w:rsid w:val="00A04CC1"/>
    <w:rsid w:val="00A04CDF"/>
    <w:rsid w:val="00A04D0E"/>
    <w:rsid w:val="00A04D1D"/>
    <w:rsid w:val="00A04D20"/>
    <w:rsid w:val="00A04D64"/>
    <w:rsid w:val="00A04DF6"/>
    <w:rsid w:val="00A04E10"/>
    <w:rsid w:val="00A04E5A"/>
    <w:rsid w:val="00A04EEE"/>
    <w:rsid w:val="00A04F47"/>
    <w:rsid w:val="00A04FF7"/>
    <w:rsid w:val="00A04FFF"/>
    <w:rsid w:val="00A0503D"/>
    <w:rsid w:val="00A0509F"/>
    <w:rsid w:val="00A05193"/>
    <w:rsid w:val="00A051B1"/>
    <w:rsid w:val="00A051F5"/>
    <w:rsid w:val="00A051F7"/>
    <w:rsid w:val="00A05291"/>
    <w:rsid w:val="00A052EF"/>
    <w:rsid w:val="00A05355"/>
    <w:rsid w:val="00A0540C"/>
    <w:rsid w:val="00A0543A"/>
    <w:rsid w:val="00A0544C"/>
    <w:rsid w:val="00A05456"/>
    <w:rsid w:val="00A05462"/>
    <w:rsid w:val="00A054DE"/>
    <w:rsid w:val="00A05573"/>
    <w:rsid w:val="00A05604"/>
    <w:rsid w:val="00A05606"/>
    <w:rsid w:val="00A05642"/>
    <w:rsid w:val="00A056E5"/>
    <w:rsid w:val="00A056F2"/>
    <w:rsid w:val="00A0579B"/>
    <w:rsid w:val="00A057E4"/>
    <w:rsid w:val="00A0580A"/>
    <w:rsid w:val="00A059AA"/>
    <w:rsid w:val="00A05A54"/>
    <w:rsid w:val="00A05A6A"/>
    <w:rsid w:val="00A05A78"/>
    <w:rsid w:val="00A05AE3"/>
    <w:rsid w:val="00A05AE8"/>
    <w:rsid w:val="00A05C01"/>
    <w:rsid w:val="00A05C37"/>
    <w:rsid w:val="00A05C64"/>
    <w:rsid w:val="00A05D6E"/>
    <w:rsid w:val="00A05DAB"/>
    <w:rsid w:val="00A05DBC"/>
    <w:rsid w:val="00A05DCD"/>
    <w:rsid w:val="00A05E11"/>
    <w:rsid w:val="00A05F14"/>
    <w:rsid w:val="00A05F19"/>
    <w:rsid w:val="00A05F9D"/>
    <w:rsid w:val="00A05FEC"/>
    <w:rsid w:val="00A0604E"/>
    <w:rsid w:val="00A060C2"/>
    <w:rsid w:val="00A06147"/>
    <w:rsid w:val="00A0617A"/>
    <w:rsid w:val="00A06311"/>
    <w:rsid w:val="00A06370"/>
    <w:rsid w:val="00A0640F"/>
    <w:rsid w:val="00A064FE"/>
    <w:rsid w:val="00A06510"/>
    <w:rsid w:val="00A065FB"/>
    <w:rsid w:val="00A06752"/>
    <w:rsid w:val="00A069A0"/>
    <w:rsid w:val="00A06AA4"/>
    <w:rsid w:val="00A06AD4"/>
    <w:rsid w:val="00A06B03"/>
    <w:rsid w:val="00A06B2F"/>
    <w:rsid w:val="00A06B8F"/>
    <w:rsid w:val="00A06BA1"/>
    <w:rsid w:val="00A06BEF"/>
    <w:rsid w:val="00A06C0C"/>
    <w:rsid w:val="00A06C7E"/>
    <w:rsid w:val="00A06C84"/>
    <w:rsid w:val="00A06C91"/>
    <w:rsid w:val="00A06D0E"/>
    <w:rsid w:val="00A06E1C"/>
    <w:rsid w:val="00A06F4E"/>
    <w:rsid w:val="00A07080"/>
    <w:rsid w:val="00A0709D"/>
    <w:rsid w:val="00A070C1"/>
    <w:rsid w:val="00A070DF"/>
    <w:rsid w:val="00A07103"/>
    <w:rsid w:val="00A0710A"/>
    <w:rsid w:val="00A0717A"/>
    <w:rsid w:val="00A07292"/>
    <w:rsid w:val="00A072EE"/>
    <w:rsid w:val="00A07308"/>
    <w:rsid w:val="00A073EB"/>
    <w:rsid w:val="00A074E5"/>
    <w:rsid w:val="00A0751C"/>
    <w:rsid w:val="00A075F0"/>
    <w:rsid w:val="00A0760D"/>
    <w:rsid w:val="00A07624"/>
    <w:rsid w:val="00A07625"/>
    <w:rsid w:val="00A0770F"/>
    <w:rsid w:val="00A07813"/>
    <w:rsid w:val="00A078BB"/>
    <w:rsid w:val="00A078EC"/>
    <w:rsid w:val="00A0798F"/>
    <w:rsid w:val="00A079C1"/>
    <w:rsid w:val="00A079E6"/>
    <w:rsid w:val="00A079ED"/>
    <w:rsid w:val="00A07A76"/>
    <w:rsid w:val="00A07A7A"/>
    <w:rsid w:val="00A07A83"/>
    <w:rsid w:val="00A07B34"/>
    <w:rsid w:val="00A07B89"/>
    <w:rsid w:val="00A07C55"/>
    <w:rsid w:val="00A07CA4"/>
    <w:rsid w:val="00A07DAD"/>
    <w:rsid w:val="00A07E1D"/>
    <w:rsid w:val="00A07E3E"/>
    <w:rsid w:val="00A07EC0"/>
    <w:rsid w:val="00A07EE9"/>
    <w:rsid w:val="00A07F4A"/>
    <w:rsid w:val="00A07FDB"/>
    <w:rsid w:val="00A07FDF"/>
    <w:rsid w:val="00A1004B"/>
    <w:rsid w:val="00A100BD"/>
    <w:rsid w:val="00A100C1"/>
    <w:rsid w:val="00A100DA"/>
    <w:rsid w:val="00A100F6"/>
    <w:rsid w:val="00A1013D"/>
    <w:rsid w:val="00A10160"/>
    <w:rsid w:val="00A101D3"/>
    <w:rsid w:val="00A10227"/>
    <w:rsid w:val="00A10228"/>
    <w:rsid w:val="00A103FC"/>
    <w:rsid w:val="00A1040F"/>
    <w:rsid w:val="00A10460"/>
    <w:rsid w:val="00A104B5"/>
    <w:rsid w:val="00A104D4"/>
    <w:rsid w:val="00A10510"/>
    <w:rsid w:val="00A1052C"/>
    <w:rsid w:val="00A10539"/>
    <w:rsid w:val="00A1054C"/>
    <w:rsid w:val="00A10646"/>
    <w:rsid w:val="00A10649"/>
    <w:rsid w:val="00A10687"/>
    <w:rsid w:val="00A106A3"/>
    <w:rsid w:val="00A10825"/>
    <w:rsid w:val="00A1086C"/>
    <w:rsid w:val="00A10896"/>
    <w:rsid w:val="00A108C8"/>
    <w:rsid w:val="00A10907"/>
    <w:rsid w:val="00A1092F"/>
    <w:rsid w:val="00A10956"/>
    <w:rsid w:val="00A1095A"/>
    <w:rsid w:val="00A109A9"/>
    <w:rsid w:val="00A10A3A"/>
    <w:rsid w:val="00A10A97"/>
    <w:rsid w:val="00A10B09"/>
    <w:rsid w:val="00A10C8D"/>
    <w:rsid w:val="00A10CE3"/>
    <w:rsid w:val="00A10D2D"/>
    <w:rsid w:val="00A10D87"/>
    <w:rsid w:val="00A10E26"/>
    <w:rsid w:val="00A10EED"/>
    <w:rsid w:val="00A10F2D"/>
    <w:rsid w:val="00A10FA8"/>
    <w:rsid w:val="00A10FC3"/>
    <w:rsid w:val="00A1103A"/>
    <w:rsid w:val="00A11157"/>
    <w:rsid w:val="00A11177"/>
    <w:rsid w:val="00A11266"/>
    <w:rsid w:val="00A112A9"/>
    <w:rsid w:val="00A11331"/>
    <w:rsid w:val="00A11463"/>
    <w:rsid w:val="00A11513"/>
    <w:rsid w:val="00A1156B"/>
    <w:rsid w:val="00A115C6"/>
    <w:rsid w:val="00A1163B"/>
    <w:rsid w:val="00A1177C"/>
    <w:rsid w:val="00A11797"/>
    <w:rsid w:val="00A117A0"/>
    <w:rsid w:val="00A117DA"/>
    <w:rsid w:val="00A1183A"/>
    <w:rsid w:val="00A1183D"/>
    <w:rsid w:val="00A11878"/>
    <w:rsid w:val="00A11884"/>
    <w:rsid w:val="00A1195A"/>
    <w:rsid w:val="00A11972"/>
    <w:rsid w:val="00A119B3"/>
    <w:rsid w:val="00A119E8"/>
    <w:rsid w:val="00A11AA3"/>
    <w:rsid w:val="00A11B34"/>
    <w:rsid w:val="00A11C03"/>
    <w:rsid w:val="00A11D26"/>
    <w:rsid w:val="00A11E4B"/>
    <w:rsid w:val="00A11E89"/>
    <w:rsid w:val="00A11EB7"/>
    <w:rsid w:val="00A11EC7"/>
    <w:rsid w:val="00A11F58"/>
    <w:rsid w:val="00A11F8C"/>
    <w:rsid w:val="00A120EE"/>
    <w:rsid w:val="00A1224F"/>
    <w:rsid w:val="00A1241B"/>
    <w:rsid w:val="00A1243E"/>
    <w:rsid w:val="00A124C4"/>
    <w:rsid w:val="00A124CF"/>
    <w:rsid w:val="00A12569"/>
    <w:rsid w:val="00A125C5"/>
    <w:rsid w:val="00A125D1"/>
    <w:rsid w:val="00A126ED"/>
    <w:rsid w:val="00A12798"/>
    <w:rsid w:val="00A128C1"/>
    <w:rsid w:val="00A128E2"/>
    <w:rsid w:val="00A1290C"/>
    <w:rsid w:val="00A1290D"/>
    <w:rsid w:val="00A1299D"/>
    <w:rsid w:val="00A129C7"/>
    <w:rsid w:val="00A12A57"/>
    <w:rsid w:val="00A12ACD"/>
    <w:rsid w:val="00A12B25"/>
    <w:rsid w:val="00A12BDE"/>
    <w:rsid w:val="00A12C05"/>
    <w:rsid w:val="00A12C5E"/>
    <w:rsid w:val="00A12CA6"/>
    <w:rsid w:val="00A12D42"/>
    <w:rsid w:val="00A12DD6"/>
    <w:rsid w:val="00A12E43"/>
    <w:rsid w:val="00A12E4A"/>
    <w:rsid w:val="00A12E52"/>
    <w:rsid w:val="00A12E7C"/>
    <w:rsid w:val="00A12E7D"/>
    <w:rsid w:val="00A12FE6"/>
    <w:rsid w:val="00A1307F"/>
    <w:rsid w:val="00A13158"/>
    <w:rsid w:val="00A131BD"/>
    <w:rsid w:val="00A131E0"/>
    <w:rsid w:val="00A1333C"/>
    <w:rsid w:val="00A13391"/>
    <w:rsid w:val="00A133DB"/>
    <w:rsid w:val="00A133F3"/>
    <w:rsid w:val="00A13489"/>
    <w:rsid w:val="00A13545"/>
    <w:rsid w:val="00A13637"/>
    <w:rsid w:val="00A13838"/>
    <w:rsid w:val="00A13839"/>
    <w:rsid w:val="00A1384D"/>
    <w:rsid w:val="00A13894"/>
    <w:rsid w:val="00A138BA"/>
    <w:rsid w:val="00A1390F"/>
    <w:rsid w:val="00A13922"/>
    <w:rsid w:val="00A1398C"/>
    <w:rsid w:val="00A139AF"/>
    <w:rsid w:val="00A139B0"/>
    <w:rsid w:val="00A13A07"/>
    <w:rsid w:val="00A13A17"/>
    <w:rsid w:val="00A13A2C"/>
    <w:rsid w:val="00A13B42"/>
    <w:rsid w:val="00A13B49"/>
    <w:rsid w:val="00A13C20"/>
    <w:rsid w:val="00A13C45"/>
    <w:rsid w:val="00A13CAA"/>
    <w:rsid w:val="00A13CDA"/>
    <w:rsid w:val="00A13DC3"/>
    <w:rsid w:val="00A13DDE"/>
    <w:rsid w:val="00A13E34"/>
    <w:rsid w:val="00A13F44"/>
    <w:rsid w:val="00A13F6D"/>
    <w:rsid w:val="00A13FA0"/>
    <w:rsid w:val="00A13FB2"/>
    <w:rsid w:val="00A140DD"/>
    <w:rsid w:val="00A14163"/>
    <w:rsid w:val="00A141F9"/>
    <w:rsid w:val="00A14242"/>
    <w:rsid w:val="00A14265"/>
    <w:rsid w:val="00A1429D"/>
    <w:rsid w:val="00A142B3"/>
    <w:rsid w:val="00A14313"/>
    <w:rsid w:val="00A14381"/>
    <w:rsid w:val="00A14390"/>
    <w:rsid w:val="00A14486"/>
    <w:rsid w:val="00A145A9"/>
    <w:rsid w:val="00A147D3"/>
    <w:rsid w:val="00A147FE"/>
    <w:rsid w:val="00A14889"/>
    <w:rsid w:val="00A148C3"/>
    <w:rsid w:val="00A148DE"/>
    <w:rsid w:val="00A14918"/>
    <w:rsid w:val="00A14A76"/>
    <w:rsid w:val="00A14BAD"/>
    <w:rsid w:val="00A14BBB"/>
    <w:rsid w:val="00A14C0E"/>
    <w:rsid w:val="00A14DA3"/>
    <w:rsid w:val="00A14E4D"/>
    <w:rsid w:val="00A15071"/>
    <w:rsid w:val="00A151D3"/>
    <w:rsid w:val="00A151FD"/>
    <w:rsid w:val="00A15259"/>
    <w:rsid w:val="00A15288"/>
    <w:rsid w:val="00A15309"/>
    <w:rsid w:val="00A15320"/>
    <w:rsid w:val="00A1533A"/>
    <w:rsid w:val="00A153C5"/>
    <w:rsid w:val="00A153E6"/>
    <w:rsid w:val="00A154A4"/>
    <w:rsid w:val="00A154E3"/>
    <w:rsid w:val="00A15582"/>
    <w:rsid w:val="00A155D9"/>
    <w:rsid w:val="00A15641"/>
    <w:rsid w:val="00A15694"/>
    <w:rsid w:val="00A156FD"/>
    <w:rsid w:val="00A15763"/>
    <w:rsid w:val="00A15766"/>
    <w:rsid w:val="00A157C4"/>
    <w:rsid w:val="00A15817"/>
    <w:rsid w:val="00A1583E"/>
    <w:rsid w:val="00A15859"/>
    <w:rsid w:val="00A1586A"/>
    <w:rsid w:val="00A15899"/>
    <w:rsid w:val="00A1595A"/>
    <w:rsid w:val="00A15A26"/>
    <w:rsid w:val="00A15A28"/>
    <w:rsid w:val="00A15A9C"/>
    <w:rsid w:val="00A15AAC"/>
    <w:rsid w:val="00A15BC0"/>
    <w:rsid w:val="00A15BF2"/>
    <w:rsid w:val="00A15C13"/>
    <w:rsid w:val="00A15C65"/>
    <w:rsid w:val="00A15D3E"/>
    <w:rsid w:val="00A15D63"/>
    <w:rsid w:val="00A15E0D"/>
    <w:rsid w:val="00A15E2E"/>
    <w:rsid w:val="00A15E5F"/>
    <w:rsid w:val="00A15E6F"/>
    <w:rsid w:val="00A15E81"/>
    <w:rsid w:val="00A15EDA"/>
    <w:rsid w:val="00A15EDF"/>
    <w:rsid w:val="00A15EEF"/>
    <w:rsid w:val="00A15F0D"/>
    <w:rsid w:val="00A15F25"/>
    <w:rsid w:val="00A15FDE"/>
    <w:rsid w:val="00A16027"/>
    <w:rsid w:val="00A160FE"/>
    <w:rsid w:val="00A16125"/>
    <w:rsid w:val="00A161AB"/>
    <w:rsid w:val="00A1624C"/>
    <w:rsid w:val="00A1624E"/>
    <w:rsid w:val="00A16299"/>
    <w:rsid w:val="00A16332"/>
    <w:rsid w:val="00A1634A"/>
    <w:rsid w:val="00A16384"/>
    <w:rsid w:val="00A163A8"/>
    <w:rsid w:val="00A16488"/>
    <w:rsid w:val="00A1648C"/>
    <w:rsid w:val="00A16536"/>
    <w:rsid w:val="00A16545"/>
    <w:rsid w:val="00A165B2"/>
    <w:rsid w:val="00A1667B"/>
    <w:rsid w:val="00A166F2"/>
    <w:rsid w:val="00A16707"/>
    <w:rsid w:val="00A16737"/>
    <w:rsid w:val="00A167D4"/>
    <w:rsid w:val="00A16871"/>
    <w:rsid w:val="00A168BB"/>
    <w:rsid w:val="00A168E8"/>
    <w:rsid w:val="00A169DF"/>
    <w:rsid w:val="00A16AB7"/>
    <w:rsid w:val="00A16ADA"/>
    <w:rsid w:val="00A16B3F"/>
    <w:rsid w:val="00A16BD0"/>
    <w:rsid w:val="00A16BFA"/>
    <w:rsid w:val="00A16C9D"/>
    <w:rsid w:val="00A16CA2"/>
    <w:rsid w:val="00A16CE0"/>
    <w:rsid w:val="00A16CE2"/>
    <w:rsid w:val="00A16DA5"/>
    <w:rsid w:val="00A16DF7"/>
    <w:rsid w:val="00A16E21"/>
    <w:rsid w:val="00A16E98"/>
    <w:rsid w:val="00A16F18"/>
    <w:rsid w:val="00A16FA8"/>
    <w:rsid w:val="00A17033"/>
    <w:rsid w:val="00A17053"/>
    <w:rsid w:val="00A170C5"/>
    <w:rsid w:val="00A1710F"/>
    <w:rsid w:val="00A1711E"/>
    <w:rsid w:val="00A17196"/>
    <w:rsid w:val="00A171B5"/>
    <w:rsid w:val="00A17232"/>
    <w:rsid w:val="00A1733B"/>
    <w:rsid w:val="00A17350"/>
    <w:rsid w:val="00A173A2"/>
    <w:rsid w:val="00A173B4"/>
    <w:rsid w:val="00A173C2"/>
    <w:rsid w:val="00A17471"/>
    <w:rsid w:val="00A17495"/>
    <w:rsid w:val="00A17528"/>
    <w:rsid w:val="00A175D3"/>
    <w:rsid w:val="00A1774E"/>
    <w:rsid w:val="00A1776A"/>
    <w:rsid w:val="00A17799"/>
    <w:rsid w:val="00A17895"/>
    <w:rsid w:val="00A178A8"/>
    <w:rsid w:val="00A179A8"/>
    <w:rsid w:val="00A179AE"/>
    <w:rsid w:val="00A179C0"/>
    <w:rsid w:val="00A179C7"/>
    <w:rsid w:val="00A179D4"/>
    <w:rsid w:val="00A179D5"/>
    <w:rsid w:val="00A17A06"/>
    <w:rsid w:val="00A17AAC"/>
    <w:rsid w:val="00A17B00"/>
    <w:rsid w:val="00A17B17"/>
    <w:rsid w:val="00A17CB1"/>
    <w:rsid w:val="00A17D82"/>
    <w:rsid w:val="00A17DF8"/>
    <w:rsid w:val="00A17E20"/>
    <w:rsid w:val="00A17E79"/>
    <w:rsid w:val="00A17EA0"/>
    <w:rsid w:val="00A17EF2"/>
    <w:rsid w:val="00A200A4"/>
    <w:rsid w:val="00A2015D"/>
    <w:rsid w:val="00A201A1"/>
    <w:rsid w:val="00A201CD"/>
    <w:rsid w:val="00A2022F"/>
    <w:rsid w:val="00A2026B"/>
    <w:rsid w:val="00A203C0"/>
    <w:rsid w:val="00A20430"/>
    <w:rsid w:val="00A204E6"/>
    <w:rsid w:val="00A20519"/>
    <w:rsid w:val="00A207B0"/>
    <w:rsid w:val="00A207D3"/>
    <w:rsid w:val="00A207FF"/>
    <w:rsid w:val="00A2085C"/>
    <w:rsid w:val="00A2087F"/>
    <w:rsid w:val="00A208C7"/>
    <w:rsid w:val="00A209AB"/>
    <w:rsid w:val="00A209C6"/>
    <w:rsid w:val="00A20A33"/>
    <w:rsid w:val="00A20A68"/>
    <w:rsid w:val="00A20AB3"/>
    <w:rsid w:val="00A20B6C"/>
    <w:rsid w:val="00A20B90"/>
    <w:rsid w:val="00A20C9A"/>
    <w:rsid w:val="00A20D33"/>
    <w:rsid w:val="00A20D9C"/>
    <w:rsid w:val="00A20DA1"/>
    <w:rsid w:val="00A20DCD"/>
    <w:rsid w:val="00A20E6D"/>
    <w:rsid w:val="00A20F7C"/>
    <w:rsid w:val="00A20FB7"/>
    <w:rsid w:val="00A2103A"/>
    <w:rsid w:val="00A2107F"/>
    <w:rsid w:val="00A2109A"/>
    <w:rsid w:val="00A21128"/>
    <w:rsid w:val="00A2112B"/>
    <w:rsid w:val="00A21161"/>
    <w:rsid w:val="00A2128F"/>
    <w:rsid w:val="00A212E9"/>
    <w:rsid w:val="00A2130E"/>
    <w:rsid w:val="00A213AC"/>
    <w:rsid w:val="00A213DB"/>
    <w:rsid w:val="00A21499"/>
    <w:rsid w:val="00A2150B"/>
    <w:rsid w:val="00A2157D"/>
    <w:rsid w:val="00A21682"/>
    <w:rsid w:val="00A21749"/>
    <w:rsid w:val="00A21808"/>
    <w:rsid w:val="00A21819"/>
    <w:rsid w:val="00A21877"/>
    <w:rsid w:val="00A21890"/>
    <w:rsid w:val="00A21946"/>
    <w:rsid w:val="00A219BE"/>
    <w:rsid w:val="00A21A18"/>
    <w:rsid w:val="00A21AC4"/>
    <w:rsid w:val="00A21B8C"/>
    <w:rsid w:val="00A21BD7"/>
    <w:rsid w:val="00A21C86"/>
    <w:rsid w:val="00A21C91"/>
    <w:rsid w:val="00A21E1F"/>
    <w:rsid w:val="00A21E2D"/>
    <w:rsid w:val="00A21EDA"/>
    <w:rsid w:val="00A21F1A"/>
    <w:rsid w:val="00A21F7C"/>
    <w:rsid w:val="00A2209F"/>
    <w:rsid w:val="00A220CC"/>
    <w:rsid w:val="00A220CE"/>
    <w:rsid w:val="00A220E7"/>
    <w:rsid w:val="00A221F7"/>
    <w:rsid w:val="00A22230"/>
    <w:rsid w:val="00A2227B"/>
    <w:rsid w:val="00A222B3"/>
    <w:rsid w:val="00A222BF"/>
    <w:rsid w:val="00A2236B"/>
    <w:rsid w:val="00A22373"/>
    <w:rsid w:val="00A22520"/>
    <w:rsid w:val="00A2259E"/>
    <w:rsid w:val="00A225D9"/>
    <w:rsid w:val="00A226A6"/>
    <w:rsid w:val="00A227D1"/>
    <w:rsid w:val="00A227F2"/>
    <w:rsid w:val="00A228A9"/>
    <w:rsid w:val="00A228E1"/>
    <w:rsid w:val="00A22932"/>
    <w:rsid w:val="00A229B3"/>
    <w:rsid w:val="00A22AD3"/>
    <w:rsid w:val="00A22BCC"/>
    <w:rsid w:val="00A22D49"/>
    <w:rsid w:val="00A22D8E"/>
    <w:rsid w:val="00A22DC2"/>
    <w:rsid w:val="00A22E4F"/>
    <w:rsid w:val="00A22E55"/>
    <w:rsid w:val="00A22EC7"/>
    <w:rsid w:val="00A22F27"/>
    <w:rsid w:val="00A22F47"/>
    <w:rsid w:val="00A22F6F"/>
    <w:rsid w:val="00A22F80"/>
    <w:rsid w:val="00A22FF5"/>
    <w:rsid w:val="00A230FA"/>
    <w:rsid w:val="00A23139"/>
    <w:rsid w:val="00A23178"/>
    <w:rsid w:val="00A23185"/>
    <w:rsid w:val="00A23270"/>
    <w:rsid w:val="00A23415"/>
    <w:rsid w:val="00A234D7"/>
    <w:rsid w:val="00A23511"/>
    <w:rsid w:val="00A23512"/>
    <w:rsid w:val="00A23622"/>
    <w:rsid w:val="00A2365F"/>
    <w:rsid w:val="00A236EC"/>
    <w:rsid w:val="00A238B0"/>
    <w:rsid w:val="00A238C6"/>
    <w:rsid w:val="00A23930"/>
    <w:rsid w:val="00A23A66"/>
    <w:rsid w:val="00A23A89"/>
    <w:rsid w:val="00A23A93"/>
    <w:rsid w:val="00A23A9D"/>
    <w:rsid w:val="00A23B28"/>
    <w:rsid w:val="00A23B2B"/>
    <w:rsid w:val="00A23B48"/>
    <w:rsid w:val="00A23B56"/>
    <w:rsid w:val="00A23BDD"/>
    <w:rsid w:val="00A23C09"/>
    <w:rsid w:val="00A23C69"/>
    <w:rsid w:val="00A23C7F"/>
    <w:rsid w:val="00A23D1F"/>
    <w:rsid w:val="00A23E0B"/>
    <w:rsid w:val="00A23E42"/>
    <w:rsid w:val="00A23E68"/>
    <w:rsid w:val="00A23E7A"/>
    <w:rsid w:val="00A23EC1"/>
    <w:rsid w:val="00A23F55"/>
    <w:rsid w:val="00A24018"/>
    <w:rsid w:val="00A24024"/>
    <w:rsid w:val="00A2406C"/>
    <w:rsid w:val="00A240C3"/>
    <w:rsid w:val="00A24119"/>
    <w:rsid w:val="00A24187"/>
    <w:rsid w:val="00A241F3"/>
    <w:rsid w:val="00A24212"/>
    <w:rsid w:val="00A24243"/>
    <w:rsid w:val="00A2424B"/>
    <w:rsid w:val="00A24276"/>
    <w:rsid w:val="00A2427B"/>
    <w:rsid w:val="00A24302"/>
    <w:rsid w:val="00A2430F"/>
    <w:rsid w:val="00A24495"/>
    <w:rsid w:val="00A24503"/>
    <w:rsid w:val="00A245E8"/>
    <w:rsid w:val="00A24645"/>
    <w:rsid w:val="00A2466A"/>
    <w:rsid w:val="00A246DC"/>
    <w:rsid w:val="00A24757"/>
    <w:rsid w:val="00A2485F"/>
    <w:rsid w:val="00A24902"/>
    <w:rsid w:val="00A24A1A"/>
    <w:rsid w:val="00A24B3B"/>
    <w:rsid w:val="00A24B4B"/>
    <w:rsid w:val="00A24B55"/>
    <w:rsid w:val="00A24B7C"/>
    <w:rsid w:val="00A24B81"/>
    <w:rsid w:val="00A24BE7"/>
    <w:rsid w:val="00A24C09"/>
    <w:rsid w:val="00A24CA6"/>
    <w:rsid w:val="00A24CC4"/>
    <w:rsid w:val="00A24E08"/>
    <w:rsid w:val="00A24E8F"/>
    <w:rsid w:val="00A24EAE"/>
    <w:rsid w:val="00A24F1A"/>
    <w:rsid w:val="00A2502D"/>
    <w:rsid w:val="00A25054"/>
    <w:rsid w:val="00A25066"/>
    <w:rsid w:val="00A2512E"/>
    <w:rsid w:val="00A251A8"/>
    <w:rsid w:val="00A25206"/>
    <w:rsid w:val="00A252BF"/>
    <w:rsid w:val="00A25307"/>
    <w:rsid w:val="00A253E3"/>
    <w:rsid w:val="00A2547F"/>
    <w:rsid w:val="00A25487"/>
    <w:rsid w:val="00A254E3"/>
    <w:rsid w:val="00A25623"/>
    <w:rsid w:val="00A256AF"/>
    <w:rsid w:val="00A256E0"/>
    <w:rsid w:val="00A25756"/>
    <w:rsid w:val="00A25787"/>
    <w:rsid w:val="00A2580D"/>
    <w:rsid w:val="00A25817"/>
    <w:rsid w:val="00A25841"/>
    <w:rsid w:val="00A25851"/>
    <w:rsid w:val="00A258CE"/>
    <w:rsid w:val="00A25958"/>
    <w:rsid w:val="00A25AB3"/>
    <w:rsid w:val="00A25B1A"/>
    <w:rsid w:val="00A25B46"/>
    <w:rsid w:val="00A25BFC"/>
    <w:rsid w:val="00A25C32"/>
    <w:rsid w:val="00A25C37"/>
    <w:rsid w:val="00A25CA9"/>
    <w:rsid w:val="00A25D05"/>
    <w:rsid w:val="00A25DCC"/>
    <w:rsid w:val="00A25E59"/>
    <w:rsid w:val="00A25F6A"/>
    <w:rsid w:val="00A25F90"/>
    <w:rsid w:val="00A25FC8"/>
    <w:rsid w:val="00A26023"/>
    <w:rsid w:val="00A2607C"/>
    <w:rsid w:val="00A260F0"/>
    <w:rsid w:val="00A2611D"/>
    <w:rsid w:val="00A26123"/>
    <w:rsid w:val="00A26174"/>
    <w:rsid w:val="00A26197"/>
    <w:rsid w:val="00A261F7"/>
    <w:rsid w:val="00A2622F"/>
    <w:rsid w:val="00A26255"/>
    <w:rsid w:val="00A262BE"/>
    <w:rsid w:val="00A2633B"/>
    <w:rsid w:val="00A263C9"/>
    <w:rsid w:val="00A2640A"/>
    <w:rsid w:val="00A26496"/>
    <w:rsid w:val="00A26598"/>
    <w:rsid w:val="00A265D1"/>
    <w:rsid w:val="00A26680"/>
    <w:rsid w:val="00A266D9"/>
    <w:rsid w:val="00A266F3"/>
    <w:rsid w:val="00A26888"/>
    <w:rsid w:val="00A268C7"/>
    <w:rsid w:val="00A2699C"/>
    <w:rsid w:val="00A269CE"/>
    <w:rsid w:val="00A269F7"/>
    <w:rsid w:val="00A26A32"/>
    <w:rsid w:val="00A26A8B"/>
    <w:rsid w:val="00A26A97"/>
    <w:rsid w:val="00A26ABF"/>
    <w:rsid w:val="00A26BF4"/>
    <w:rsid w:val="00A26C89"/>
    <w:rsid w:val="00A26D73"/>
    <w:rsid w:val="00A26DA3"/>
    <w:rsid w:val="00A26DFC"/>
    <w:rsid w:val="00A26E5A"/>
    <w:rsid w:val="00A26EE0"/>
    <w:rsid w:val="00A26EF1"/>
    <w:rsid w:val="00A26F4E"/>
    <w:rsid w:val="00A26FC4"/>
    <w:rsid w:val="00A270C5"/>
    <w:rsid w:val="00A272CA"/>
    <w:rsid w:val="00A2735C"/>
    <w:rsid w:val="00A2744D"/>
    <w:rsid w:val="00A2745C"/>
    <w:rsid w:val="00A274A7"/>
    <w:rsid w:val="00A274B4"/>
    <w:rsid w:val="00A27503"/>
    <w:rsid w:val="00A27599"/>
    <w:rsid w:val="00A275CF"/>
    <w:rsid w:val="00A2761D"/>
    <w:rsid w:val="00A2769A"/>
    <w:rsid w:val="00A276F3"/>
    <w:rsid w:val="00A2770B"/>
    <w:rsid w:val="00A27735"/>
    <w:rsid w:val="00A27745"/>
    <w:rsid w:val="00A277FC"/>
    <w:rsid w:val="00A27827"/>
    <w:rsid w:val="00A278D6"/>
    <w:rsid w:val="00A27969"/>
    <w:rsid w:val="00A279FE"/>
    <w:rsid w:val="00A27A0E"/>
    <w:rsid w:val="00A27A92"/>
    <w:rsid w:val="00A27AE4"/>
    <w:rsid w:val="00A27C5C"/>
    <w:rsid w:val="00A27C60"/>
    <w:rsid w:val="00A27D23"/>
    <w:rsid w:val="00A27D71"/>
    <w:rsid w:val="00A27E1D"/>
    <w:rsid w:val="00A27EEB"/>
    <w:rsid w:val="00A27F55"/>
    <w:rsid w:val="00A27FF6"/>
    <w:rsid w:val="00A3001C"/>
    <w:rsid w:val="00A30035"/>
    <w:rsid w:val="00A30144"/>
    <w:rsid w:val="00A3019F"/>
    <w:rsid w:val="00A30259"/>
    <w:rsid w:val="00A30380"/>
    <w:rsid w:val="00A3039B"/>
    <w:rsid w:val="00A30454"/>
    <w:rsid w:val="00A30490"/>
    <w:rsid w:val="00A30515"/>
    <w:rsid w:val="00A30566"/>
    <w:rsid w:val="00A305B1"/>
    <w:rsid w:val="00A305B9"/>
    <w:rsid w:val="00A306E5"/>
    <w:rsid w:val="00A30739"/>
    <w:rsid w:val="00A30742"/>
    <w:rsid w:val="00A307A0"/>
    <w:rsid w:val="00A307DC"/>
    <w:rsid w:val="00A307F1"/>
    <w:rsid w:val="00A307F3"/>
    <w:rsid w:val="00A3084C"/>
    <w:rsid w:val="00A30876"/>
    <w:rsid w:val="00A308AC"/>
    <w:rsid w:val="00A3097E"/>
    <w:rsid w:val="00A309D9"/>
    <w:rsid w:val="00A30A4C"/>
    <w:rsid w:val="00A30A91"/>
    <w:rsid w:val="00A30ADC"/>
    <w:rsid w:val="00A30AF4"/>
    <w:rsid w:val="00A30B94"/>
    <w:rsid w:val="00A30C41"/>
    <w:rsid w:val="00A30C44"/>
    <w:rsid w:val="00A30C65"/>
    <w:rsid w:val="00A30D8D"/>
    <w:rsid w:val="00A30DFA"/>
    <w:rsid w:val="00A30E21"/>
    <w:rsid w:val="00A30EAC"/>
    <w:rsid w:val="00A30EAD"/>
    <w:rsid w:val="00A30EFA"/>
    <w:rsid w:val="00A30F31"/>
    <w:rsid w:val="00A30F64"/>
    <w:rsid w:val="00A30F8A"/>
    <w:rsid w:val="00A30FD3"/>
    <w:rsid w:val="00A31054"/>
    <w:rsid w:val="00A3117E"/>
    <w:rsid w:val="00A31187"/>
    <w:rsid w:val="00A311F9"/>
    <w:rsid w:val="00A3129A"/>
    <w:rsid w:val="00A312A6"/>
    <w:rsid w:val="00A312AD"/>
    <w:rsid w:val="00A312D3"/>
    <w:rsid w:val="00A31403"/>
    <w:rsid w:val="00A3163D"/>
    <w:rsid w:val="00A3174F"/>
    <w:rsid w:val="00A317B9"/>
    <w:rsid w:val="00A31840"/>
    <w:rsid w:val="00A31A22"/>
    <w:rsid w:val="00A31A34"/>
    <w:rsid w:val="00A31A42"/>
    <w:rsid w:val="00A31ACC"/>
    <w:rsid w:val="00A31AE6"/>
    <w:rsid w:val="00A31B16"/>
    <w:rsid w:val="00A31BF1"/>
    <w:rsid w:val="00A31CD4"/>
    <w:rsid w:val="00A31E0C"/>
    <w:rsid w:val="00A31E47"/>
    <w:rsid w:val="00A31E70"/>
    <w:rsid w:val="00A31ECB"/>
    <w:rsid w:val="00A31EF4"/>
    <w:rsid w:val="00A320BC"/>
    <w:rsid w:val="00A3214D"/>
    <w:rsid w:val="00A3216E"/>
    <w:rsid w:val="00A32195"/>
    <w:rsid w:val="00A3222A"/>
    <w:rsid w:val="00A32245"/>
    <w:rsid w:val="00A3234B"/>
    <w:rsid w:val="00A3234C"/>
    <w:rsid w:val="00A323CC"/>
    <w:rsid w:val="00A32475"/>
    <w:rsid w:val="00A3254E"/>
    <w:rsid w:val="00A32560"/>
    <w:rsid w:val="00A325C6"/>
    <w:rsid w:val="00A325E4"/>
    <w:rsid w:val="00A3262B"/>
    <w:rsid w:val="00A32687"/>
    <w:rsid w:val="00A32725"/>
    <w:rsid w:val="00A3286F"/>
    <w:rsid w:val="00A328E1"/>
    <w:rsid w:val="00A32A58"/>
    <w:rsid w:val="00A32ABF"/>
    <w:rsid w:val="00A32BB5"/>
    <w:rsid w:val="00A32BB7"/>
    <w:rsid w:val="00A32BC7"/>
    <w:rsid w:val="00A32BE2"/>
    <w:rsid w:val="00A32C22"/>
    <w:rsid w:val="00A32C43"/>
    <w:rsid w:val="00A32C6F"/>
    <w:rsid w:val="00A32CAE"/>
    <w:rsid w:val="00A32DF7"/>
    <w:rsid w:val="00A32E4B"/>
    <w:rsid w:val="00A32E7A"/>
    <w:rsid w:val="00A32EB0"/>
    <w:rsid w:val="00A32F63"/>
    <w:rsid w:val="00A330C4"/>
    <w:rsid w:val="00A33137"/>
    <w:rsid w:val="00A33150"/>
    <w:rsid w:val="00A3318E"/>
    <w:rsid w:val="00A3319C"/>
    <w:rsid w:val="00A3322D"/>
    <w:rsid w:val="00A33243"/>
    <w:rsid w:val="00A33244"/>
    <w:rsid w:val="00A33247"/>
    <w:rsid w:val="00A333A4"/>
    <w:rsid w:val="00A33427"/>
    <w:rsid w:val="00A334A5"/>
    <w:rsid w:val="00A33589"/>
    <w:rsid w:val="00A3358A"/>
    <w:rsid w:val="00A335A9"/>
    <w:rsid w:val="00A335B6"/>
    <w:rsid w:val="00A33713"/>
    <w:rsid w:val="00A3377A"/>
    <w:rsid w:val="00A33791"/>
    <w:rsid w:val="00A337A0"/>
    <w:rsid w:val="00A337AE"/>
    <w:rsid w:val="00A338E8"/>
    <w:rsid w:val="00A3391E"/>
    <w:rsid w:val="00A339E9"/>
    <w:rsid w:val="00A33A03"/>
    <w:rsid w:val="00A33B57"/>
    <w:rsid w:val="00A33B5E"/>
    <w:rsid w:val="00A33B79"/>
    <w:rsid w:val="00A33BA7"/>
    <w:rsid w:val="00A33C3D"/>
    <w:rsid w:val="00A33C6C"/>
    <w:rsid w:val="00A33CA6"/>
    <w:rsid w:val="00A33D81"/>
    <w:rsid w:val="00A33E2C"/>
    <w:rsid w:val="00A33E2F"/>
    <w:rsid w:val="00A33EC6"/>
    <w:rsid w:val="00A33F00"/>
    <w:rsid w:val="00A33F14"/>
    <w:rsid w:val="00A33F9D"/>
    <w:rsid w:val="00A33FFF"/>
    <w:rsid w:val="00A34152"/>
    <w:rsid w:val="00A34177"/>
    <w:rsid w:val="00A341FB"/>
    <w:rsid w:val="00A342FD"/>
    <w:rsid w:val="00A34302"/>
    <w:rsid w:val="00A34386"/>
    <w:rsid w:val="00A343E0"/>
    <w:rsid w:val="00A3455E"/>
    <w:rsid w:val="00A34655"/>
    <w:rsid w:val="00A34698"/>
    <w:rsid w:val="00A346CE"/>
    <w:rsid w:val="00A3474C"/>
    <w:rsid w:val="00A349ED"/>
    <w:rsid w:val="00A34A9F"/>
    <w:rsid w:val="00A34AE2"/>
    <w:rsid w:val="00A34B46"/>
    <w:rsid w:val="00A34B86"/>
    <w:rsid w:val="00A34BF7"/>
    <w:rsid w:val="00A34C84"/>
    <w:rsid w:val="00A34CC9"/>
    <w:rsid w:val="00A34D76"/>
    <w:rsid w:val="00A34DD5"/>
    <w:rsid w:val="00A34DE1"/>
    <w:rsid w:val="00A34DEC"/>
    <w:rsid w:val="00A34FC8"/>
    <w:rsid w:val="00A35002"/>
    <w:rsid w:val="00A351D6"/>
    <w:rsid w:val="00A35371"/>
    <w:rsid w:val="00A354B1"/>
    <w:rsid w:val="00A3562E"/>
    <w:rsid w:val="00A35659"/>
    <w:rsid w:val="00A3571A"/>
    <w:rsid w:val="00A35745"/>
    <w:rsid w:val="00A3574C"/>
    <w:rsid w:val="00A35755"/>
    <w:rsid w:val="00A3576B"/>
    <w:rsid w:val="00A35830"/>
    <w:rsid w:val="00A359DE"/>
    <w:rsid w:val="00A35A88"/>
    <w:rsid w:val="00A35A9A"/>
    <w:rsid w:val="00A35B27"/>
    <w:rsid w:val="00A35B3D"/>
    <w:rsid w:val="00A35CB8"/>
    <w:rsid w:val="00A35D61"/>
    <w:rsid w:val="00A35DB1"/>
    <w:rsid w:val="00A35E08"/>
    <w:rsid w:val="00A35E8F"/>
    <w:rsid w:val="00A35E9B"/>
    <w:rsid w:val="00A35F29"/>
    <w:rsid w:val="00A3600B"/>
    <w:rsid w:val="00A36042"/>
    <w:rsid w:val="00A360B3"/>
    <w:rsid w:val="00A36169"/>
    <w:rsid w:val="00A361A5"/>
    <w:rsid w:val="00A3627A"/>
    <w:rsid w:val="00A3637E"/>
    <w:rsid w:val="00A3644F"/>
    <w:rsid w:val="00A3648F"/>
    <w:rsid w:val="00A36490"/>
    <w:rsid w:val="00A36576"/>
    <w:rsid w:val="00A3658E"/>
    <w:rsid w:val="00A36731"/>
    <w:rsid w:val="00A36736"/>
    <w:rsid w:val="00A36751"/>
    <w:rsid w:val="00A36755"/>
    <w:rsid w:val="00A3680B"/>
    <w:rsid w:val="00A36810"/>
    <w:rsid w:val="00A36909"/>
    <w:rsid w:val="00A36997"/>
    <w:rsid w:val="00A36AA5"/>
    <w:rsid w:val="00A36AF6"/>
    <w:rsid w:val="00A36B15"/>
    <w:rsid w:val="00A36B54"/>
    <w:rsid w:val="00A36BED"/>
    <w:rsid w:val="00A36C4E"/>
    <w:rsid w:val="00A36C64"/>
    <w:rsid w:val="00A36CD0"/>
    <w:rsid w:val="00A36E5B"/>
    <w:rsid w:val="00A36EF2"/>
    <w:rsid w:val="00A36FB7"/>
    <w:rsid w:val="00A36FE7"/>
    <w:rsid w:val="00A370F5"/>
    <w:rsid w:val="00A37125"/>
    <w:rsid w:val="00A3717A"/>
    <w:rsid w:val="00A371B4"/>
    <w:rsid w:val="00A371BE"/>
    <w:rsid w:val="00A371C6"/>
    <w:rsid w:val="00A3720C"/>
    <w:rsid w:val="00A37288"/>
    <w:rsid w:val="00A372DD"/>
    <w:rsid w:val="00A373AC"/>
    <w:rsid w:val="00A37409"/>
    <w:rsid w:val="00A3741E"/>
    <w:rsid w:val="00A37452"/>
    <w:rsid w:val="00A3746F"/>
    <w:rsid w:val="00A3751C"/>
    <w:rsid w:val="00A3758E"/>
    <w:rsid w:val="00A3759E"/>
    <w:rsid w:val="00A37604"/>
    <w:rsid w:val="00A37625"/>
    <w:rsid w:val="00A37798"/>
    <w:rsid w:val="00A3779D"/>
    <w:rsid w:val="00A37860"/>
    <w:rsid w:val="00A378F6"/>
    <w:rsid w:val="00A37903"/>
    <w:rsid w:val="00A37A71"/>
    <w:rsid w:val="00A37A9F"/>
    <w:rsid w:val="00A37ACD"/>
    <w:rsid w:val="00A37AD1"/>
    <w:rsid w:val="00A37B31"/>
    <w:rsid w:val="00A37C0F"/>
    <w:rsid w:val="00A37DA8"/>
    <w:rsid w:val="00A37F02"/>
    <w:rsid w:val="00A37F39"/>
    <w:rsid w:val="00A37F70"/>
    <w:rsid w:val="00A37FA2"/>
    <w:rsid w:val="00A400E3"/>
    <w:rsid w:val="00A40120"/>
    <w:rsid w:val="00A40191"/>
    <w:rsid w:val="00A40217"/>
    <w:rsid w:val="00A403A0"/>
    <w:rsid w:val="00A4047D"/>
    <w:rsid w:val="00A40486"/>
    <w:rsid w:val="00A404EE"/>
    <w:rsid w:val="00A4053E"/>
    <w:rsid w:val="00A40599"/>
    <w:rsid w:val="00A4069E"/>
    <w:rsid w:val="00A406F4"/>
    <w:rsid w:val="00A4075D"/>
    <w:rsid w:val="00A40802"/>
    <w:rsid w:val="00A408D3"/>
    <w:rsid w:val="00A40923"/>
    <w:rsid w:val="00A409BA"/>
    <w:rsid w:val="00A40A35"/>
    <w:rsid w:val="00A40A37"/>
    <w:rsid w:val="00A40AC7"/>
    <w:rsid w:val="00A40AFD"/>
    <w:rsid w:val="00A40B07"/>
    <w:rsid w:val="00A40B16"/>
    <w:rsid w:val="00A40B62"/>
    <w:rsid w:val="00A40B80"/>
    <w:rsid w:val="00A40B85"/>
    <w:rsid w:val="00A40BD8"/>
    <w:rsid w:val="00A40C4E"/>
    <w:rsid w:val="00A40CAB"/>
    <w:rsid w:val="00A40D54"/>
    <w:rsid w:val="00A40D83"/>
    <w:rsid w:val="00A40DB4"/>
    <w:rsid w:val="00A40E02"/>
    <w:rsid w:val="00A40E51"/>
    <w:rsid w:val="00A40E7F"/>
    <w:rsid w:val="00A40EC1"/>
    <w:rsid w:val="00A40F3E"/>
    <w:rsid w:val="00A40F7E"/>
    <w:rsid w:val="00A40FCF"/>
    <w:rsid w:val="00A41077"/>
    <w:rsid w:val="00A410D4"/>
    <w:rsid w:val="00A41184"/>
    <w:rsid w:val="00A411C1"/>
    <w:rsid w:val="00A411D1"/>
    <w:rsid w:val="00A411F7"/>
    <w:rsid w:val="00A41225"/>
    <w:rsid w:val="00A412DD"/>
    <w:rsid w:val="00A4135A"/>
    <w:rsid w:val="00A413B7"/>
    <w:rsid w:val="00A41445"/>
    <w:rsid w:val="00A41480"/>
    <w:rsid w:val="00A414A6"/>
    <w:rsid w:val="00A41545"/>
    <w:rsid w:val="00A4157D"/>
    <w:rsid w:val="00A41729"/>
    <w:rsid w:val="00A4172B"/>
    <w:rsid w:val="00A41767"/>
    <w:rsid w:val="00A4179D"/>
    <w:rsid w:val="00A417CA"/>
    <w:rsid w:val="00A4180C"/>
    <w:rsid w:val="00A41937"/>
    <w:rsid w:val="00A419A2"/>
    <w:rsid w:val="00A419D4"/>
    <w:rsid w:val="00A41A0F"/>
    <w:rsid w:val="00A41A16"/>
    <w:rsid w:val="00A41B12"/>
    <w:rsid w:val="00A41B15"/>
    <w:rsid w:val="00A41B8B"/>
    <w:rsid w:val="00A41BB4"/>
    <w:rsid w:val="00A41BBE"/>
    <w:rsid w:val="00A41C16"/>
    <w:rsid w:val="00A41C55"/>
    <w:rsid w:val="00A41DAB"/>
    <w:rsid w:val="00A41DB0"/>
    <w:rsid w:val="00A41DF7"/>
    <w:rsid w:val="00A41EB1"/>
    <w:rsid w:val="00A41EC0"/>
    <w:rsid w:val="00A41FB6"/>
    <w:rsid w:val="00A4203D"/>
    <w:rsid w:val="00A4206D"/>
    <w:rsid w:val="00A420B2"/>
    <w:rsid w:val="00A4213A"/>
    <w:rsid w:val="00A42161"/>
    <w:rsid w:val="00A421FB"/>
    <w:rsid w:val="00A4220F"/>
    <w:rsid w:val="00A4224A"/>
    <w:rsid w:val="00A422D4"/>
    <w:rsid w:val="00A42364"/>
    <w:rsid w:val="00A42416"/>
    <w:rsid w:val="00A42506"/>
    <w:rsid w:val="00A42566"/>
    <w:rsid w:val="00A4259D"/>
    <w:rsid w:val="00A425EC"/>
    <w:rsid w:val="00A425F2"/>
    <w:rsid w:val="00A42626"/>
    <w:rsid w:val="00A42729"/>
    <w:rsid w:val="00A427D4"/>
    <w:rsid w:val="00A42893"/>
    <w:rsid w:val="00A428B4"/>
    <w:rsid w:val="00A42963"/>
    <w:rsid w:val="00A42AE1"/>
    <w:rsid w:val="00A42AEC"/>
    <w:rsid w:val="00A42B28"/>
    <w:rsid w:val="00A42B97"/>
    <w:rsid w:val="00A42C33"/>
    <w:rsid w:val="00A42C39"/>
    <w:rsid w:val="00A42CAF"/>
    <w:rsid w:val="00A42CDA"/>
    <w:rsid w:val="00A42CFF"/>
    <w:rsid w:val="00A42D09"/>
    <w:rsid w:val="00A42D27"/>
    <w:rsid w:val="00A42D47"/>
    <w:rsid w:val="00A42D65"/>
    <w:rsid w:val="00A42DD4"/>
    <w:rsid w:val="00A42DEB"/>
    <w:rsid w:val="00A42E8A"/>
    <w:rsid w:val="00A42ED0"/>
    <w:rsid w:val="00A42EEA"/>
    <w:rsid w:val="00A42F42"/>
    <w:rsid w:val="00A42FD8"/>
    <w:rsid w:val="00A43021"/>
    <w:rsid w:val="00A4303E"/>
    <w:rsid w:val="00A4327D"/>
    <w:rsid w:val="00A432BD"/>
    <w:rsid w:val="00A432CF"/>
    <w:rsid w:val="00A4338D"/>
    <w:rsid w:val="00A433FE"/>
    <w:rsid w:val="00A43401"/>
    <w:rsid w:val="00A434BC"/>
    <w:rsid w:val="00A4353D"/>
    <w:rsid w:val="00A43564"/>
    <w:rsid w:val="00A435AC"/>
    <w:rsid w:val="00A435B0"/>
    <w:rsid w:val="00A43609"/>
    <w:rsid w:val="00A43652"/>
    <w:rsid w:val="00A43699"/>
    <w:rsid w:val="00A438C0"/>
    <w:rsid w:val="00A4393E"/>
    <w:rsid w:val="00A43973"/>
    <w:rsid w:val="00A439D0"/>
    <w:rsid w:val="00A439F5"/>
    <w:rsid w:val="00A43B1C"/>
    <w:rsid w:val="00A43B7F"/>
    <w:rsid w:val="00A43B8A"/>
    <w:rsid w:val="00A43BD1"/>
    <w:rsid w:val="00A43C49"/>
    <w:rsid w:val="00A43CAD"/>
    <w:rsid w:val="00A43D1D"/>
    <w:rsid w:val="00A43D30"/>
    <w:rsid w:val="00A43D53"/>
    <w:rsid w:val="00A43D8D"/>
    <w:rsid w:val="00A43E14"/>
    <w:rsid w:val="00A43E51"/>
    <w:rsid w:val="00A43F12"/>
    <w:rsid w:val="00A43F7F"/>
    <w:rsid w:val="00A43F8F"/>
    <w:rsid w:val="00A44039"/>
    <w:rsid w:val="00A440A6"/>
    <w:rsid w:val="00A440FD"/>
    <w:rsid w:val="00A44121"/>
    <w:rsid w:val="00A442B2"/>
    <w:rsid w:val="00A44343"/>
    <w:rsid w:val="00A44356"/>
    <w:rsid w:val="00A44358"/>
    <w:rsid w:val="00A444AD"/>
    <w:rsid w:val="00A444E4"/>
    <w:rsid w:val="00A444EB"/>
    <w:rsid w:val="00A44593"/>
    <w:rsid w:val="00A445A1"/>
    <w:rsid w:val="00A445B3"/>
    <w:rsid w:val="00A44607"/>
    <w:rsid w:val="00A4466C"/>
    <w:rsid w:val="00A446A6"/>
    <w:rsid w:val="00A447C8"/>
    <w:rsid w:val="00A4486F"/>
    <w:rsid w:val="00A448DD"/>
    <w:rsid w:val="00A448FD"/>
    <w:rsid w:val="00A44915"/>
    <w:rsid w:val="00A4496D"/>
    <w:rsid w:val="00A449B5"/>
    <w:rsid w:val="00A44ABC"/>
    <w:rsid w:val="00A44B32"/>
    <w:rsid w:val="00A44CEE"/>
    <w:rsid w:val="00A44D0B"/>
    <w:rsid w:val="00A44EAF"/>
    <w:rsid w:val="00A45017"/>
    <w:rsid w:val="00A45179"/>
    <w:rsid w:val="00A451AD"/>
    <w:rsid w:val="00A451C1"/>
    <w:rsid w:val="00A45269"/>
    <w:rsid w:val="00A45290"/>
    <w:rsid w:val="00A45322"/>
    <w:rsid w:val="00A45331"/>
    <w:rsid w:val="00A4534F"/>
    <w:rsid w:val="00A453F8"/>
    <w:rsid w:val="00A45478"/>
    <w:rsid w:val="00A454AB"/>
    <w:rsid w:val="00A454C0"/>
    <w:rsid w:val="00A45513"/>
    <w:rsid w:val="00A4554F"/>
    <w:rsid w:val="00A45579"/>
    <w:rsid w:val="00A4559E"/>
    <w:rsid w:val="00A455C3"/>
    <w:rsid w:val="00A4567F"/>
    <w:rsid w:val="00A456A5"/>
    <w:rsid w:val="00A456AC"/>
    <w:rsid w:val="00A456FB"/>
    <w:rsid w:val="00A4571E"/>
    <w:rsid w:val="00A459DA"/>
    <w:rsid w:val="00A45B32"/>
    <w:rsid w:val="00A45C51"/>
    <w:rsid w:val="00A45D12"/>
    <w:rsid w:val="00A45D20"/>
    <w:rsid w:val="00A45DDB"/>
    <w:rsid w:val="00A45E65"/>
    <w:rsid w:val="00A45F0C"/>
    <w:rsid w:val="00A45FF9"/>
    <w:rsid w:val="00A46033"/>
    <w:rsid w:val="00A46047"/>
    <w:rsid w:val="00A4608C"/>
    <w:rsid w:val="00A460CE"/>
    <w:rsid w:val="00A4616C"/>
    <w:rsid w:val="00A4619B"/>
    <w:rsid w:val="00A461B9"/>
    <w:rsid w:val="00A461E3"/>
    <w:rsid w:val="00A462DD"/>
    <w:rsid w:val="00A462E7"/>
    <w:rsid w:val="00A463E3"/>
    <w:rsid w:val="00A464BF"/>
    <w:rsid w:val="00A46528"/>
    <w:rsid w:val="00A46560"/>
    <w:rsid w:val="00A4658C"/>
    <w:rsid w:val="00A465DA"/>
    <w:rsid w:val="00A465F0"/>
    <w:rsid w:val="00A46628"/>
    <w:rsid w:val="00A46643"/>
    <w:rsid w:val="00A46691"/>
    <w:rsid w:val="00A46820"/>
    <w:rsid w:val="00A4682D"/>
    <w:rsid w:val="00A46851"/>
    <w:rsid w:val="00A469C9"/>
    <w:rsid w:val="00A46A82"/>
    <w:rsid w:val="00A46AAE"/>
    <w:rsid w:val="00A46C31"/>
    <w:rsid w:val="00A46D19"/>
    <w:rsid w:val="00A46DCD"/>
    <w:rsid w:val="00A46EAB"/>
    <w:rsid w:val="00A46EBF"/>
    <w:rsid w:val="00A46F80"/>
    <w:rsid w:val="00A46FA9"/>
    <w:rsid w:val="00A47016"/>
    <w:rsid w:val="00A4708A"/>
    <w:rsid w:val="00A47137"/>
    <w:rsid w:val="00A47159"/>
    <w:rsid w:val="00A471C3"/>
    <w:rsid w:val="00A4725A"/>
    <w:rsid w:val="00A472C7"/>
    <w:rsid w:val="00A47362"/>
    <w:rsid w:val="00A4741A"/>
    <w:rsid w:val="00A4743D"/>
    <w:rsid w:val="00A4757D"/>
    <w:rsid w:val="00A47596"/>
    <w:rsid w:val="00A475C8"/>
    <w:rsid w:val="00A47606"/>
    <w:rsid w:val="00A47685"/>
    <w:rsid w:val="00A4774F"/>
    <w:rsid w:val="00A4785A"/>
    <w:rsid w:val="00A4786B"/>
    <w:rsid w:val="00A47935"/>
    <w:rsid w:val="00A4798D"/>
    <w:rsid w:val="00A47F4C"/>
    <w:rsid w:val="00A4C7EC"/>
    <w:rsid w:val="00A500D7"/>
    <w:rsid w:val="00A501CA"/>
    <w:rsid w:val="00A5022F"/>
    <w:rsid w:val="00A5024B"/>
    <w:rsid w:val="00A50266"/>
    <w:rsid w:val="00A5035A"/>
    <w:rsid w:val="00A503AD"/>
    <w:rsid w:val="00A503FF"/>
    <w:rsid w:val="00A50492"/>
    <w:rsid w:val="00A50494"/>
    <w:rsid w:val="00A504A0"/>
    <w:rsid w:val="00A50514"/>
    <w:rsid w:val="00A506C5"/>
    <w:rsid w:val="00A5080C"/>
    <w:rsid w:val="00A5096B"/>
    <w:rsid w:val="00A50975"/>
    <w:rsid w:val="00A50A5A"/>
    <w:rsid w:val="00A50AC9"/>
    <w:rsid w:val="00A50BDA"/>
    <w:rsid w:val="00A50BF8"/>
    <w:rsid w:val="00A50C3F"/>
    <w:rsid w:val="00A50D52"/>
    <w:rsid w:val="00A50DF9"/>
    <w:rsid w:val="00A50E4E"/>
    <w:rsid w:val="00A50EDC"/>
    <w:rsid w:val="00A50EDD"/>
    <w:rsid w:val="00A5108B"/>
    <w:rsid w:val="00A510F3"/>
    <w:rsid w:val="00A5117A"/>
    <w:rsid w:val="00A511BF"/>
    <w:rsid w:val="00A511F5"/>
    <w:rsid w:val="00A51250"/>
    <w:rsid w:val="00A51313"/>
    <w:rsid w:val="00A513D4"/>
    <w:rsid w:val="00A513E3"/>
    <w:rsid w:val="00A514A4"/>
    <w:rsid w:val="00A514C7"/>
    <w:rsid w:val="00A515EB"/>
    <w:rsid w:val="00A51601"/>
    <w:rsid w:val="00A51680"/>
    <w:rsid w:val="00A51685"/>
    <w:rsid w:val="00A517AF"/>
    <w:rsid w:val="00A5180F"/>
    <w:rsid w:val="00A51811"/>
    <w:rsid w:val="00A51937"/>
    <w:rsid w:val="00A51A3E"/>
    <w:rsid w:val="00A51AAF"/>
    <w:rsid w:val="00A51BB5"/>
    <w:rsid w:val="00A51BB9"/>
    <w:rsid w:val="00A51BEB"/>
    <w:rsid w:val="00A51CA8"/>
    <w:rsid w:val="00A51F47"/>
    <w:rsid w:val="00A51FF1"/>
    <w:rsid w:val="00A52072"/>
    <w:rsid w:val="00A52079"/>
    <w:rsid w:val="00A52139"/>
    <w:rsid w:val="00A5227B"/>
    <w:rsid w:val="00A52294"/>
    <w:rsid w:val="00A522CB"/>
    <w:rsid w:val="00A522F1"/>
    <w:rsid w:val="00A52358"/>
    <w:rsid w:val="00A52458"/>
    <w:rsid w:val="00A524E9"/>
    <w:rsid w:val="00A52575"/>
    <w:rsid w:val="00A525B4"/>
    <w:rsid w:val="00A52669"/>
    <w:rsid w:val="00A52694"/>
    <w:rsid w:val="00A52759"/>
    <w:rsid w:val="00A52811"/>
    <w:rsid w:val="00A528C5"/>
    <w:rsid w:val="00A528CA"/>
    <w:rsid w:val="00A52916"/>
    <w:rsid w:val="00A52927"/>
    <w:rsid w:val="00A5292D"/>
    <w:rsid w:val="00A52935"/>
    <w:rsid w:val="00A52A10"/>
    <w:rsid w:val="00A52BF1"/>
    <w:rsid w:val="00A52C8C"/>
    <w:rsid w:val="00A52CD1"/>
    <w:rsid w:val="00A52CFF"/>
    <w:rsid w:val="00A52D12"/>
    <w:rsid w:val="00A52D15"/>
    <w:rsid w:val="00A52D91"/>
    <w:rsid w:val="00A52E9B"/>
    <w:rsid w:val="00A52FD2"/>
    <w:rsid w:val="00A5302F"/>
    <w:rsid w:val="00A53092"/>
    <w:rsid w:val="00A53105"/>
    <w:rsid w:val="00A5310E"/>
    <w:rsid w:val="00A5312C"/>
    <w:rsid w:val="00A53177"/>
    <w:rsid w:val="00A53199"/>
    <w:rsid w:val="00A532E6"/>
    <w:rsid w:val="00A532FC"/>
    <w:rsid w:val="00A53345"/>
    <w:rsid w:val="00A53379"/>
    <w:rsid w:val="00A534DF"/>
    <w:rsid w:val="00A534FF"/>
    <w:rsid w:val="00A53551"/>
    <w:rsid w:val="00A535A0"/>
    <w:rsid w:val="00A53634"/>
    <w:rsid w:val="00A536EE"/>
    <w:rsid w:val="00A537BD"/>
    <w:rsid w:val="00A537C3"/>
    <w:rsid w:val="00A537D9"/>
    <w:rsid w:val="00A5384C"/>
    <w:rsid w:val="00A538B4"/>
    <w:rsid w:val="00A538E1"/>
    <w:rsid w:val="00A539CB"/>
    <w:rsid w:val="00A53A33"/>
    <w:rsid w:val="00A53B1D"/>
    <w:rsid w:val="00A53B84"/>
    <w:rsid w:val="00A53BE0"/>
    <w:rsid w:val="00A53BFA"/>
    <w:rsid w:val="00A53D4E"/>
    <w:rsid w:val="00A53DEA"/>
    <w:rsid w:val="00A53E6F"/>
    <w:rsid w:val="00A53E89"/>
    <w:rsid w:val="00A53E92"/>
    <w:rsid w:val="00A53FA7"/>
    <w:rsid w:val="00A5405D"/>
    <w:rsid w:val="00A5407F"/>
    <w:rsid w:val="00A540A4"/>
    <w:rsid w:val="00A540B4"/>
    <w:rsid w:val="00A540BF"/>
    <w:rsid w:val="00A54187"/>
    <w:rsid w:val="00A5421B"/>
    <w:rsid w:val="00A54329"/>
    <w:rsid w:val="00A54404"/>
    <w:rsid w:val="00A5449E"/>
    <w:rsid w:val="00A544BD"/>
    <w:rsid w:val="00A54528"/>
    <w:rsid w:val="00A54549"/>
    <w:rsid w:val="00A5455F"/>
    <w:rsid w:val="00A54623"/>
    <w:rsid w:val="00A546D4"/>
    <w:rsid w:val="00A546E1"/>
    <w:rsid w:val="00A546FE"/>
    <w:rsid w:val="00A54749"/>
    <w:rsid w:val="00A547B8"/>
    <w:rsid w:val="00A5484C"/>
    <w:rsid w:val="00A54994"/>
    <w:rsid w:val="00A54A14"/>
    <w:rsid w:val="00A54AC2"/>
    <w:rsid w:val="00A54C12"/>
    <w:rsid w:val="00A54C1A"/>
    <w:rsid w:val="00A54CDE"/>
    <w:rsid w:val="00A54DEF"/>
    <w:rsid w:val="00A54DF4"/>
    <w:rsid w:val="00A54EB7"/>
    <w:rsid w:val="00A54EF1"/>
    <w:rsid w:val="00A54F12"/>
    <w:rsid w:val="00A54F41"/>
    <w:rsid w:val="00A54FA8"/>
    <w:rsid w:val="00A55014"/>
    <w:rsid w:val="00A55160"/>
    <w:rsid w:val="00A551C2"/>
    <w:rsid w:val="00A55255"/>
    <w:rsid w:val="00A55271"/>
    <w:rsid w:val="00A5529C"/>
    <w:rsid w:val="00A552D2"/>
    <w:rsid w:val="00A5531C"/>
    <w:rsid w:val="00A55322"/>
    <w:rsid w:val="00A5534C"/>
    <w:rsid w:val="00A553A2"/>
    <w:rsid w:val="00A5545A"/>
    <w:rsid w:val="00A5557C"/>
    <w:rsid w:val="00A555C6"/>
    <w:rsid w:val="00A555CD"/>
    <w:rsid w:val="00A555FF"/>
    <w:rsid w:val="00A55637"/>
    <w:rsid w:val="00A55666"/>
    <w:rsid w:val="00A556A1"/>
    <w:rsid w:val="00A55774"/>
    <w:rsid w:val="00A557A7"/>
    <w:rsid w:val="00A557B6"/>
    <w:rsid w:val="00A557BD"/>
    <w:rsid w:val="00A557CC"/>
    <w:rsid w:val="00A557F4"/>
    <w:rsid w:val="00A558A0"/>
    <w:rsid w:val="00A55917"/>
    <w:rsid w:val="00A55928"/>
    <w:rsid w:val="00A55939"/>
    <w:rsid w:val="00A55950"/>
    <w:rsid w:val="00A559AB"/>
    <w:rsid w:val="00A55B0D"/>
    <w:rsid w:val="00A55B17"/>
    <w:rsid w:val="00A55C1B"/>
    <w:rsid w:val="00A55C2B"/>
    <w:rsid w:val="00A55CCB"/>
    <w:rsid w:val="00A55E4E"/>
    <w:rsid w:val="00A55E6D"/>
    <w:rsid w:val="00A55F22"/>
    <w:rsid w:val="00A55F53"/>
    <w:rsid w:val="00A55FE0"/>
    <w:rsid w:val="00A5606A"/>
    <w:rsid w:val="00A5619D"/>
    <w:rsid w:val="00A5619E"/>
    <w:rsid w:val="00A561B3"/>
    <w:rsid w:val="00A561B8"/>
    <w:rsid w:val="00A561EA"/>
    <w:rsid w:val="00A5620F"/>
    <w:rsid w:val="00A56224"/>
    <w:rsid w:val="00A56258"/>
    <w:rsid w:val="00A5627F"/>
    <w:rsid w:val="00A56354"/>
    <w:rsid w:val="00A563C2"/>
    <w:rsid w:val="00A56427"/>
    <w:rsid w:val="00A564D2"/>
    <w:rsid w:val="00A56514"/>
    <w:rsid w:val="00A56592"/>
    <w:rsid w:val="00A565EA"/>
    <w:rsid w:val="00A56668"/>
    <w:rsid w:val="00A567E7"/>
    <w:rsid w:val="00A56846"/>
    <w:rsid w:val="00A5686C"/>
    <w:rsid w:val="00A568B1"/>
    <w:rsid w:val="00A569DB"/>
    <w:rsid w:val="00A56A20"/>
    <w:rsid w:val="00A56A25"/>
    <w:rsid w:val="00A56A26"/>
    <w:rsid w:val="00A56AA1"/>
    <w:rsid w:val="00A56B30"/>
    <w:rsid w:val="00A56B54"/>
    <w:rsid w:val="00A56C1D"/>
    <w:rsid w:val="00A56CF8"/>
    <w:rsid w:val="00A56D5F"/>
    <w:rsid w:val="00A56DA9"/>
    <w:rsid w:val="00A56DF7"/>
    <w:rsid w:val="00A56EA1"/>
    <w:rsid w:val="00A56EA4"/>
    <w:rsid w:val="00A56F47"/>
    <w:rsid w:val="00A56F51"/>
    <w:rsid w:val="00A56F74"/>
    <w:rsid w:val="00A57061"/>
    <w:rsid w:val="00A5706D"/>
    <w:rsid w:val="00A570A1"/>
    <w:rsid w:val="00A570DE"/>
    <w:rsid w:val="00A57182"/>
    <w:rsid w:val="00A57265"/>
    <w:rsid w:val="00A57347"/>
    <w:rsid w:val="00A573D3"/>
    <w:rsid w:val="00A574B3"/>
    <w:rsid w:val="00A574D4"/>
    <w:rsid w:val="00A574E0"/>
    <w:rsid w:val="00A575BD"/>
    <w:rsid w:val="00A575CC"/>
    <w:rsid w:val="00A5760B"/>
    <w:rsid w:val="00A57690"/>
    <w:rsid w:val="00A57761"/>
    <w:rsid w:val="00A57769"/>
    <w:rsid w:val="00A577D8"/>
    <w:rsid w:val="00A57842"/>
    <w:rsid w:val="00A5792F"/>
    <w:rsid w:val="00A57969"/>
    <w:rsid w:val="00A57995"/>
    <w:rsid w:val="00A57AAA"/>
    <w:rsid w:val="00A57B0A"/>
    <w:rsid w:val="00A57B6A"/>
    <w:rsid w:val="00A57B89"/>
    <w:rsid w:val="00A57C90"/>
    <w:rsid w:val="00A57CA8"/>
    <w:rsid w:val="00A57D88"/>
    <w:rsid w:val="00A57D9A"/>
    <w:rsid w:val="00A57F02"/>
    <w:rsid w:val="00A57F98"/>
    <w:rsid w:val="00A60005"/>
    <w:rsid w:val="00A60022"/>
    <w:rsid w:val="00A60047"/>
    <w:rsid w:val="00A60050"/>
    <w:rsid w:val="00A600B7"/>
    <w:rsid w:val="00A60134"/>
    <w:rsid w:val="00A601EF"/>
    <w:rsid w:val="00A60229"/>
    <w:rsid w:val="00A602EF"/>
    <w:rsid w:val="00A60386"/>
    <w:rsid w:val="00A603DD"/>
    <w:rsid w:val="00A6040F"/>
    <w:rsid w:val="00A6042A"/>
    <w:rsid w:val="00A60472"/>
    <w:rsid w:val="00A6047B"/>
    <w:rsid w:val="00A604CF"/>
    <w:rsid w:val="00A6054D"/>
    <w:rsid w:val="00A60695"/>
    <w:rsid w:val="00A606AB"/>
    <w:rsid w:val="00A606B8"/>
    <w:rsid w:val="00A606EB"/>
    <w:rsid w:val="00A606ED"/>
    <w:rsid w:val="00A6073A"/>
    <w:rsid w:val="00A60790"/>
    <w:rsid w:val="00A607A2"/>
    <w:rsid w:val="00A60820"/>
    <w:rsid w:val="00A608AF"/>
    <w:rsid w:val="00A608DF"/>
    <w:rsid w:val="00A608F0"/>
    <w:rsid w:val="00A6098F"/>
    <w:rsid w:val="00A609A9"/>
    <w:rsid w:val="00A609D7"/>
    <w:rsid w:val="00A609F5"/>
    <w:rsid w:val="00A60A20"/>
    <w:rsid w:val="00A60AF0"/>
    <w:rsid w:val="00A60C24"/>
    <w:rsid w:val="00A60C9C"/>
    <w:rsid w:val="00A60CEB"/>
    <w:rsid w:val="00A60D6A"/>
    <w:rsid w:val="00A60D77"/>
    <w:rsid w:val="00A60DB3"/>
    <w:rsid w:val="00A60DD0"/>
    <w:rsid w:val="00A60DE1"/>
    <w:rsid w:val="00A60DEC"/>
    <w:rsid w:val="00A60DF3"/>
    <w:rsid w:val="00A60E2B"/>
    <w:rsid w:val="00A60E81"/>
    <w:rsid w:val="00A60EFB"/>
    <w:rsid w:val="00A60F0F"/>
    <w:rsid w:val="00A60F9C"/>
    <w:rsid w:val="00A60FA7"/>
    <w:rsid w:val="00A60FE4"/>
    <w:rsid w:val="00A610A6"/>
    <w:rsid w:val="00A61119"/>
    <w:rsid w:val="00A6114A"/>
    <w:rsid w:val="00A6121D"/>
    <w:rsid w:val="00A61263"/>
    <w:rsid w:val="00A6146F"/>
    <w:rsid w:val="00A61497"/>
    <w:rsid w:val="00A61512"/>
    <w:rsid w:val="00A61516"/>
    <w:rsid w:val="00A61527"/>
    <w:rsid w:val="00A61592"/>
    <w:rsid w:val="00A615FF"/>
    <w:rsid w:val="00A61667"/>
    <w:rsid w:val="00A61678"/>
    <w:rsid w:val="00A6168E"/>
    <w:rsid w:val="00A6172A"/>
    <w:rsid w:val="00A61730"/>
    <w:rsid w:val="00A61779"/>
    <w:rsid w:val="00A61790"/>
    <w:rsid w:val="00A617AF"/>
    <w:rsid w:val="00A617C7"/>
    <w:rsid w:val="00A617FA"/>
    <w:rsid w:val="00A619A1"/>
    <w:rsid w:val="00A619BE"/>
    <w:rsid w:val="00A61A42"/>
    <w:rsid w:val="00A61B62"/>
    <w:rsid w:val="00A61CB1"/>
    <w:rsid w:val="00A61CBC"/>
    <w:rsid w:val="00A61DE7"/>
    <w:rsid w:val="00A61E0C"/>
    <w:rsid w:val="00A61E2B"/>
    <w:rsid w:val="00A61F2A"/>
    <w:rsid w:val="00A61FED"/>
    <w:rsid w:val="00A62061"/>
    <w:rsid w:val="00A62070"/>
    <w:rsid w:val="00A6208C"/>
    <w:rsid w:val="00A620A5"/>
    <w:rsid w:val="00A62153"/>
    <w:rsid w:val="00A62163"/>
    <w:rsid w:val="00A621C7"/>
    <w:rsid w:val="00A621CA"/>
    <w:rsid w:val="00A62269"/>
    <w:rsid w:val="00A6228A"/>
    <w:rsid w:val="00A62341"/>
    <w:rsid w:val="00A62368"/>
    <w:rsid w:val="00A6240B"/>
    <w:rsid w:val="00A6248D"/>
    <w:rsid w:val="00A625A6"/>
    <w:rsid w:val="00A625BA"/>
    <w:rsid w:val="00A625C0"/>
    <w:rsid w:val="00A625D8"/>
    <w:rsid w:val="00A62607"/>
    <w:rsid w:val="00A6264D"/>
    <w:rsid w:val="00A62693"/>
    <w:rsid w:val="00A627D9"/>
    <w:rsid w:val="00A6287A"/>
    <w:rsid w:val="00A628D1"/>
    <w:rsid w:val="00A628ED"/>
    <w:rsid w:val="00A629A3"/>
    <w:rsid w:val="00A629EB"/>
    <w:rsid w:val="00A62A07"/>
    <w:rsid w:val="00A62A2F"/>
    <w:rsid w:val="00A62A90"/>
    <w:rsid w:val="00A62ACF"/>
    <w:rsid w:val="00A62B75"/>
    <w:rsid w:val="00A62B86"/>
    <w:rsid w:val="00A62BBF"/>
    <w:rsid w:val="00A62C33"/>
    <w:rsid w:val="00A62CC6"/>
    <w:rsid w:val="00A62CCB"/>
    <w:rsid w:val="00A62CD5"/>
    <w:rsid w:val="00A62D0D"/>
    <w:rsid w:val="00A62D2E"/>
    <w:rsid w:val="00A62D30"/>
    <w:rsid w:val="00A62D7A"/>
    <w:rsid w:val="00A62D90"/>
    <w:rsid w:val="00A62D93"/>
    <w:rsid w:val="00A62DA1"/>
    <w:rsid w:val="00A62DBE"/>
    <w:rsid w:val="00A62DC8"/>
    <w:rsid w:val="00A62E6A"/>
    <w:rsid w:val="00A62EA8"/>
    <w:rsid w:val="00A62EAD"/>
    <w:rsid w:val="00A62EE8"/>
    <w:rsid w:val="00A62F39"/>
    <w:rsid w:val="00A62F47"/>
    <w:rsid w:val="00A62FEB"/>
    <w:rsid w:val="00A63124"/>
    <w:rsid w:val="00A63163"/>
    <w:rsid w:val="00A6325F"/>
    <w:rsid w:val="00A63321"/>
    <w:rsid w:val="00A63325"/>
    <w:rsid w:val="00A6337B"/>
    <w:rsid w:val="00A6343D"/>
    <w:rsid w:val="00A6347C"/>
    <w:rsid w:val="00A63628"/>
    <w:rsid w:val="00A63693"/>
    <w:rsid w:val="00A63754"/>
    <w:rsid w:val="00A6375D"/>
    <w:rsid w:val="00A637A4"/>
    <w:rsid w:val="00A637BB"/>
    <w:rsid w:val="00A6381E"/>
    <w:rsid w:val="00A63895"/>
    <w:rsid w:val="00A638E6"/>
    <w:rsid w:val="00A63923"/>
    <w:rsid w:val="00A6397F"/>
    <w:rsid w:val="00A639C8"/>
    <w:rsid w:val="00A63A8F"/>
    <w:rsid w:val="00A63AAE"/>
    <w:rsid w:val="00A63B72"/>
    <w:rsid w:val="00A63B74"/>
    <w:rsid w:val="00A63C44"/>
    <w:rsid w:val="00A63D19"/>
    <w:rsid w:val="00A63D26"/>
    <w:rsid w:val="00A63D2D"/>
    <w:rsid w:val="00A63D75"/>
    <w:rsid w:val="00A63E4A"/>
    <w:rsid w:val="00A63E81"/>
    <w:rsid w:val="00A63ECC"/>
    <w:rsid w:val="00A63F62"/>
    <w:rsid w:val="00A63FB0"/>
    <w:rsid w:val="00A63FCD"/>
    <w:rsid w:val="00A63FD2"/>
    <w:rsid w:val="00A63FF8"/>
    <w:rsid w:val="00A640E6"/>
    <w:rsid w:val="00A64106"/>
    <w:rsid w:val="00A64166"/>
    <w:rsid w:val="00A64168"/>
    <w:rsid w:val="00A6417F"/>
    <w:rsid w:val="00A641E7"/>
    <w:rsid w:val="00A643CA"/>
    <w:rsid w:val="00A6442A"/>
    <w:rsid w:val="00A64464"/>
    <w:rsid w:val="00A644B8"/>
    <w:rsid w:val="00A64528"/>
    <w:rsid w:val="00A6463B"/>
    <w:rsid w:val="00A64660"/>
    <w:rsid w:val="00A64679"/>
    <w:rsid w:val="00A646F4"/>
    <w:rsid w:val="00A64818"/>
    <w:rsid w:val="00A6483D"/>
    <w:rsid w:val="00A64852"/>
    <w:rsid w:val="00A64A30"/>
    <w:rsid w:val="00A64A46"/>
    <w:rsid w:val="00A64AC7"/>
    <w:rsid w:val="00A64B54"/>
    <w:rsid w:val="00A64B73"/>
    <w:rsid w:val="00A64C09"/>
    <w:rsid w:val="00A64C23"/>
    <w:rsid w:val="00A64C45"/>
    <w:rsid w:val="00A64FC5"/>
    <w:rsid w:val="00A64FF5"/>
    <w:rsid w:val="00A64FFD"/>
    <w:rsid w:val="00A6500D"/>
    <w:rsid w:val="00A65126"/>
    <w:rsid w:val="00A651A9"/>
    <w:rsid w:val="00A651EE"/>
    <w:rsid w:val="00A6524C"/>
    <w:rsid w:val="00A6528A"/>
    <w:rsid w:val="00A65331"/>
    <w:rsid w:val="00A6537C"/>
    <w:rsid w:val="00A653AA"/>
    <w:rsid w:val="00A65524"/>
    <w:rsid w:val="00A655D0"/>
    <w:rsid w:val="00A65635"/>
    <w:rsid w:val="00A656D0"/>
    <w:rsid w:val="00A65753"/>
    <w:rsid w:val="00A65799"/>
    <w:rsid w:val="00A6588D"/>
    <w:rsid w:val="00A6595A"/>
    <w:rsid w:val="00A6598D"/>
    <w:rsid w:val="00A659E6"/>
    <w:rsid w:val="00A65AD6"/>
    <w:rsid w:val="00A65BCF"/>
    <w:rsid w:val="00A65C14"/>
    <w:rsid w:val="00A65CC3"/>
    <w:rsid w:val="00A65CD0"/>
    <w:rsid w:val="00A65D14"/>
    <w:rsid w:val="00A65D8E"/>
    <w:rsid w:val="00A65DC2"/>
    <w:rsid w:val="00A65E2B"/>
    <w:rsid w:val="00A65F26"/>
    <w:rsid w:val="00A65F31"/>
    <w:rsid w:val="00A6605F"/>
    <w:rsid w:val="00A6609C"/>
    <w:rsid w:val="00A660AC"/>
    <w:rsid w:val="00A66154"/>
    <w:rsid w:val="00A661C6"/>
    <w:rsid w:val="00A6632A"/>
    <w:rsid w:val="00A66333"/>
    <w:rsid w:val="00A66388"/>
    <w:rsid w:val="00A663AF"/>
    <w:rsid w:val="00A663F3"/>
    <w:rsid w:val="00A66414"/>
    <w:rsid w:val="00A664A6"/>
    <w:rsid w:val="00A664D7"/>
    <w:rsid w:val="00A664E9"/>
    <w:rsid w:val="00A66546"/>
    <w:rsid w:val="00A66567"/>
    <w:rsid w:val="00A66586"/>
    <w:rsid w:val="00A665F1"/>
    <w:rsid w:val="00A6670D"/>
    <w:rsid w:val="00A6672F"/>
    <w:rsid w:val="00A66774"/>
    <w:rsid w:val="00A667D6"/>
    <w:rsid w:val="00A667E6"/>
    <w:rsid w:val="00A66816"/>
    <w:rsid w:val="00A66856"/>
    <w:rsid w:val="00A66859"/>
    <w:rsid w:val="00A6692F"/>
    <w:rsid w:val="00A669E6"/>
    <w:rsid w:val="00A669F0"/>
    <w:rsid w:val="00A66A0C"/>
    <w:rsid w:val="00A66A6E"/>
    <w:rsid w:val="00A66AC8"/>
    <w:rsid w:val="00A66C0D"/>
    <w:rsid w:val="00A66C22"/>
    <w:rsid w:val="00A66D71"/>
    <w:rsid w:val="00A66D9B"/>
    <w:rsid w:val="00A66DE7"/>
    <w:rsid w:val="00A66E0C"/>
    <w:rsid w:val="00A66E23"/>
    <w:rsid w:val="00A66EA1"/>
    <w:rsid w:val="00A66F3A"/>
    <w:rsid w:val="00A66FE4"/>
    <w:rsid w:val="00A67069"/>
    <w:rsid w:val="00A6707F"/>
    <w:rsid w:val="00A670B2"/>
    <w:rsid w:val="00A67112"/>
    <w:rsid w:val="00A67179"/>
    <w:rsid w:val="00A6724A"/>
    <w:rsid w:val="00A673D9"/>
    <w:rsid w:val="00A67404"/>
    <w:rsid w:val="00A6749C"/>
    <w:rsid w:val="00A674ED"/>
    <w:rsid w:val="00A67523"/>
    <w:rsid w:val="00A67551"/>
    <w:rsid w:val="00A67578"/>
    <w:rsid w:val="00A67582"/>
    <w:rsid w:val="00A67633"/>
    <w:rsid w:val="00A676DA"/>
    <w:rsid w:val="00A676E5"/>
    <w:rsid w:val="00A6780F"/>
    <w:rsid w:val="00A67814"/>
    <w:rsid w:val="00A678B7"/>
    <w:rsid w:val="00A6792C"/>
    <w:rsid w:val="00A67986"/>
    <w:rsid w:val="00A67A14"/>
    <w:rsid w:val="00A67ABC"/>
    <w:rsid w:val="00A67AFE"/>
    <w:rsid w:val="00A67B2E"/>
    <w:rsid w:val="00A67BD1"/>
    <w:rsid w:val="00A67C2C"/>
    <w:rsid w:val="00A67D02"/>
    <w:rsid w:val="00A67DBA"/>
    <w:rsid w:val="00A67E90"/>
    <w:rsid w:val="00A67F32"/>
    <w:rsid w:val="00A67FA0"/>
    <w:rsid w:val="00A67FAA"/>
    <w:rsid w:val="00A67FD8"/>
    <w:rsid w:val="00A7000B"/>
    <w:rsid w:val="00A70021"/>
    <w:rsid w:val="00A70041"/>
    <w:rsid w:val="00A70049"/>
    <w:rsid w:val="00A7009E"/>
    <w:rsid w:val="00A70115"/>
    <w:rsid w:val="00A7022D"/>
    <w:rsid w:val="00A7028F"/>
    <w:rsid w:val="00A702A5"/>
    <w:rsid w:val="00A7034F"/>
    <w:rsid w:val="00A703AA"/>
    <w:rsid w:val="00A703E4"/>
    <w:rsid w:val="00A7044D"/>
    <w:rsid w:val="00A704BA"/>
    <w:rsid w:val="00A70524"/>
    <w:rsid w:val="00A7054C"/>
    <w:rsid w:val="00A7057F"/>
    <w:rsid w:val="00A7058B"/>
    <w:rsid w:val="00A705E5"/>
    <w:rsid w:val="00A70712"/>
    <w:rsid w:val="00A70797"/>
    <w:rsid w:val="00A707AB"/>
    <w:rsid w:val="00A70814"/>
    <w:rsid w:val="00A708D6"/>
    <w:rsid w:val="00A708E7"/>
    <w:rsid w:val="00A7099E"/>
    <w:rsid w:val="00A70A20"/>
    <w:rsid w:val="00A70AFF"/>
    <w:rsid w:val="00A70C4B"/>
    <w:rsid w:val="00A70CC7"/>
    <w:rsid w:val="00A70DC1"/>
    <w:rsid w:val="00A70F39"/>
    <w:rsid w:val="00A70F3F"/>
    <w:rsid w:val="00A70FEB"/>
    <w:rsid w:val="00A71013"/>
    <w:rsid w:val="00A7112B"/>
    <w:rsid w:val="00A71164"/>
    <w:rsid w:val="00A7125B"/>
    <w:rsid w:val="00A71278"/>
    <w:rsid w:val="00A71324"/>
    <w:rsid w:val="00A71375"/>
    <w:rsid w:val="00A713FD"/>
    <w:rsid w:val="00A7144B"/>
    <w:rsid w:val="00A7150E"/>
    <w:rsid w:val="00A715FD"/>
    <w:rsid w:val="00A7167D"/>
    <w:rsid w:val="00A71685"/>
    <w:rsid w:val="00A71687"/>
    <w:rsid w:val="00A716C5"/>
    <w:rsid w:val="00A7174E"/>
    <w:rsid w:val="00A71782"/>
    <w:rsid w:val="00A7186F"/>
    <w:rsid w:val="00A71873"/>
    <w:rsid w:val="00A7187A"/>
    <w:rsid w:val="00A71A63"/>
    <w:rsid w:val="00A71B02"/>
    <w:rsid w:val="00A71C42"/>
    <w:rsid w:val="00A71C5C"/>
    <w:rsid w:val="00A71C77"/>
    <w:rsid w:val="00A71CC0"/>
    <w:rsid w:val="00A71CD3"/>
    <w:rsid w:val="00A71D17"/>
    <w:rsid w:val="00A71D7D"/>
    <w:rsid w:val="00A71DB9"/>
    <w:rsid w:val="00A71DFA"/>
    <w:rsid w:val="00A71E87"/>
    <w:rsid w:val="00A71EE4"/>
    <w:rsid w:val="00A71F21"/>
    <w:rsid w:val="00A71F24"/>
    <w:rsid w:val="00A71F84"/>
    <w:rsid w:val="00A7200C"/>
    <w:rsid w:val="00A72012"/>
    <w:rsid w:val="00A72042"/>
    <w:rsid w:val="00A72094"/>
    <w:rsid w:val="00A720A2"/>
    <w:rsid w:val="00A720FB"/>
    <w:rsid w:val="00A72129"/>
    <w:rsid w:val="00A72163"/>
    <w:rsid w:val="00A7219D"/>
    <w:rsid w:val="00A721E3"/>
    <w:rsid w:val="00A7222A"/>
    <w:rsid w:val="00A7225A"/>
    <w:rsid w:val="00A72331"/>
    <w:rsid w:val="00A7235E"/>
    <w:rsid w:val="00A72364"/>
    <w:rsid w:val="00A7239E"/>
    <w:rsid w:val="00A723AC"/>
    <w:rsid w:val="00A723BA"/>
    <w:rsid w:val="00A72408"/>
    <w:rsid w:val="00A72421"/>
    <w:rsid w:val="00A724A7"/>
    <w:rsid w:val="00A724D1"/>
    <w:rsid w:val="00A725B1"/>
    <w:rsid w:val="00A72602"/>
    <w:rsid w:val="00A72639"/>
    <w:rsid w:val="00A72666"/>
    <w:rsid w:val="00A72688"/>
    <w:rsid w:val="00A726BE"/>
    <w:rsid w:val="00A727D0"/>
    <w:rsid w:val="00A7281B"/>
    <w:rsid w:val="00A7289E"/>
    <w:rsid w:val="00A728B7"/>
    <w:rsid w:val="00A72917"/>
    <w:rsid w:val="00A72A2D"/>
    <w:rsid w:val="00A72A34"/>
    <w:rsid w:val="00A72AF8"/>
    <w:rsid w:val="00A72B63"/>
    <w:rsid w:val="00A72C4B"/>
    <w:rsid w:val="00A72CCC"/>
    <w:rsid w:val="00A72D03"/>
    <w:rsid w:val="00A72D14"/>
    <w:rsid w:val="00A72D65"/>
    <w:rsid w:val="00A72D93"/>
    <w:rsid w:val="00A72DEA"/>
    <w:rsid w:val="00A72EFA"/>
    <w:rsid w:val="00A72F22"/>
    <w:rsid w:val="00A730D6"/>
    <w:rsid w:val="00A73114"/>
    <w:rsid w:val="00A73149"/>
    <w:rsid w:val="00A73310"/>
    <w:rsid w:val="00A73471"/>
    <w:rsid w:val="00A73491"/>
    <w:rsid w:val="00A7349E"/>
    <w:rsid w:val="00A734E1"/>
    <w:rsid w:val="00A7350F"/>
    <w:rsid w:val="00A73511"/>
    <w:rsid w:val="00A735B9"/>
    <w:rsid w:val="00A73635"/>
    <w:rsid w:val="00A737F9"/>
    <w:rsid w:val="00A73881"/>
    <w:rsid w:val="00A738CE"/>
    <w:rsid w:val="00A738F7"/>
    <w:rsid w:val="00A73959"/>
    <w:rsid w:val="00A73970"/>
    <w:rsid w:val="00A739E2"/>
    <w:rsid w:val="00A739FC"/>
    <w:rsid w:val="00A739FD"/>
    <w:rsid w:val="00A73A65"/>
    <w:rsid w:val="00A73A74"/>
    <w:rsid w:val="00A73A9C"/>
    <w:rsid w:val="00A73AA9"/>
    <w:rsid w:val="00A73AB1"/>
    <w:rsid w:val="00A73B25"/>
    <w:rsid w:val="00A73C18"/>
    <w:rsid w:val="00A73C4E"/>
    <w:rsid w:val="00A73C70"/>
    <w:rsid w:val="00A73CB5"/>
    <w:rsid w:val="00A73CC7"/>
    <w:rsid w:val="00A73D73"/>
    <w:rsid w:val="00A73DCB"/>
    <w:rsid w:val="00A73DD4"/>
    <w:rsid w:val="00A73E24"/>
    <w:rsid w:val="00A73E38"/>
    <w:rsid w:val="00A73E98"/>
    <w:rsid w:val="00A73ECB"/>
    <w:rsid w:val="00A7401B"/>
    <w:rsid w:val="00A74033"/>
    <w:rsid w:val="00A74058"/>
    <w:rsid w:val="00A74078"/>
    <w:rsid w:val="00A7417B"/>
    <w:rsid w:val="00A7418B"/>
    <w:rsid w:val="00A74198"/>
    <w:rsid w:val="00A74199"/>
    <w:rsid w:val="00A7421E"/>
    <w:rsid w:val="00A742CF"/>
    <w:rsid w:val="00A742FC"/>
    <w:rsid w:val="00A7433C"/>
    <w:rsid w:val="00A74345"/>
    <w:rsid w:val="00A74374"/>
    <w:rsid w:val="00A743CD"/>
    <w:rsid w:val="00A7442B"/>
    <w:rsid w:val="00A7451E"/>
    <w:rsid w:val="00A74628"/>
    <w:rsid w:val="00A74701"/>
    <w:rsid w:val="00A74770"/>
    <w:rsid w:val="00A74799"/>
    <w:rsid w:val="00A7486D"/>
    <w:rsid w:val="00A74909"/>
    <w:rsid w:val="00A74929"/>
    <w:rsid w:val="00A74941"/>
    <w:rsid w:val="00A7494C"/>
    <w:rsid w:val="00A74957"/>
    <w:rsid w:val="00A74981"/>
    <w:rsid w:val="00A749AF"/>
    <w:rsid w:val="00A749FE"/>
    <w:rsid w:val="00A74AF2"/>
    <w:rsid w:val="00A74B07"/>
    <w:rsid w:val="00A74B23"/>
    <w:rsid w:val="00A74B30"/>
    <w:rsid w:val="00A74B3E"/>
    <w:rsid w:val="00A74B43"/>
    <w:rsid w:val="00A74B48"/>
    <w:rsid w:val="00A74C54"/>
    <w:rsid w:val="00A74C82"/>
    <w:rsid w:val="00A74D83"/>
    <w:rsid w:val="00A74E3E"/>
    <w:rsid w:val="00A74E9D"/>
    <w:rsid w:val="00A74EBE"/>
    <w:rsid w:val="00A74F67"/>
    <w:rsid w:val="00A74F7A"/>
    <w:rsid w:val="00A74F84"/>
    <w:rsid w:val="00A74FAD"/>
    <w:rsid w:val="00A74FC7"/>
    <w:rsid w:val="00A74FC8"/>
    <w:rsid w:val="00A7503F"/>
    <w:rsid w:val="00A75052"/>
    <w:rsid w:val="00A751F8"/>
    <w:rsid w:val="00A7525B"/>
    <w:rsid w:val="00A752F0"/>
    <w:rsid w:val="00A75395"/>
    <w:rsid w:val="00A753BA"/>
    <w:rsid w:val="00A75525"/>
    <w:rsid w:val="00A7555E"/>
    <w:rsid w:val="00A7556C"/>
    <w:rsid w:val="00A7564C"/>
    <w:rsid w:val="00A7569B"/>
    <w:rsid w:val="00A756AD"/>
    <w:rsid w:val="00A75762"/>
    <w:rsid w:val="00A75982"/>
    <w:rsid w:val="00A75A64"/>
    <w:rsid w:val="00A75A8F"/>
    <w:rsid w:val="00A75B16"/>
    <w:rsid w:val="00A75B55"/>
    <w:rsid w:val="00A75C03"/>
    <w:rsid w:val="00A75C4A"/>
    <w:rsid w:val="00A75D2A"/>
    <w:rsid w:val="00A75D2E"/>
    <w:rsid w:val="00A75D87"/>
    <w:rsid w:val="00A75DB7"/>
    <w:rsid w:val="00A75DF6"/>
    <w:rsid w:val="00A75F0C"/>
    <w:rsid w:val="00A75FE1"/>
    <w:rsid w:val="00A760F3"/>
    <w:rsid w:val="00A7612B"/>
    <w:rsid w:val="00A7614B"/>
    <w:rsid w:val="00A761D5"/>
    <w:rsid w:val="00A762E4"/>
    <w:rsid w:val="00A763BC"/>
    <w:rsid w:val="00A763E4"/>
    <w:rsid w:val="00A76406"/>
    <w:rsid w:val="00A76413"/>
    <w:rsid w:val="00A764E9"/>
    <w:rsid w:val="00A76569"/>
    <w:rsid w:val="00A765B4"/>
    <w:rsid w:val="00A7668E"/>
    <w:rsid w:val="00A766AE"/>
    <w:rsid w:val="00A766C4"/>
    <w:rsid w:val="00A76753"/>
    <w:rsid w:val="00A76791"/>
    <w:rsid w:val="00A767AF"/>
    <w:rsid w:val="00A7687A"/>
    <w:rsid w:val="00A768DF"/>
    <w:rsid w:val="00A76925"/>
    <w:rsid w:val="00A7694B"/>
    <w:rsid w:val="00A76992"/>
    <w:rsid w:val="00A76ACF"/>
    <w:rsid w:val="00A76B05"/>
    <w:rsid w:val="00A76B3B"/>
    <w:rsid w:val="00A76B49"/>
    <w:rsid w:val="00A76B60"/>
    <w:rsid w:val="00A76CB5"/>
    <w:rsid w:val="00A76D0D"/>
    <w:rsid w:val="00A76DCA"/>
    <w:rsid w:val="00A76E4D"/>
    <w:rsid w:val="00A76F06"/>
    <w:rsid w:val="00A76F4E"/>
    <w:rsid w:val="00A76FC2"/>
    <w:rsid w:val="00A7700E"/>
    <w:rsid w:val="00A77024"/>
    <w:rsid w:val="00A7703F"/>
    <w:rsid w:val="00A7716D"/>
    <w:rsid w:val="00A77179"/>
    <w:rsid w:val="00A77199"/>
    <w:rsid w:val="00A77237"/>
    <w:rsid w:val="00A7728E"/>
    <w:rsid w:val="00A772F8"/>
    <w:rsid w:val="00A77400"/>
    <w:rsid w:val="00A77408"/>
    <w:rsid w:val="00A77411"/>
    <w:rsid w:val="00A77425"/>
    <w:rsid w:val="00A7748C"/>
    <w:rsid w:val="00A77498"/>
    <w:rsid w:val="00A7749B"/>
    <w:rsid w:val="00A774B0"/>
    <w:rsid w:val="00A774CB"/>
    <w:rsid w:val="00A775CA"/>
    <w:rsid w:val="00A776EC"/>
    <w:rsid w:val="00A77797"/>
    <w:rsid w:val="00A7780E"/>
    <w:rsid w:val="00A77871"/>
    <w:rsid w:val="00A7789A"/>
    <w:rsid w:val="00A778FD"/>
    <w:rsid w:val="00A7792C"/>
    <w:rsid w:val="00A77951"/>
    <w:rsid w:val="00A77A02"/>
    <w:rsid w:val="00A77A9F"/>
    <w:rsid w:val="00A77ABD"/>
    <w:rsid w:val="00A77AC1"/>
    <w:rsid w:val="00A77BA3"/>
    <w:rsid w:val="00A77C91"/>
    <w:rsid w:val="00A77D03"/>
    <w:rsid w:val="00A77DF8"/>
    <w:rsid w:val="00A77EFD"/>
    <w:rsid w:val="00A77F4C"/>
    <w:rsid w:val="00A77FE5"/>
    <w:rsid w:val="00A8000F"/>
    <w:rsid w:val="00A80054"/>
    <w:rsid w:val="00A80082"/>
    <w:rsid w:val="00A8019C"/>
    <w:rsid w:val="00A801AA"/>
    <w:rsid w:val="00A801EF"/>
    <w:rsid w:val="00A802DC"/>
    <w:rsid w:val="00A802DE"/>
    <w:rsid w:val="00A8035A"/>
    <w:rsid w:val="00A8038D"/>
    <w:rsid w:val="00A8039C"/>
    <w:rsid w:val="00A803FC"/>
    <w:rsid w:val="00A80451"/>
    <w:rsid w:val="00A804AE"/>
    <w:rsid w:val="00A8050F"/>
    <w:rsid w:val="00A80551"/>
    <w:rsid w:val="00A8055D"/>
    <w:rsid w:val="00A805EF"/>
    <w:rsid w:val="00A80637"/>
    <w:rsid w:val="00A80724"/>
    <w:rsid w:val="00A80780"/>
    <w:rsid w:val="00A80894"/>
    <w:rsid w:val="00A80952"/>
    <w:rsid w:val="00A80A3A"/>
    <w:rsid w:val="00A80A57"/>
    <w:rsid w:val="00A80AD2"/>
    <w:rsid w:val="00A80C0E"/>
    <w:rsid w:val="00A80CC9"/>
    <w:rsid w:val="00A80D46"/>
    <w:rsid w:val="00A80DBE"/>
    <w:rsid w:val="00A80DF7"/>
    <w:rsid w:val="00A80E2B"/>
    <w:rsid w:val="00A80E5E"/>
    <w:rsid w:val="00A80ECD"/>
    <w:rsid w:val="00A81100"/>
    <w:rsid w:val="00A81149"/>
    <w:rsid w:val="00A8119D"/>
    <w:rsid w:val="00A81286"/>
    <w:rsid w:val="00A81361"/>
    <w:rsid w:val="00A8136A"/>
    <w:rsid w:val="00A8137F"/>
    <w:rsid w:val="00A8138D"/>
    <w:rsid w:val="00A813F0"/>
    <w:rsid w:val="00A81444"/>
    <w:rsid w:val="00A81540"/>
    <w:rsid w:val="00A81545"/>
    <w:rsid w:val="00A81626"/>
    <w:rsid w:val="00A81641"/>
    <w:rsid w:val="00A81650"/>
    <w:rsid w:val="00A8169F"/>
    <w:rsid w:val="00A8174F"/>
    <w:rsid w:val="00A8177C"/>
    <w:rsid w:val="00A817F9"/>
    <w:rsid w:val="00A81866"/>
    <w:rsid w:val="00A81886"/>
    <w:rsid w:val="00A818A3"/>
    <w:rsid w:val="00A818A7"/>
    <w:rsid w:val="00A8192F"/>
    <w:rsid w:val="00A81A00"/>
    <w:rsid w:val="00A81A75"/>
    <w:rsid w:val="00A81ACA"/>
    <w:rsid w:val="00A81ADD"/>
    <w:rsid w:val="00A81B3E"/>
    <w:rsid w:val="00A81B70"/>
    <w:rsid w:val="00A81B8E"/>
    <w:rsid w:val="00A81C0E"/>
    <w:rsid w:val="00A81C65"/>
    <w:rsid w:val="00A81D3F"/>
    <w:rsid w:val="00A81D4B"/>
    <w:rsid w:val="00A81DB4"/>
    <w:rsid w:val="00A81E48"/>
    <w:rsid w:val="00A81EEC"/>
    <w:rsid w:val="00A820AB"/>
    <w:rsid w:val="00A820D8"/>
    <w:rsid w:val="00A820F6"/>
    <w:rsid w:val="00A8210A"/>
    <w:rsid w:val="00A821D9"/>
    <w:rsid w:val="00A8230A"/>
    <w:rsid w:val="00A823A9"/>
    <w:rsid w:val="00A824B1"/>
    <w:rsid w:val="00A824B9"/>
    <w:rsid w:val="00A824C9"/>
    <w:rsid w:val="00A82503"/>
    <w:rsid w:val="00A82659"/>
    <w:rsid w:val="00A827E4"/>
    <w:rsid w:val="00A8280A"/>
    <w:rsid w:val="00A82818"/>
    <w:rsid w:val="00A82860"/>
    <w:rsid w:val="00A82916"/>
    <w:rsid w:val="00A82AF7"/>
    <w:rsid w:val="00A82B65"/>
    <w:rsid w:val="00A82C2D"/>
    <w:rsid w:val="00A82C32"/>
    <w:rsid w:val="00A82C4D"/>
    <w:rsid w:val="00A82CD0"/>
    <w:rsid w:val="00A82CF7"/>
    <w:rsid w:val="00A82D6A"/>
    <w:rsid w:val="00A82DE3"/>
    <w:rsid w:val="00A82F86"/>
    <w:rsid w:val="00A830A8"/>
    <w:rsid w:val="00A831DB"/>
    <w:rsid w:val="00A831E5"/>
    <w:rsid w:val="00A83200"/>
    <w:rsid w:val="00A83207"/>
    <w:rsid w:val="00A8326E"/>
    <w:rsid w:val="00A83291"/>
    <w:rsid w:val="00A83316"/>
    <w:rsid w:val="00A8331A"/>
    <w:rsid w:val="00A83336"/>
    <w:rsid w:val="00A8333D"/>
    <w:rsid w:val="00A833C1"/>
    <w:rsid w:val="00A833E1"/>
    <w:rsid w:val="00A83411"/>
    <w:rsid w:val="00A834AB"/>
    <w:rsid w:val="00A83506"/>
    <w:rsid w:val="00A83529"/>
    <w:rsid w:val="00A8353D"/>
    <w:rsid w:val="00A8355E"/>
    <w:rsid w:val="00A83617"/>
    <w:rsid w:val="00A83657"/>
    <w:rsid w:val="00A83676"/>
    <w:rsid w:val="00A83684"/>
    <w:rsid w:val="00A8369F"/>
    <w:rsid w:val="00A836BF"/>
    <w:rsid w:val="00A83785"/>
    <w:rsid w:val="00A8379E"/>
    <w:rsid w:val="00A8382B"/>
    <w:rsid w:val="00A838C3"/>
    <w:rsid w:val="00A838CF"/>
    <w:rsid w:val="00A8394E"/>
    <w:rsid w:val="00A8396B"/>
    <w:rsid w:val="00A83A81"/>
    <w:rsid w:val="00A83AD9"/>
    <w:rsid w:val="00A83B85"/>
    <w:rsid w:val="00A83C09"/>
    <w:rsid w:val="00A83DC0"/>
    <w:rsid w:val="00A83DF1"/>
    <w:rsid w:val="00A83E68"/>
    <w:rsid w:val="00A83F4E"/>
    <w:rsid w:val="00A83F72"/>
    <w:rsid w:val="00A83F85"/>
    <w:rsid w:val="00A83F94"/>
    <w:rsid w:val="00A84018"/>
    <w:rsid w:val="00A8405E"/>
    <w:rsid w:val="00A8409B"/>
    <w:rsid w:val="00A84143"/>
    <w:rsid w:val="00A8414A"/>
    <w:rsid w:val="00A8419D"/>
    <w:rsid w:val="00A8425F"/>
    <w:rsid w:val="00A84291"/>
    <w:rsid w:val="00A84366"/>
    <w:rsid w:val="00A8453B"/>
    <w:rsid w:val="00A845AB"/>
    <w:rsid w:val="00A845D6"/>
    <w:rsid w:val="00A845E4"/>
    <w:rsid w:val="00A84698"/>
    <w:rsid w:val="00A84721"/>
    <w:rsid w:val="00A8472B"/>
    <w:rsid w:val="00A847A7"/>
    <w:rsid w:val="00A84804"/>
    <w:rsid w:val="00A8486B"/>
    <w:rsid w:val="00A84966"/>
    <w:rsid w:val="00A849C4"/>
    <w:rsid w:val="00A849CD"/>
    <w:rsid w:val="00A84A85"/>
    <w:rsid w:val="00A84A8A"/>
    <w:rsid w:val="00A84AA8"/>
    <w:rsid w:val="00A84B29"/>
    <w:rsid w:val="00A84C54"/>
    <w:rsid w:val="00A84C69"/>
    <w:rsid w:val="00A84CDB"/>
    <w:rsid w:val="00A84CDF"/>
    <w:rsid w:val="00A84D2D"/>
    <w:rsid w:val="00A84D78"/>
    <w:rsid w:val="00A84DC5"/>
    <w:rsid w:val="00A84E0D"/>
    <w:rsid w:val="00A84E1F"/>
    <w:rsid w:val="00A84E3B"/>
    <w:rsid w:val="00A84E79"/>
    <w:rsid w:val="00A84E90"/>
    <w:rsid w:val="00A84E94"/>
    <w:rsid w:val="00A84ECE"/>
    <w:rsid w:val="00A84ED6"/>
    <w:rsid w:val="00A8501F"/>
    <w:rsid w:val="00A850D7"/>
    <w:rsid w:val="00A850F7"/>
    <w:rsid w:val="00A851B0"/>
    <w:rsid w:val="00A8522A"/>
    <w:rsid w:val="00A85275"/>
    <w:rsid w:val="00A852E1"/>
    <w:rsid w:val="00A85302"/>
    <w:rsid w:val="00A85313"/>
    <w:rsid w:val="00A85387"/>
    <w:rsid w:val="00A8540B"/>
    <w:rsid w:val="00A8545B"/>
    <w:rsid w:val="00A85496"/>
    <w:rsid w:val="00A85512"/>
    <w:rsid w:val="00A8552E"/>
    <w:rsid w:val="00A855DC"/>
    <w:rsid w:val="00A85626"/>
    <w:rsid w:val="00A85666"/>
    <w:rsid w:val="00A856FB"/>
    <w:rsid w:val="00A85881"/>
    <w:rsid w:val="00A8588A"/>
    <w:rsid w:val="00A858FC"/>
    <w:rsid w:val="00A85AA1"/>
    <w:rsid w:val="00A85AD0"/>
    <w:rsid w:val="00A85ADC"/>
    <w:rsid w:val="00A85B77"/>
    <w:rsid w:val="00A85C2B"/>
    <w:rsid w:val="00A85C85"/>
    <w:rsid w:val="00A85C91"/>
    <w:rsid w:val="00A85E7D"/>
    <w:rsid w:val="00A85EA1"/>
    <w:rsid w:val="00A85F62"/>
    <w:rsid w:val="00A85FDC"/>
    <w:rsid w:val="00A86083"/>
    <w:rsid w:val="00A860E5"/>
    <w:rsid w:val="00A8625B"/>
    <w:rsid w:val="00A86310"/>
    <w:rsid w:val="00A8635C"/>
    <w:rsid w:val="00A86406"/>
    <w:rsid w:val="00A86433"/>
    <w:rsid w:val="00A8652F"/>
    <w:rsid w:val="00A86532"/>
    <w:rsid w:val="00A86694"/>
    <w:rsid w:val="00A867C9"/>
    <w:rsid w:val="00A867F6"/>
    <w:rsid w:val="00A8688A"/>
    <w:rsid w:val="00A868C2"/>
    <w:rsid w:val="00A86912"/>
    <w:rsid w:val="00A86914"/>
    <w:rsid w:val="00A869B7"/>
    <w:rsid w:val="00A869B8"/>
    <w:rsid w:val="00A869C9"/>
    <w:rsid w:val="00A86A15"/>
    <w:rsid w:val="00A86A7A"/>
    <w:rsid w:val="00A86B2B"/>
    <w:rsid w:val="00A86C5D"/>
    <w:rsid w:val="00A86CE8"/>
    <w:rsid w:val="00A86CF5"/>
    <w:rsid w:val="00A86D3F"/>
    <w:rsid w:val="00A86DA9"/>
    <w:rsid w:val="00A86FBD"/>
    <w:rsid w:val="00A87022"/>
    <w:rsid w:val="00A87089"/>
    <w:rsid w:val="00A87092"/>
    <w:rsid w:val="00A87224"/>
    <w:rsid w:val="00A872B1"/>
    <w:rsid w:val="00A872C3"/>
    <w:rsid w:val="00A872CF"/>
    <w:rsid w:val="00A872D5"/>
    <w:rsid w:val="00A872E7"/>
    <w:rsid w:val="00A872FD"/>
    <w:rsid w:val="00A8735F"/>
    <w:rsid w:val="00A87381"/>
    <w:rsid w:val="00A8739C"/>
    <w:rsid w:val="00A873BF"/>
    <w:rsid w:val="00A87422"/>
    <w:rsid w:val="00A87523"/>
    <w:rsid w:val="00A8754A"/>
    <w:rsid w:val="00A87615"/>
    <w:rsid w:val="00A876BB"/>
    <w:rsid w:val="00A876CA"/>
    <w:rsid w:val="00A876DD"/>
    <w:rsid w:val="00A877EB"/>
    <w:rsid w:val="00A878C4"/>
    <w:rsid w:val="00A878CF"/>
    <w:rsid w:val="00A8799C"/>
    <w:rsid w:val="00A87A5E"/>
    <w:rsid w:val="00A87B90"/>
    <w:rsid w:val="00A87BB1"/>
    <w:rsid w:val="00A87C35"/>
    <w:rsid w:val="00A87C92"/>
    <w:rsid w:val="00A87C9E"/>
    <w:rsid w:val="00A87DB6"/>
    <w:rsid w:val="00A87DCC"/>
    <w:rsid w:val="00A87E0A"/>
    <w:rsid w:val="00A87E22"/>
    <w:rsid w:val="00A87E76"/>
    <w:rsid w:val="00A87E96"/>
    <w:rsid w:val="00A87EFA"/>
    <w:rsid w:val="00A87FDB"/>
    <w:rsid w:val="00A90089"/>
    <w:rsid w:val="00A900C9"/>
    <w:rsid w:val="00A90107"/>
    <w:rsid w:val="00A90134"/>
    <w:rsid w:val="00A9015E"/>
    <w:rsid w:val="00A901A9"/>
    <w:rsid w:val="00A90238"/>
    <w:rsid w:val="00A902C0"/>
    <w:rsid w:val="00A902D1"/>
    <w:rsid w:val="00A90462"/>
    <w:rsid w:val="00A9048E"/>
    <w:rsid w:val="00A90514"/>
    <w:rsid w:val="00A9053A"/>
    <w:rsid w:val="00A905C7"/>
    <w:rsid w:val="00A906A8"/>
    <w:rsid w:val="00A9074E"/>
    <w:rsid w:val="00A907A1"/>
    <w:rsid w:val="00A907D1"/>
    <w:rsid w:val="00A90848"/>
    <w:rsid w:val="00A90876"/>
    <w:rsid w:val="00A9087B"/>
    <w:rsid w:val="00A908A2"/>
    <w:rsid w:val="00A90925"/>
    <w:rsid w:val="00A9093B"/>
    <w:rsid w:val="00A9094A"/>
    <w:rsid w:val="00A909C0"/>
    <w:rsid w:val="00A909CD"/>
    <w:rsid w:val="00A909FB"/>
    <w:rsid w:val="00A90A0A"/>
    <w:rsid w:val="00A90A58"/>
    <w:rsid w:val="00A90AB9"/>
    <w:rsid w:val="00A90AC2"/>
    <w:rsid w:val="00A90B6A"/>
    <w:rsid w:val="00A90CB2"/>
    <w:rsid w:val="00A90CB7"/>
    <w:rsid w:val="00A90D1D"/>
    <w:rsid w:val="00A90D61"/>
    <w:rsid w:val="00A90D7F"/>
    <w:rsid w:val="00A90E6B"/>
    <w:rsid w:val="00A90F08"/>
    <w:rsid w:val="00A90FC4"/>
    <w:rsid w:val="00A90FFA"/>
    <w:rsid w:val="00A9101D"/>
    <w:rsid w:val="00A91076"/>
    <w:rsid w:val="00A91078"/>
    <w:rsid w:val="00A910A6"/>
    <w:rsid w:val="00A910FE"/>
    <w:rsid w:val="00A9125F"/>
    <w:rsid w:val="00A91296"/>
    <w:rsid w:val="00A913BD"/>
    <w:rsid w:val="00A9141B"/>
    <w:rsid w:val="00A915BF"/>
    <w:rsid w:val="00A9161E"/>
    <w:rsid w:val="00A91621"/>
    <w:rsid w:val="00A916E9"/>
    <w:rsid w:val="00A916FA"/>
    <w:rsid w:val="00A91714"/>
    <w:rsid w:val="00A9189A"/>
    <w:rsid w:val="00A9190E"/>
    <w:rsid w:val="00A91995"/>
    <w:rsid w:val="00A919B5"/>
    <w:rsid w:val="00A919C2"/>
    <w:rsid w:val="00A919E0"/>
    <w:rsid w:val="00A91A1A"/>
    <w:rsid w:val="00A91A69"/>
    <w:rsid w:val="00A91ABD"/>
    <w:rsid w:val="00A91AC0"/>
    <w:rsid w:val="00A91B33"/>
    <w:rsid w:val="00A91B7B"/>
    <w:rsid w:val="00A91C0F"/>
    <w:rsid w:val="00A91C72"/>
    <w:rsid w:val="00A91D46"/>
    <w:rsid w:val="00A91D65"/>
    <w:rsid w:val="00A91D6D"/>
    <w:rsid w:val="00A91DC7"/>
    <w:rsid w:val="00A91E05"/>
    <w:rsid w:val="00A91E2B"/>
    <w:rsid w:val="00A91E7C"/>
    <w:rsid w:val="00A91F45"/>
    <w:rsid w:val="00A92123"/>
    <w:rsid w:val="00A9214F"/>
    <w:rsid w:val="00A92184"/>
    <w:rsid w:val="00A921BC"/>
    <w:rsid w:val="00A921F9"/>
    <w:rsid w:val="00A9224E"/>
    <w:rsid w:val="00A9225E"/>
    <w:rsid w:val="00A922B1"/>
    <w:rsid w:val="00A92367"/>
    <w:rsid w:val="00A92398"/>
    <w:rsid w:val="00A923B5"/>
    <w:rsid w:val="00A9240E"/>
    <w:rsid w:val="00A9243A"/>
    <w:rsid w:val="00A924C2"/>
    <w:rsid w:val="00A925C7"/>
    <w:rsid w:val="00A925F6"/>
    <w:rsid w:val="00A925FA"/>
    <w:rsid w:val="00A926BB"/>
    <w:rsid w:val="00A92726"/>
    <w:rsid w:val="00A9275A"/>
    <w:rsid w:val="00A92841"/>
    <w:rsid w:val="00A92873"/>
    <w:rsid w:val="00A92998"/>
    <w:rsid w:val="00A929A8"/>
    <w:rsid w:val="00A92A2B"/>
    <w:rsid w:val="00A92A71"/>
    <w:rsid w:val="00A92AA4"/>
    <w:rsid w:val="00A92BD0"/>
    <w:rsid w:val="00A92C6B"/>
    <w:rsid w:val="00A92D07"/>
    <w:rsid w:val="00A92D45"/>
    <w:rsid w:val="00A92D9A"/>
    <w:rsid w:val="00A92DFA"/>
    <w:rsid w:val="00A92EBA"/>
    <w:rsid w:val="00A92EEA"/>
    <w:rsid w:val="00A92F06"/>
    <w:rsid w:val="00A92F2D"/>
    <w:rsid w:val="00A92F2F"/>
    <w:rsid w:val="00A93006"/>
    <w:rsid w:val="00A93011"/>
    <w:rsid w:val="00A930DC"/>
    <w:rsid w:val="00A9311C"/>
    <w:rsid w:val="00A93221"/>
    <w:rsid w:val="00A93255"/>
    <w:rsid w:val="00A93299"/>
    <w:rsid w:val="00A9330A"/>
    <w:rsid w:val="00A9336A"/>
    <w:rsid w:val="00A93384"/>
    <w:rsid w:val="00A933EC"/>
    <w:rsid w:val="00A93432"/>
    <w:rsid w:val="00A93442"/>
    <w:rsid w:val="00A9345F"/>
    <w:rsid w:val="00A93535"/>
    <w:rsid w:val="00A93581"/>
    <w:rsid w:val="00A935C8"/>
    <w:rsid w:val="00A935D7"/>
    <w:rsid w:val="00A935F7"/>
    <w:rsid w:val="00A9374C"/>
    <w:rsid w:val="00A937AC"/>
    <w:rsid w:val="00A9381A"/>
    <w:rsid w:val="00A938B0"/>
    <w:rsid w:val="00A93939"/>
    <w:rsid w:val="00A9399C"/>
    <w:rsid w:val="00A93A03"/>
    <w:rsid w:val="00A93A0B"/>
    <w:rsid w:val="00A93A68"/>
    <w:rsid w:val="00A93A6E"/>
    <w:rsid w:val="00A93A71"/>
    <w:rsid w:val="00A93A8A"/>
    <w:rsid w:val="00A93AB0"/>
    <w:rsid w:val="00A93B25"/>
    <w:rsid w:val="00A93B3A"/>
    <w:rsid w:val="00A93BF3"/>
    <w:rsid w:val="00A93C53"/>
    <w:rsid w:val="00A93CB1"/>
    <w:rsid w:val="00A93E3B"/>
    <w:rsid w:val="00A93EC8"/>
    <w:rsid w:val="00A93F14"/>
    <w:rsid w:val="00A93FBF"/>
    <w:rsid w:val="00A94042"/>
    <w:rsid w:val="00A9405B"/>
    <w:rsid w:val="00A940B6"/>
    <w:rsid w:val="00A94126"/>
    <w:rsid w:val="00A94168"/>
    <w:rsid w:val="00A941BA"/>
    <w:rsid w:val="00A94227"/>
    <w:rsid w:val="00A9424B"/>
    <w:rsid w:val="00A94296"/>
    <w:rsid w:val="00A94307"/>
    <w:rsid w:val="00A94309"/>
    <w:rsid w:val="00A94338"/>
    <w:rsid w:val="00A943D5"/>
    <w:rsid w:val="00A943F4"/>
    <w:rsid w:val="00A94457"/>
    <w:rsid w:val="00A944FE"/>
    <w:rsid w:val="00A9455B"/>
    <w:rsid w:val="00A945AF"/>
    <w:rsid w:val="00A94603"/>
    <w:rsid w:val="00A9463F"/>
    <w:rsid w:val="00A946C9"/>
    <w:rsid w:val="00A946F3"/>
    <w:rsid w:val="00A94713"/>
    <w:rsid w:val="00A9478E"/>
    <w:rsid w:val="00A947C2"/>
    <w:rsid w:val="00A94808"/>
    <w:rsid w:val="00A9481B"/>
    <w:rsid w:val="00A9487D"/>
    <w:rsid w:val="00A948BD"/>
    <w:rsid w:val="00A948D7"/>
    <w:rsid w:val="00A94971"/>
    <w:rsid w:val="00A949E2"/>
    <w:rsid w:val="00A94B1E"/>
    <w:rsid w:val="00A94B99"/>
    <w:rsid w:val="00A94C34"/>
    <w:rsid w:val="00A94D5D"/>
    <w:rsid w:val="00A94DC2"/>
    <w:rsid w:val="00A94DFB"/>
    <w:rsid w:val="00A94E4D"/>
    <w:rsid w:val="00A94E68"/>
    <w:rsid w:val="00A94E89"/>
    <w:rsid w:val="00A95060"/>
    <w:rsid w:val="00A950FF"/>
    <w:rsid w:val="00A95162"/>
    <w:rsid w:val="00A95313"/>
    <w:rsid w:val="00A95349"/>
    <w:rsid w:val="00A953BA"/>
    <w:rsid w:val="00A953FD"/>
    <w:rsid w:val="00A9542B"/>
    <w:rsid w:val="00A954D6"/>
    <w:rsid w:val="00A954E4"/>
    <w:rsid w:val="00A95504"/>
    <w:rsid w:val="00A95605"/>
    <w:rsid w:val="00A9562C"/>
    <w:rsid w:val="00A9562F"/>
    <w:rsid w:val="00A9567A"/>
    <w:rsid w:val="00A956A4"/>
    <w:rsid w:val="00A956E8"/>
    <w:rsid w:val="00A95730"/>
    <w:rsid w:val="00A959A0"/>
    <w:rsid w:val="00A959C8"/>
    <w:rsid w:val="00A95A2C"/>
    <w:rsid w:val="00A95A40"/>
    <w:rsid w:val="00A95ABD"/>
    <w:rsid w:val="00A95AF1"/>
    <w:rsid w:val="00A95B8C"/>
    <w:rsid w:val="00A95BD0"/>
    <w:rsid w:val="00A95C13"/>
    <w:rsid w:val="00A95C6A"/>
    <w:rsid w:val="00A95CAA"/>
    <w:rsid w:val="00A95D47"/>
    <w:rsid w:val="00A95D5C"/>
    <w:rsid w:val="00A95D7B"/>
    <w:rsid w:val="00A95DA6"/>
    <w:rsid w:val="00A95EA8"/>
    <w:rsid w:val="00A95F43"/>
    <w:rsid w:val="00A960B0"/>
    <w:rsid w:val="00A960BD"/>
    <w:rsid w:val="00A962A4"/>
    <w:rsid w:val="00A96356"/>
    <w:rsid w:val="00A9644A"/>
    <w:rsid w:val="00A964D1"/>
    <w:rsid w:val="00A9651B"/>
    <w:rsid w:val="00A9658B"/>
    <w:rsid w:val="00A965A8"/>
    <w:rsid w:val="00A965DD"/>
    <w:rsid w:val="00A965FA"/>
    <w:rsid w:val="00A96618"/>
    <w:rsid w:val="00A96649"/>
    <w:rsid w:val="00A96673"/>
    <w:rsid w:val="00A966B0"/>
    <w:rsid w:val="00A966BB"/>
    <w:rsid w:val="00A966D1"/>
    <w:rsid w:val="00A96737"/>
    <w:rsid w:val="00A9673F"/>
    <w:rsid w:val="00A9675B"/>
    <w:rsid w:val="00A96766"/>
    <w:rsid w:val="00A967A0"/>
    <w:rsid w:val="00A967FC"/>
    <w:rsid w:val="00A967FF"/>
    <w:rsid w:val="00A96A2C"/>
    <w:rsid w:val="00A96B73"/>
    <w:rsid w:val="00A96BB0"/>
    <w:rsid w:val="00A96BC7"/>
    <w:rsid w:val="00A96C0B"/>
    <w:rsid w:val="00A96C16"/>
    <w:rsid w:val="00A96C93"/>
    <w:rsid w:val="00A96D58"/>
    <w:rsid w:val="00A96D69"/>
    <w:rsid w:val="00A96D96"/>
    <w:rsid w:val="00A96E5A"/>
    <w:rsid w:val="00A96F9D"/>
    <w:rsid w:val="00A96FB1"/>
    <w:rsid w:val="00A97033"/>
    <w:rsid w:val="00A9708F"/>
    <w:rsid w:val="00A9711A"/>
    <w:rsid w:val="00A97155"/>
    <w:rsid w:val="00A971A8"/>
    <w:rsid w:val="00A9720F"/>
    <w:rsid w:val="00A9724B"/>
    <w:rsid w:val="00A9724F"/>
    <w:rsid w:val="00A97282"/>
    <w:rsid w:val="00A973A8"/>
    <w:rsid w:val="00A973E9"/>
    <w:rsid w:val="00A9745E"/>
    <w:rsid w:val="00A97517"/>
    <w:rsid w:val="00A9758F"/>
    <w:rsid w:val="00A9759C"/>
    <w:rsid w:val="00A975BE"/>
    <w:rsid w:val="00A97629"/>
    <w:rsid w:val="00A97633"/>
    <w:rsid w:val="00A9763F"/>
    <w:rsid w:val="00A976F1"/>
    <w:rsid w:val="00A97719"/>
    <w:rsid w:val="00A9777E"/>
    <w:rsid w:val="00A977AD"/>
    <w:rsid w:val="00A977BE"/>
    <w:rsid w:val="00A977E5"/>
    <w:rsid w:val="00A9789E"/>
    <w:rsid w:val="00A9797A"/>
    <w:rsid w:val="00A979DC"/>
    <w:rsid w:val="00A979F0"/>
    <w:rsid w:val="00A97A0B"/>
    <w:rsid w:val="00A97AE2"/>
    <w:rsid w:val="00A97AF0"/>
    <w:rsid w:val="00A97B35"/>
    <w:rsid w:val="00A97D04"/>
    <w:rsid w:val="00A97D30"/>
    <w:rsid w:val="00A97D6D"/>
    <w:rsid w:val="00A97DEB"/>
    <w:rsid w:val="00A97E01"/>
    <w:rsid w:val="00A97E63"/>
    <w:rsid w:val="00A97F01"/>
    <w:rsid w:val="00A97F2A"/>
    <w:rsid w:val="00A97F52"/>
    <w:rsid w:val="00A97FBE"/>
    <w:rsid w:val="00AA0015"/>
    <w:rsid w:val="00AA0177"/>
    <w:rsid w:val="00AA021E"/>
    <w:rsid w:val="00AA0241"/>
    <w:rsid w:val="00AA0310"/>
    <w:rsid w:val="00AA0357"/>
    <w:rsid w:val="00AA04E1"/>
    <w:rsid w:val="00AA05F7"/>
    <w:rsid w:val="00AA0634"/>
    <w:rsid w:val="00AA075C"/>
    <w:rsid w:val="00AA0868"/>
    <w:rsid w:val="00AA0875"/>
    <w:rsid w:val="00AA0877"/>
    <w:rsid w:val="00AA09DE"/>
    <w:rsid w:val="00AA0AE8"/>
    <w:rsid w:val="00AA0B2B"/>
    <w:rsid w:val="00AA0B34"/>
    <w:rsid w:val="00AA0B41"/>
    <w:rsid w:val="00AA0B71"/>
    <w:rsid w:val="00AA0C1C"/>
    <w:rsid w:val="00AA0CE7"/>
    <w:rsid w:val="00AA0D28"/>
    <w:rsid w:val="00AA0D2E"/>
    <w:rsid w:val="00AA0E42"/>
    <w:rsid w:val="00AA0E4E"/>
    <w:rsid w:val="00AA0EC0"/>
    <w:rsid w:val="00AA0F1C"/>
    <w:rsid w:val="00AA0F92"/>
    <w:rsid w:val="00AA0F9B"/>
    <w:rsid w:val="00AA0FE6"/>
    <w:rsid w:val="00AA1086"/>
    <w:rsid w:val="00AA10C7"/>
    <w:rsid w:val="00AA1130"/>
    <w:rsid w:val="00AA1140"/>
    <w:rsid w:val="00AA1174"/>
    <w:rsid w:val="00AA11C3"/>
    <w:rsid w:val="00AA11F6"/>
    <w:rsid w:val="00AA1342"/>
    <w:rsid w:val="00AA137F"/>
    <w:rsid w:val="00AA13ED"/>
    <w:rsid w:val="00AA15A6"/>
    <w:rsid w:val="00AA15BD"/>
    <w:rsid w:val="00AA15C5"/>
    <w:rsid w:val="00AA15F9"/>
    <w:rsid w:val="00AA1634"/>
    <w:rsid w:val="00AA1658"/>
    <w:rsid w:val="00AA1765"/>
    <w:rsid w:val="00AA1799"/>
    <w:rsid w:val="00AA18A7"/>
    <w:rsid w:val="00AA18BD"/>
    <w:rsid w:val="00AA192B"/>
    <w:rsid w:val="00AA1952"/>
    <w:rsid w:val="00AA19A6"/>
    <w:rsid w:val="00AA1A34"/>
    <w:rsid w:val="00AA1A69"/>
    <w:rsid w:val="00AA1A94"/>
    <w:rsid w:val="00AA1AA6"/>
    <w:rsid w:val="00AA1AC2"/>
    <w:rsid w:val="00AA1BA3"/>
    <w:rsid w:val="00AA1BB3"/>
    <w:rsid w:val="00AA1D08"/>
    <w:rsid w:val="00AA1D16"/>
    <w:rsid w:val="00AA1DC1"/>
    <w:rsid w:val="00AA1E14"/>
    <w:rsid w:val="00AA1F35"/>
    <w:rsid w:val="00AA2086"/>
    <w:rsid w:val="00AA2162"/>
    <w:rsid w:val="00AA21C6"/>
    <w:rsid w:val="00AA2250"/>
    <w:rsid w:val="00AA2333"/>
    <w:rsid w:val="00AA2342"/>
    <w:rsid w:val="00AA234D"/>
    <w:rsid w:val="00AA2362"/>
    <w:rsid w:val="00AA246D"/>
    <w:rsid w:val="00AA2483"/>
    <w:rsid w:val="00AA24DD"/>
    <w:rsid w:val="00AA252C"/>
    <w:rsid w:val="00AA2553"/>
    <w:rsid w:val="00AA2584"/>
    <w:rsid w:val="00AA260D"/>
    <w:rsid w:val="00AA2622"/>
    <w:rsid w:val="00AA262F"/>
    <w:rsid w:val="00AA264C"/>
    <w:rsid w:val="00AA2741"/>
    <w:rsid w:val="00AA2891"/>
    <w:rsid w:val="00AA28FC"/>
    <w:rsid w:val="00AA2946"/>
    <w:rsid w:val="00AA2A0A"/>
    <w:rsid w:val="00AA2A4F"/>
    <w:rsid w:val="00AA2A95"/>
    <w:rsid w:val="00AA2AAB"/>
    <w:rsid w:val="00AA2AF9"/>
    <w:rsid w:val="00AA2B89"/>
    <w:rsid w:val="00AA2BE4"/>
    <w:rsid w:val="00AA2BEF"/>
    <w:rsid w:val="00AA2C46"/>
    <w:rsid w:val="00AA2CBB"/>
    <w:rsid w:val="00AA2D3E"/>
    <w:rsid w:val="00AA2E28"/>
    <w:rsid w:val="00AA2EEB"/>
    <w:rsid w:val="00AA2EF7"/>
    <w:rsid w:val="00AA2F19"/>
    <w:rsid w:val="00AA2F4C"/>
    <w:rsid w:val="00AA2F90"/>
    <w:rsid w:val="00AA307A"/>
    <w:rsid w:val="00AA307E"/>
    <w:rsid w:val="00AA30F3"/>
    <w:rsid w:val="00AA31C4"/>
    <w:rsid w:val="00AA31CA"/>
    <w:rsid w:val="00AA3216"/>
    <w:rsid w:val="00AA3298"/>
    <w:rsid w:val="00AA352E"/>
    <w:rsid w:val="00AA35C5"/>
    <w:rsid w:val="00AA3686"/>
    <w:rsid w:val="00AA3892"/>
    <w:rsid w:val="00AA395B"/>
    <w:rsid w:val="00AA3962"/>
    <w:rsid w:val="00AA398C"/>
    <w:rsid w:val="00AA3A05"/>
    <w:rsid w:val="00AA3A94"/>
    <w:rsid w:val="00AA3B1F"/>
    <w:rsid w:val="00AA3B96"/>
    <w:rsid w:val="00AA3B9B"/>
    <w:rsid w:val="00AA3C54"/>
    <w:rsid w:val="00AA3CFB"/>
    <w:rsid w:val="00AA3D2D"/>
    <w:rsid w:val="00AA3D51"/>
    <w:rsid w:val="00AA3DEA"/>
    <w:rsid w:val="00AA3E76"/>
    <w:rsid w:val="00AA3F4F"/>
    <w:rsid w:val="00AA3F7E"/>
    <w:rsid w:val="00AA3FB5"/>
    <w:rsid w:val="00AA401A"/>
    <w:rsid w:val="00AA405F"/>
    <w:rsid w:val="00AA4078"/>
    <w:rsid w:val="00AA4087"/>
    <w:rsid w:val="00AA40D9"/>
    <w:rsid w:val="00AA4182"/>
    <w:rsid w:val="00AA41B7"/>
    <w:rsid w:val="00AA42B6"/>
    <w:rsid w:val="00AA42D5"/>
    <w:rsid w:val="00AA4336"/>
    <w:rsid w:val="00AA4340"/>
    <w:rsid w:val="00AA4363"/>
    <w:rsid w:val="00AA4372"/>
    <w:rsid w:val="00AA4380"/>
    <w:rsid w:val="00AA440A"/>
    <w:rsid w:val="00AA4432"/>
    <w:rsid w:val="00AA44E9"/>
    <w:rsid w:val="00AA45C0"/>
    <w:rsid w:val="00AA45D8"/>
    <w:rsid w:val="00AA45FA"/>
    <w:rsid w:val="00AA4608"/>
    <w:rsid w:val="00AA46B2"/>
    <w:rsid w:val="00AA46BB"/>
    <w:rsid w:val="00AA46D1"/>
    <w:rsid w:val="00AA4715"/>
    <w:rsid w:val="00AA4761"/>
    <w:rsid w:val="00AA47E5"/>
    <w:rsid w:val="00AA498F"/>
    <w:rsid w:val="00AA4A20"/>
    <w:rsid w:val="00AA4A55"/>
    <w:rsid w:val="00AA4ACA"/>
    <w:rsid w:val="00AA4C22"/>
    <w:rsid w:val="00AA4C44"/>
    <w:rsid w:val="00AA4D1A"/>
    <w:rsid w:val="00AA4D3B"/>
    <w:rsid w:val="00AA4DBB"/>
    <w:rsid w:val="00AA4DC0"/>
    <w:rsid w:val="00AA4EA9"/>
    <w:rsid w:val="00AA5022"/>
    <w:rsid w:val="00AA504C"/>
    <w:rsid w:val="00AA5108"/>
    <w:rsid w:val="00AA5133"/>
    <w:rsid w:val="00AA51CF"/>
    <w:rsid w:val="00AA5219"/>
    <w:rsid w:val="00AA5239"/>
    <w:rsid w:val="00AA524E"/>
    <w:rsid w:val="00AA5299"/>
    <w:rsid w:val="00AA5349"/>
    <w:rsid w:val="00AA5364"/>
    <w:rsid w:val="00AA5436"/>
    <w:rsid w:val="00AA544C"/>
    <w:rsid w:val="00AA5489"/>
    <w:rsid w:val="00AA5498"/>
    <w:rsid w:val="00AA549C"/>
    <w:rsid w:val="00AA54D5"/>
    <w:rsid w:val="00AA54F6"/>
    <w:rsid w:val="00AA5516"/>
    <w:rsid w:val="00AA5520"/>
    <w:rsid w:val="00AA55E9"/>
    <w:rsid w:val="00AA5602"/>
    <w:rsid w:val="00AA564C"/>
    <w:rsid w:val="00AA56DF"/>
    <w:rsid w:val="00AA56E2"/>
    <w:rsid w:val="00AA5794"/>
    <w:rsid w:val="00AA585C"/>
    <w:rsid w:val="00AA5887"/>
    <w:rsid w:val="00AA598E"/>
    <w:rsid w:val="00AA59A4"/>
    <w:rsid w:val="00AA5ADF"/>
    <w:rsid w:val="00AA5B61"/>
    <w:rsid w:val="00AA5B75"/>
    <w:rsid w:val="00AA5CF5"/>
    <w:rsid w:val="00AA5D88"/>
    <w:rsid w:val="00AA5DAA"/>
    <w:rsid w:val="00AA5DF7"/>
    <w:rsid w:val="00AA5E52"/>
    <w:rsid w:val="00AA5ED4"/>
    <w:rsid w:val="00AA5F15"/>
    <w:rsid w:val="00AA6004"/>
    <w:rsid w:val="00AA602D"/>
    <w:rsid w:val="00AA60D0"/>
    <w:rsid w:val="00AA61A3"/>
    <w:rsid w:val="00AA6202"/>
    <w:rsid w:val="00AA6284"/>
    <w:rsid w:val="00AA6289"/>
    <w:rsid w:val="00AA632F"/>
    <w:rsid w:val="00AA6430"/>
    <w:rsid w:val="00AA64E2"/>
    <w:rsid w:val="00AA64FE"/>
    <w:rsid w:val="00AA6521"/>
    <w:rsid w:val="00AA656B"/>
    <w:rsid w:val="00AA65A1"/>
    <w:rsid w:val="00AA65C7"/>
    <w:rsid w:val="00AA6651"/>
    <w:rsid w:val="00AA6747"/>
    <w:rsid w:val="00AA6807"/>
    <w:rsid w:val="00AA680C"/>
    <w:rsid w:val="00AA6849"/>
    <w:rsid w:val="00AA68FD"/>
    <w:rsid w:val="00AA6A79"/>
    <w:rsid w:val="00AA6A7C"/>
    <w:rsid w:val="00AA6A83"/>
    <w:rsid w:val="00AA6A89"/>
    <w:rsid w:val="00AA6AD1"/>
    <w:rsid w:val="00AA6B1D"/>
    <w:rsid w:val="00AA6BEF"/>
    <w:rsid w:val="00AA6C22"/>
    <w:rsid w:val="00AA6C38"/>
    <w:rsid w:val="00AA6C40"/>
    <w:rsid w:val="00AA6C45"/>
    <w:rsid w:val="00AA6CB3"/>
    <w:rsid w:val="00AA6D2A"/>
    <w:rsid w:val="00AA6DF6"/>
    <w:rsid w:val="00AA6E03"/>
    <w:rsid w:val="00AA6E22"/>
    <w:rsid w:val="00AA6E25"/>
    <w:rsid w:val="00AA6E8D"/>
    <w:rsid w:val="00AA6EC6"/>
    <w:rsid w:val="00AA6F04"/>
    <w:rsid w:val="00AA6F1C"/>
    <w:rsid w:val="00AA6F50"/>
    <w:rsid w:val="00AA6F91"/>
    <w:rsid w:val="00AA705A"/>
    <w:rsid w:val="00AA7211"/>
    <w:rsid w:val="00AA7279"/>
    <w:rsid w:val="00AA730A"/>
    <w:rsid w:val="00AA734F"/>
    <w:rsid w:val="00AA7379"/>
    <w:rsid w:val="00AA742A"/>
    <w:rsid w:val="00AA74A6"/>
    <w:rsid w:val="00AA750F"/>
    <w:rsid w:val="00AA7531"/>
    <w:rsid w:val="00AA755C"/>
    <w:rsid w:val="00AA75F6"/>
    <w:rsid w:val="00AA76EB"/>
    <w:rsid w:val="00AA771C"/>
    <w:rsid w:val="00AA77E1"/>
    <w:rsid w:val="00AA7827"/>
    <w:rsid w:val="00AA7966"/>
    <w:rsid w:val="00AA796F"/>
    <w:rsid w:val="00AA79EA"/>
    <w:rsid w:val="00AA79F2"/>
    <w:rsid w:val="00AA7A4E"/>
    <w:rsid w:val="00AA7B66"/>
    <w:rsid w:val="00AA7BA6"/>
    <w:rsid w:val="00AA7C84"/>
    <w:rsid w:val="00AA7CF0"/>
    <w:rsid w:val="00AA7D7F"/>
    <w:rsid w:val="00AA7E0E"/>
    <w:rsid w:val="00AA7E10"/>
    <w:rsid w:val="00AA7EA2"/>
    <w:rsid w:val="00AA7F0D"/>
    <w:rsid w:val="00AA7FE4"/>
    <w:rsid w:val="00AB0193"/>
    <w:rsid w:val="00AB0195"/>
    <w:rsid w:val="00AB01E0"/>
    <w:rsid w:val="00AB0213"/>
    <w:rsid w:val="00AB0328"/>
    <w:rsid w:val="00AB0341"/>
    <w:rsid w:val="00AB0462"/>
    <w:rsid w:val="00AB04D3"/>
    <w:rsid w:val="00AB05E3"/>
    <w:rsid w:val="00AB0681"/>
    <w:rsid w:val="00AB06A1"/>
    <w:rsid w:val="00AB06B9"/>
    <w:rsid w:val="00AB0710"/>
    <w:rsid w:val="00AB0750"/>
    <w:rsid w:val="00AB0850"/>
    <w:rsid w:val="00AB0851"/>
    <w:rsid w:val="00AB08DD"/>
    <w:rsid w:val="00AB091F"/>
    <w:rsid w:val="00AB0950"/>
    <w:rsid w:val="00AB0A38"/>
    <w:rsid w:val="00AB0A4D"/>
    <w:rsid w:val="00AB0BD4"/>
    <w:rsid w:val="00AB0C58"/>
    <w:rsid w:val="00AB0C63"/>
    <w:rsid w:val="00AB0CD8"/>
    <w:rsid w:val="00AB0DCD"/>
    <w:rsid w:val="00AB0DED"/>
    <w:rsid w:val="00AB0E56"/>
    <w:rsid w:val="00AB103D"/>
    <w:rsid w:val="00AB10A7"/>
    <w:rsid w:val="00AB1137"/>
    <w:rsid w:val="00AB113C"/>
    <w:rsid w:val="00AB117C"/>
    <w:rsid w:val="00AB11C2"/>
    <w:rsid w:val="00AB1399"/>
    <w:rsid w:val="00AB139E"/>
    <w:rsid w:val="00AB13B8"/>
    <w:rsid w:val="00AB13C8"/>
    <w:rsid w:val="00AB1499"/>
    <w:rsid w:val="00AB1513"/>
    <w:rsid w:val="00AB1554"/>
    <w:rsid w:val="00AB15B5"/>
    <w:rsid w:val="00AB1615"/>
    <w:rsid w:val="00AB161D"/>
    <w:rsid w:val="00AB163E"/>
    <w:rsid w:val="00AB16B7"/>
    <w:rsid w:val="00AB16F5"/>
    <w:rsid w:val="00AB17DD"/>
    <w:rsid w:val="00AB17E1"/>
    <w:rsid w:val="00AB182C"/>
    <w:rsid w:val="00AB183F"/>
    <w:rsid w:val="00AB18AE"/>
    <w:rsid w:val="00AB18DD"/>
    <w:rsid w:val="00AB18E8"/>
    <w:rsid w:val="00AB190B"/>
    <w:rsid w:val="00AB1943"/>
    <w:rsid w:val="00AB19C2"/>
    <w:rsid w:val="00AB19DC"/>
    <w:rsid w:val="00AB19F5"/>
    <w:rsid w:val="00AB1AB4"/>
    <w:rsid w:val="00AB1ABC"/>
    <w:rsid w:val="00AB1C0D"/>
    <w:rsid w:val="00AB1C56"/>
    <w:rsid w:val="00AB1CE3"/>
    <w:rsid w:val="00AB203A"/>
    <w:rsid w:val="00AB207A"/>
    <w:rsid w:val="00AB21F7"/>
    <w:rsid w:val="00AB24A7"/>
    <w:rsid w:val="00AB24EA"/>
    <w:rsid w:val="00AB24EB"/>
    <w:rsid w:val="00AB263C"/>
    <w:rsid w:val="00AB26B2"/>
    <w:rsid w:val="00AB2716"/>
    <w:rsid w:val="00AB2739"/>
    <w:rsid w:val="00AB278C"/>
    <w:rsid w:val="00AB27A1"/>
    <w:rsid w:val="00AB27C6"/>
    <w:rsid w:val="00AB280B"/>
    <w:rsid w:val="00AB281F"/>
    <w:rsid w:val="00AB2841"/>
    <w:rsid w:val="00AB28BA"/>
    <w:rsid w:val="00AB29DE"/>
    <w:rsid w:val="00AB2A4E"/>
    <w:rsid w:val="00AB2A65"/>
    <w:rsid w:val="00AB2A68"/>
    <w:rsid w:val="00AB2AC6"/>
    <w:rsid w:val="00AB2B09"/>
    <w:rsid w:val="00AB2C8C"/>
    <w:rsid w:val="00AB2CAC"/>
    <w:rsid w:val="00AB2E51"/>
    <w:rsid w:val="00AB2F30"/>
    <w:rsid w:val="00AB2F4D"/>
    <w:rsid w:val="00AB2F59"/>
    <w:rsid w:val="00AB2FC2"/>
    <w:rsid w:val="00AB303E"/>
    <w:rsid w:val="00AB3095"/>
    <w:rsid w:val="00AB30E9"/>
    <w:rsid w:val="00AB315F"/>
    <w:rsid w:val="00AB319C"/>
    <w:rsid w:val="00AB31A8"/>
    <w:rsid w:val="00AB31CD"/>
    <w:rsid w:val="00AB320B"/>
    <w:rsid w:val="00AB32E8"/>
    <w:rsid w:val="00AB3311"/>
    <w:rsid w:val="00AB3377"/>
    <w:rsid w:val="00AB3385"/>
    <w:rsid w:val="00AB33AA"/>
    <w:rsid w:val="00AB33D4"/>
    <w:rsid w:val="00AB33FF"/>
    <w:rsid w:val="00AB342C"/>
    <w:rsid w:val="00AB3677"/>
    <w:rsid w:val="00AB36C8"/>
    <w:rsid w:val="00AB36C9"/>
    <w:rsid w:val="00AB36ED"/>
    <w:rsid w:val="00AB3762"/>
    <w:rsid w:val="00AB383A"/>
    <w:rsid w:val="00AB38A9"/>
    <w:rsid w:val="00AB3A35"/>
    <w:rsid w:val="00AB3A38"/>
    <w:rsid w:val="00AB3AB5"/>
    <w:rsid w:val="00AB3AD2"/>
    <w:rsid w:val="00AB3B65"/>
    <w:rsid w:val="00AB3B83"/>
    <w:rsid w:val="00AB3B95"/>
    <w:rsid w:val="00AB3B9C"/>
    <w:rsid w:val="00AB3CBE"/>
    <w:rsid w:val="00AB3CE5"/>
    <w:rsid w:val="00AB3CF8"/>
    <w:rsid w:val="00AB3D06"/>
    <w:rsid w:val="00AB3D63"/>
    <w:rsid w:val="00AB3D6F"/>
    <w:rsid w:val="00AB3DF3"/>
    <w:rsid w:val="00AB3E3B"/>
    <w:rsid w:val="00AB3E62"/>
    <w:rsid w:val="00AB3EAF"/>
    <w:rsid w:val="00AB3EF3"/>
    <w:rsid w:val="00AB3F45"/>
    <w:rsid w:val="00AB3F56"/>
    <w:rsid w:val="00AB3F70"/>
    <w:rsid w:val="00AB3F7D"/>
    <w:rsid w:val="00AB3FB0"/>
    <w:rsid w:val="00AB3FEA"/>
    <w:rsid w:val="00AB4075"/>
    <w:rsid w:val="00AB4084"/>
    <w:rsid w:val="00AB40D3"/>
    <w:rsid w:val="00AB4117"/>
    <w:rsid w:val="00AB4173"/>
    <w:rsid w:val="00AB4201"/>
    <w:rsid w:val="00AB4220"/>
    <w:rsid w:val="00AB42F5"/>
    <w:rsid w:val="00AB43E4"/>
    <w:rsid w:val="00AB4432"/>
    <w:rsid w:val="00AB44E4"/>
    <w:rsid w:val="00AB45A4"/>
    <w:rsid w:val="00AB45C7"/>
    <w:rsid w:val="00AB45CF"/>
    <w:rsid w:val="00AB45F8"/>
    <w:rsid w:val="00AB4683"/>
    <w:rsid w:val="00AB4688"/>
    <w:rsid w:val="00AB46EC"/>
    <w:rsid w:val="00AB47F2"/>
    <w:rsid w:val="00AB482F"/>
    <w:rsid w:val="00AB486F"/>
    <w:rsid w:val="00AB4909"/>
    <w:rsid w:val="00AB490F"/>
    <w:rsid w:val="00AB497C"/>
    <w:rsid w:val="00AB49C8"/>
    <w:rsid w:val="00AB49D9"/>
    <w:rsid w:val="00AB4AFE"/>
    <w:rsid w:val="00AB4C0E"/>
    <w:rsid w:val="00AB4C37"/>
    <w:rsid w:val="00AB4C72"/>
    <w:rsid w:val="00AB4CCC"/>
    <w:rsid w:val="00AB4D10"/>
    <w:rsid w:val="00AB4DA3"/>
    <w:rsid w:val="00AB4DB4"/>
    <w:rsid w:val="00AB4DDB"/>
    <w:rsid w:val="00AB4E37"/>
    <w:rsid w:val="00AB4E60"/>
    <w:rsid w:val="00AB4E92"/>
    <w:rsid w:val="00AB4EE9"/>
    <w:rsid w:val="00AB4F53"/>
    <w:rsid w:val="00AB50E0"/>
    <w:rsid w:val="00AB52C8"/>
    <w:rsid w:val="00AB530A"/>
    <w:rsid w:val="00AB5387"/>
    <w:rsid w:val="00AB53C6"/>
    <w:rsid w:val="00AB5440"/>
    <w:rsid w:val="00AB5536"/>
    <w:rsid w:val="00AB55D6"/>
    <w:rsid w:val="00AB55F3"/>
    <w:rsid w:val="00AB5675"/>
    <w:rsid w:val="00AB5769"/>
    <w:rsid w:val="00AB576F"/>
    <w:rsid w:val="00AB5793"/>
    <w:rsid w:val="00AB583B"/>
    <w:rsid w:val="00AB5884"/>
    <w:rsid w:val="00AB5903"/>
    <w:rsid w:val="00AB5966"/>
    <w:rsid w:val="00AB597A"/>
    <w:rsid w:val="00AB5A2E"/>
    <w:rsid w:val="00AB5A9F"/>
    <w:rsid w:val="00AB5ABD"/>
    <w:rsid w:val="00AB5AD9"/>
    <w:rsid w:val="00AB5B0A"/>
    <w:rsid w:val="00AB5BF6"/>
    <w:rsid w:val="00AB5C53"/>
    <w:rsid w:val="00AB5D81"/>
    <w:rsid w:val="00AB5DAE"/>
    <w:rsid w:val="00AB5DF1"/>
    <w:rsid w:val="00AB5DF9"/>
    <w:rsid w:val="00AB5E23"/>
    <w:rsid w:val="00AB5E9E"/>
    <w:rsid w:val="00AB6065"/>
    <w:rsid w:val="00AB607D"/>
    <w:rsid w:val="00AB610C"/>
    <w:rsid w:val="00AB6117"/>
    <w:rsid w:val="00AB61B1"/>
    <w:rsid w:val="00AB61E5"/>
    <w:rsid w:val="00AB61FA"/>
    <w:rsid w:val="00AB628C"/>
    <w:rsid w:val="00AB653C"/>
    <w:rsid w:val="00AB65C5"/>
    <w:rsid w:val="00AB65C9"/>
    <w:rsid w:val="00AB660B"/>
    <w:rsid w:val="00AB6625"/>
    <w:rsid w:val="00AB66E4"/>
    <w:rsid w:val="00AB6800"/>
    <w:rsid w:val="00AB686C"/>
    <w:rsid w:val="00AB6895"/>
    <w:rsid w:val="00AB699A"/>
    <w:rsid w:val="00AB6AC4"/>
    <w:rsid w:val="00AB6AD8"/>
    <w:rsid w:val="00AB6C3F"/>
    <w:rsid w:val="00AB6C6A"/>
    <w:rsid w:val="00AB6C96"/>
    <w:rsid w:val="00AB6CB6"/>
    <w:rsid w:val="00AB6CC4"/>
    <w:rsid w:val="00AB6D32"/>
    <w:rsid w:val="00AB6EDF"/>
    <w:rsid w:val="00AB6F15"/>
    <w:rsid w:val="00AB7000"/>
    <w:rsid w:val="00AB7069"/>
    <w:rsid w:val="00AB70E3"/>
    <w:rsid w:val="00AB714E"/>
    <w:rsid w:val="00AB71AC"/>
    <w:rsid w:val="00AB721B"/>
    <w:rsid w:val="00AB7299"/>
    <w:rsid w:val="00AB72B9"/>
    <w:rsid w:val="00AB731D"/>
    <w:rsid w:val="00AB738D"/>
    <w:rsid w:val="00AB7502"/>
    <w:rsid w:val="00AB753D"/>
    <w:rsid w:val="00AB75FC"/>
    <w:rsid w:val="00AB7659"/>
    <w:rsid w:val="00AB767C"/>
    <w:rsid w:val="00AB76C0"/>
    <w:rsid w:val="00AB76D6"/>
    <w:rsid w:val="00AB77D3"/>
    <w:rsid w:val="00AB7811"/>
    <w:rsid w:val="00AB7844"/>
    <w:rsid w:val="00AB78CE"/>
    <w:rsid w:val="00AB793E"/>
    <w:rsid w:val="00AB79C5"/>
    <w:rsid w:val="00AB7A37"/>
    <w:rsid w:val="00AB7ACA"/>
    <w:rsid w:val="00AB7ACD"/>
    <w:rsid w:val="00AB7AFC"/>
    <w:rsid w:val="00AB7B14"/>
    <w:rsid w:val="00AB7B7C"/>
    <w:rsid w:val="00AB7C03"/>
    <w:rsid w:val="00AB7C38"/>
    <w:rsid w:val="00AB7C74"/>
    <w:rsid w:val="00AB7D87"/>
    <w:rsid w:val="00AB7DB7"/>
    <w:rsid w:val="00AB7E23"/>
    <w:rsid w:val="00AB7E6C"/>
    <w:rsid w:val="00AB7E9A"/>
    <w:rsid w:val="00AB7EE9"/>
    <w:rsid w:val="00AC006C"/>
    <w:rsid w:val="00AC007B"/>
    <w:rsid w:val="00AC0086"/>
    <w:rsid w:val="00AC0149"/>
    <w:rsid w:val="00AC0205"/>
    <w:rsid w:val="00AC0239"/>
    <w:rsid w:val="00AC025B"/>
    <w:rsid w:val="00AC02BA"/>
    <w:rsid w:val="00AC02DC"/>
    <w:rsid w:val="00AC02F2"/>
    <w:rsid w:val="00AC0311"/>
    <w:rsid w:val="00AC0388"/>
    <w:rsid w:val="00AC03D6"/>
    <w:rsid w:val="00AC040B"/>
    <w:rsid w:val="00AC04C8"/>
    <w:rsid w:val="00AC05CF"/>
    <w:rsid w:val="00AC0617"/>
    <w:rsid w:val="00AC061D"/>
    <w:rsid w:val="00AC0695"/>
    <w:rsid w:val="00AC0794"/>
    <w:rsid w:val="00AC07AA"/>
    <w:rsid w:val="00AC07B1"/>
    <w:rsid w:val="00AC07C1"/>
    <w:rsid w:val="00AC081D"/>
    <w:rsid w:val="00AC092F"/>
    <w:rsid w:val="00AC09DD"/>
    <w:rsid w:val="00AC0A6A"/>
    <w:rsid w:val="00AC0A89"/>
    <w:rsid w:val="00AC0ACC"/>
    <w:rsid w:val="00AC0AE9"/>
    <w:rsid w:val="00AC0AED"/>
    <w:rsid w:val="00AC0B3A"/>
    <w:rsid w:val="00AC0B72"/>
    <w:rsid w:val="00AC0BA8"/>
    <w:rsid w:val="00AC0C0D"/>
    <w:rsid w:val="00AC0C50"/>
    <w:rsid w:val="00AC0D3E"/>
    <w:rsid w:val="00AC0E67"/>
    <w:rsid w:val="00AC0E6B"/>
    <w:rsid w:val="00AC0E92"/>
    <w:rsid w:val="00AC0F20"/>
    <w:rsid w:val="00AC0F25"/>
    <w:rsid w:val="00AC0F49"/>
    <w:rsid w:val="00AC0FBF"/>
    <w:rsid w:val="00AC11B1"/>
    <w:rsid w:val="00AC11C2"/>
    <w:rsid w:val="00AC11DB"/>
    <w:rsid w:val="00AC1260"/>
    <w:rsid w:val="00AC12B5"/>
    <w:rsid w:val="00AC13C5"/>
    <w:rsid w:val="00AC1483"/>
    <w:rsid w:val="00AC14CE"/>
    <w:rsid w:val="00AC1506"/>
    <w:rsid w:val="00AC1545"/>
    <w:rsid w:val="00AC15FA"/>
    <w:rsid w:val="00AC1600"/>
    <w:rsid w:val="00AC168E"/>
    <w:rsid w:val="00AC180D"/>
    <w:rsid w:val="00AC185C"/>
    <w:rsid w:val="00AC1869"/>
    <w:rsid w:val="00AC189B"/>
    <w:rsid w:val="00AC19C2"/>
    <w:rsid w:val="00AC1A08"/>
    <w:rsid w:val="00AC1A64"/>
    <w:rsid w:val="00AC1A88"/>
    <w:rsid w:val="00AC1AA0"/>
    <w:rsid w:val="00AC1AF9"/>
    <w:rsid w:val="00AC1B7A"/>
    <w:rsid w:val="00AC1BC2"/>
    <w:rsid w:val="00AC1C02"/>
    <w:rsid w:val="00AC1C28"/>
    <w:rsid w:val="00AC1DF6"/>
    <w:rsid w:val="00AC1E1C"/>
    <w:rsid w:val="00AC1E95"/>
    <w:rsid w:val="00AC205E"/>
    <w:rsid w:val="00AC20D2"/>
    <w:rsid w:val="00AC2162"/>
    <w:rsid w:val="00AC2233"/>
    <w:rsid w:val="00AC22A1"/>
    <w:rsid w:val="00AC232C"/>
    <w:rsid w:val="00AC236B"/>
    <w:rsid w:val="00AC238B"/>
    <w:rsid w:val="00AC23BC"/>
    <w:rsid w:val="00AC24BD"/>
    <w:rsid w:val="00AC2546"/>
    <w:rsid w:val="00AC2690"/>
    <w:rsid w:val="00AC275C"/>
    <w:rsid w:val="00AC2781"/>
    <w:rsid w:val="00AC284B"/>
    <w:rsid w:val="00AC28EB"/>
    <w:rsid w:val="00AC2904"/>
    <w:rsid w:val="00AC2952"/>
    <w:rsid w:val="00AC2A8F"/>
    <w:rsid w:val="00AC2ADC"/>
    <w:rsid w:val="00AC2B1C"/>
    <w:rsid w:val="00AC2B22"/>
    <w:rsid w:val="00AC2B49"/>
    <w:rsid w:val="00AC2BB3"/>
    <w:rsid w:val="00AC2C13"/>
    <w:rsid w:val="00AC2C44"/>
    <w:rsid w:val="00AC2C97"/>
    <w:rsid w:val="00AC2CA9"/>
    <w:rsid w:val="00AC2D39"/>
    <w:rsid w:val="00AC2D4C"/>
    <w:rsid w:val="00AC2D53"/>
    <w:rsid w:val="00AC2D9B"/>
    <w:rsid w:val="00AC2F21"/>
    <w:rsid w:val="00AC2F5C"/>
    <w:rsid w:val="00AC2F66"/>
    <w:rsid w:val="00AC2FB8"/>
    <w:rsid w:val="00AC2FD4"/>
    <w:rsid w:val="00AC2FDF"/>
    <w:rsid w:val="00AC30FA"/>
    <w:rsid w:val="00AC310F"/>
    <w:rsid w:val="00AC318C"/>
    <w:rsid w:val="00AC3245"/>
    <w:rsid w:val="00AC324D"/>
    <w:rsid w:val="00AC3284"/>
    <w:rsid w:val="00AC32AC"/>
    <w:rsid w:val="00AC32DD"/>
    <w:rsid w:val="00AC32E6"/>
    <w:rsid w:val="00AC3303"/>
    <w:rsid w:val="00AC330C"/>
    <w:rsid w:val="00AC3328"/>
    <w:rsid w:val="00AC33CB"/>
    <w:rsid w:val="00AC33DA"/>
    <w:rsid w:val="00AC33EB"/>
    <w:rsid w:val="00AC341A"/>
    <w:rsid w:val="00AC34CA"/>
    <w:rsid w:val="00AC35AB"/>
    <w:rsid w:val="00AC35BF"/>
    <w:rsid w:val="00AC3733"/>
    <w:rsid w:val="00AC37FE"/>
    <w:rsid w:val="00AC3861"/>
    <w:rsid w:val="00AC38AA"/>
    <w:rsid w:val="00AC39F1"/>
    <w:rsid w:val="00AC3A0B"/>
    <w:rsid w:val="00AC3ABA"/>
    <w:rsid w:val="00AC3AD2"/>
    <w:rsid w:val="00AC3AF9"/>
    <w:rsid w:val="00AC3B1F"/>
    <w:rsid w:val="00AC3BCD"/>
    <w:rsid w:val="00AC3BD2"/>
    <w:rsid w:val="00AC3BE6"/>
    <w:rsid w:val="00AC3C66"/>
    <w:rsid w:val="00AC3CDF"/>
    <w:rsid w:val="00AC3CFF"/>
    <w:rsid w:val="00AC3D13"/>
    <w:rsid w:val="00AC3D37"/>
    <w:rsid w:val="00AC3D87"/>
    <w:rsid w:val="00AC3DB9"/>
    <w:rsid w:val="00AC3E6F"/>
    <w:rsid w:val="00AC3EB9"/>
    <w:rsid w:val="00AC3FF2"/>
    <w:rsid w:val="00AC4055"/>
    <w:rsid w:val="00AC4067"/>
    <w:rsid w:val="00AC407C"/>
    <w:rsid w:val="00AC412E"/>
    <w:rsid w:val="00AC414C"/>
    <w:rsid w:val="00AC419A"/>
    <w:rsid w:val="00AC41E9"/>
    <w:rsid w:val="00AC4220"/>
    <w:rsid w:val="00AC4287"/>
    <w:rsid w:val="00AC4347"/>
    <w:rsid w:val="00AC43E1"/>
    <w:rsid w:val="00AC43FA"/>
    <w:rsid w:val="00AC43FD"/>
    <w:rsid w:val="00AC445F"/>
    <w:rsid w:val="00AC4479"/>
    <w:rsid w:val="00AC4510"/>
    <w:rsid w:val="00AC45E5"/>
    <w:rsid w:val="00AC4650"/>
    <w:rsid w:val="00AC468A"/>
    <w:rsid w:val="00AC4871"/>
    <w:rsid w:val="00AC488F"/>
    <w:rsid w:val="00AC48D5"/>
    <w:rsid w:val="00AC4931"/>
    <w:rsid w:val="00AC4967"/>
    <w:rsid w:val="00AC49F7"/>
    <w:rsid w:val="00AC4ADC"/>
    <w:rsid w:val="00AC4BA3"/>
    <w:rsid w:val="00AC4BB3"/>
    <w:rsid w:val="00AC4C40"/>
    <w:rsid w:val="00AC4C86"/>
    <w:rsid w:val="00AC4CE5"/>
    <w:rsid w:val="00AC4CFF"/>
    <w:rsid w:val="00AC4D44"/>
    <w:rsid w:val="00AC4E4D"/>
    <w:rsid w:val="00AC4E6F"/>
    <w:rsid w:val="00AC4EC1"/>
    <w:rsid w:val="00AC4F76"/>
    <w:rsid w:val="00AC50D2"/>
    <w:rsid w:val="00AC517A"/>
    <w:rsid w:val="00AC5201"/>
    <w:rsid w:val="00AC538E"/>
    <w:rsid w:val="00AC5449"/>
    <w:rsid w:val="00AC546E"/>
    <w:rsid w:val="00AC54AE"/>
    <w:rsid w:val="00AC54E1"/>
    <w:rsid w:val="00AC5508"/>
    <w:rsid w:val="00AC5522"/>
    <w:rsid w:val="00AC55B1"/>
    <w:rsid w:val="00AC55CD"/>
    <w:rsid w:val="00AC5602"/>
    <w:rsid w:val="00AC5654"/>
    <w:rsid w:val="00AC565B"/>
    <w:rsid w:val="00AC565E"/>
    <w:rsid w:val="00AC571C"/>
    <w:rsid w:val="00AC579A"/>
    <w:rsid w:val="00AC57F7"/>
    <w:rsid w:val="00AC5821"/>
    <w:rsid w:val="00AC5868"/>
    <w:rsid w:val="00AC588C"/>
    <w:rsid w:val="00AC591C"/>
    <w:rsid w:val="00AC5978"/>
    <w:rsid w:val="00AC5995"/>
    <w:rsid w:val="00AC59DB"/>
    <w:rsid w:val="00AC5A16"/>
    <w:rsid w:val="00AC5AFD"/>
    <w:rsid w:val="00AC5B32"/>
    <w:rsid w:val="00AC5DF8"/>
    <w:rsid w:val="00AC5E27"/>
    <w:rsid w:val="00AC5E48"/>
    <w:rsid w:val="00AC5EAB"/>
    <w:rsid w:val="00AC5EC3"/>
    <w:rsid w:val="00AC5F53"/>
    <w:rsid w:val="00AC6130"/>
    <w:rsid w:val="00AC614D"/>
    <w:rsid w:val="00AC6224"/>
    <w:rsid w:val="00AC6281"/>
    <w:rsid w:val="00AC62A5"/>
    <w:rsid w:val="00AC6301"/>
    <w:rsid w:val="00AC631B"/>
    <w:rsid w:val="00AC64C2"/>
    <w:rsid w:val="00AC64D3"/>
    <w:rsid w:val="00AC65D2"/>
    <w:rsid w:val="00AC66B5"/>
    <w:rsid w:val="00AC66F5"/>
    <w:rsid w:val="00AC66F6"/>
    <w:rsid w:val="00AC6858"/>
    <w:rsid w:val="00AC6897"/>
    <w:rsid w:val="00AC6961"/>
    <w:rsid w:val="00AC6967"/>
    <w:rsid w:val="00AC6998"/>
    <w:rsid w:val="00AC69C0"/>
    <w:rsid w:val="00AC6A40"/>
    <w:rsid w:val="00AC6A88"/>
    <w:rsid w:val="00AC6A8B"/>
    <w:rsid w:val="00AC6B5F"/>
    <w:rsid w:val="00AC6BCB"/>
    <w:rsid w:val="00AC6C10"/>
    <w:rsid w:val="00AC6C64"/>
    <w:rsid w:val="00AC6C80"/>
    <w:rsid w:val="00AC6C97"/>
    <w:rsid w:val="00AC6D28"/>
    <w:rsid w:val="00AC6D2F"/>
    <w:rsid w:val="00AC6DB2"/>
    <w:rsid w:val="00AC6DDE"/>
    <w:rsid w:val="00AC6DEC"/>
    <w:rsid w:val="00AC6EF7"/>
    <w:rsid w:val="00AC6F5B"/>
    <w:rsid w:val="00AC6F80"/>
    <w:rsid w:val="00AC6F84"/>
    <w:rsid w:val="00AC7094"/>
    <w:rsid w:val="00AC723D"/>
    <w:rsid w:val="00AC72F1"/>
    <w:rsid w:val="00AC7368"/>
    <w:rsid w:val="00AC73A1"/>
    <w:rsid w:val="00AC7434"/>
    <w:rsid w:val="00AC746F"/>
    <w:rsid w:val="00AC75A6"/>
    <w:rsid w:val="00AC7822"/>
    <w:rsid w:val="00AC7875"/>
    <w:rsid w:val="00AC7909"/>
    <w:rsid w:val="00AC7995"/>
    <w:rsid w:val="00AC7A0F"/>
    <w:rsid w:val="00AC7A32"/>
    <w:rsid w:val="00AC7A93"/>
    <w:rsid w:val="00AC7ADD"/>
    <w:rsid w:val="00AC7AF3"/>
    <w:rsid w:val="00AC7B40"/>
    <w:rsid w:val="00AC7BB7"/>
    <w:rsid w:val="00AC7C24"/>
    <w:rsid w:val="00AC7CA0"/>
    <w:rsid w:val="00AC7D8F"/>
    <w:rsid w:val="00AC7EC2"/>
    <w:rsid w:val="00AC7F5F"/>
    <w:rsid w:val="00AC7F6E"/>
    <w:rsid w:val="00AD005A"/>
    <w:rsid w:val="00AD0065"/>
    <w:rsid w:val="00AD00AB"/>
    <w:rsid w:val="00AD00F1"/>
    <w:rsid w:val="00AD01FA"/>
    <w:rsid w:val="00AD0230"/>
    <w:rsid w:val="00AD024A"/>
    <w:rsid w:val="00AD02F6"/>
    <w:rsid w:val="00AD0367"/>
    <w:rsid w:val="00AD037E"/>
    <w:rsid w:val="00AD03B3"/>
    <w:rsid w:val="00AD03E3"/>
    <w:rsid w:val="00AD0419"/>
    <w:rsid w:val="00AD055E"/>
    <w:rsid w:val="00AD05C0"/>
    <w:rsid w:val="00AD0617"/>
    <w:rsid w:val="00AD069A"/>
    <w:rsid w:val="00AD074C"/>
    <w:rsid w:val="00AD0782"/>
    <w:rsid w:val="00AD07AE"/>
    <w:rsid w:val="00AD081D"/>
    <w:rsid w:val="00AD09F4"/>
    <w:rsid w:val="00AD0A28"/>
    <w:rsid w:val="00AD0AF0"/>
    <w:rsid w:val="00AD0B17"/>
    <w:rsid w:val="00AD0C06"/>
    <w:rsid w:val="00AD0C19"/>
    <w:rsid w:val="00AD0C36"/>
    <w:rsid w:val="00AD0CAB"/>
    <w:rsid w:val="00AD0D60"/>
    <w:rsid w:val="00AD0DA1"/>
    <w:rsid w:val="00AD0EE9"/>
    <w:rsid w:val="00AD0F65"/>
    <w:rsid w:val="00AD1012"/>
    <w:rsid w:val="00AD1029"/>
    <w:rsid w:val="00AD10FA"/>
    <w:rsid w:val="00AD1167"/>
    <w:rsid w:val="00AD1282"/>
    <w:rsid w:val="00AD12E4"/>
    <w:rsid w:val="00AD1436"/>
    <w:rsid w:val="00AD143F"/>
    <w:rsid w:val="00AD146F"/>
    <w:rsid w:val="00AD14F5"/>
    <w:rsid w:val="00AD1544"/>
    <w:rsid w:val="00AD1605"/>
    <w:rsid w:val="00AD16AE"/>
    <w:rsid w:val="00AD1766"/>
    <w:rsid w:val="00AD18D6"/>
    <w:rsid w:val="00AD19D1"/>
    <w:rsid w:val="00AD19FC"/>
    <w:rsid w:val="00AD1B27"/>
    <w:rsid w:val="00AD1B28"/>
    <w:rsid w:val="00AD1B2E"/>
    <w:rsid w:val="00AD1B96"/>
    <w:rsid w:val="00AD1C75"/>
    <w:rsid w:val="00AD1CBC"/>
    <w:rsid w:val="00AD1CE5"/>
    <w:rsid w:val="00AD1CE6"/>
    <w:rsid w:val="00AD1D25"/>
    <w:rsid w:val="00AD1D39"/>
    <w:rsid w:val="00AD1D3A"/>
    <w:rsid w:val="00AD1E85"/>
    <w:rsid w:val="00AD1F99"/>
    <w:rsid w:val="00AD1FEF"/>
    <w:rsid w:val="00AD1FF7"/>
    <w:rsid w:val="00AD212E"/>
    <w:rsid w:val="00AD21DD"/>
    <w:rsid w:val="00AD21E1"/>
    <w:rsid w:val="00AD24B1"/>
    <w:rsid w:val="00AD24E3"/>
    <w:rsid w:val="00AD24FD"/>
    <w:rsid w:val="00AD2514"/>
    <w:rsid w:val="00AD25CD"/>
    <w:rsid w:val="00AD2663"/>
    <w:rsid w:val="00AD26B6"/>
    <w:rsid w:val="00AD2757"/>
    <w:rsid w:val="00AD27CF"/>
    <w:rsid w:val="00AD282A"/>
    <w:rsid w:val="00AD283E"/>
    <w:rsid w:val="00AD2871"/>
    <w:rsid w:val="00AD2AA1"/>
    <w:rsid w:val="00AD2C5D"/>
    <w:rsid w:val="00AD2D63"/>
    <w:rsid w:val="00AD2D72"/>
    <w:rsid w:val="00AD2D9B"/>
    <w:rsid w:val="00AD2DB1"/>
    <w:rsid w:val="00AD3129"/>
    <w:rsid w:val="00AD3170"/>
    <w:rsid w:val="00AD32DB"/>
    <w:rsid w:val="00AD332D"/>
    <w:rsid w:val="00AD335A"/>
    <w:rsid w:val="00AD338B"/>
    <w:rsid w:val="00AD33F6"/>
    <w:rsid w:val="00AD3481"/>
    <w:rsid w:val="00AD34A6"/>
    <w:rsid w:val="00AD3503"/>
    <w:rsid w:val="00AD35F7"/>
    <w:rsid w:val="00AD3676"/>
    <w:rsid w:val="00AD36CF"/>
    <w:rsid w:val="00AD37E3"/>
    <w:rsid w:val="00AD385D"/>
    <w:rsid w:val="00AD38FB"/>
    <w:rsid w:val="00AD394C"/>
    <w:rsid w:val="00AD3966"/>
    <w:rsid w:val="00AD3A7F"/>
    <w:rsid w:val="00AD3AA1"/>
    <w:rsid w:val="00AD3AF4"/>
    <w:rsid w:val="00AD3B2C"/>
    <w:rsid w:val="00AD3B5C"/>
    <w:rsid w:val="00AD3BDE"/>
    <w:rsid w:val="00AD3C19"/>
    <w:rsid w:val="00AD3DE8"/>
    <w:rsid w:val="00AD3DEF"/>
    <w:rsid w:val="00AD3E98"/>
    <w:rsid w:val="00AD4060"/>
    <w:rsid w:val="00AD407A"/>
    <w:rsid w:val="00AD40A9"/>
    <w:rsid w:val="00AD4178"/>
    <w:rsid w:val="00AD4186"/>
    <w:rsid w:val="00AD4234"/>
    <w:rsid w:val="00AD4267"/>
    <w:rsid w:val="00AD43C3"/>
    <w:rsid w:val="00AD440D"/>
    <w:rsid w:val="00AD442C"/>
    <w:rsid w:val="00AD442D"/>
    <w:rsid w:val="00AD44EE"/>
    <w:rsid w:val="00AD44FF"/>
    <w:rsid w:val="00AD4540"/>
    <w:rsid w:val="00AD46A7"/>
    <w:rsid w:val="00AD4725"/>
    <w:rsid w:val="00AD4734"/>
    <w:rsid w:val="00AD47A3"/>
    <w:rsid w:val="00AD47AE"/>
    <w:rsid w:val="00AD47E0"/>
    <w:rsid w:val="00AD4864"/>
    <w:rsid w:val="00AD49B3"/>
    <w:rsid w:val="00AD49BD"/>
    <w:rsid w:val="00AD4A65"/>
    <w:rsid w:val="00AD4ACF"/>
    <w:rsid w:val="00AD4AF2"/>
    <w:rsid w:val="00AD4B7B"/>
    <w:rsid w:val="00AD4BC4"/>
    <w:rsid w:val="00AD4CB8"/>
    <w:rsid w:val="00AD4D15"/>
    <w:rsid w:val="00AD4DB5"/>
    <w:rsid w:val="00AD4E52"/>
    <w:rsid w:val="00AD4ED5"/>
    <w:rsid w:val="00AD4EE5"/>
    <w:rsid w:val="00AD4F30"/>
    <w:rsid w:val="00AD5095"/>
    <w:rsid w:val="00AD50C0"/>
    <w:rsid w:val="00AD50DA"/>
    <w:rsid w:val="00AD51D5"/>
    <w:rsid w:val="00AD52EE"/>
    <w:rsid w:val="00AD53E0"/>
    <w:rsid w:val="00AD5419"/>
    <w:rsid w:val="00AD5451"/>
    <w:rsid w:val="00AD5482"/>
    <w:rsid w:val="00AD55AE"/>
    <w:rsid w:val="00AD55F9"/>
    <w:rsid w:val="00AD5617"/>
    <w:rsid w:val="00AD563B"/>
    <w:rsid w:val="00AD5674"/>
    <w:rsid w:val="00AD56AA"/>
    <w:rsid w:val="00AD56B7"/>
    <w:rsid w:val="00AD56D0"/>
    <w:rsid w:val="00AD576A"/>
    <w:rsid w:val="00AD5817"/>
    <w:rsid w:val="00AD5851"/>
    <w:rsid w:val="00AD587E"/>
    <w:rsid w:val="00AD589A"/>
    <w:rsid w:val="00AD58EF"/>
    <w:rsid w:val="00AD58FA"/>
    <w:rsid w:val="00AD5963"/>
    <w:rsid w:val="00AD5A15"/>
    <w:rsid w:val="00AD5A6A"/>
    <w:rsid w:val="00AD5A9A"/>
    <w:rsid w:val="00AD5C59"/>
    <w:rsid w:val="00AD5C9C"/>
    <w:rsid w:val="00AD5D79"/>
    <w:rsid w:val="00AD5DB6"/>
    <w:rsid w:val="00AD5DE3"/>
    <w:rsid w:val="00AD5E05"/>
    <w:rsid w:val="00AD5F19"/>
    <w:rsid w:val="00AD5F58"/>
    <w:rsid w:val="00AD5FCE"/>
    <w:rsid w:val="00AD5FE1"/>
    <w:rsid w:val="00AD6007"/>
    <w:rsid w:val="00AD60EA"/>
    <w:rsid w:val="00AD6154"/>
    <w:rsid w:val="00AD62AA"/>
    <w:rsid w:val="00AD631F"/>
    <w:rsid w:val="00AD6394"/>
    <w:rsid w:val="00AD6434"/>
    <w:rsid w:val="00AD65B0"/>
    <w:rsid w:val="00AD65F2"/>
    <w:rsid w:val="00AD6618"/>
    <w:rsid w:val="00AD6664"/>
    <w:rsid w:val="00AD666E"/>
    <w:rsid w:val="00AD6694"/>
    <w:rsid w:val="00AD66F2"/>
    <w:rsid w:val="00AD6719"/>
    <w:rsid w:val="00AD682E"/>
    <w:rsid w:val="00AD68BF"/>
    <w:rsid w:val="00AD692C"/>
    <w:rsid w:val="00AD697F"/>
    <w:rsid w:val="00AD699E"/>
    <w:rsid w:val="00AD69D7"/>
    <w:rsid w:val="00AD69F8"/>
    <w:rsid w:val="00AD6B6B"/>
    <w:rsid w:val="00AD6BEF"/>
    <w:rsid w:val="00AD6C29"/>
    <w:rsid w:val="00AD6C4C"/>
    <w:rsid w:val="00AD6CDE"/>
    <w:rsid w:val="00AD6D81"/>
    <w:rsid w:val="00AD6DC1"/>
    <w:rsid w:val="00AD6DD1"/>
    <w:rsid w:val="00AD6EFF"/>
    <w:rsid w:val="00AD6FB9"/>
    <w:rsid w:val="00AD7068"/>
    <w:rsid w:val="00AD70A5"/>
    <w:rsid w:val="00AD70F9"/>
    <w:rsid w:val="00AD710D"/>
    <w:rsid w:val="00AD7168"/>
    <w:rsid w:val="00AD71A2"/>
    <w:rsid w:val="00AD71D1"/>
    <w:rsid w:val="00AD721B"/>
    <w:rsid w:val="00AD7231"/>
    <w:rsid w:val="00AD7265"/>
    <w:rsid w:val="00AD72D1"/>
    <w:rsid w:val="00AD741B"/>
    <w:rsid w:val="00AD742F"/>
    <w:rsid w:val="00AD7452"/>
    <w:rsid w:val="00AD7483"/>
    <w:rsid w:val="00AD7532"/>
    <w:rsid w:val="00AD7555"/>
    <w:rsid w:val="00AD756A"/>
    <w:rsid w:val="00AD75F4"/>
    <w:rsid w:val="00AD7684"/>
    <w:rsid w:val="00AD77C4"/>
    <w:rsid w:val="00AD77E0"/>
    <w:rsid w:val="00AD7830"/>
    <w:rsid w:val="00AD7831"/>
    <w:rsid w:val="00AD78A5"/>
    <w:rsid w:val="00AD79CC"/>
    <w:rsid w:val="00AD7A5E"/>
    <w:rsid w:val="00AD7AD8"/>
    <w:rsid w:val="00AD7B19"/>
    <w:rsid w:val="00AD7B8B"/>
    <w:rsid w:val="00AD7BF2"/>
    <w:rsid w:val="00AD7C7C"/>
    <w:rsid w:val="00AD7CDF"/>
    <w:rsid w:val="00AD7D02"/>
    <w:rsid w:val="00AD7D2F"/>
    <w:rsid w:val="00AD7D89"/>
    <w:rsid w:val="00AD7D99"/>
    <w:rsid w:val="00AD7DB3"/>
    <w:rsid w:val="00AD7DCB"/>
    <w:rsid w:val="00AD7DDA"/>
    <w:rsid w:val="00AD7DF0"/>
    <w:rsid w:val="00AD7E7F"/>
    <w:rsid w:val="00AD7EB4"/>
    <w:rsid w:val="00AD7F34"/>
    <w:rsid w:val="00AD7F46"/>
    <w:rsid w:val="00AD7F7D"/>
    <w:rsid w:val="00AE0101"/>
    <w:rsid w:val="00AE0169"/>
    <w:rsid w:val="00AE01B8"/>
    <w:rsid w:val="00AE01DA"/>
    <w:rsid w:val="00AE0369"/>
    <w:rsid w:val="00AE03FA"/>
    <w:rsid w:val="00AE0407"/>
    <w:rsid w:val="00AE04B0"/>
    <w:rsid w:val="00AE04B9"/>
    <w:rsid w:val="00AE04CC"/>
    <w:rsid w:val="00AE04D5"/>
    <w:rsid w:val="00AE0536"/>
    <w:rsid w:val="00AE0558"/>
    <w:rsid w:val="00AE05B6"/>
    <w:rsid w:val="00AE06C9"/>
    <w:rsid w:val="00AE075B"/>
    <w:rsid w:val="00AE07C3"/>
    <w:rsid w:val="00AE08C8"/>
    <w:rsid w:val="00AE092A"/>
    <w:rsid w:val="00AE0947"/>
    <w:rsid w:val="00AE09A0"/>
    <w:rsid w:val="00AE0A39"/>
    <w:rsid w:val="00AE0AC1"/>
    <w:rsid w:val="00AE0ADF"/>
    <w:rsid w:val="00AE0B43"/>
    <w:rsid w:val="00AE0B78"/>
    <w:rsid w:val="00AE0C14"/>
    <w:rsid w:val="00AE0C85"/>
    <w:rsid w:val="00AE0CE5"/>
    <w:rsid w:val="00AE0D0F"/>
    <w:rsid w:val="00AE0D78"/>
    <w:rsid w:val="00AE0EA8"/>
    <w:rsid w:val="00AE0EF2"/>
    <w:rsid w:val="00AE0F23"/>
    <w:rsid w:val="00AE0F8B"/>
    <w:rsid w:val="00AE0FA8"/>
    <w:rsid w:val="00AE0FC3"/>
    <w:rsid w:val="00AE0FC8"/>
    <w:rsid w:val="00AE1035"/>
    <w:rsid w:val="00AE1096"/>
    <w:rsid w:val="00AE109F"/>
    <w:rsid w:val="00AE1130"/>
    <w:rsid w:val="00AE114C"/>
    <w:rsid w:val="00AE12C2"/>
    <w:rsid w:val="00AE1327"/>
    <w:rsid w:val="00AE134B"/>
    <w:rsid w:val="00AE1447"/>
    <w:rsid w:val="00AE1530"/>
    <w:rsid w:val="00AE1556"/>
    <w:rsid w:val="00AE1570"/>
    <w:rsid w:val="00AE159B"/>
    <w:rsid w:val="00AE15B5"/>
    <w:rsid w:val="00AE16BA"/>
    <w:rsid w:val="00AE174E"/>
    <w:rsid w:val="00AE1774"/>
    <w:rsid w:val="00AE17DF"/>
    <w:rsid w:val="00AE1806"/>
    <w:rsid w:val="00AE1871"/>
    <w:rsid w:val="00AE1885"/>
    <w:rsid w:val="00AE1898"/>
    <w:rsid w:val="00AE1A46"/>
    <w:rsid w:val="00AE1B08"/>
    <w:rsid w:val="00AE1B4E"/>
    <w:rsid w:val="00AE1B55"/>
    <w:rsid w:val="00AE1B67"/>
    <w:rsid w:val="00AE1B83"/>
    <w:rsid w:val="00AE1CCF"/>
    <w:rsid w:val="00AE1D1F"/>
    <w:rsid w:val="00AE1D7E"/>
    <w:rsid w:val="00AE1DE5"/>
    <w:rsid w:val="00AE1E4C"/>
    <w:rsid w:val="00AE2009"/>
    <w:rsid w:val="00AE2012"/>
    <w:rsid w:val="00AE201F"/>
    <w:rsid w:val="00AE20BE"/>
    <w:rsid w:val="00AE215B"/>
    <w:rsid w:val="00AE21C6"/>
    <w:rsid w:val="00AE21E4"/>
    <w:rsid w:val="00AE231D"/>
    <w:rsid w:val="00AE24CF"/>
    <w:rsid w:val="00AE24DB"/>
    <w:rsid w:val="00AE2505"/>
    <w:rsid w:val="00AE251B"/>
    <w:rsid w:val="00AE2635"/>
    <w:rsid w:val="00AE2675"/>
    <w:rsid w:val="00AE274A"/>
    <w:rsid w:val="00AE27F2"/>
    <w:rsid w:val="00AE286A"/>
    <w:rsid w:val="00AE290D"/>
    <w:rsid w:val="00AE2940"/>
    <w:rsid w:val="00AE2945"/>
    <w:rsid w:val="00AE2979"/>
    <w:rsid w:val="00AE29B0"/>
    <w:rsid w:val="00AE2A1C"/>
    <w:rsid w:val="00AE2BD9"/>
    <w:rsid w:val="00AE2E5D"/>
    <w:rsid w:val="00AE2F2C"/>
    <w:rsid w:val="00AE2FE2"/>
    <w:rsid w:val="00AE2FE3"/>
    <w:rsid w:val="00AE3144"/>
    <w:rsid w:val="00AE3172"/>
    <w:rsid w:val="00AE3200"/>
    <w:rsid w:val="00AE32FC"/>
    <w:rsid w:val="00AE3400"/>
    <w:rsid w:val="00AE3440"/>
    <w:rsid w:val="00AE34CF"/>
    <w:rsid w:val="00AE34D9"/>
    <w:rsid w:val="00AE34DD"/>
    <w:rsid w:val="00AE35A2"/>
    <w:rsid w:val="00AE36DE"/>
    <w:rsid w:val="00AE36F2"/>
    <w:rsid w:val="00AE3839"/>
    <w:rsid w:val="00AE38B8"/>
    <w:rsid w:val="00AE38EE"/>
    <w:rsid w:val="00AE38F2"/>
    <w:rsid w:val="00AE3922"/>
    <w:rsid w:val="00AE392E"/>
    <w:rsid w:val="00AE3930"/>
    <w:rsid w:val="00AE3A60"/>
    <w:rsid w:val="00AE3BD2"/>
    <w:rsid w:val="00AE3CDF"/>
    <w:rsid w:val="00AE3D38"/>
    <w:rsid w:val="00AE3D58"/>
    <w:rsid w:val="00AE3D9C"/>
    <w:rsid w:val="00AE3DED"/>
    <w:rsid w:val="00AE3EC6"/>
    <w:rsid w:val="00AE3F17"/>
    <w:rsid w:val="00AE3F3B"/>
    <w:rsid w:val="00AE3FD8"/>
    <w:rsid w:val="00AE3FF0"/>
    <w:rsid w:val="00AE4016"/>
    <w:rsid w:val="00AE40B7"/>
    <w:rsid w:val="00AE40EE"/>
    <w:rsid w:val="00AE4174"/>
    <w:rsid w:val="00AE41F9"/>
    <w:rsid w:val="00AE4207"/>
    <w:rsid w:val="00AE4230"/>
    <w:rsid w:val="00AE424B"/>
    <w:rsid w:val="00AE4261"/>
    <w:rsid w:val="00AE42C3"/>
    <w:rsid w:val="00AE432A"/>
    <w:rsid w:val="00AE4375"/>
    <w:rsid w:val="00AE43B2"/>
    <w:rsid w:val="00AE43F3"/>
    <w:rsid w:val="00AE43F4"/>
    <w:rsid w:val="00AE4445"/>
    <w:rsid w:val="00AE4485"/>
    <w:rsid w:val="00AE448A"/>
    <w:rsid w:val="00AE44CD"/>
    <w:rsid w:val="00AE451B"/>
    <w:rsid w:val="00AE45BF"/>
    <w:rsid w:val="00AE45EB"/>
    <w:rsid w:val="00AE4612"/>
    <w:rsid w:val="00AE462A"/>
    <w:rsid w:val="00AE464F"/>
    <w:rsid w:val="00AE4786"/>
    <w:rsid w:val="00AE4810"/>
    <w:rsid w:val="00AE48CC"/>
    <w:rsid w:val="00AE4954"/>
    <w:rsid w:val="00AE4B17"/>
    <w:rsid w:val="00AE4B59"/>
    <w:rsid w:val="00AE4B74"/>
    <w:rsid w:val="00AE4BF3"/>
    <w:rsid w:val="00AE4C2C"/>
    <w:rsid w:val="00AE4C34"/>
    <w:rsid w:val="00AE4C7B"/>
    <w:rsid w:val="00AE4CAB"/>
    <w:rsid w:val="00AE4CCE"/>
    <w:rsid w:val="00AE4D70"/>
    <w:rsid w:val="00AE4D83"/>
    <w:rsid w:val="00AE4DFD"/>
    <w:rsid w:val="00AE4EDA"/>
    <w:rsid w:val="00AE4F18"/>
    <w:rsid w:val="00AE4F9C"/>
    <w:rsid w:val="00AE5058"/>
    <w:rsid w:val="00AE50E3"/>
    <w:rsid w:val="00AE5155"/>
    <w:rsid w:val="00AE5242"/>
    <w:rsid w:val="00AE529E"/>
    <w:rsid w:val="00AE52BF"/>
    <w:rsid w:val="00AE52DE"/>
    <w:rsid w:val="00AE531B"/>
    <w:rsid w:val="00AE532A"/>
    <w:rsid w:val="00AE5331"/>
    <w:rsid w:val="00AE535E"/>
    <w:rsid w:val="00AE5456"/>
    <w:rsid w:val="00AE547A"/>
    <w:rsid w:val="00AE547E"/>
    <w:rsid w:val="00AE5506"/>
    <w:rsid w:val="00AE552A"/>
    <w:rsid w:val="00AE5568"/>
    <w:rsid w:val="00AE55C7"/>
    <w:rsid w:val="00AE55ED"/>
    <w:rsid w:val="00AE5600"/>
    <w:rsid w:val="00AE566C"/>
    <w:rsid w:val="00AE56BA"/>
    <w:rsid w:val="00AE57D3"/>
    <w:rsid w:val="00AE57F4"/>
    <w:rsid w:val="00AE58FB"/>
    <w:rsid w:val="00AE5939"/>
    <w:rsid w:val="00AE5993"/>
    <w:rsid w:val="00AE5A0E"/>
    <w:rsid w:val="00AE5AFC"/>
    <w:rsid w:val="00AE5B46"/>
    <w:rsid w:val="00AE5C58"/>
    <w:rsid w:val="00AE5C61"/>
    <w:rsid w:val="00AE5D7B"/>
    <w:rsid w:val="00AE5E7B"/>
    <w:rsid w:val="00AE5EAE"/>
    <w:rsid w:val="00AE5F85"/>
    <w:rsid w:val="00AE6042"/>
    <w:rsid w:val="00AE6053"/>
    <w:rsid w:val="00AE6067"/>
    <w:rsid w:val="00AE60C1"/>
    <w:rsid w:val="00AE610C"/>
    <w:rsid w:val="00AE6174"/>
    <w:rsid w:val="00AE61E9"/>
    <w:rsid w:val="00AE6284"/>
    <w:rsid w:val="00AE62D0"/>
    <w:rsid w:val="00AE63A0"/>
    <w:rsid w:val="00AE63AE"/>
    <w:rsid w:val="00AE63F9"/>
    <w:rsid w:val="00AE6556"/>
    <w:rsid w:val="00AE657B"/>
    <w:rsid w:val="00AE6594"/>
    <w:rsid w:val="00AE664D"/>
    <w:rsid w:val="00AE66BF"/>
    <w:rsid w:val="00AE69E0"/>
    <w:rsid w:val="00AE6A6D"/>
    <w:rsid w:val="00AE6ABB"/>
    <w:rsid w:val="00AE6C53"/>
    <w:rsid w:val="00AE6D8A"/>
    <w:rsid w:val="00AE6DC3"/>
    <w:rsid w:val="00AE6E1E"/>
    <w:rsid w:val="00AE6E78"/>
    <w:rsid w:val="00AE6E86"/>
    <w:rsid w:val="00AE7070"/>
    <w:rsid w:val="00AE70AD"/>
    <w:rsid w:val="00AE70B8"/>
    <w:rsid w:val="00AE7117"/>
    <w:rsid w:val="00AE71A4"/>
    <w:rsid w:val="00AE71C0"/>
    <w:rsid w:val="00AE71C1"/>
    <w:rsid w:val="00AE7217"/>
    <w:rsid w:val="00AE7250"/>
    <w:rsid w:val="00AE726A"/>
    <w:rsid w:val="00AE72CC"/>
    <w:rsid w:val="00AE72CE"/>
    <w:rsid w:val="00AE7319"/>
    <w:rsid w:val="00AE736C"/>
    <w:rsid w:val="00AE74A8"/>
    <w:rsid w:val="00AE74B1"/>
    <w:rsid w:val="00AE7570"/>
    <w:rsid w:val="00AE75AF"/>
    <w:rsid w:val="00AE75B9"/>
    <w:rsid w:val="00AE75CA"/>
    <w:rsid w:val="00AE764E"/>
    <w:rsid w:val="00AE765B"/>
    <w:rsid w:val="00AE7691"/>
    <w:rsid w:val="00AE77D9"/>
    <w:rsid w:val="00AE7825"/>
    <w:rsid w:val="00AE78B1"/>
    <w:rsid w:val="00AE7A77"/>
    <w:rsid w:val="00AE7B04"/>
    <w:rsid w:val="00AE7B98"/>
    <w:rsid w:val="00AE7BA7"/>
    <w:rsid w:val="00AE7BF4"/>
    <w:rsid w:val="00AE7D87"/>
    <w:rsid w:val="00AE7DB4"/>
    <w:rsid w:val="00AE7FE2"/>
    <w:rsid w:val="00AE7FEF"/>
    <w:rsid w:val="00AF00CE"/>
    <w:rsid w:val="00AF00E3"/>
    <w:rsid w:val="00AF00FC"/>
    <w:rsid w:val="00AF012A"/>
    <w:rsid w:val="00AF0203"/>
    <w:rsid w:val="00AF024A"/>
    <w:rsid w:val="00AF031A"/>
    <w:rsid w:val="00AF033D"/>
    <w:rsid w:val="00AF03AA"/>
    <w:rsid w:val="00AF03D5"/>
    <w:rsid w:val="00AF04E3"/>
    <w:rsid w:val="00AF04FE"/>
    <w:rsid w:val="00AF0581"/>
    <w:rsid w:val="00AF05C3"/>
    <w:rsid w:val="00AF062D"/>
    <w:rsid w:val="00AF0649"/>
    <w:rsid w:val="00AF076B"/>
    <w:rsid w:val="00AF07C7"/>
    <w:rsid w:val="00AF07E2"/>
    <w:rsid w:val="00AF08A1"/>
    <w:rsid w:val="00AF08C0"/>
    <w:rsid w:val="00AF094B"/>
    <w:rsid w:val="00AF0953"/>
    <w:rsid w:val="00AF0992"/>
    <w:rsid w:val="00AF0A21"/>
    <w:rsid w:val="00AF0A54"/>
    <w:rsid w:val="00AF0A87"/>
    <w:rsid w:val="00AF0AB4"/>
    <w:rsid w:val="00AF0ABF"/>
    <w:rsid w:val="00AF0CB2"/>
    <w:rsid w:val="00AF0CB7"/>
    <w:rsid w:val="00AF0D63"/>
    <w:rsid w:val="00AF0E3D"/>
    <w:rsid w:val="00AF0E61"/>
    <w:rsid w:val="00AF0E7B"/>
    <w:rsid w:val="00AF0EAA"/>
    <w:rsid w:val="00AF0EE6"/>
    <w:rsid w:val="00AF1011"/>
    <w:rsid w:val="00AF104C"/>
    <w:rsid w:val="00AF1052"/>
    <w:rsid w:val="00AF1095"/>
    <w:rsid w:val="00AF10A0"/>
    <w:rsid w:val="00AF10D8"/>
    <w:rsid w:val="00AF1126"/>
    <w:rsid w:val="00AF1133"/>
    <w:rsid w:val="00AF1146"/>
    <w:rsid w:val="00AF1179"/>
    <w:rsid w:val="00AF117A"/>
    <w:rsid w:val="00AF1257"/>
    <w:rsid w:val="00AF1264"/>
    <w:rsid w:val="00AF12A4"/>
    <w:rsid w:val="00AF12FB"/>
    <w:rsid w:val="00AF12FC"/>
    <w:rsid w:val="00AF1361"/>
    <w:rsid w:val="00AF1409"/>
    <w:rsid w:val="00AF143C"/>
    <w:rsid w:val="00AF147F"/>
    <w:rsid w:val="00AF1483"/>
    <w:rsid w:val="00AF1488"/>
    <w:rsid w:val="00AF14B1"/>
    <w:rsid w:val="00AF1590"/>
    <w:rsid w:val="00AF15A5"/>
    <w:rsid w:val="00AF1612"/>
    <w:rsid w:val="00AF166D"/>
    <w:rsid w:val="00AF172E"/>
    <w:rsid w:val="00AF1764"/>
    <w:rsid w:val="00AF1772"/>
    <w:rsid w:val="00AF1774"/>
    <w:rsid w:val="00AF1862"/>
    <w:rsid w:val="00AF1883"/>
    <w:rsid w:val="00AF1904"/>
    <w:rsid w:val="00AF192E"/>
    <w:rsid w:val="00AF1970"/>
    <w:rsid w:val="00AF1B9D"/>
    <w:rsid w:val="00AF1BF3"/>
    <w:rsid w:val="00AF1CD6"/>
    <w:rsid w:val="00AF1EC7"/>
    <w:rsid w:val="00AF1F2C"/>
    <w:rsid w:val="00AF1F3D"/>
    <w:rsid w:val="00AF1FC5"/>
    <w:rsid w:val="00AF219C"/>
    <w:rsid w:val="00AF2244"/>
    <w:rsid w:val="00AF2304"/>
    <w:rsid w:val="00AF2348"/>
    <w:rsid w:val="00AF2408"/>
    <w:rsid w:val="00AF2464"/>
    <w:rsid w:val="00AF25E7"/>
    <w:rsid w:val="00AF2611"/>
    <w:rsid w:val="00AF2645"/>
    <w:rsid w:val="00AF26FE"/>
    <w:rsid w:val="00AF27FF"/>
    <w:rsid w:val="00AF2937"/>
    <w:rsid w:val="00AF29E2"/>
    <w:rsid w:val="00AF2A09"/>
    <w:rsid w:val="00AF2A5F"/>
    <w:rsid w:val="00AF2A64"/>
    <w:rsid w:val="00AF2B70"/>
    <w:rsid w:val="00AF2B8E"/>
    <w:rsid w:val="00AF2BEC"/>
    <w:rsid w:val="00AF2C0C"/>
    <w:rsid w:val="00AF2C86"/>
    <w:rsid w:val="00AF2CA9"/>
    <w:rsid w:val="00AF2CE8"/>
    <w:rsid w:val="00AF2CFC"/>
    <w:rsid w:val="00AF2DE3"/>
    <w:rsid w:val="00AF2E4D"/>
    <w:rsid w:val="00AF2E87"/>
    <w:rsid w:val="00AF2F1F"/>
    <w:rsid w:val="00AF2FD3"/>
    <w:rsid w:val="00AF2FE0"/>
    <w:rsid w:val="00AF30BA"/>
    <w:rsid w:val="00AF3170"/>
    <w:rsid w:val="00AF31E1"/>
    <w:rsid w:val="00AF32BD"/>
    <w:rsid w:val="00AF32F1"/>
    <w:rsid w:val="00AF333A"/>
    <w:rsid w:val="00AF33D8"/>
    <w:rsid w:val="00AF345C"/>
    <w:rsid w:val="00AF34B8"/>
    <w:rsid w:val="00AF34FD"/>
    <w:rsid w:val="00AF350E"/>
    <w:rsid w:val="00AF3529"/>
    <w:rsid w:val="00AF3588"/>
    <w:rsid w:val="00AF35AE"/>
    <w:rsid w:val="00AF368F"/>
    <w:rsid w:val="00AF36D4"/>
    <w:rsid w:val="00AF36D9"/>
    <w:rsid w:val="00AF36EA"/>
    <w:rsid w:val="00AF3712"/>
    <w:rsid w:val="00AF3725"/>
    <w:rsid w:val="00AF37A4"/>
    <w:rsid w:val="00AF37FC"/>
    <w:rsid w:val="00AF3882"/>
    <w:rsid w:val="00AF396D"/>
    <w:rsid w:val="00AF396E"/>
    <w:rsid w:val="00AF39CC"/>
    <w:rsid w:val="00AF3ABB"/>
    <w:rsid w:val="00AF3AC5"/>
    <w:rsid w:val="00AF3B2C"/>
    <w:rsid w:val="00AF3BC6"/>
    <w:rsid w:val="00AF3C08"/>
    <w:rsid w:val="00AF3C4D"/>
    <w:rsid w:val="00AF3D2B"/>
    <w:rsid w:val="00AF3D9E"/>
    <w:rsid w:val="00AF3DCD"/>
    <w:rsid w:val="00AF3E5A"/>
    <w:rsid w:val="00AF3E94"/>
    <w:rsid w:val="00AF3F5F"/>
    <w:rsid w:val="00AF3FBB"/>
    <w:rsid w:val="00AF4094"/>
    <w:rsid w:val="00AF40A3"/>
    <w:rsid w:val="00AF4148"/>
    <w:rsid w:val="00AF41AC"/>
    <w:rsid w:val="00AF420E"/>
    <w:rsid w:val="00AF428A"/>
    <w:rsid w:val="00AF42BE"/>
    <w:rsid w:val="00AF42CC"/>
    <w:rsid w:val="00AF4358"/>
    <w:rsid w:val="00AF43CC"/>
    <w:rsid w:val="00AF43D2"/>
    <w:rsid w:val="00AF43EA"/>
    <w:rsid w:val="00AF44D0"/>
    <w:rsid w:val="00AF455D"/>
    <w:rsid w:val="00AF467C"/>
    <w:rsid w:val="00AF46BD"/>
    <w:rsid w:val="00AF4746"/>
    <w:rsid w:val="00AF48F6"/>
    <w:rsid w:val="00AF4BF3"/>
    <w:rsid w:val="00AF4C27"/>
    <w:rsid w:val="00AF4D71"/>
    <w:rsid w:val="00AF4DB3"/>
    <w:rsid w:val="00AF4DDD"/>
    <w:rsid w:val="00AF4DFE"/>
    <w:rsid w:val="00AF4F1F"/>
    <w:rsid w:val="00AF513C"/>
    <w:rsid w:val="00AF51BC"/>
    <w:rsid w:val="00AF5227"/>
    <w:rsid w:val="00AF5291"/>
    <w:rsid w:val="00AF52F3"/>
    <w:rsid w:val="00AF5305"/>
    <w:rsid w:val="00AF532F"/>
    <w:rsid w:val="00AF5346"/>
    <w:rsid w:val="00AF5369"/>
    <w:rsid w:val="00AF53E0"/>
    <w:rsid w:val="00AF54D9"/>
    <w:rsid w:val="00AF56AE"/>
    <w:rsid w:val="00AF5711"/>
    <w:rsid w:val="00AF5722"/>
    <w:rsid w:val="00AF574F"/>
    <w:rsid w:val="00AF5775"/>
    <w:rsid w:val="00AF57BF"/>
    <w:rsid w:val="00AF5874"/>
    <w:rsid w:val="00AF58C2"/>
    <w:rsid w:val="00AF5910"/>
    <w:rsid w:val="00AF5929"/>
    <w:rsid w:val="00AF595C"/>
    <w:rsid w:val="00AF598A"/>
    <w:rsid w:val="00AF59B1"/>
    <w:rsid w:val="00AF59B4"/>
    <w:rsid w:val="00AF59D3"/>
    <w:rsid w:val="00AF59D5"/>
    <w:rsid w:val="00AF59E5"/>
    <w:rsid w:val="00AF5A33"/>
    <w:rsid w:val="00AF5A4C"/>
    <w:rsid w:val="00AF5A4F"/>
    <w:rsid w:val="00AF5AF7"/>
    <w:rsid w:val="00AF5B93"/>
    <w:rsid w:val="00AF5B9F"/>
    <w:rsid w:val="00AF5BE2"/>
    <w:rsid w:val="00AF5BE5"/>
    <w:rsid w:val="00AF5C1A"/>
    <w:rsid w:val="00AF5C23"/>
    <w:rsid w:val="00AF5C50"/>
    <w:rsid w:val="00AF5CB7"/>
    <w:rsid w:val="00AF5CC5"/>
    <w:rsid w:val="00AF5DB6"/>
    <w:rsid w:val="00AF5DCF"/>
    <w:rsid w:val="00AF5DFB"/>
    <w:rsid w:val="00AF5EE6"/>
    <w:rsid w:val="00AF5F4F"/>
    <w:rsid w:val="00AF60D7"/>
    <w:rsid w:val="00AF610F"/>
    <w:rsid w:val="00AF61AE"/>
    <w:rsid w:val="00AF6227"/>
    <w:rsid w:val="00AF625A"/>
    <w:rsid w:val="00AF6260"/>
    <w:rsid w:val="00AF64B2"/>
    <w:rsid w:val="00AF64FD"/>
    <w:rsid w:val="00AF651D"/>
    <w:rsid w:val="00AF6525"/>
    <w:rsid w:val="00AF65DB"/>
    <w:rsid w:val="00AF6602"/>
    <w:rsid w:val="00AF6639"/>
    <w:rsid w:val="00AF6642"/>
    <w:rsid w:val="00AF666B"/>
    <w:rsid w:val="00AF668B"/>
    <w:rsid w:val="00AF676F"/>
    <w:rsid w:val="00AF677A"/>
    <w:rsid w:val="00AF67BD"/>
    <w:rsid w:val="00AF67EC"/>
    <w:rsid w:val="00AF6A41"/>
    <w:rsid w:val="00AF6A94"/>
    <w:rsid w:val="00AF6AA2"/>
    <w:rsid w:val="00AF6AED"/>
    <w:rsid w:val="00AF6AF9"/>
    <w:rsid w:val="00AF6B0E"/>
    <w:rsid w:val="00AF6B84"/>
    <w:rsid w:val="00AF6BA6"/>
    <w:rsid w:val="00AF6DF8"/>
    <w:rsid w:val="00AF6E03"/>
    <w:rsid w:val="00AF6E95"/>
    <w:rsid w:val="00AF6F8A"/>
    <w:rsid w:val="00AF7019"/>
    <w:rsid w:val="00AF703D"/>
    <w:rsid w:val="00AF712A"/>
    <w:rsid w:val="00AF7203"/>
    <w:rsid w:val="00AF720C"/>
    <w:rsid w:val="00AF725C"/>
    <w:rsid w:val="00AF726E"/>
    <w:rsid w:val="00AF7294"/>
    <w:rsid w:val="00AF72AD"/>
    <w:rsid w:val="00AF72C8"/>
    <w:rsid w:val="00AF7316"/>
    <w:rsid w:val="00AF736E"/>
    <w:rsid w:val="00AF7371"/>
    <w:rsid w:val="00AF73CE"/>
    <w:rsid w:val="00AF741B"/>
    <w:rsid w:val="00AF751F"/>
    <w:rsid w:val="00AF7575"/>
    <w:rsid w:val="00AF75CA"/>
    <w:rsid w:val="00AF764D"/>
    <w:rsid w:val="00AF76C9"/>
    <w:rsid w:val="00AF770A"/>
    <w:rsid w:val="00AF7765"/>
    <w:rsid w:val="00AF77FD"/>
    <w:rsid w:val="00AF7916"/>
    <w:rsid w:val="00AF7927"/>
    <w:rsid w:val="00AF79A2"/>
    <w:rsid w:val="00AF79DA"/>
    <w:rsid w:val="00AF7AB9"/>
    <w:rsid w:val="00AF7AED"/>
    <w:rsid w:val="00AF7AF8"/>
    <w:rsid w:val="00AF7C07"/>
    <w:rsid w:val="00AF7CAB"/>
    <w:rsid w:val="00AF7D5E"/>
    <w:rsid w:val="00AF7D60"/>
    <w:rsid w:val="00AF7DA1"/>
    <w:rsid w:val="00AF7DE5"/>
    <w:rsid w:val="00AF7E4B"/>
    <w:rsid w:val="00AF7F65"/>
    <w:rsid w:val="00AF7F7C"/>
    <w:rsid w:val="00AF7FCA"/>
    <w:rsid w:val="00AF7FF1"/>
    <w:rsid w:val="00AFF3A4"/>
    <w:rsid w:val="00B00014"/>
    <w:rsid w:val="00B00169"/>
    <w:rsid w:val="00B0026F"/>
    <w:rsid w:val="00B002DA"/>
    <w:rsid w:val="00B00336"/>
    <w:rsid w:val="00B0035A"/>
    <w:rsid w:val="00B004AA"/>
    <w:rsid w:val="00B0051C"/>
    <w:rsid w:val="00B00597"/>
    <w:rsid w:val="00B0059B"/>
    <w:rsid w:val="00B005A2"/>
    <w:rsid w:val="00B006CF"/>
    <w:rsid w:val="00B006D3"/>
    <w:rsid w:val="00B00720"/>
    <w:rsid w:val="00B0072C"/>
    <w:rsid w:val="00B00739"/>
    <w:rsid w:val="00B00742"/>
    <w:rsid w:val="00B00765"/>
    <w:rsid w:val="00B00773"/>
    <w:rsid w:val="00B007A9"/>
    <w:rsid w:val="00B0080D"/>
    <w:rsid w:val="00B0085C"/>
    <w:rsid w:val="00B008AA"/>
    <w:rsid w:val="00B009DC"/>
    <w:rsid w:val="00B00AA4"/>
    <w:rsid w:val="00B00C0C"/>
    <w:rsid w:val="00B00C30"/>
    <w:rsid w:val="00B00C75"/>
    <w:rsid w:val="00B00CA9"/>
    <w:rsid w:val="00B00CD0"/>
    <w:rsid w:val="00B00D30"/>
    <w:rsid w:val="00B00D5F"/>
    <w:rsid w:val="00B00E10"/>
    <w:rsid w:val="00B00E13"/>
    <w:rsid w:val="00B00E31"/>
    <w:rsid w:val="00B00EF2"/>
    <w:rsid w:val="00B00F0B"/>
    <w:rsid w:val="00B00FBC"/>
    <w:rsid w:val="00B00FD2"/>
    <w:rsid w:val="00B00FF8"/>
    <w:rsid w:val="00B0120C"/>
    <w:rsid w:val="00B0121C"/>
    <w:rsid w:val="00B012A0"/>
    <w:rsid w:val="00B01312"/>
    <w:rsid w:val="00B013FD"/>
    <w:rsid w:val="00B014AD"/>
    <w:rsid w:val="00B014D9"/>
    <w:rsid w:val="00B01526"/>
    <w:rsid w:val="00B01574"/>
    <w:rsid w:val="00B015C2"/>
    <w:rsid w:val="00B015EF"/>
    <w:rsid w:val="00B01624"/>
    <w:rsid w:val="00B0167D"/>
    <w:rsid w:val="00B01749"/>
    <w:rsid w:val="00B0176A"/>
    <w:rsid w:val="00B017C5"/>
    <w:rsid w:val="00B01818"/>
    <w:rsid w:val="00B0184B"/>
    <w:rsid w:val="00B018C5"/>
    <w:rsid w:val="00B018FD"/>
    <w:rsid w:val="00B01978"/>
    <w:rsid w:val="00B01A18"/>
    <w:rsid w:val="00B01A85"/>
    <w:rsid w:val="00B01AAF"/>
    <w:rsid w:val="00B01B15"/>
    <w:rsid w:val="00B01B2B"/>
    <w:rsid w:val="00B01B9B"/>
    <w:rsid w:val="00B01C19"/>
    <w:rsid w:val="00B01C32"/>
    <w:rsid w:val="00B01C8E"/>
    <w:rsid w:val="00B01CBB"/>
    <w:rsid w:val="00B01CDE"/>
    <w:rsid w:val="00B01D26"/>
    <w:rsid w:val="00B01D42"/>
    <w:rsid w:val="00B01D55"/>
    <w:rsid w:val="00B01DF9"/>
    <w:rsid w:val="00B01E46"/>
    <w:rsid w:val="00B01EAB"/>
    <w:rsid w:val="00B01EFB"/>
    <w:rsid w:val="00B01FE4"/>
    <w:rsid w:val="00B0209B"/>
    <w:rsid w:val="00B020DA"/>
    <w:rsid w:val="00B0210F"/>
    <w:rsid w:val="00B02213"/>
    <w:rsid w:val="00B022D7"/>
    <w:rsid w:val="00B02337"/>
    <w:rsid w:val="00B023C5"/>
    <w:rsid w:val="00B023D7"/>
    <w:rsid w:val="00B02400"/>
    <w:rsid w:val="00B024CB"/>
    <w:rsid w:val="00B02532"/>
    <w:rsid w:val="00B02594"/>
    <w:rsid w:val="00B025F5"/>
    <w:rsid w:val="00B0266D"/>
    <w:rsid w:val="00B02714"/>
    <w:rsid w:val="00B02767"/>
    <w:rsid w:val="00B027EB"/>
    <w:rsid w:val="00B02817"/>
    <w:rsid w:val="00B0285A"/>
    <w:rsid w:val="00B0293E"/>
    <w:rsid w:val="00B02977"/>
    <w:rsid w:val="00B02A1B"/>
    <w:rsid w:val="00B02BE1"/>
    <w:rsid w:val="00B02C1B"/>
    <w:rsid w:val="00B02C44"/>
    <w:rsid w:val="00B02C5C"/>
    <w:rsid w:val="00B02C62"/>
    <w:rsid w:val="00B02C95"/>
    <w:rsid w:val="00B02C9C"/>
    <w:rsid w:val="00B02CE5"/>
    <w:rsid w:val="00B02E4F"/>
    <w:rsid w:val="00B02E57"/>
    <w:rsid w:val="00B02EA9"/>
    <w:rsid w:val="00B02F2A"/>
    <w:rsid w:val="00B02F2E"/>
    <w:rsid w:val="00B02FD1"/>
    <w:rsid w:val="00B03023"/>
    <w:rsid w:val="00B03166"/>
    <w:rsid w:val="00B03210"/>
    <w:rsid w:val="00B0328B"/>
    <w:rsid w:val="00B03320"/>
    <w:rsid w:val="00B03349"/>
    <w:rsid w:val="00B0335B"/>
    <w:rsid w:val="00B0337C"/>
    <w:rsid w:val="00B03423"/>
    <w:rsid w:val="00B03429"/>
    <w:rsid w:val="00B03475"/>
    <w:rsid w:val="00B0352A"/>
    <w:rsid w:val="00B03538"/>
    <w:rsid w:val="00B03570"/>
    <w:rsid w:val="00B03593"/>
    <w:rsid w:val="00B03595"/>
    <w:rsid w:val="00B035B2"/>
    <w:rsid w:val="00B036A7"/>
    <w:rsid w:val="00B036B3"/>
    <w:rsid w:val="00B036E2"/>
    <w:rsid w:val="00B036F2"/>
    <w:rsid w:val="00B03747"/>
    <w:rsid w:val="00B03784"/>
    <w:rsid w:val="00B037F6"/>
    <w:rsid w:val="00B038AB"/>
    <w:rsid w:val="00B038F2"/>
    <w:rsid w:val="00B03ACE"/>
    <w:rsid w:val="00B03ADD"/>
    <w:rsid w:val="00B03B09"/>
    <w:rsid w:val="00B03BD6"/>
    <w:rsid w:val="00B03C0F"/>
    <w:rsid w:val="00B03C19"/>
    <w:rsid w:val="00B03C1C"/>
    <w:rsid w:val="00B03C2D"/>
    <w:rsid w:val="00B03CD6"/>
    <w:rsid w:val="00B03D1D"/>
    <w:rsid w:val="00B03DAC"/>
    <w:rsid w:val="00B03DE0"/>
    <w:rsid w:val="00B03E5F"/>
    <w:rsid w:val="00B03F4A"/>
    <w:rsid w:val="00B03F6F"/>
    <w:rsid w:val="00B0400C"/>
    <w:rsid w:val="00B0412F"/>
    <w:rsid w:val="00B041C2"/>
    <w:rsid w:val="00B0425B"/>
    <w:rsid w:val="00B04263"/>
    <w:rsid w:val="00B042AB"/>
    <w:rsid w:val="00B042ED"/>
    <w:rsid w:val="00B0438E"/>
    <w:rsid w:val="00B043CC"/>
    <w:rsid w:val="00B043E6"/>
    <w:rsid w:val="00B0440F"/>
    <w:rsid w:val="00B04533"/>
    <w:rsid w:val="00B04565"/>
    <w:rsid w:val="00B0456D"/>
    <w:rsid w:val="00B04573"/>
    <w:rsid w:val="00B045BA"/>
    <w:rsid w:val="00B04648"/>
    <w:rsid w:val="00B04649"/>
    <w:rsid w:val="00B0465B"/>
    <w:rsid w:val="00B046BA"/>
    <w:rsid w:val="00B04715"/>
    <w:rsid w:val="00B04756"/>
    <w:rsid w:val="00B047C7"/>
    <w:rsid w:val="00B04825"/>
    <w:rsid w:val="00B0483B"/>
    <w:rsid w:val="00B0484B"/>
    <w:rsid w:val="00B048EC"/>
    <w:rsid w:val="00B049A0"/>
    <w:rsid w:val="00B049AA"/>
    <w:rsid w:val="00B04A5F"/>
    <w:rsid w:val="00B04AA4"/>
    <w:rsid w:val="00B04B04"/>
    <w:rsid w:val="00B04B08"/>
    <w:rsid w:val="00B04B23"/>
    <w:rsid w:val="00B04B52"/>
    <w:rsid w:val="00B04B9C"/>
    <w:rsid w:val="00B04BAB"/>
    <w:rsid w:val="00B04C06"/>
    <w:rsid w:val="00B04C24"/>
    <w:rsid w:val="00B04C37"/>
    <w:rsid w:val="00B04CAC"/>
    <w:rsid w:val="00B04D99"/>
    <w:rsid w:val="00B04E03"/>
    <w:rsid w:val="00B04F64"/>
    <w:rsid w:val="00B04FBE"/>
    <w:rsid w:val="00B04FCA"/>
    <w:rsid w:val="00B051C1"/>
    <w:rsid w:val="00B051F1"/>
    <w:rsid w:val="00B05274"/>
    <w:rsid w:val="00B05280"/>
    <w:rsid w:val="00B0530A"/>
    <w:rsid w:val="00B0548B"/>
    <w:rsid w:val="00B054BB"/>
    <w:rsid w:val="00B05591"/>
    <w:rsid w:val="00B055C3"/>
    <w:rsid w:val="00B055DC"/>
    <w:rsid w:val="00B05603"/>
    <w:rsid w:val="00B05605"/>
    <w:rsid w:val="00B0560C"/>
    <w:rsid w:val="00B0561C"/>
    <w:rsid w:val="00B0562D"/>
    <w:rsid w:val="00B05652"/>
    <w:rsid w:val="00B0569A"/>
    <w:rsid w:val="00B056FE"/>
    <w:rsid w:val="00B058FF"/>
    <w:rsid w:val="00B05972"/>
    <w:rsid w:val="00B05A3C"/>
    <w:rsid w:val="00B05A8B"/>
    <w:rsid w:val="00B05A9F"/>
    <w:rsid w:val="00B05C23"/>
    <w:rsid w:val="00B05C3F"/>
    <w:rsid w:val="00B05C82"/>
    <w:rsid w:val="00B05C91"/>
    <w:rsid w:val="00B05C9D"/>
    <w:rsid w:val="00B05DB6"/>
    <w:rsid w:val="00B05DBF"/>
    <w:rsid w:val="00B05DEC"/>
    <w:rsid w:val="00B05E4B"/>
    <w:rsid w:val="00B05F7D"/>
    <w:rsid w:val="00B0611C"/>
    <w:rsid w:val="00B06153"/>
    <w:rsid w:val="00B06161"/>
    <w:rsid w:val="00B061BC"/>
    <w:rsid w:val="00B06230"/>
    <w:rsid w:val="00B06235"/>
    <w:rsid w:val="00B0626E"/>
    <w:rsid w:val="00B062CD"/>
    <w:rsid w:val="00B06356"/>
    <w:rsid w:val="00B063C9"/>
    <w:rsid w:val="00B06405"/>
    <w:rsid w:val="00B06462"/>
    <w:rsid w:val="00B0646E"/>
    <w:rsid w:val="00B064F3"/>
    <w:rsid w:val="00B0653D"/>
    <w:rsid w:val="00B06552"/>
    <w:rsid w:val="00B065BF"/>
    <w:rsid w:val="00B06649"/>
    <w:rsid w:val="00B06729"/>
    <w:rsid w:val="00B06737"/>
    <w:rsid w:val="00B067CD"/>
    <w:rsid w:val="00B068AD"/>
    <w:rsid w:val="00B068CB"/>
    <w:rsid w:val="00B0691C"/>
    <w:rsid w:val="00B069CD"/>
    <w:rsid w:val="00B06A2D"/>
    <w:rsid w:val="00B06A8C"/>
    <w:rsid w:val="00B06B09"/>
    <w:rsid w:val="00B06BEF"/>
    <w:rsid w:val="00B06CC3"/>
    <w:rsid w:val="00B06D0D"/>
    <w:rsid w:val="00B06D7F"/>
    <w:rsid w:val="00B06DA1"/>
    <w:rsid w:val="00B06DE8"/>
    <w:rsid w:val="00B06DEC"/>
    <w:rsid w:val="00B06E04"/>
    <w:rsid w:val="00B06E33"/>
    <w:rsid w:val="00B06E58"/>
    <w:rsid w:val="00B06E88"/>
    <w:rsid w:val="00B06F13"/>
    <w:rsid w:val="00B06F88"/>
    <w:rsid w:val="00B07021"/>
    <w:rsid w:val="00B07128"/>
    <w:rsid w:val="00B071F4"/>
    <w:rsid w:val="00B071F9"/>
    <w:rsid w:val="00B07229"/>
    <w:rsid w:val="00B07246"/>
    <w:rsid w:val="00B07293"/>
    <w:rsid w:val="00B07344"/>
    <w:rsid w:val="00B07470"/>
    <w:rsid w:val="00B0752E"/>
    <w:rsid w:val="00B07552"/>
    <w:rsid w:val="00B0757B"/>
    <w:rsid w:val="00B07631"/>
    <w:rsid w:val="00B0776A"/>
    <w:rsid w:val="00B0784B"/>
    <w:rsid w:val="00B078A7"/>
    <w:rsid w:val="00B07948"/>
    <w:rsid w:val="00B07A49"/>
    <w:rsid w:val="00B07A85"/>
    <w:rsid w:val="00B07ACB"/>
    <w:rsid w:val="00B07AF2"/>
    <w:rsid w:val="00B07B0B"/>
    <w:rsid w:val="00B07B2A"/>
    <w:rsid w:val="00B07BD0"/>
    <w:rsid w:val="00B07BD2"/>
    <w:rsid w:val="00B07C1E"/>
    <w:rsid w:val="00B07C57"/>
    <w:rsid w:val="00B07D30"/>
    <w:rsid w:val="00B07D9F"/>
    <w:rsid w:val="00B07DB2"/>
    <w:rsid w:val="00B07DC8"/>
    <w:rsid w:val="00B07E10"/>
    <w:rsid w:val="00B07F4E"/>
    <w:rsid w:val="00B07F61"/>
    <w:rsid w:val="00B10081"/>
    <w:rsid w:val="00B100FD"/>
    <w:rsid w:val="00B10143"/>
    <w:rsid w:val="00B101CD"/>
    <w:rsid w:val="00B10241"/>
    <w:rsid w:val="00B104A3"/>
    <w:rsid w:val="00B1056A"/>
    <w:rsid w:val="00B1058C"/>
    <w:rsid w:val="00B10595"/>
    <w:rsid w:val="00B106DA"/>
    <w:rsid w:val="00B1072F"/>
    <w:rsid w:val="00B1076C"/>
    <w:rsid w:val="00B107AF"/>
    <w:rsid w:val="00B10846"/>
    <w:rsid w:val="00B109BD"/>
    <w:rsid w:val="00B10AEB"/>
    <w:rsid w:val="00B10B72"/>
    <w:rsid w:val="00B10BC6"/>
    <w:rsid w:val="00B10C39"/>
    <w:rsid w:val="00B10CF1"/>
    <w:rsid w:val="00B10D21"/>
    <w:rsid w:val="00B10D3F"/>
    <w:rsid w:val="00B10D78"/>
    <w:rsid w:val="00B10E0A"/>
    <w:rsid w:val="00B10E28"/>
    <w:rsid w:val="00B10E2E"/>
    <w:rsid w:val="00B10E4D"/>
    <w:rsid w:val="00B10EBB"/>
    <w:rsid w:val="00B110BA"/>
    <w:rsid w:val="00B110D2"/>
    <w:rsid w:val="00B110E2"/>
    <w:rsid w:val="00B11182"/>
    <w:rsid w:val="00B1121E"/>
    <w:rsid w:val="00B112BD"/>
    <w:rsid w:val="00B1139D"/>
    <w:rsid w:val="00B1143F"/>
    <w:rsid w:val="00B11478"/>
    <w:rsid w:val="00B114AB"/>
    <w:rsid w:val="00B114DD"/>
    <w:rsid w:val="00B11520"/>
    <w:rsid w:val="00B11555"/>
    <w:rsid w:val="00B1155F"/>
    <w:rsid w:val="00B1158C"/>
    <w:rsid w:val="00B115F0"/>
    <w:rsid w:val="00B1160C"/>
    <w:rsid w:val="00B11684"/>
    <w:rsid w:val="00B11942"/>
    <w:rsid w:val="00B11961"/>
    <w:rsid w:val="00B1197A"/>
    <w:rsid w:val="00B119AC"/>
    <w:rsid w:val="00B119E1"/>
    <w:rsid w:val="00B11A8B"/>
    <w:rsid w:val="00B11AAC"/>
    <w:rsid w:val="00B11B0E"/>
    <w:rsid w:val="00B11B33"/>
    <w:rsid w:val="00B11B40"/>
    <w:rsid w:val="00B11C14"/>
    <w:rsid w:val="00B11CA6"/>
    <w:rsid w:val="00B11CC9"/>
    <w:rsid w:val="00B11DBB"/>
    <w:rsid w:val="00B11E20"/>
    <w:rsid w:val="00B11E29"/>
    <w:rsid w:val="00B11E37"/>
    <w:rsid w:val="00B11E46"/>
    <w:rsid w:val="00B11ED5"/>
    <w:rsid w:val="00B11EE9"/>
    <w:rsid w:val="00B11F21"/>
    <w:rsid w:val="00B11F47"/>
    <w:rsid w:val="00B11F7A"/>
    <w:rsid w:val="00B12011"/>
    <w:rsid w:val="00B120B8"/>
    <w:rsid w:val="00B1211D"/>
    <w:rsid w:val="00B1215A"/>
    <w:rsid w:val="00B12247"/>
    <w:rsid w:val="00B122C4"/>
    <w:rsid w:val="00B124A9"/>
    <w:rsid w:val="00B124E7"/>
    <w:rsid w:val="00B125CE"/>
    <w:rsid w:val="00B12625"/>
    <w:rsid w:val="00B12641"/>
    <w:rsid w:val="00B12771"/>
    <w:rsid w:val="00B1286B"/>
    <w:rsid w:val="00B12876"/>
    <w:rsid w:val="00B12893"/>
    <w:rsid w:val="00B128A5"/>
    <w:rsid w:val="00B1297E"/>
    <w:rsid w:val="00B12A2D"/>
    <w:rsid w:val="00B12A9B"/>
    <w:rsid w:val="00B12B00"/>
    <w:rsid w:val="00B12BCF"/>
    <w:rsid w:val="00B12CA0"/>
    <w:rsid w:val="00B12D7C"/>
    <w:rsid w:val="00B12EA8"/>
    <w:rsid w:val="00B12EDE"/>
    <w:rsid w:val="00B12EEE"/>
    <w:rsid w:val="00B12F5B"/>
    <w:rsid w:val="00B12F67"/>
    <w:rsid w:val="00B12F6B"/>
    <w:rsid w:val="00B12F98"/>
    <w:rsid w:val="00B12FA8"/>
    <w:rsid w:val="00B13017"/>
    <w:rsid w:val="00B13028"/>
    <w:rsid w:val="00B1304F"/>
    <w:rsid w:val="00B13079"/>
    <w:rsid w:val="00B130BF"/>
    <w:rsid w:val="00B131C5"/>
    <w:rsid w:val="00B131D2"/>
    <w:rsid w:val="00B131ED"/>
    <w:rsid w:val="00B13272"/>
    <w:rsid w:val="00B1327B"/>
    <w:rsid w:val="00B1329A"/>
    <w:rsid w:val="00B133CF"/>
    <w:rsid w:val="00B134A1"/>
    <w:rsid w:val="00B134D8"/>
    <w:rsid w:val="00B1352D"/>
    <w:rsid w:val="00B135D9"/>
    <w:rsid w:val="00B1372C"/>
    <w:rsid w:val="00B1373C"/>
    <w:rsid w:val="00B13762"/>
    <w:rsid w:val="00B13815"/>
    <w:rsid w:val="00B13839"/>
    <w:rsid w:val="00B13957"/>
    <w:rsid w:val="00B139D9"/>
    <w:rsid w:val="00B13A14"/>
    <w:rsid w:val="00B13B4F"/>
    <w:rsid w:val="00B13B56"/>
    <w:rsid w:val="00B13CF4"/>
    <w:rsid w:val="00B13D18"/>
    <w:rsid w:val="00B13D3C"/>
    <w:rsid w:val="00B13D6F"/>
    <w:rsid w:val="00B13ED4"/>
    <w:rsid w:val="00B13F5F"/>
    <w:rsid w:val="00B13F72"/>
    <w:rsid w:val="00B13FAA"/>
    <w:rsid w:val="00B13FFE"/>
    <w:rsid w:val="00B140F9"/>
    <w:rsid w:val="00B14101"/>
    <w:rsid w:val="00B14127"/>
    <w:rsid w:val="00B14183"/>
    <w:rsid w:val="00B14284"/>
    <w:rsid w:val="00B142DD"/>
    <w:rsid w:val="00B142F6"/>
    <w:rsid w:val="00B1432D"/>
    <w:rsid w:val="00B1434B"/>
    <w:rsid w:val="00B14369"/>
    <w:rsid w:val="00B14388"/>
    <w:rsid w:val="00B143BE"/>
    <w:rsid w:val="00B143DE"/>
    <w:rsid w:val="00B14488"/>
    <w:rsid w:val="00B144A2"/>
    <w:rsid w:val="00B1453F"/>
    <w:rsid w:val="00B14638"/>
    <w:rsid w:val="00B1463E"/>
    <w:rsid w:val="00B14689"/>
    <w:rsid w:val="00B146CC"/>
    <w:rsid w:val="00B146E9"/>
    <w:rsid w:val="00B14756"/>
    <w:rsid w:val="00B147DB"/>
    <w:rsid w:val="00B1481D"/>
    <w:rsid w:val="00B148AE"/>
    <w:rsid w:val="00B149A5"/>
    <w:rsid w:val="00B149A9"/>
    <w:rsid w:val="00B14A0C"/>
    <w:rsid w:val="00B14A7E"/>
    <w:rsid w:val="00B14AB4"/>
    <w:rsid w:val="00B14AB8"/>
    <w:rsid w:val="00B14BA3"/>
    <w:rsid w:val="00B14C88"/>
    <w:rsid w:val="00B14C8D"/>
    <w:rsid w:val="00B14D3F"/>
    <w:rsid w:val="00B14E25"/>
    <w:rsid w:val="00B14E96"/>
    <w:rsid w:val="00B14EAA"/>
    <w:rsid w:val="00B14EED"/>
    <w:rsid w:val="00B14F2A"/>
    <w:rsid w:val="00B14F69"/>
    <w:rsid w:val="00B1501E"/>
    <w:rsid w:val="00B1508E"/>
    <w:rsid w:val="00B150EE"/>
    <w:rsid w:val="00B15131"/>
    <w:rsid w:val="00B15181"/>
    <w:rsid w:val="00B1521B"/>
    <w:rsid w:val="00B15284"/>
    <w:rsid w:val="00B152D6"/>
    <w:rsid w:val="00B153A8"/>
    <w:rsid w:val="00B153BF"/>
    <w:rsid w:val="00B155A7"/>
    <w:rsid w:val="00B1564B"/>
    <w:rsid w:val="00B15666"/>
    <w:rsid w:val="00B156D4"/>
    <w:rsid w:val="00B1573F"/>
    <w:rsid w:val="00B1587D"/>
    <w:rsid w:val="00B159AD"/>
    <w:rsid w:val="00B159BF"/>
    <w:rsid w:val="00B159F7"/>
    <w:rsid w:val="00B15ABA"/>
    <w:rsid w:val="00B15AE3"/>
    <w:rsid w:val="00B15B3A"/>
    <w:rsid w:val="00B15C8E"/>
    <w:rsid w:val="00B15CEE"/>
    <w:rsid w:val="00B15D10"/>
    <w:rsid w:val="00B15D8C"/>
    <w:rsid w:val="00B15DA0"/>
    <w:rsid w:val="00B15DC6"/>
    <w:rsid w:val="00B15E37"/>
    <w:rsid w:val="00B15F11"/>
    <w:rsid w:val="00B15F6E"/>
    <w:rsid w:val="00B15F93"/>
    <w:rsid w:val="00B16039"/>
    <w:rsid w:val="00B160F7"/>
    <w:rsid w:val="00B16163"/>
    <w:rsid w:val="00B161A1"/>
    <w:rsid w:val="00B161DA"/>
    <w:rsid w:val="00B161E4"/>
    <w:rsid w:val="00B16222"/>
    <w:rsid w:val="00B16236"/>
    <w:rsid w:val="00B1624E"/>
    <w:rsid w:val="00B16253"/>
    <w:rsid w:val="00B16264"/>
    <w:rsid w:val="00B1629F"/>
    <w:rsid w:val="00B16358"/>
    <w:rsid w:val="00B1637A"/>
    <w:rsid w:val="00B1640B"/>
    <w:rsid w:val="00B164D0"/>
    <w:rsid w:val="00B164DF"/>
    <w:rsid w:val="00B16503"/>
    <w:rsid w:val="00B16517"/>
    <w:rsid w:val="00B16543"/>
    <w:rsid w:val="00B1654B"/>
    <w:rsid w:val="00B16588"/>
    <w:rsid w:val="00B165B1"/>
    <w:rsid w:val="00B16682"/>
    <w:rsid w:val="00B1679C"/>
    <w:rsid w:val="00B167AE"/>
    <w:rsid w:val="00B167C1"/>
    <w:rsid w:val="00B167FA"/>
    <w:rsid w:val="00B16826"/>
    <w:rsid w:val="00B16839"/>
    <w:rsid w:val="00B16867"/>
    <w:rsid w:val="00B16921"/>
    <w:rsid w:val="00B169C4"/>
    <w:rsid w:val="00B169F4"/>
    <w:rsid w:val="00B16A53"/>
    <w:rsid w:val="00B16A69"/>
    <w:rsid w:val="00B16BCE"/>
    <w:rsid w:val="00B16C40"/>
    <w:rsid w:val="00B16CCC"/>
    <w:rsid w:val="00B16D39"/>
    <w:rsid w:val="00B16E2F"/>
    <w:rsid w:val="00B16EBA"/>
    <w:rsid w:val="00B16EDA"/>
    <w:rsid w:val="00B16F1D"/>
    <w:rsid w:val="00B16F2A"/>
    <w:rsid w:val="00B16F3F"/>
    <w:rsid w:val="00B16F96"/>
    <w:rsid w:val="00B16FD5"/>
    <w:rsid w:val="00B1703D"/>
    <w:rsid w:val="00B17087"/>
    <w:rsid w:val="00B1708F"/>
    <w:rsid w:val="00B17096"/>
    <w:rsid w:val="00B170DF"/>
    <w:rsid w:val="00B1715B"/>
    <w:rsid w:val="00B17415"/>
    <w:rsid w:val="00B17564"/>
    <w:rsid w:val="00B1758D"/>
    <w:rsid w:val="00B175D8"/>
    <w:rsid w:val="00B175FD"/>
    <w:rsid w:val="00B17613"/>
    <w:rsid w:val="00B17634"/>
    <w:rsid w:val="00B17677"/>
    <w:rsid w:val="00B17685"/>
    <w:rsid w:val="00B1776F"/>
    <w:rsid w:val="00B17776"/>
    <w:rsid w:val="00B17794"/>
    <w:rsid w:val="00B177A0"/>
    <w:rsid w:val="00B177A3"/>
    <w:rsid w:val="00B177C1"/>
    <w:rsid w:val="00B177E9"/>
    <w:rsid w:val="00B1780A"/>
    <w:rsid w:val="00B17824"/>
    <w:rsid w:val="00B1787F"/>
    <w:rsid w:val="00B178C0"/>
    <w:rsid w:val="00B17973"/>
    <w:rsid w:val="00B17A03"/>
    <w:rsid w:val="00B17A93"/>
    <w:rsid w:val="00B17B1B"/>
    <w:rsid w:val="00B17B75"/>
    <w:rsid w:val="00B17BF2"/>
    <w:rsid w:val="00B17CA4"/>
    <w:rsid w:val="00B17D79"/>
    <w:rsid w:val="00B17DAE"/>
    <w:rsid w:val="00B17F84"/>
    <w:rsid w:val="00B200AA"/>
    <w:rsid w:val="00B2012F"/>
    <w:rsid w:val="00B201C1"/>
    <w:rsid w:val="00B201E6"/>
    <w:rsid w:val="00B202EA"/>
    <w:rsid w:val="00B2036D"/>
    <w:rsid w:val="00B203E4"/>
    <w:rsid w:val="00B20457"/>
    <w:rsid w:val="00B20499"/>
    <w:rsid w:val="00B204E3"/>
    <w:rsid w:val="00B205D2"/>
    <w:rsid w:val="00B205D9"/>
    <w:rsid w:val="00B20665"/>
    <w:rsid w:val="00B20679"/>
    <w:rsid w:val="00B20688"/>
    <w:rsid w:val="00B206C9"/>
    <w:rsid w:val="00B2077C"/>
    <w:rsid w:val="00B2078B"/>
    <w:rsid w:val="00B207B5"/>
    <w:rsid w:val="00B207D9"/>
    <w:rsid w:val="00B20832"/>
    <w:rsid w:val="00B20833"/>
    <w:rsid w:val="00B208FA"/>
    <w:rsid w:val="00B209C4"/>
    <w:rsid w:val="00B20A56"/>
    <w:rsid w:val="00B20A9F"/>
    <w:rsid w:val="00B20AA6"/>
    <w:rsid w:val="00B20AD4"/>
    <w:rsid w:val="00B20CFA"/>
    <w:rsid w:val="00B20D81"/>
    <w:rsid w:val="00B20EA3"/>
    <w:rsid w:val="00B20F26"/>
    <w:rsid w:val="00B20F7D"/>
    <w:rsid w:val="00B20FEA"/>
    <w:rsid w:val="00B2105F"/>
    <w:rsid w:val="00B210AE"/>
    <w:rsid w:val="00B210E0"/>
    <w:rsid w:val="00B210F4"/>
    <w:rsid w:val="00B21129"/>
    <w:rsid w:val="00B2114F"/>
    <w:rsid w:val="00B2116E"/>
    <w:rsid w:val="00B211DE"/>
    <w:rsid w:val="00B21413"/>
    <w:rsid w:val="00B2150B"/>
    <w:rsid w:val="00B2163F"/>
    <w:rsid w:val="00B21708"/>
    <w:rsid w:val="00B2176F"/>
    <w:rsid w:val="00B2177B"/>
    <w:rsid w:val="00B21787"/>
    <w:rsid w:val="00B21815"/>
    <w:rsid w:val="00B21885"/>
    <w:rsid w:val="00B218ED"/>
    <w:rsid w:val="00B21952"/>
    <w:rsid w:val="00B21A02"/>
    <w:rsid w:val="00B21B34"/>
    <w:rsid w:val="00B21BBB"/>
    <w:rsid w:val="00B21BE4"/>
    <w:rsid w:val="00B21BF7"/>
    <w:rsid w:val="00B21C1E"/>
    <w:rsid w:val="00B21CD2"/>
    <w:rsid w:val="00B21D30"/>
    <w:rsid w:val="00B21D86"/>
    <w:rsid w:val="00B21E0A"/>
    <w:rsid w:val="00B21F47"/>
    <w:rsid w:val="00B21FE6"/>
    <w:rsid w:val="00B21FEF"/>
    <w:rsid w:val="00B2202D"/>
    <w:rsid w:val="00B22045"/>
    <w:rsid w:val="00B2204B"/>
    <w:rsid w:val="00B22106"/>
    <w:rsid w:val="00B221AD"/>
    <w:rsid w:val="00B222D8"/>
    <w:rsid w:val="00B2239F"/>
    <w:rsid w:val="00B22416"/>
    <w:rsid w:val="00B2246E"/>
    <w:rsid w:val="00B225AD"/>
    <w:rsid w:val="00B225BF"/>
    <w:rsid w:val="00B225C6"/>
    <w:rsid w:val="00B225F1"/>
    <w:rsid w:val="00B22811"/>
    <w:rsid w:val="00B2281D"/>
    <w:rsid w:val="00B22879"/>
    <w:rsid w:val="00B2289A"/>
    <w:rsid w:val="00B228CF"/>
    <w:rsid w:val="00B22976"/>
    <w:rsid w:val="00B229C8"/>
    <w:rsid w:val="00B22AB1"/>
    <w:rsid w:val="00B22B36"/>
    <w:rsid w:val="00B22B4F"/>
    <w:rsid w:val="00B22BAB"/>
    <w:rsid w:val="00B22BDA"/>
    <w:rsid w:val="00B22CD7"/>
    <w:rsid w:val="00B22D4C"/>
    <w:rsid w:val="00B22D5B"/>
    <w:rsid w:val="00B22D67"/>
    <w:rsid w:val="00B22D76"/>
    <w:rsid w:val="00B22E49"/>
    <w:rsid w:val="00B22E7F"/>
    <w:rsid w:val="00B22EAF"/>
    <w:rsid w:val="00B22F70"/>
    <w:rsid w:val="00B22FB2"/>
    <w:rsid w:val="00B22FD9"/>
    <w:rsid w:val="00B23028"/>
    <w:rsid w:val="00B23092"/>
    <w:rsid w:val="00B23095"/>
    <w:rsid w:val="00B230ED"/>
    <w:rsid w:val="00B230F4"/>
    <w:rsid w:val="00B23240"/>
    <w:rsid w:val="00B23242"/>
    <w:rsid w:val="00B23288"/>
    <w:rsid w:val="00B233F1"/>
    <w:rsid w:val="00B23443"/>
    <w:rsid w:val="00B2347F"/>
    <w:rsid w:val="00B2349E"/>
    <w:rsid w:val="00B234A6"/>
    <w:rsid w:val="00B234E6"/>
    <w:rsid w:val="00B234EB"/>
    <w:rsid w:val="00B2350B"/>
    <w:rsid w:val="00B2350C"/>
    <w:rsid w:val="00B2357C"/>
    <w:rsid w:val="00B23601"/>
    <w:rsid w:val="00B23621"/>
    <w:rsid w:val="00B2363A"/>
    <w:rsid w:val="00B2363F"/>
    <w:rsid w:val="00B23679"/>
    <w:rsid w:val="00B236BB"/>
    <w:rsid w:val="00B236C1"/>
    <w:rsid w:val="00B236F0"/>
    <w:rsid w:val="00B2371A"/>
    <w:rsid w:val="00B23749"/>
    <w:rsid w:val="00B23828"/>
    <w:rsid w:val="00B23829"/>
    <w:rsid w:val="00B23847"/>
    <w:rsid w:val="00B2386A"/>
    <w:rsid w:val="00B23896"/>
    <w:rsid w:val="00B239EE"/>
    <w:rsid w:val="00B23A55"/>
    <w:rsid w:val="00B23A84"/>
    <w:rsid w:val="00B23A8A"/>
    <w:rsid w:val="00B23AF1"/>
    <w:rsid w:val="00B23BD5"/>
    <w:rsid w:val="00B23C09"/>
    <w:rsid w:val="00B23D6A"/>
    <w:rsid w:val="00B23F21"/>
    <w:rsid w:val="00B23F50"/>
    <w:rsid w:val="00B2407A"/>
    <w:rsid w:val="00B240CC"/>
    <w:rsid w:val="00B240DA"/>
    <w:rsid w:val="00B24127"/>
    <w:rsid w:val="00B24157"/>
    <w:rsid w:val="00B2419D"/>
    <w:rsid w:val="00B241DF"/>
    <w:rsid w:val="00B241EE"/>
    <w:rsid w:val="00B2420D"/>
    <w:rsid w:val="00B2420F"/>
    <w:rsid w:val="00B24263"/>
    <w:rsid w:val="00B24307"/>
    <w:rsid w:val="00B24377"/>
    <w:rsid w:val="00B243FF"/>
    <w:rsid w:val="00B24484"/>
    <w:rsid w:val="00B244F3"/>
    <w:rsid w:val="00B2450C"/>
    <w:rsid w:val="00B245D9"/>
    <w:rsid w:val="00B24676"/>
    <w:rsid w:val="00B24761"/>
    <w:rsid w:val="00B2476B"/>
    <w:rsid w:val="00B2478A"/>
    <w:rsid w:val="00B247BE"/>
    <w:rsid w:val="00B247E1"/>
    <w:rsid w:val="00B2487F"/>
    <w:rsid w:val="00B248C9"/>
    <w:rsid w:val="00B2491D"/>
    <w:rsid w:val="00B24A29"/>
    <w:rsid w:val="00B24AED"/>
    <w:rsid w:val="00B24BE0"/>
    <w:rsid w:val="00B24BF8"/>
    <w:rsid w:val="00B24C06"/>
    <w:rsid w:val="00B24CC4"/>
    <w:rsid w:val="00B24CD7"/>
    <w:rsid w:val="00B24DFC"/>
    <w:rsid w:val="00B24F06"/>
    <w:rsid w:val="00B24F90"/>
    <w:rsid w:val="00B24FD1"/>
    <w:rsid w:val="00B24FFC"/>
    <w:rsid w:val="00B25008"/>
    <w:rsid w:val="00B2506C"/>
    <w:rsid w:val="00B25080"/>
    <w:rsid w:val="00B25087"/>
    <w:rsid w:val="00B250CF"/>
    <w:rsid w:val="00B2514F"/>
    <w:rsid w:val="00B251BD"/>
    <w:rsid w:val="00B251D6"/>
    <w:rsid w:val="00B25218"/>
    <w:rsid w:val="00B25231"/>
    <w:rsid w:val="00B25257"/>
    <w:rsid w:val="00B25263"/>
    <w:rsid w:val="00B252BD"/>
    <w:rsid w:val="00B25312"/>
    <w:rsid w:val="00B25469"/>
    <w:rsid w:val="00B2547F"/>
    <w:rsid w:val="00B254D8"/>
    <w:rsid w:val="00B25551"/>
    <w:rsid w:val="00B25566"/>
    <w:rsid w:val="00B255E2"/>
    <w:rsid w:val="00B255F0"/>
    <w:rsid w:val="00B2562F"/>
    <w:rsid w:val="00B25668"/>
    <w:rsid w:val="00B256C5"/>
    <w:rsid w:val="00B256DB"/>
    <w:rsid w:val="00B256ED"/>
    <w:rsid w:val="00B256FA"/>
    <w:rsid w:val="00B258EF"/>
    <w:rsid w:val="00B25941"/>
    <w:rsid w:val="00B25972"/>
    <w:rsid w:val="00B259EB"/>
    <w:rsid w:val="00B25AB7"/>
    <w:rsid w:val="00B25D17"/>
    <w:rsid w:val="00B25D19"/>
    <w:rsid w:val="00B25DA9"/>
    <w:rsid w:val="00B25F28"/>
    <w:rsid w:val="00B26073"/>
    <w:rsid w:val="00B2616D"/>
    <w:rsid w:val="00B26183"/>
    <w:rsid w:val="00B26241"/>
    <w:rsid w:val="00B26280"/>
    <w:rsid w:val="00B26380"/>
    <w:rsid w:val="00B26389"/>
    <w:rsid w:val="00B2639F"/>
    <w:rsid w:val="00B2643E"/>
    <w:rsid w:val="00B26442"/>
    <w:rsid w:val="00B26443"/>
    <w:rsid w:val="00B264D4"/>
    <w:rsid w:val="00B265E1"/>
    <w:rsid w:val="00B265ED"/>
    <w:rsid w:val="00B26603"/>
    <w:rsid w:val="00B26608"/>
    <w:rsid w:val="00B26648"/>
    <w:rsid w:val="00B26767"/>
    <w:rsid w:val="00B26784"/>
    <w:rsid w:val="00B26874"/>
    <w:rsid w:val="00B2688D"/>
    <w:rsid w:val="00B26894"/>
    <w:rsid w:val="00B268AF"/>
    <w:rsid w:val="00B268D2"/>
    <w:rsid w:val="00B268DD"/>
    <w:rsid w:val="00B268E8"/>
    <w:rsid w:val="00B268EC"/>
    <w:rsid w:val="00B269D4"/>
    <w:rsid w:val="00B269EF"/>
    <w:rsid w:val="00B26A34"/>
    <w:rsid w:val="00B26AE4"/>
    <w:rsid w:val="00B26B47"/>
    <w:rsid w:val="00B26BEB"/>
    <w:rsid w:val="00B26C58"/>
    <w:rsid w:val="00B26CC5"/>
    <w:rsid w:val="00B26D42"/>
    <w:rsid w:val="00B26DF7"/>
    <w:rsid w:val="00B26E03"/>
    <w:rsid w:val="00B26E67"/>
    <w:rsid w:val="00B26E97"/>
    <w:rsid w:val="00B26EAA"/>
    <w:rsid w:val="00B26EB3"/>
    <w:rsid w:val="00B26F2A"/>
    <w:rsid w:val="00B2700A"/>
    <w:rsid w:val="00B27131"/>
    <w:rsid w:val="00B2719B"/>
    <w:rsid w:val="00B272E1"/>
    <w:rsid w:val="00B273AA"/>
    <w:rsid w:val="00B273E2"/>
    <w:rsid w:val="00B274DC"/>
    <w:rsid w:val="00B275A9"/>
    <w:rsid w:val="00B275F3"/>
    <w:rsid w:val="00B2760E"/>
    <w:rsid w:val="00B27627"/>
    <w:rsid w:val="00B276A1"/>
    <w:rsid w:val="00B276CA"/>
    <w:rsid w:val="00B276E3"/>
    <w:rsid w:val="00B27719"/>
    <w:rsid w:val="00B27749"/>
    <w:rsid w:val="00B2775D"/>
    <w:rsid w:val="00B2790B"/>
    <w:rsid w:val="00B27A0D"/>
    <w:rsid w:val="00B27A5B"/>
    <w:rsid w:val="00B27A8F"/>
    <w:rsid w:val="00B27B24"/>
    <w:rsid w:val="00B27C44"/>
    <w:rsid w:val="00B27C58"/>
    <w:rsid w:val="00B27C75"/>
    <w:rsid w:val="00B27CA2"/>
    <w:rsid w:val="00B27CEC"/>
    <w:rsid w:val="00B27EA2"/>
    <w:rsid w:val="00B27F27"/>
    <w:rsid w:val="00B27F43"/>
    <w:rsid w:val="00B27F7B"/>
    <w:rsid w:val="00B27FB0"/>
    <w:rsid w:val="00B30003"/>
    <w:rsid w:val="00B30004"/>
    <w:rsid w:val="00B300BC"/>
    <w:rsid w:val="00B300F7"/>
    <w:rsid w:val="00B30123"/>
    <w:rsid w:val="00B30255"/>
    <w:rsid w:val="00B30307"/>
    <w:rsid w:val="00B3030F"/>
    <w:rsid w:val="00B30434"/>
    <w:rsid w:val="00B3045C"/>
    <w:rsid w:val="00B304AE"/>
    <w:rsid w:val="00B304F9"/>
    <w:rsid w:val="00B3053D"/>
    <w:rsid w:val="00B3068F"/>
    <w:rsid w:val="00B306B2"/>
    <w:rsid w:val="00B306EA"/>
    <w:rsid w:val="00B3075B"/>
    <w:rsid w:val="00B30770"/>
    <w:rsid w:val="00B3078C"/>
    <w:rsid w:val="00B30853"/>
    <w:rsid w:val="00B30868"/>
    <w:rsid w:val="00B308E4"/>
    <w:rsid w:val="00B30972"/>
    <w:rsid w:val="00B30A3A"/>
    <w:rsid w:val="00B30ABF"/>
    <w:rsid w:val="00B30B13"/>
    <w:rsid w:val="00B30B19"/>
    <w:rsid w:val="00B30B70"/>
    <w:rsid w:val="00B30BEC"/>
    <w:rsid w:val="00B30C06"/>
    <w:rsid w:val="00B30CA6"/>
    <w:rsid w:val="00B30D42"/>
    <w:rsid w:val="00B30D69"/>
    <w:rsid w:val="00B30D84"/>
    <w:rsid w:val="00B30DA3"/>
    <w:rsid w:val="00B30DD0"/>
    <w:rsid w:val="00B30F33"/>
    <w:rsid w:val="00B30F43"/>
    <w:rsid w:val="00B30FA9"/>
    <w:rsid w:val="00B31021"/>
    <w:rsid w:val="00B31039"/>
    <w:rsid w:val="00B31090"/>
    <w:rsid w:val="00B310A3"/>
    <w:rsid w:val="00B31178"/>
    <w:rsid w:val="00B311AA"/>
    <w:rsid w:val="00B31218"/>
    <w:rsid w:val="00B3125B"/>
    <w:rsid w:val="00B31298"/>
    <w:rsid w:val="00B312A3"/>
    <w:rsid w:val="00B312EA"/>
    <w:rsid w:val="00B31395"/>
    <w:rsid w:val="00B3139E"/>
    <w:rsid w:val="00B313D9"/>
    <w:rsid w:val="00B313DA"/>
    <w:rsid w:val="00B3159A"/>
    <w:rsid w:val="00B31651"/>
    <w:rsid w:val="00B31756"/>
    <w:rsid w:val="00B31816"/>
    <w:rsid w:val="00B31866"/>
    <w:rsid w:val="00B319E8"/>
    <w:rsid w:val="00B31A77"/>
    <w:rsid w:val="00B31A9E"/>
    <w:rsid w:val="00B31B81"/>
    <w:rsid w:val="00B31B82"/>
    <w:rsid w:val="00B31DC4"/>
    <w:rsid w:val="00B31DC9"/>
    <w:rsid w:val="00B31E62"/>
    <w:rsid w:val="00B31EC4"/>
    <w:rsid w:val="00B31ED1"/>
    <w:rsid w:val="00B31F6D"/>
    <w:rsid w:val="00B31FE2"/>
    <w:rsid w:val="00B32022"/>
    <w:rsid w:val="00B32086"/>
    <w:rsid w:val="00B32175"/>
    <w:rsid w:val="00B32213"/>
    <w:rsid w:val="00B3228B"/>
    <w:rsid w:val="00B322CD"/>
    <w:rsid w:val="00B32342"/>
    <w:rsid w:val="00B32366"/>
    <w:rsid w:val="00B3256E"/>
    <w:rsid w:val="00B32684"/>
    <w:rsid w:val="00B326D3"/>
    <w:rsid w:val="00B3276A"/>
    <w:rsid w:val="00B3284A"/>
    <w:rsid w:val="00B32A8C"/>
    <w:rsid w:val="00B32AF1"/>
    <w:rsid w:val="00B32C5F"/>
    <w:rsid w:val="00B32DDF"/>
    <w:rsid w:val="00B32EAF"/>
    <w:rsid w:val="00B32EC0"/>
    <w:rsid w:val="00B32ED3"/>
    <w:rsid w:val="00B32F46"/>
    <w:rsid w:val="00B32FE7"/>
    <w:rsid w:val="00B33024"/>
    <w:rsid w:val="00B3316E"/>
    <w:rsid w:val="00B33232"/>
    <w:rsid w:val="00B333B8"/>
    <w:rsid w:val="00B335D2"/>
    <w:rsid w:val="00B335DF"/>
    <w:rsid w:val="00B33866"/>
    <w:rsid w:val="00B3395C"/>
    <w:rsid w:val="00B339D6"/>
    <w:rsid w:val="00B339FD"/>
    <w:rsid w:val="00B33A3A"/>
    <w:rsid w:val="00B33ABC"/>
    <w:rsid w:val="00B33B19"/>
    <w:rsid w:val="00B33B5D"/>
    <w:rsid w:val="00B33B7F"/>
    <w:rsid w:val="00B33B87"/>
    <w:rsid w:val="00B33C20"/>
    <w:rsid w:val="00B33C3B"/>
    <w:rsid w:val="00B33C5F"/>
    <w:rsid w:val="00B33C85"/>
    <w:rsid w:val="00B33E9F"/>
    <w:rsid w:val="00B33F55"/>
    <w:rsid w:val="00B33F63"/>
    <w:rsid w:val="00B33FD2"/>
    <w:rsid w:val="00B3405F"/>
    <w:rsid w:val="00B3416A"/>
    <w:rsid w:val="00B34173"/>
    <w:rsid w:val="00B34184"/>
    <w:rsid w:val="00B34202"/>
    <w:rsid w:val="00B3425D"/>
    <w:rsid w:val="00B3429F"/>
    <w:rsid w:val="00B342C5"/>
    <w:rsid w:val="00B342DB"/>
    <w:rsid w:val="00B342FA"/>
    <w:rsid w:val="00B3435F"/>
    <w:rsid w:val="00B34380"/>
    <w:rsid w:val="00B343CB"/>
    <w:rsid w:val="00B3440B"/>
    <w:rsid w:val="00B3440F"/>
    <w:rsid w:val="00B34489"/>
    <w:rsid w:val="00B34568"/>
    <w:rsid w:val="00B34587"/>
    <w:rsid w:val="00B345E7"/>
    <w:rsid w:val="00B3473E"/>
    <w:rsid w:val="00B3477C"/>
    <w:rsid w:val="00B3482C"/>
    <w:rsid w:val="00B34836"/>
    <w:rsid w:val="00B348FB"/>
    <w:rsid w:val="00B34935"/>
    <w:rsid w:val="00B34965"/>
    <w:rsid w:val="00B34A68"/>
    <w:rsid w:val="00B34B25"/>
    <w:rsid w:val="00B34B97"/>
    <w:rsid w:val="00B34BBB"/>
    <w:rsid w:val="00B34C76"/>
    <w:rsid w:val="00B34D27"/>
    <w:rsid w:val="00B34D58"/>
    <w:rsid w:val="00B34D81"/>
    <w:rsid w:val="00B34DDE"/>
    <w:rsid w:val="00B34E58"/>
    <w:rsid w:val="00B34E8C"/>
    <w:rsid w:val="00B34EA4"/>
    <w:rsid w:val="00B34EF0"/>
    <w:rsid w:val="00B34FC0"/>
    <w:rsid w:val="00B35100"/>
    <w:rsid w:val="00B3519C"/>
    <w:rsid w:val="00B351DF"/>
    <w:rsid w:val="00B35249"/>
    <w:rsid w:val="00B35259"/>
    <w:rsid w:val="00B35278"/>
    <w:rsid w:val="00B353C9"/>
    <w:rsid w:val="00B353FE"/>
    <w:rsid w:val="00B35401"/>
    <w:rsid w:val="00B355CB"/>
    <w:rsid w:val="00B355DF"/>
    <w:rsid w:val="00B355E2"/>
    <w:rsid w:val="00B356CA"/>
    <w:rsid w:val="00B356CC"/>
    <w:rsid w:val="00B35739"/>
    <w:rsid w:val="00B357D7"/>
    <w:rsid w:val="00B3581B"/>
    <w:rsid w:val="00B3582E"/>
    <w:rsid w:val="00B3583C"/>
    <w:rsid w:val="00B35885"/>
    <w:rsid w:val="00B35889"/>
    <w:rsid w:val="00B358A9"/>
    <w:rsid w:val="00B358C8"/>
    <w:rsid w:val="00B359CA"/>
    <w:rsid w:val="00B35A7F"/>
    <w:rsid w:val="00B35A97"/>
    <w:rsid w:val="00B35AAE"/>
    <w:rsid w:val="00B35B0E"/>
    <w:rsid w:val="00B35B3F"/>
    <w:rsid w:val="00B35C17"/>
    <w:rsid w:val="00B35C46"/>
    <w:rsid w:val="00B35C52"/>
    <w:rsid w:val="00B35C81"/>
    <w:rsid w:val="00B35DA8"/>
    <w:rsid w:val="00B35DD0"/>
    <w:rsid w:val="00B35DD7"/>
    <w:rsid w:val="00B35E63"/>
    <w:rsid w:val="00B35E6D"/>
    <w:rsid w:val="00B35EAE"/>
    <w:rsid w:val="00B35F99"/>
    <w:rsid w:val="00B35FA1"/>
    <w:rsid w:val="00B36063"/>
    <w:rsid w:val="00B36084"/>
    <w:rsid w:val="00B360AA"/>
    <w:rsid w:val="00B360C5"/>
    <w:rsid w:val="00B360EA"/>
    <w:rsid w:val="00B36116"/>
    <w:rsid w:val="00B36128"/>
    <w:rsid w:val="00B361B7"/>
    <w:rsid w:val="00B362A2"/>
    <w:rsid w:val="00B363D4"/>
    <w:rsid w:val="00B36423"/>
    <w:rsid w:val="00B3656C"/>
    <w:rsid w:val="00B365BF"/>
    <w:rsid w:val="00B365C0"/>
    <w:rsid w:val="00B36609"/>
    <w:rsid w:val="00B3666C"/>
    <w:rsid w:val="00B3667E"/>
    <w:rsid w:val="00B36783"/>
    <w:rsid w:val="00B367E7"/>
    <w:rsid w:val="00B3681D"/>
    <w:rsid w:val="00B36820"/>
    <w:rsid w:val="00B36918"/>
    <w:rsid w:val="00B3691A"/>
    <w:rsid w:val="00B369B2"/>
    <w:rsid w:val="00B36A41"/>
    <w:rsid w:val="00B36ABC"/>
    <w:rsid w:val="00B36AD3"/>
    <w:rsid w:val="00B36ADA"/>
    <w:rsid w:val="00B36B32"/>
    <w:rsid w:val="00B36B64"/>
    <w:rsid w:val="00B36D1F"/>
    <w:rsid w:val="00B36D65"/>
    <w:rsid w:val="00B36D6F"/>
    <w:rsid w:val="00B36F00"/>
    <w:rsid w:val="00B36F1C"/>
    <w:rsid w:val="00B36F86"/>
    <w:rsid w:val="00B36FE3"/>
    <w:rsid w:val="00B3703C"/>
    <w:rsid w:val="00B37098"/>
    <w:rsid w:val="00B370CA"/>
    <w:rsid w:val="00B37129"/>
    <w:rsid w:val="00B3718F"/>
    <w:rsid w:val="00B371A0"/>
    <w:rsid w:val="00B371B7"/>
    <w:rsid w:val="00B371CD"/>
    <w:rsid w:val="00B37296"/>
    <w:rsid w:val="00B372BD"/>
    <w:rsid w:val="00B373DE"/>
    <w:rsid w:val="00B375FD"/>
    <w:rsid w:val="00B376D1"/>
    <w:rsid w:val="00B376E6"/>
    <w:rsid w:val="00B37782"/>
    <w:rsid w:val="00B377BC"/>
    <w:rsid w:val="00B37861"/>
    <w:rsid w:val="00B378E3"/>
    <w:rsid w:val="00B37903"/>
    <w:rsid w:val="00B37A07"/>
    <w:rsid w:val="00B37A1C"/>
    <w:rsid w:val="00B37A2B"/>
    <w:rsid w:val="00B37A72"/>
    <w:rsid w:val="00B37AD4"/>
    <w:rsid w:val="00B37B5F"/>
    <w:rsid w:val="00B37B91"/>
    <w:rsid w:val="00B37B9D"/>
    <w:rsid w:val="00B37C12"/>
    <w:rsid w:val="00B37C58"/>
    <w:rsid w:val="00B37DA3"/>
    <w:rsid w:val="00B37E4E"/>
    <w:rsid w:val="00B37ED9"/>
    <w:rsid w:val="00B37FC5"/>
    <w:rsid w:val="00B38BBA"/>
    <w:rsid w:val="00B40007"/>
    <w:rsid w:val="00B4000F"/>
    <w:rsid w:val="00B40011"/>
    <w:rsid w:val="00B400B4"/>
    <w:rsid w:val="00B400E5"/>
    <w:rsid w:val="00B401EC"/>
    <w:rsid w:val="00B40332"/>
    <w:rsid w:val="00B40491"/>
    <w:rsid w:val="00B404F3"/>
    <w:rsid w:val="00B4057A"/>
    <w:rsid w:val="00B4058F"/>
    <w:rsid w:val="00B405F7"/>
    <w:rsid w:val="00B4064E"/>
    <w:rsid w:val="00B407AD"/>
    <w:rsid w:val="00B407C8"/>
    <w:rsid w:val="00B4091C"/>
    <w:rsid w:val="00B4093C"/>
    <w:rsid w:val="00B409EF"/>
    <w:rsid w:val="00B40A00"/>
    <w:rsid w:val="00B40A26"/>
    <w:rsid w:val="00B40A64"/>
    <w:rsid w:val="00B40CAF"/>
    <w:rsid w:val="00B40CF2"/>
    <w:rsid w:val="00B40D11"/>
    <w:rsid w:val="00B40D61"/>
    <w:rsid w:val="00B40EB5"/>
    <w:rsid w:val="00B40F63"/>
    <w:rsid w:val="00B410DE"/>
    <w:rsid w:val="00B4124D"/>
    <w:rsid w:val="00B4126F"/>
    <w:rsid w:val="00B41295"/>
    <w:rsid w:val="00B41305"/>
    <w:rsid w:val="00B41318"/>
    <w:rsid w:val="00B41367"/>
    <w:rsid w:val="00B41383"/>
    <w:rsid w:val="00B413B0"/>
    <w:rsid w:val="00B413D3"/>
    <w:rsid w:val="00B413F4"/>
    <w:rsid w:val="00B4157F"/>
    <w:rsid w:val="00B415D6"/>
    <w:rsid w:val="00B415FD"/>
    <w:rsid w:val="00B41681"/>
    <w:rsid w:val="00B416B2"/>
    <w:rsid w:val="00B417F0"/>
    <w:rsid w:val="00B418AC"/>
    <w:rsid w:val="00B4192F"/>
    <w:rsid w:val="00B41A6A"/>
    <w:rsid w:val="00B41A6B"/>
    <w:rsid w:val="00B41A7B"/>
    <w:rsid w:val="00B41AF2"/>
    <w:rsid w:val="00B41B0B"/>
    <w:rsid w:val="00B41B45"/>
    <w:rsid w:val="00B41B46"/>
    <w:rsid w:val="00B41BFF"/>
    <w:rsid w:val="00B41C7F"/>
    <w:rsid w:val="00B41C95"/>
    <w:rsid w:val="00B41D2B"/>
    <w:rsid w:val="00B41D78"/>
    <w:rsid w:val="00B41D88"/>
    <w:rsid w:val="00B41D8E"/>
    <w:rsid w:val="00B41E81"/>
    <w:rsid w:val="00B41ECE"/>
    <w:rsid w:val="00B41F39"/>
    <w:rsid w:val="00B41FD5"/>
    <w:rsid w:val="00B42084"/>
    <w:rsid w:val="00B4208B"/>
    <w:rsid w:val="00B42156"/>
    <w:rsid w:val="00B4217D"/>
    <w:rsid w:val="00B42185"/>
    <w:rsid w:val="00B42229"/>
    <w:rsid w:val="00B422A2"/>
    <w:rsid w:val="00B422F0"/>
    <w:rsid w:val="00B42332"/>
    <w:rsid w:val="00B42372"/>
    <w:rsid w:val="00B423C3"/>
    <w:rsid w:val="00B424F7"/>
    <w:rsid w:val="00B42505"/>
    <w:rsid w:val="00B4264A"/>
    <w:rsid w:val="00B4268E"/>
    <w:rsid w:val="00B42697"/>
    <w:rsid w:val="00B42714"/>
    <w:rsid w:val="00B4274F"/>
    <w:rsid w:val="00B4288D"/>
    <w:rsid w:val="00B428AB"/>
    <w:rsid w:val="00B428E8"/>
    <w:rsid w:val="00B428F5"/>
    <w:rsid w:val="00B4291A"/>
    <w:rsid w:val="00B42946"/>
    <w:rsid w:val="00B4299D"/>
    <w:rsid w:val="00B429CE"/>
    <w:rsid w:val="00B429F3"/>
    <w:rsid w:val="00B42B6A"/>
    <w:rsid w:val="00B42B8D"/>
    <w:rsid w:val="00B42BAF"/>
    <w:rsid w:val="00B42C54"/>
    <w:rsid w:val="00B42C5C"/>
    <w:rsid w:val="00B42D77"/>
    <w:rsid w:val="00B42DCD"/>
    <w:rsid w:val="00B42EEA"/>
    <w:rsid w:val="00B43106"/>
    <w:rsid w:val="00B43227"/>
    <w:rsid w:val="00B43297"/>
    <w:rsid w:val="00B432CF"/>
    <w:rsid w:val="00B432D3"/>
    <w:rsid w:val="00B4332A"/>
    <w:rsid w:val="00B43369"/>
    <w:rsid w:val="00B4338D"/>
    <w:rsid w:val="00B434B8"/>
    <w:rsid w:val="00B43501"/>
    <w:rsid w:val="00B4350C"/>
    <w:rsid w:val="00B4377E"/>
    <w:rsid w:val="00B437E4"/>
    <w:rsid w:val="00B43961"/>
    <w:rsid w:val="00B439CC"/>
    <w:rsid w:val="00B43BF5"/>
    <w:rsid w:val="00B43C7A"/>
    <w:rsid w:val="00B43D26"/>
    <w:rsid w:val="00B43D74"/>
    <w:rsid w:val="00B43DAC"/>
    <w:rsid w:val="00B43DB5"/>
    <w:rsid w:val="00B43DCE"/>
    <w:rsid w:val="00B43E10"/>
    <w:rsid w:val="00B43FE5"/>
    <w:rsid w:val="00B44005"/>
    <w:rsid w:val="00B4403C"/>
    <w:rsid w:val="00B44042"/>
    <w:rsid w:val="00B44103"/>
    <w:rsid w:val="00B4421B"/>
    <w:rsid w:val="00B44284"/>
    <w:rsid w:val="00B442E9"/>
    <w:rsid w:val="00B44386"/>
    <w:rsid w:val="00B4439E"/>
    <w:rsid w:val="00B443A2"/>
    <w:rsid w:val="00B44509"/>
    <w:rsid w:val="00B445D2"/>
    <w:rsid w:val="00B4469A"/>
    <w:rsid w:val="00B44804"/>
    <w:rsid w:val="00B448C7"/>
    <w:rsid w:val="00B449B9"/>
    <w:rsid w:val="00B449BC"/>
    <w:rsid w:val="00B44AE2"/>
    <w:rsid w:val="00B44B4E"/>
    <w:rsid w:val="00B44B53"/>
    <w:rsid w:val="00B44B70"/>
    <w:rsid w:val="00B44B7B"/>
    <w:rsid w:val="00B44C08"/>
    <w:rsid w:val="00B44C6F"/>
    <w:rsid w:val="00B44D12"/>
    <w:rsid w:val="00B44E09"/>
    <w:rsid w:val="00B44E90"/>
    <w:rsid w:val="00B44EC0"/>
    <w:rsid w:val="00B44F27"/>
    <w:rsid w:val="00B44FDE"/>
    <w:rsid w:val="00B4500E"/>
    <w:rsid w:val="00B45197"/>
    <w:rsid w:val="00B451BA"/>
    <w:rsid w:val="00B451E2"/>
    <w:rsid w:val="00B4533E"/>
    <w:rsid w:val="00B453F1"/>
    <w:rsid w:val="00B45405"/>
    <w:rsid w:val="00B45453"/>
    <w:rsid w:val="00B45468"/>
    <w:rsid w:val="00B4554B"/>
    <w:rsid w:val="00B45629"/>
    <w:rsid w:val="00B457D3"/>
    <w:rsid w:val="00B4582A"/>
    <w:rsid w:val="00B4584F"/>
    <w:rsid w:val="00B458A4"/>
    <w:rsid w:val="00B45919"/>
    <w:rsid w:val="00B459CE"/>
    <w:rsid w:val="00B45A10"/>
    <w:rsid w:val="00B45A3A"/>
    <w:rsid w:val="00B45A59"/>
    <w:rsid w:val="00B45A8D"/>
    <w:rsid w:val="00B45B67"/>
    <w:rsid w:val="00B45BAD"/>
    <w:rsid w:val="00B45BCC"/>
    <w:rsid w:val="00B45C69"/>
    <w:rsid w:val="00B45C70"/>
    <w:rsid w:val="00B45D1A"/>
    <w:rsid w:val="00B45D28"/>
    <w:rsid w:val="00B45D7C"/>
    <w:rsid w:val="00B45DCC"/>
    <w:rsid w:val="00B45DFA"/>
    <w:rsid w:val="00B45E1D"/>
    <w:rsid w:val="00B45E25"/>
    <w:rsid w:val="00B45E56"/>
    <w:rsid w:val="00B45E95"/>
    <w:rsid w:val="00B45EF8"/>
    <w:rsid w:val="00B45F58"/>
    <w:rsid w:val="00B45FF0"/>
    <w:rsid w:val="00B45FF6"/>
    <w:rsid w:val="00B46006"/>
    <w:rsid w:val="00B4601E"/>
    <w:rsid w:val="00B46030"/>
    <w:rsid w:val="00B46038"/>
    <w:rsid w:val="00B460DC"/>
    <w:rsid w:val="00B46124"/>
    <w:rsid w:val="00B461B3"/>
    <w:rsid w:val="00B46299"/>
    <w:rsid w:val="00B46339"/>
    <w:rsid w:val="00B4633F"/>
    <w:rsid w:val="00B46358"/>
    <w:rsid w:val="00B4643B"/>
    <w:rsid w:val="00B4647A"/>
    <w:rsid w:val="00B464D0"/>
    <w:rsid w:val="00B46503"/>
    <w:rsid w:val="00B46551"/>
    <w:rsid w:val="00B465A0"/>
    <w:rsid w:val="00B46671"/>
    <w:rsid w:val="00B46692"/>
    <w:rsid w:val="00B466DA"/>
    <w:rsid w:val="00B467DD"/>
    <w:rsid w:val="00B46804"/>
    <w:rsid w:val="00B4684F"/>
    <w:rsid w:val="00B4685B"/>
    <w:rsid w:val="00B4685E"/>
    <w:rsid w:val="00B46897"/>
    <w:rsid w:val="00B4696C"/>
    <w:rsid w:val="00B4696E"/>
    <w:rsid w:val="00B46983"/>
    <w:rsid w:val="00B46A5A"/>
    <w:rsid w:val="00B46AAC"/>
    <w:rsid w:val="00B46ABC"/>
    <w:rsid w:val="00B46ADC"/>
    <w:rsid w:val="00B46B6E"/>
    <w:rsid w:val="00B46BF9"/>
    <w:rsid w:val="00B46C2E"/>
    <w:rsid w:val="00B46C80"/>
    <w:rsid w:val="00B46C8E"/>
    <w:rsid w:val="00B46CA0"/>
    <w:rsid w:val="00B46CE0"/>
    <w:rsid w:val="00B46D17"/>
    <w:rsid w:val="00B46D7E"/>
    <w:rsid w:val="00B46E39"/>
    <w:rsid w:val="00B46E59"/>
    <w:rsid w:val="00B46F04"/>
    <w:rsid w:val="00B46FF9"/>
    <w:rsid w:val="00B47009"/>
    <w:rsid w:val="00B4709F"/>
    <w:rsid w:val="00B47154"/>
    <w:rsid w:val="00B471FB"/>
    <w:rsid w:val="00B47255"/>
    <w:rsid w:val="00B472F2"/>
    <w:rsid w:val="00B4740E"/>
    <w:rsid w:val="00B47451"/>
    <w:rsid w:val="00B47474"/>
    <w:rsid w:val="00B474E9"/>
    <w:rsid w:val="00B47522"/>
    <w:rsid w:val="00B47526"/>
    <w:rsid w:val="00B4766C"/>
    <w:rsid w:val="00B47691"/>
    <w:rsid w:val="00B476D6"/>
    <w:rsid w:val="00B47735"/>
    <w:rsid w:val="00B477D1"/>
    <w:rsid w:val="00B4782D"/>
    <w:rsid w:val="00B4789A"/>
    <w:rsid w:val="00B478C1"/>
    <w:rsid w:val="00B47993"/>
    <w:rsid w:val="00B47994"/>
    <w:rsid w:val="00B479A3"/>
    <w:rsid w:val="00B47A0A"/>
    <w:rsid w:val="00B47A3B"/>
    <w:rsid w:val="00B47A74"/>
    <w:rsid w:val="00B47AB9"/>
    <w:rsid w:val="00B47B18"/>
    <w:rsid w:val="00B47B22"/>
    <w:rsid w:val="00B47B56"/>
    <w:rsid w:val="00B47C11"/>
    <w:rsid w:val="00B47C38"/>
    <w:rsid w:val="00B47C67"/>
    <w:rsid w:val="00B47CB1"/>
    <w:rsid w:val="00B47D6A"/>
    <w:rsid w:val="00B47E7F"/>
    <w:rsid w:val="00B5000E"/>
    <w:rsid w:val="00B50091"/>
    <w:rsid w:val="00B50095"/>
    <w:rsid w:val="00B50181"/>
    <w:rsid w:val="00B5021F"/>
    <w:rsid w:val="00B5023D"/>
    <w:rsid w:val="00B5024A"/>
    <w:rsid w:val="00B50345"/>
    <w:rsid w:val="00B50382"/>
    <w:rsid w:val="00B5044C"/>
    <w:rsid w:val="00B504B0"/>
    <w:rsid w:val="00B50551"/>
    <w:rsid w:val="00B50788"/>
    <w:rsid w:val="00B507CE"/>
    <w:rsid w:val="00B5082F"/>
    <w:rsid w:val="00B508ED"/>
    <w:rsid w:val="00B50921"/>
    <w:rsid w:val="00B509B5"/>
    <w:rsid w:val="00B509DF"/>
    <w:rsid w:val="00B50B25"/>
    <w:rsid w:val="00B50B5D"/>
    <w:rsid w:val="00B50BD0"/>
    <w:rsid w:val="00B50C3A"/>
    <w:rsid w:val="00B50C87"/>
    <w:rsid w:val="00B50DAC"/>
    <w:rsid w:val="00B50DD7"/>
    <w:rsid w:val="00B50EA6"/>
    <w:rsid w:val="00B50EA8"/>
    <w:rsid w:val="00B50F78"/>
    <w:rsid w:val="00B50F90"/>
    <w:rsid w:val="00B50FE3"/>
    <w:rsid w:val="00B5108C"/>
    <w:rsid w:val="00B510D2"/>
    <w:rsid w:val="00B5110A"/>
    <w:rsid w:val="00B51274"/>
    <w:rsid w:val="00B51275"/>
    <w:rsid w:val="00B5128C"/>
    <w:rsid w:val="00B51318"/>
    <w:rsid w:val="00B51345"/>
    <w:rsid w:val="00B51355"/>
    <w:rsid w:val="00B513F2"/>
    <w:rsid w:val="00B514BB"/>
    <w:rsid w:val="00B514C4"/>
    <w:rsid w:val="00B514C6"/>
    <w:rsid w:val="00B51546"/>
    <w:rsid w:val="00B51576"/>
    <w:rsid w:val="00B51580"/>
    <w:rsid w:val="00B51636"/>
    <w:rsid w:val="00B51672"/>
    <w:rsid w:val="00B516B3"/>
    <w:rsid w:val="00B516C3"/>
    <w:rsid w:val="00B518D1"/>
    <w:rsid w:val="00B518F9"/>
    <w:rsid w:val="00B519C6"/>
    <w:rsid w:val="00B51A88"/>
    <w:rsid w:val="00B51B3F"/>
    <w:rsid w:val="00B51B50"/>
    <w:rsid w:val="00B51D0C"/>
    <w:rsid w:val="00B51D21"/>
    <w:rsid w:val="00B51E53"/>
    <w:rsid w:val="00B52260"/>
    <w:rsid w:val="00B52296"/>
    <w:rsid w:val="00B522AB"/>
    <w:rsid w:val="00B522B8"/>
    <w:rsid w:val="00B52372"/>
    <w:rsid w:val="00B52480"/>
    <w:rsid w:val="00B525CC"/>
    <w:rsid w:val="00B52648"/>
    <w:rsid w:val="00B52692"/>
    <w:rsid w:val="00B526F2"/>
    <w:rsid w:val="00B527F5"/>
    <w:rsid w:val="00B5280F"/>
    <w:rsid w:val="00B52820"/>
    <w:rsid w:val="00B52847"/>
    <w:rsid w:val="00B52870"/>
    <w:rsid w:val="00B528C0"/>
    <w:rsid w:val="00B528E0"/>
    <w:rsid w:val="00B52A10"/>
    <w:rsid w:val="00B52A1D"/>
    <w:rsid w:val="00B52AE3"/>
    <w:rsid w:val="00B52B72"/>
    <w:rsid w:val="00B52C30"/>
    <w:rsid w:val="00B52C4C"/>
    <w:rsid w:val="00B52CAC"/>
    <w:rsid w:val="00B52D9E"/>
    <w:rsid w:val="00B52DA0"/>
    <w:rsid w:val="00B52E6F"/>
    <w:rsid w:val="00B52E7E"/>
    <w:rsid w:val="00B52E85"/>
    <w:rsid w:val="00B52E95"/>
    <w:rsid w:val="00B52F72"/>
    <w:rsid w:val="00B52FDF"/>
    <w:rsid w:val="00B5300F"/>
    <w:rsid w:val="00B5302C"/>
    <w:rsid w:val="00B53089"/>
    <w:rsid w:val="00B53093"/>
    <w:rsid w:val="00B53107"/>
    <w:rsid w:val="00B53156"/>
    <w:rsid w:val="00B53250"/>
    <w:rsid w:val="00B532FB"/>
    <w:rsid w:val="00B53300"/>
    <w:rsid w:val="00B53380"/>
    <w:rsid w:val="00B53470"/>
    <w:rsid w:val="00B534AE"/>
    <w:rsid w:val="00B534F9"/>
    <w:rsid w:val="00B535D6"/>
    <w:rsid w:val="00B53682"/>
    <w:rsid w:val="00B536AE"/>
    <w:rsid w:val="00B53870"/>
    <w:rsid w:val="00B538B9"/>
    <w:rsid w:val="00B538D4"/>
    <w:rsid w:val="00B53979"/>
    <w:rsid w:val="00B53AFF"/>
    <w:rsid w:val="00B53C70"/>
    <w:rsid w:val="00B53C87"/>
    <w:rsid w:val="00B53CA0"/>
    <w:rsid w:val="00B53CA3"/>
    <w:rsid w:val="00B53E28"/>
    <w:rsid w:val="00B53EE9"/>
    <w:rsid w:val="00B53F46"/>
    <w:rsid w:val="00B53F80"/>
    <w:rsid w:val="00B53FD1"/>
    <w:rsid w:val="00B5402A"/>
    <w:rsid w:val="00B54044"/>
    <w:rsid w:val="00B540D5"/>
    <w:rsid w:val="00B54128"/>
    <w:rsid w:val="00B542EA"/>
    <w:rsid w:val="00B54381"/>
    <w:rsid w:val="00B543DB"/>
    <w:rsid w:val="00B54484"/>
    <w:rsid w:val="00B5449F"/>
    <w:rsid w:val="00B544C0"/>
    <w:rsid w:val="00B544FA"/>
    <w:rsid w:val="00B54518"/>
    <w:rsid w:val="00B54534"/>
    <w:rsid w:val="00B54545"/>
    <w:rsid w:val="00B54591"/>
    <w:rsid w:val="00B545E8"/>
    <w:rsid w:val="00B54606"/>
    <w:rsid w:val="00B54645"/>
    <w:rsid w:val="00B546BF"/>
    <w:rsid w:val="00B546CB"/>
    <w:rsid w:val="00B546FF"/>
    <w:rsid w:val="00B54727"/>
    <w:rsid w:val="00B54743"/>
    <w:rsid w:val="00B548DA"/>
    <w:rsid w:val="00B54933"/>
    <w:rsid w:val="00B54959"/>
    <w:rsid w:val="00B549AA"/>
    <w:rsid w:val="00B549C3"/>
    <w:rsid w:val="00B54A68"/>
    <w:rsid w:val="00B54BC4"/>
    <w:rsid w:val="00B54C70"/>
    <w:rsid w:val="00B54D2F"/>
    <w:rsid w:val="00B54D96"/>
    <w:rsid w:val="00B54DE0"/>
    <w:rsid w:val="00B54DE4"/>
    <w:rsid w:val="00B54DFA"/>
    <w:rsid w:val="00B54E72"/>
    <w:rsid w:val="00B54E7D"/>
    <w:rsid w:val="00B54F02"/>
    <w:rsid w:val="00B54F0B"/>
    <w:rsid w:val="00B55069"/>
    <w:rsid w:val="00B550E7"/>
    <w:rsid w:val="00B55194"/>
    <w:rsid w:val="00B551A1"/>
    <w:rsid w:val="00B553F4"/>
    <w:rsid w:val="00B553F9"/>
    <w:rsid w:val="00B5545E"/>
    <w:rsid w:val="00B5546E"/>
    <w:rsid w:val="00B554D2"/>
    <w:rsid w:val="00B55573"/>
    <w:rsid w:val="00B556FF"/>
    <w:rsid w:val="00B55713"/>
    <w:rsid w:val="00B55743"/>
    <w:rsid w:val="00B55783"/>
    <w:rsid w:val="00B557A2"/>
    <w:rsid w:val="00B557BC"/>
    <w:rsid w:val="00B557C5"/>
    <w:rsid w:val="00B55802"/>
    <w:rsid w:val="00B55832"/>
    <w:rsid w:val="00B55962"/>
    <w:rsid w:val="00B5598E"/>
    <w:rsid w:val="00B559FA"/>
    <w:rsid w:val="00B55A4F"/>
    <w:rsid w:val="00B55B6A"/>
    <w:rsid w:val="00B55B79"/>
    <w:rsid w:val="00B55D3C"/>
    <w:rsid w:val="00B55DBC"/>
    <w:rsid w:val="00B55E0B"/>
    <w:rsid w:val="00B55E57"/>
    <w:rsid w:val="00B55F3A"/>
    <w:rsid w:val="00B55F9F"/>
    <w:rsid w:val="00B55FFC"/>
    <w:rsid w:val="00B56128"/>
    <w:rsid w:val="00B56153"/>
    <w:rsid w:val="00B561C5"/>
    <w:rsid w:val="00B561F4"/>
    <w:rsid w:val="00B5621B"/>
    <w:rsid w:val="00B56234"/>
    <w:rsid w:val="00B563BA"/>
    <w:rsid w:val="00B5640F"/>
    <w:rsid w:val="00B5645C"/>
    <w:rsid w:val="00B5646F"/>
    <w:rsid w:val="00B56479"/>
    <w:rsid w:val="00B5658D"/>
    <w:rsid w:val="00B565B5"/>
    <w:rsid w:val="00B565B9"/>
    <w:rsid w:val="00B565E5"/>
    <w:rsid w:val="00B566EF"/>
    <w:rsid w:val="00B566F4"/>
    <w:rsid w:val="00B56763"/>
    <w:rsid w:val="00B567BF"/>
    <w:rsid w:val="00B567F2"/>
    <w:rsid w:val="00B568D1"/>
    <w:rsid w:val="00B5695E"/>
    <w:rsid w:val="00B56A27"/>
    <w:rsid w:val="00B56B51"/>
    <w:rsid w:val="00B56B70"/>
    <w:rsid w:val="00B56B8D"/>
    <w:rsid w:val="00B56BE0"/>
    <w:rsid w:val="00B56C6E"/>
    <w:rsid w:val="00B56C9B"/>
    <w:rsid w:val="00B56CAC"/>
    <w:rsid w:val="00B56D2B"/>
    <w:rsid w:val="00B56D92"/>
    <w:rsid w:val="00B56E01"/>
    <w:rsid w:val="00B56E12"/>
    <w:rsid w:val="00B56E75"/>
    <w:rsid w:val="00B56E77"/>
    <w:rsid w:val="00B57132"/>
    <w:rsid w:val="00B571FC"/>
    <w:rsid w:val="00B57293"/>
    <w:rsid w:val="00B573A9"/>
    <w:rsid w:val="00B5740B"/>
    <w:rsid w:val="00B57482"/>
    <w:rsid w:val="00B575DB"/>
    <w:rsid w:val="00B57651"/>
    <w:rsid w:val="00B576DA"/>
    <w:rsid w:val="00B5779A"/>
    <w:rsid w:val="00B57866"/>
    <w:rsid w:val="00B578EA"/>
    <w:rsid w:val="00B57900"/>
    <w:rsid w:val="00B579B1"/>
    <w:rsid w:val="00B579D1"/>
    <w:rsid w:val="00B579D5"/>
    <w:rsid w:val="00B57A36"/>
    <w:rsid w:val="00B57A63"/>
    <w:rsid w:val="00B57A96"/>
    <w:rsid w:val="00B57B08"/>
    <w:rsid w:val="00B57B5E"/>
    <w:rsid w:val="00B57B87"/>
    <w:rsid w:val="00B57BA0"/>
    <w:rsid w:val="00B57D8D"/>
    <w:rsid w:val="00B57DC5"/>
    <w:rsid w:val="00B57E72"/>
    <w:rsid w:val="00B57E8E"/>
    <w:rsid w:val="00B57F34"/>
    <w:rsid w:val="00B57FC6"/>
    <w:rsid w:val="00B57FCD"/>
    <w:rsid w:val="00B57FEF"/>
    <w:rsid w:val="00B600BE"/>
    <w:rsid w:val="00B60142"/>
    <w:rsid w:val="00B601B3"/>
    <w:rsid w:val="00B601DA"/>
    <w:rsid w:val="00B603AE"/>
    <w:rsid w:val="00B603C8"/>
    <w:rsid w:val="00B603EA"/>
    <w:rsid w:val="00B6045D"/>
    <w:rsid w:val="00B60594"/>
    <w:rsid w:val="00B605B3"/>
    <w:rsid w:val="00B605B8"/>
    <w:rsid w:val="00B6062E"/>
    <w:rsid w:val="00B6066B"/>
    <w:rsid w:val="00B606F6"/>
    <w:rsid w:val="00B608D7"/>
    <w:rsid w:val="00B60927"/>
    <w:rsid w:val="00B609AD"/>
    <w:rsid w:val="00B609C5"/>
    <w:rsid w:val="00B60A2D"/>
    <w:rsid w:val="00B60C50"/>
    <w:rsid w:val="00B60C8C"/>
    <w:rsid w:val="00B60CDC"/>
    <w:rsid w:val="00B60CDE"/>
    <w:rsid w:val="00B60E1F"/>
    <w:rsid w:val="00B60F32"/>
    <w:rsid w:val="00B61021"/>
    <w:rsid w:val="00B610A7"/>
    <w:rsid w:val="00B61143"/>
    <w:rsid w:val="00B61171"/>
    <w:rsid w:val="00B611C5"/>
    <w:rsid w:val="00B611E2"/>
    <w:rsid w:val="00B6130F"/>
    <w:rsid w:val="00B61327"/>
    <w:rsid w:val="00B6138D"/>
    <w:rsid w:val="00B613AF"/>
    <w:rsid w:val="00B613BA"/>
    <w:rsid w:val="00B61403"/>
    <w:rsid w:val="00B6153D"/>
    <w:rsid w:val="00B616F8"/>
    <w:rsid w:val="00B61800"/>
    <w:rsid w:val="00B619C6"/>
    <w:rsid w:val="00B619F1"/>
    <w:rsid w:val="00B61AA4"/>
    <w:rsid w:val="00B61B92"/>
    <w:rsid w:val="00B61B94"/>
    <w:rsid w:val="00B61BDA"/>
    <w:rsid w:val="00B61BE0"/>
    <w:rsid w:val="00B61BE4"/>
    <w:rsid w:val="00B61C89"/>
    <w:rsid w:val="00B61CD4"/>
    <w:rsid w:val="00B61D6F"/>
    <w:rsid w:val="00B61D95"/>
    <w:rsid w:val="00B61DBB"/>
    <w:rsid w:val="00B61DD5"/>
    <w:rsid w:val="00B61DDC"/>
    <w:rsid w:val="00B61DE7"/>
    <w:rsid w:val="00B61F42"/>
    <w:rsid w:val="00B61FDD"/>
    <w:rsid w:val="00B62091"/>
    <w:rsid w:val="00B620B6"/>
    <w:rsid w:val="00B620CE"/>
    <w:rsid w:val="00B621AE"/>
    <w:rsid w:val="00B621F5"/>
    <w:rsid w:val="00B62206"/>
    <w:rsid w:val="00B6227E"/>
    <w:rsid w:val="00B622ED"/>
    <w:rsid w:val="00B622F6"/>
    <w:rsid w:val="00B622FF"/>
    <w:rsid w:val="00B62335"/>
    <w:rsid w:val="00B62438"/>
    <w:rsid w:val="00B624B1"/>
    <w:rsid w:val="00B624D2"/>
    <w:rsid w:val="00B624E2"/>
    <w:rsid w:val="00B62560"/>
    <w:rsid w:val="00B625A9"/>
    <w:rsid w:val="00B625FA"/>
    <w:rsid w:val="00B62614"/>
    <w:rsid w:val="00B62651"/>
    <w:rsid w:val="00B62696"/>
    <w:rsid w:val="00B626CE"/>
    <w:rsid w:val="00B62700"/>
    <w:rsid w:val="00B62731"/>
    <w:rsid w:val="00B62793"/>
    <w:rsid w:val="00B627CA"/>
    <w:rsid w:val="00B62826"/>
    <w:rsid w:val="00B62847"/>
    <w:rsid w:val="00B6285A"/>
    <w:rsid w:val="00B62934"/>
    <w:rsid w:val="00B629C8"/>
    <w:rsid w:val="00B629CE"/>
    <w:rsid w:val="00B62A05"/>
    <w:rsid w:val="00B62A1A"/>
    <w:rsid w:val="00B62A6B"/>
    <w:rsid w:val="00B62A91"/>
    <w:rsid w:val="00B62AB1"/>
    <w:rsid w:val="00B62AC2"/>
    <w:rsid w:val="00B62AD6"/>
    <w:rsid w:val="00B62AF7"/>
    <w:rsid w:val="00B62B21"/>
    <w:rsid w:val="00B62CC7"/>
    <w:rsid w:val="00B62E42"/>
    <w:rsid w:val="00B62F8A"/>
    <w:rsid w:val="00B62FC4"/>
    <w:rsid w:val="00B6300C"/>
    <w:rsid w:val="00B63029"/>
    <w:rsid w:val="00B630E2"/>
    <w:rsid w:val="00B631EB"/>
    <w:rsid w:val="00B6322F"/>
    <w:rsid w:val="00B63248"/>
    <w:rsid w:val="00B633B4"/>
    <w:rsid w:val="00B63400"/>
    <w:rsid w:val="00B63427"/>
    <w:rsid w:val="00B63508"/>
    <w:rsid w:val="00B63526"/>
    <w:rsid w:val="00B6356E"/>
    <w:rsid w:val="00B635CC"/>
    <w:rsid w:val="00B63703"/>
    <w:rsid w:val="00B6381B"/>
    <w:rsid w:val="00B63839"/>
    <w:rsid w:val="00B6383A"/>
    <w:rsid w:val="00B63899"/>
    <w:rsid w:val="00B638BA"/>
    <w:rsid w:val="00B638CC"/>
    <w:rsid w:val="00B638E3"/>
    <w:rsid w:val="00B639A0"/>
    <w:rsid w:val="00B639E5"/>
    <w:rsid w:val="00B63A1B"/>
    <w:rsid w:val="00B63AA9"/>
    <w:rsid w:val="00B63AF5"/>
    <w:rsid w:val="00B63C3F"/>
    <w:rsid w:val="00B63C7C"/>
    <w:rsid w:val="00B63DE3"/>
    <w:rsid w:val="00B63E44"/>
    <w:rsid w:val="00B63E64"/>
    <w:rsid w:val="00B63E8B"/>
    <w:rsid w:val="00B63EDF"/>
    <w:rsid w:val="00B63F18"/>
    <w:rsid w:val="00B63F3F"/>
    <w:rsid w:val="00B63F56"/>
    <w:rsid w:val="00B63F6D"/>
    <w:rsid w:val="00B63FA2"/>
    <w:rsid w:val="00B64122"/>
    <w:rsid w:val="00B641B9"/>
    <w:rsid w:val="00B64261"/>
    <w:rsid w:val="00B64383"/>
    <w:rsid w:val="00B643F0"/>
    <w:rsid w:val="00B643F9"/>
    <w:rsid w:val="00B64416"/>
    <w:rsid w:val="00B64495"/>
    <w:rsid w:val="00B644A1"/>
    <w:rsid w:val="00B644AD"/>
    <w:rsid w:val="00B644BA"/>
    <w:rsid w:val="00B64585"/>
    <w:rsid w:val="00B6461C"/>
    <w:rsid w:val="00B6466C"/>
    <w:rsid w:val="00B64670"/>
    <w:rsid w:val="00B646A9"/>
    <w:rsid w:val="00B646E6"/>
    <w:rsid w:val="00B64726"/>
    <w:rsid w:val="00B64767"/>
    <w:rsid w:val="00B647C8"/>
    <w:rsid w:val="00B647F5"/>
    <w:rsid w:val="00B648C7"/>
    <w:rsid w:val="00B6491A"/>
    <w:rsid w:val="00B6495F"/>
    <w:rsid w:val="00B649A5"/>
    <w:rsid w:val="00B64A00"/>
    <w:rsid w:val="00B64A0A"/>
    <w:rsid w:val="00B64A6C"/>
    <w:rsid w:val="00B64B29"/>
    <w:rsid w:val="00B64BC6"/>
    <w:rsid w:val="00B64BF2"/>
    <w:rsid w:val="00B64C1E"/>
    <w:rsid w:val="00B64C43"/>
    <w:rsid w:val="00B64C5B"/>
    <w:rsid w:val="00B64DC7"/>
    <w:rsid w:val="00B64E4E"/>
    <w:rsid w:val="00B64E88"/>
    <w:rsid w:val="00B64F37"/>
    <w:rsid w:val="00B6508D"/>
    <w:rsid w:val="00B650F3"/>
    <w:rsid w:val="00B652DE"/>
    <w:rsid w:val="00B65405"/>
    <w:rsid w:val="00B65422"/>
    <w:rsid w:val="00B65433"/>
    <w:rsid w:val="00B65440"/>
    <w:rsid w:val="00B65490"/>
    <w:rsid w:val="00B65536"/>
    <w:rsid w:val="00B65570"/>
    <w:rsid w:val="00B655C3"/>
    <w:rsid w:val="00B655D0"/>
    <w:rsid w:val="00B6568E"/>
    <w:rsid w:val="00B65778"/>
    <w:rsid w:val="00B657F9"/>
    <w:rsid w:val="00B65817"/>
    <w:rsid w:val="00B65822"/>
    <w:rsid w:val="00B6596C"/>
    <w:rsid w:val="00B65B03"/>
    <w:rsid w:val="00B65B5D"/>
    <w:rsid w:val="00B65B67"/>
    <w:rsid w:val="00B65B78"/>
    <w:rsid w:val="00B65BAF"/>
    <w:rsid w:val="00B65C22"/>
    <w:rsid w:val="00B65C8F"/>
    <w:rsid w:val="00B65CAD"/>
    <w:rsid w:val="00B65DC2"/>
    <w:rsid w:val="00B65DD7"/>
    <w:rsid w:val="00B65E13"/>
    <w:rsid w:val="00B65E15"/>
    <w:rsid w:val="00B65EA5"/>
    <w:rsid w:val="00B66031"/>
    <w:rsid w:val="00B66052"/>
    <w:rsid w:val="00B660F8"/>
    <w:rsid w:val="00B66102"/>
    <w:rsid w:val="00B6617B"/>
    <w:rsid w:val="00B66326"/>
    <w:rsid w:val="00B663D5"/>
    <w:rsid w:val="00B663F6"/>
    <w:rsid w:val="00B6643F"/>
    <w:rsid w:val="00B66449"/>
    <w:rsid w:val="00B664C6"/>
    <w:rsid w:val="00B66546"/>
    <w:rsid w:val="00B66558"/>
    <w:rsid w:val="00B6656F"/>
    <w:rsid w:val="00B6658C"/>
    <w:rsid w:val="00B6660F"/>
    <w:rsid w:val="00B66623"/>
    <w:rsid w:val="00B666B4"/>
    <w:rsid w:val="00B6676B"/>
    <w:rsid w:val="00B6679A"/>
    <w:rsid w:val="00B667C5"/>
    <w:rsid w:val="00B667D0"/>
    <w:rsid w:val="00B66862"/>
    <w:rsid w:val="00B668F0"/>
    <w:rsid w:val="00B6694A"/>
    <w:rsid w:val="00B66958"/>
    <w:rsid w:val="00B66A3E"/>
    <w:rsid w:val="00B66A7E"/>
    <w:rsid w:val="00B66AAA"/>
    <w:rsid w:val="00B66B4B"/>
    <w:rsid w:val="00B66B80"/>
    <w:rsid w:val="00B66BB3"/>
    <w:rsid w:val="00B66BB9"/>
    <w:rsid w:val="00B66C34"/>
    <w:rsid w:val="00B66D22"/>
    <w:rsid w:val="00B66D6F"/>
    <w:rsid w:val="00B66E18"/>
    <w:rsid w:val="00B66E1D"/>
    <w:rsid w:val="00B66E8D"/>
    <w:rsid w:val="00B67010"/>
    <w:rsid w:val="00B67032"/>
    <w:rsid w:val="00B670C0"/>
    <w:rsid w:val="00B67143"/>
    <w:rsid w:val="00B67153"/>
    <w:rsid w:val="00B671A8"/>
    <w:rsid w:val="00B6723F"/>
    <w:rsid w:val="00B67277"/>
    <w:rsid w:val="00B67287"/>
    <w:rsid w:val="00B6732F"/>
    <w:rsid w:val="00B673B9"/>
    <w:rsid w:val="00B6741D"/>
    <w:rsid w:val="00B6747D"/>
    <w:rsid w:val="00B6750C"/>
    <w:rsid w:val="00B6752A"/>
    <w:rsid w:val="00B67534"/>
    <w:rsid w:val="00B675AF"/>
    <w:rsid w:val="00B675D9"/>
    <w:rsid w:val="00B676F1"/>
    <w:rsid w:val="00B67712"/>
    <w:rsid w:val="00B67732"/>
    <w:rsid w:val="00B67739"/>
    <w:rsid w:val="00B6773E"/>
    <w:rsid w:val="00B677B8"/>
    <w:rsid w:val="00B679F6"/>
    <w:rsid w:val="00B67ACF"/>
    <w:rsid w:val="00B67B0B"/>
    <w:rsid w:val="00B67BBA"/>
    <w:rsid w:val="00B67BDC"/>
    <w:rsid w:val="00B67C2D"/>
    <w:rsid w:val="00B67C45"/>
    <w:rsid w:val="00B67C55"/>
    <w:rsid w:val="00B67CAF"/>
    <w:rsid w:val="00B67CF0"/>
    <w:rsid w:val="00B67DBB"/>
    <w:rsid w:val="00B67E36"/>
    <w:rsid w:val="00B67E4A"/>
    <w:rsid w:val="00B67E5F"/>
    <w:rsid w:val="00B67F2C"/>
    <w:rsid w:val="00B67FCD"/>
    <w:rsid w:val="00B70090"/>
    <w:rsid w:val="00B700E9"/>
    <w:rsid w:val="00B70134"/>
    <w:rsid w:val="00B701F8"/>
    <w:rsid w:val="00B70222"/>
    <w:rsid w:val="00B7025F"/>
    <w:rsid w:val="00B702F3"/>
    <w:rsid w:val="00B70351"/>
    <w:rsid w:val="00B70394"/>
    <w:rsid w:val="00B703D2"/>
    <w:rsid w:val="00B70422"/>
    <w:rsid w:val="00B70479"/>
    <w:rsid w:val="00B704C5"/>
    <w:rsid w:val="00B7050D"/>
    <w:rsid w:val="00B70797"/>
    <w:rsid w:val="00B7087C"/>
    <w:rsid w:val="00B70909"/>
    <w:rsid w:val="00B70A33"/>
    <w:rsid w:val="00B70A75"/>
    <w:rsid w:val="00B70A79"/>
    <w:rsid w:val="00B70CA2"/>
    <w:rsid w:val="00B70CD1"/>
    <w:rsid w:val="00B70CE9"/>
    <w:rsid w:val="00B70D9E"/>
    <w:rsid w:val="00B70DFF"/>
    <w:rsid w:val="00B70F18"/>
    <w:rsid w:val="00B70F1D"/>
    <w:rsid w:val="00B710FC"/>
    <w:rsid w:val="00B71120"/>
    <w:rsid w:val="00B7140A"/>
    <w:rsid w:val="00B715DC"/>
    <w:rsid w:val="00B715F1"/>
    <w:rsid w:val="00B7161A"/>
    <w:rsid w:val="00B716A9"/>
    <w:rsid w:val="00B716EA"/>
    <w:rsid w:val="00B71708"/>
    <w:rsid w:val="00B7172A"/>
    <w:rsid w:val="00B717A3"/>
    <w:rsid w:val="00B717FD"/>
    <w:rsid w:val="00B7183E"/>
    <w:rsid w:val="00B718BA"/>
    <w:rsid w:val="00B718E0"/>
    <w:rsid w:val="00B71984"/>
    <w:rsid w:val="00B71A55"/>
    <w:rsid w:val="00B71AA1"/>
    <w:rsid w:val="00B71B0C"/>
    <w:rsid w:val="00B71C91"/>
    <w:rsid w:val="00B71CC8"/>
    <w:rsid w:val="00B71CFD"/>
    <w:rsid w:val="00B71DCA"/>
    <w:rsid w:val="00B71DF1"/>
    <w:rsid w:val="00B71E0C"/>
    <w:rsid w:val="00B71E24"/>
    <w:rsid w:val="00B71E27"/>
    <w:rsid w:val="00B71E42"/>
    <w:rsid w:val="00B71E4E"/>
    <w:rsid w:val="00B71EAC"/>
    <w:rsid w:val="00B72019"/>
    <w:rsid w:val="00B7209F"/>
    <w:rsid w:val="00B7219D"/>
    <w:rsid w:val="00B7219F"/>
    <w:rsid w:val="00B72280"/>
    <w:rsid w:val="00B722E2"/>
    <w:rsid w:val="00B72316"/>
    <w:rsid w:val="00B7233A"/>
    <w:rsid w:val="00B72375"/>
    <w:rsid w:val="00B7237B"/>
    <w:rsid w:val="00B72456"/>
    <w:rsid w:val="00B7250F"/>
    <w:rsid w:val="00B72515"/>
    <w:rsid w:val="00B72524"/>
    <w:rsid w:val="00B725F0"/>
    <w:rsid w:val="00B72600"/>
    <w:rsid w:val="00B72776"/>
    <w:rsid w:val="00B7281D"/>
    <w:rsid w:val="00B728DF"/>
    <w:rsid w:val="00B72917"/>
    <w:rsid w:val="00B72984"/>
    <w:rsid w:val="00B72A06"/>
    <w:rsid w:val="00B72A44"/>
    <w:rsid w:val="00B72A90"/>
    <w:rsid w:val="00B72ABA"/>
    <w:rsid w:val="00B72B63"/>
    <w:rsid w:val="00B72BB3"/>
    <w:rsid w:val="00B72C47"/>
    <w:rsid w:val="00B72C98"/>
    <w:rsid w:val="00B72CC3"/>
    <w:rsid w:val="00B72CE2"/>
    <w:rsid w:val="00B72D0C"/>
    <w:rsid w:val="00B72D5E"/>
    <w:rsid w:val="00B72E04"/>
    <w:rsid w:val="00B72E17"/>
    <w:rsid w:val="00B72E8A"/>
    <w:rsid w:val="00B72FCB"/>
    <w:rsid w:val="00B73037"/>
    <w:rsid w:val="00B730F7"/>
    <w:rsid w:val="00B730F9"/>
    <w:rsid w:val="00B731B4"/>
    <w:rsid w:val="00B73318"/>
    <w:rsid w:val="00B7332A"/>
    <w:rsid w:val="00B73353"/>
    <w:rsid w:val="00B733A5"/>
    <w:rsid w:val="00B73434"/>
    <w:rsid w:val="00B734F4"/>
    <w:rsid w:val="00B73585"/>
    <w:rsid w:val="00B735B2"/>
    <w:rsid w:val="00B7366B"/>
    <w:rsid w:val="00B7379F"/>
    <w:rsid w:val="00B73816"/>
    <w:rsid w:val="00B7381A"/>
    <w:rsid w:val="00B7385D"/>
    <w:rsid w:val="00B7387C"/>
    <w:rsid w:val="00B738D6"/>
    <w:rsid w:val="00B73946"/>
    <w:rsid w:val="00B7396C"/>
    <w:rsid w:val="00B7397D"/>
    <w:rsid w:val="00B73A6B"/>
    <w:rsid w:val="00B73AA8"/>
    <w:rsid w:val="00B73AC0"/>
    <w:rsid w:val="00B73AC3"/>
    <w:rsid w:val="00B73B1A"/>
    <w:rsid w:val="00B73BB9"/>
    <w:rsid w:val="00B73C36"/>
    <w:rsid w:val="00B73C47"/>
    <w:rsid w:val="00B73CB8"/>
    <w:rsid w:val="00B73CBA"/>
    <w:rsid w:val="00B73CDD"/>
    <w:rsid w:val="00B73DA3"/>
    <w:rsid w:val="00B73DEF"/>
    <w:rsid w:val="00B73E28"/>
    <w:rsid w:val="00B73F24"/>
    <w:rsid w:val="00B740F5"/>
    <w:rsid w:val="00B7412E"/>
    <w:rsid w:val="00B741FB"/>
    <w:rsid w:val="00B74204"/>
    <w:rsid w:val="00B74227"/>
    <w:rsid w:val="00B74281"/>
    <w:rsid w:val="00B74305"/>
    <w:rsid w:val="00B74325"/>
    <w:rsid w:val="00B74346"/>
    <w:rsid w:val="00B74360"/>
    <w:rsid w:val="00B744FA"/>
    <w:rsid w:val="00B74578"/>
    <w:rsid w:val="00B745AD"/>
    <w:rsid w:val="00B746AA"/>
    <w:rsid w:val="00B7471D"/>
    <w:rsid w:val="00B74737"/>
    <w:rsid w:val="00B74814"/>
    <w:rsid w:val="00B74A7A"/>
    <w:rsid w:val="00B74B3E"/>
    <w:rsid w:val="00B74B75"/>
    <w:rsid w:val="00B74B9A"/>
    <w:rsid w:val="00B74BB8"/>
    <w:rsid w:val="00B74BDC"/>
    <w:rsid w:val="00B74E06"/>
    <w:rsid w:val="00B74E7D"/>
    <w:rsid w:val="00B74E9D"/>
    <w:rsid w:val="00B74F3B"/>
    <w:rsid w:val="00B74FA5"/>
    <w:rsid w:val="00B75047"/>
    <w:rsid w:val="00B750BB"/>
    <w:rsid w:val="00B75100"/>
    <w:rsid w:val="00B7513B"/>
    <w:rsid w:val="00B75176"/>
    <w:rsid w:val="00B75194"/>
    <w:rsid w:val="00B751B3"/>
    <w:rsid w:val="00B7531E"/>
    <w:rsid w:val="00B7535D"/>
    <w:rsid w:val="00B753EA"/>
    <w:rsid w:val="00B75402"/>
    <w:rsid w:val="00B7541B"/>
    <w:rsid w:val="00B75465"/>
    <w:rsid w:val="00B754F8"/>
    <w:rsid w:val="00B75669"/>
    <w:rsid w:val="00B75684"/>
    <w:rsid w:val="00B756D0"/>
    <w:rsid w:val="00B7577A"/>
    <w:rsid w:val="00B75855"/>
    <w:rsid w:val="00B75868"/>
    <w:rsid w:val="00B75933"/>
    <w:rsid w:val="00B7595F"/>
    <w:rsid w:val="00B759D3"/>
    <w:rsid w:val="00B75AC1"/>
    <w:rsid w:val="00B75B28"/>
    <w:rsid w:val="00B75B4F"/>
    <w:rsid w:val="00B75CF6"/>
    <w:rsid w:val="00B75D03"/>
    <w:rsid w:val="00B75D8A"/>
    <w:rsid w:val="00B75E8D"/>
    <w:rsid w:val="00B75F85"/>
    <w:rsid w:val="00B75FE3"/>
    <w:rsid w:val="00B7602B"/>
    <w:rsid w:val="00B76092"/>
    <w:rsid w:val="00B76177"/>
    <w:rsid w:val="00B761F2"/>
    <w:rsid w:val="00B761F8"/>
    <w:rsid w:val="00B7635C"/>
    <w:rsid w:val="00B76364"/>
    <w:rsid w:val="00B76374"/>
    <w:rsid w:val="00B763B8"/>
    <w:rsid w:val="00B763FB"/>
    <w:rsid w:val="00B764C0"/>
    <w:rsid w:val="00B76574"/>
    <w:rsid w:val="00B7657F"/>
    <w:rsid w:val="00B765F6"/>
    <w:rsid w:val="00B76808"/>
    <w:rsid w:val="00B768AF"/>
    <w:rsid w:val="00B76955"/>
    <w:rsid w:val="00B76975"/>
    <w:rsid w:val="00B76A01"/>
    <w:rsid w:val="00B76A8F"/>
    <w:rsid w:val="00B76AB4"/>
    <w:rsid w:val="00B76ACC"/>
    <w:rsid w:val="00B76AD7"/>
    <w:rsid w:val="00B76B05"/>
    <w:rsid w:val="00B76C3E"/>
    <w:rsid w:val="00B76C5F"/>
    <w:rsid w:val="00B76C9D"/>
    <w:rsid w:val="00B76D61"/>
    <w:rsid w:val="00B76D9E"/>
    <w:rsid w:val="00B76DDB"/>
    <w:rsid w:val="00B76E59"/>
    <w:rsid w:val="00B76E5D"/>
    <w:rsid w:val="00B76E79"/>
    <w:rsid w:val="00B76EBE"/>
    <w:rsid w:val="00B76ECB"/>
    <w:rsid w:val="00B77108"/>
    <w:rsid w:val="00B77109"/>
    <w:rsid w:val="00B77146"/>
    <w:rsid w:val="00B771D7"/>
    <w:rsid w:val="00B77210"/>
    <w:rsid w:val="00B772AA"/>
    <w:rsid w:val="00B77314"/>
    <w:rsid w:val="00B77383"/>
    <w:rsid w:val="00B77385"/>
    <w:rsid w:val="00B7739A"/>
    <w:rsid w:val="00B773D5"/>
    <w:rsid w:val="00B773F4"/>
    <w:rsid w:val="00B77436"/>
    <w:rsid w:val="00B774FC"/>
    <w:rsid w:val="00B77516"/>
    <w:rsid w:val="00B7751E"/>
    <w:rsid w:val="00B775B0"/>
    <w:rsid w:val="00B777DC"/>
    <w:rsid w:val="00B77802"/>
    <w:rsid w:val="00B7781F"/>
    <w:rsid w:val="00B7782A"/>
    <w:rsid w:val="00B7785A"/>
    <w:rsid w:val="00B778DF"/>
    <w:rsid w:val="00B7790C"/>
    <w:rsid w:val="00B77A5B"/>
    <w:rsid w:val="00B77ACC"/>
    <w:rsid w:val="00B77ADC"/>
    <w:rsid w:val="00B77BEB"/>
    <w:rsid w:val="00B77C33"/>
    <w:rsid w:val="00B77CF9"/>
    <w:rsid w:val="00B77D20"/>
    <w:rsid w:val="00B77D22"/>
    <w:rsid w:val="00B77EB8"/>
    <w:rsid w:val="00B77F06"/>
    <w:rsid w:val="00B77F1B"/>
    <w:rsid w:val="00B77F32"/>
    <w:rsid w:val="00B77F35"/>
    <w:rsid w:val="00B77F82"/>
    <w:rsid w:val="00B77F8F"/>
    <w:rsid w:val="00B77FB4"/>
    <w:rsid w:val="00B77FBE"/>
    <w:rsid w:val="00B80078"/>
    <w:rsid w:val="00B80179"/>
    <w:rsid w:val="00B80252"/>
    <w:rsid w:val="00B802C4"/>
    <w:rsid w:val="00B80336"/>
    <w:rsid w:val="00B80337"/>
    <w:rsid w:val="00B8036E"/>
    <w:rsid w:val="00B80390"/>
    <w:rsid w:val="00B803C8"/>
    <w:rsid w:val="00B8040C"/>
    <w:rsid w:val="00B8042F"/>
    <w:rsid w:val="00B8046E"/>
    <w:rsid w:val="00B80515"/>
    <w:rsid w:val="00B805AB"/>
    <w:rsid w:val="00B8068C"/>
    <w:rsid w:val="00B80696"/>
    <w:rsid w:val="00B807AA"/>
    <w:rsid w:val="00B80843"/>
    <w:rsid w:val="00B80872"/>
    <w:rsid w:val="00B808C4"/>
    <w:rsid w:val="00B808DA"/>
    <w:rsid w:val="00B8090B"/>
    <w:rsid w:val="00B8091A"/>
    <w:rsid w:val="00B80955"/>
    <w:rsid w:val="00B80994"/>
    <w:rsid w:val="00B809E4"/>
    <w:rsid w:val="00B80A0B"/>
    <w:rsid w:val="00B80A30"/>
    <w:rsid w:val="00B80A51"/>
    <w:rsid w:val="00B80B12"/>
    <w:rsid w:val="00B80B48"/>
    <w:rsid w:val="00B80C66"/>
    <w:rsid w:val="00B80C70"/>
    <w:rsid w:val="00B80C8C"/>
    <w:rsid w:val="00B80D74"/>
    <w:rsid w:val="00B80D85"/>
    <w:rsid w:val="00B80DA5"/>
    <w:rsid w:val="00B80DF7"/>
    <w:rsid w:val="00B80E00"/>
    <w:rsid w:val="00B80E91"/>
    <w:rsid w:val="00B80FB0"/>
    <w:rsid w:val="00B81092"/>
    <w:rsid w:val="00B810DE"/>
    <w:rsid w:val="00B811DD"/>
    <w:rsid w:val="00B81267"/>
    <w:rsid w:val="00B8137A"/>
    <w:rsid w:val="00B8138F"/>
    <w:rsid w:val="00B81390"/>
    <w:rsid w:val="00B813CD"/>
    <w:rsid w:val="00B81479"/>
    <w:rsid w:val="00B814AD"/>
    <w:rsid w:val="00B814DD"/>
    <w:rsid w:val="00B8155C"/>
    <w:rsid w:val="00B815A3"/>
    <w:rsid w:val="00B815C2"/>
    <w:rsid w:val="00B815CA"/>
    <w:rsid w:val="00B8160C"/>
    <w:rsid w:val="00B8160F"/>
    <w:rsid w:val="00B8167A"/>
    <w:rsid w:val="00B816A2"/>
    <w:rsid w:val="00B81734"/>
    <w:rsid w:val="00B81781"/>
    <w:rsid w:val="00B817D4"/>
    <w:rsid w:val="00B818CF"/>
    <w:rsid w:val="00B819F4"/>
    <w:rsid w:val="00B81A1A"/>
    <w:rsid w:val="00B81A8E"/>
    <w:rsid w:val="00B81A95"/>
    <w:rsid w:val="00B81A9D"/>
    <w:rsid w:val="00B81AAF"/>
    <w:rsid w:val="00B81BE7"/>
    <w:rsid w:val="00B81C80"/>
    <w:rsid w:val="00B81CC3"/>
    <w:rsid w:val="00B81D57"/>
    <w:rsid w:val="00B81D77"/>
    <w:rsid w:val="00B81DCB"/>
    <w:rsid w:val="00B81DD5"/>
    <w:rsid w:val="00B81DD8"/>
    <w:rsid w:val="00B81E6B"/>
    <w:rsid w:val="00B81F3B"/>
    <w:rsid w:val="00B81F76"/>
    <w:rsid w:val="00B81FD0"/>
    <w:rsid w:val="00B82069"/>
    <w:rsid w:val="00B82234"/>
    <w:rsid w:val="00B822D5"/>
    <w:rsid w:val="00B8237A"/>
    <w:rsid w:val="00B8238E"/>
    <w:rsid w:val="00B823D2"/>
    <w:rsid w:val="00B824CC"/>
    <w:rsid w:val="00B824FD"/>
    <w:rsid w:val="00B82526"/>
    <w:rsid w:val="00B82544"/>
    <w:rsid w:val="00B8261B"/>
    <w:rsid w:val="00B82667"/>
    <w:rsid w:val="00B8267C"/>
    <w:rsid w:val="00B826AC"/>
    <w:rsid w:val="00B8277A"/>
    <w:rsid w:val="00B82847"/>
    <w:rsid w:val="00B828CD"/>
    <w:rsid w:val="00B828CE"/>
    <w:rsid w:val="00B828F9"/>
    <w:rsid w:val="00B82939"/>
    <w:rsid w:val="00B82A28"/>
    <w:rsid w:val="00B82AD1"/>
    <w:rsid w:val="00B82B05"/>
    <w:rsid w:val="00B82BD7"/>
    <w:rsid w:val="00B82CD1"/>
    <w:rsid w:val="00B82D58"/>
    <w:rsid w:val="00B82D70"/>
    <w:rsid w:val="00B82D76"/>
    <w:rsid w:val="00B82E13"/>
    <w:rsid w:val="00B82E2B"/>
    <w:rsid w:val="00B82F05"/>
    <w:rsid w:val="00B82F0D"/>
    <w:rsid w:val="00B82F33"/>
    <w:rsid w:val="00B82F8F"/>
    <w:rsid w:val="00B82FF8"/>
    <w:rsid w:val="00B830C8"/>
    <w:rsid w:val="00B830CB"/>
    <w:rsid w:val="00B830D3"/>
    <w:rsid w:val="00B830EF"/>
    <w:rsid w:val="00B8310E"/>
    <w:rsid w:val="00B8311A"/>
    <w:rsid w:val="00B83150"/>
    <w:rsid w:val="00B83181"/>
    <w:rsid w:val="00B832C1"/>
    <w:rsid w:val="00B832CD"/>
    <w:rsid w:val="00B83310"/>
    <w:rsid w:val="00B833A0"/>
    <w:rsid w:val="00B833C1"/>
    <w:rsid w:val="00B83517"/>
    <w:rsid w:val="00B83580"/>
    <w:rsid w:val="00B83617"/>
    <w:rsid w:val="00B83661"/>
    <w:rsid w:val="00B83773"/>
    <w:rsid w:val="00B837C2"/>
    <w:rsid w:val="00B838C0"/>
    <w:rsid w:val="00B838FE"/>
    <w:rsid w:val="00B8393E"/>
    <w:rsid w:val="00B83984"/>
    <w:rsid w:val="00B83AC4"/>
    <w:rsid w:val="00B83BB5"/>
    <w:rsid w:val="00B83C38"/>
    <w:rsid w:val="00B83C62"/>
    <w:rsid w:val="00B83C6B"/>
    <w:rsid w:val="00B83C70"/>
    <w:rsid w:val="00B83CAA"/>
    <w:rsid w:val="00B83D0A"/>
    <w:rsid w:val="00B83D5E"/>
    <w:rsid w:val="00B83D85"/>
    <w:rsid w:val="00B83DB9"/>
    <w:rsid w:val="00B83E21"/>
    <w:rsid w:val="00B83E2E"/>
    <w:rsid w:val="00B83E74"/>
    <w:rsid w:val="00B83E8F"/>
    <w:rsid w:val="00B84038"/>
    <w:rsid w:val="00B84080"/>
    <w:rsid w:val="00B84093"/>
    <w:rsid w:val="00B84117"/>
    <w:rsid w:val="00B8416E"/>
    <w:rsid w:val="00B84203"/>
    <w:rsid w:val="00B84215"/>
    <w:rsid w:val="00B84325"/>
    <w:rsid w:val="00B84395"/>
    <w:rsid w:val="00B843F0"/>
    <w:rsid w:val="00B8440E"/>
    <w:rsid w:val="00B8458D"/>
    <w:rsid w:val="00B845CC"/>
    <w:rsid w:val="00B845D1"/>
    <w:rsid w:val="00B84765"/>
    <w:rsid w:val="00B847A5"/>
    <w:rsid w:val="00B847FA"/>
    <w:rsid w:val="00B848B2"/>
    <w:rsid w:val="00B84913"/>
    <w:rsid w:val="00B84928"/>
    <w:rsid w:val="00B84965"/>
    <w:rsid w:val="00B849A0"/>
    <w:rsid w:val="00B84A63"/>
    <w:rsid w:val="00B84A69"/>
    <w:rsid w:val="00B84AB7"/>
    <w:rsid w:val="00B84ABD"/>
    <w:rsid w:val="00B84ACE"/>
    <w:rsid w:val="00B84B2B"/>
    <w:rsid w:val="00B84B61"/>
    <w:rsid w:val="00B84B74"/>
    <w:rsid w:val="00B84B8D"/>
    <w:rsid w:val="00B84BB3"/>
    <w:rsid w:val="00B84C91"/>
    <w:rsid w:val="00B84D82"/>
    <w:rsid w:val="00B84DAD"/>
    <w:rsid w:val="00B84E38"/>
    <w:rsid w:val="00B84E9B"/>
    <w:rsid w:val="00B84EE6"/>
    <w:rsid w:val="00B84F8A"/>
    <w:rsid w:val="00B850F0"/>
    <w:rsid w:val="00B85194"/>
    <w:rsid w:val="00B851EF"/>
    <w:rsid w:val="00B8520B"/>
    <w:rsid w:val="00B85223"/>
    <w:rsid w:val="00B852B9"/>
    <w:rsid w:val="00B85363"/>
    <w:rsid w:val="00B853D5"/>
    <w:rsid w:val="00B853DA"/>
    <w:rsid w:val="00B85440"/>
    <w:rsid w:val="00B854B2"/>
    <w:rsid w:val="00B85536"/>
    <w:rsid w:val="00B85563"/>
    <w:rsid w:val="00B85582"/>
    <w:rsid w:val="00B85586"/>
    <w:rsid w:val="00B855C6"/>
    <w:rsid w:val="00B855FB"/>
    <w:rsid w:val="00B85892"/>
    <w:rsid w:val="00B858EA"/>
    <w:rsid w:val="00B859E5"/>
    <w:rsid w:val="00B85A4C"/>
    <w:rsid w:val="00B85A9A"/>
    <w:rsid w:val="00B85A9B"/>
    <w:rsid w:val="00B85B81"/>
    <w:rsid w:val="00B85BD3"/>
    <w:rsid w:val="00B85C74"/>
    <w:rsid w:val="00B85CC5"/>
    <w:rsid w:val="00B85D02"/>
    <w:rsid w:val="00B85D83"/>
    <w:rsid w:val="00B85E37"/>
    <w:rsid w:val="00B85F85"/>
    <w:rsid w:val="00B85F9C"/>
    <w:rsid w:val="00B85FC9"/>
    <w:rsid w:val="00B85FD6"/>
    <w:rsid w:val="00B86006"/>
    <w:rsid w:val="00B86008"/>
    <w:rsid w:val="00B8607F"/>
    <w:rsid w:val="00B8608E"/>
    <w:rsid w:val="00B860AF"/>
    <w:rsid w:val="00B86155"/>
    <w:rsid w:val="00B861A5"/>
    <w:rsid w:val="00B86205"/>
    <w:rsid w:val="00B8623E"/>
    <w:rsid w:val="00B863CE"/>
    <w:rsid w:val="00B863CF"/>
    <w:rsid w:val="00B8644F"/>
    <w:rsid w:val="00B8647F"/>
    <w:rsid w:val="00B8648D"/>
    <w:rsid w:val="00B86591"/>
    <w:rsid w:val="00B865B1"/>
    <w:rsid w:val="00B8667E"/>
    <w:rsid w:val="00B866EE"/>
    <w:rsid w:val="00B8674A"/>
    <w:rsid w:val="00B8677A"/>
    <w:rsid w:val="00B867A0"/>
    <w:rsid w:val="00B867BF"/>
    <w:rsid w:val="00B867DF"/>
    <w:rsid w:val="00B86838"/>
    <w:rsid w:val="00B86869"/>
    <w:rsid w:val="00B86871"/>
    <w:rsid w:val="00B8688D"/>
    <w:rsid w:val="00B8694A"/>
    <w:rsid w:val="00B86977"/>
    <w:rsid w:val="00B8697B"/>
    <w:rsid w:val="00B86997"/>
    <w:rsid w:val="00B869DD"/>
    <w:rsid w:val="00B869F3"/>
    <w:rsid w:val="00B86A0C"/>
    <w:rsid w:val="00B86A29"/>
    <w:rsid w:val="00B86AC5"/>
    <w:rsid w:val="00B86AEC"/>
    <w:rsid w:val="00B86B8F"/>
    <w:rsid w:val="00B86B95"/>
    <w:rsid w:val="00B86C11"/>
    <w:rsid w:val="00B86C2F"/>
    <w:rsid w:val="00B86C91"/>
    <w:rsid w:val="00B86D8D"/>
    <w:rsid w:val="00B86DF7"/>
    <w:rsid w:val="00B86E6E"/>
    <w:rsid w:val="00B86E7F"/>
    <w:rsid w:val="00B86E9D"/>
    <w:rsid w:val="00B86EA4"/>
    <w:rsid w:val="00B86FAD"/>
    <w:rsid w:val="00B87055"/>
    <w:rsid w:val="00B870B2"/>
    <w:rsid w:val="00B87117"/>
    <w:rsid w:val="00B8717A"/>
    <w:rsid w:val="00B8719B"/>
    <w:rsid w:val="00B87202"/>
    <w:rsid w:val="00B87250"/>
    <w:rsid w:val="00B872A1"/>
    <w:rsid w:val="00B872EA"/>
    <w:rsid w:val="00B873BC"/>
    <w:rsid w:val="00B874C2"/>
    <w:rsid w:val="00B874FE"/>
    <w:rsid w:val="00B87611"/>
    <w:rsid w:val="00B87675"/>
    <w:rsid w:val="00B87797"/>
    <w:rsid w:val="00B877CD"/>
    <w:rsid w:val="00B877DA"/>
    <w:rsid w:val="00B87806"/>
    <w:rsid w:val="00B87859"/>
    <w:rsid w:val="00B87933"/>
    <w:rsid w:val="00B879BC"/>
    <w:rsid w:val="00B87A66"/>
    <w:rsid w:val="00B87A81"/>
    <w:rsid w:val="00B87B52"/>
    <w:rsid w:val="00B87BC2"/>
    <w:rsid w:val="00B87C97"/>
    <w:rsid w:val="00B87CB9"/>
    <w:rsid w:val="00B87D08"/>
    <w:rsid w:val="00B87D44"/>
    <w:rsid w:val="00B87E76"/>
    <w:rsid w:val="00B87F73"/>
    <w:rsid w:val="00B87FDD"/>
    <w:rsid w:val="00B87FE6"/>
    <w:rsid w:val="00B901CC"/>
    <w:rsid w:val="00B902A1"/>
    <w:rsid w:val="00B902AA"/>
    <w:rsid w:val="00B902BF"/>
    <w:rsid w:val="00B902DA"/>
    <w:rsid w:val="00B903B6"/>
    <w:rsid w:val="00B904AC"/>
    <w:rsid w:val="00B904FA"/>
    <w:rsid w:val="00B90573"/>
    <w:rsid w:val="00B905AB"/>
    <w:rsid w:val="00B905B9"/>
    <w:rsid w:val="00B905D0"/>
    <w:rsid w:val="00B905FA"/>
    <w:rsid w:val="00B90687"/>
    <w:rsid w:val="00B906B5"/>
    <w:rsid w:val="00B907C0"/>
    <w:rsid w:val="00B908BC"/>
    <w:rsid w:val="00B90948"/>
    <w:rsid w:val="00B90985"/>
    <w:rsid w:val="00B90A00"/>
    <w:rsid w:val="00B90A03"/>
    <w:rsid w:val="00B90A6D"/>
    <w:rsid w:val="00B90A9D"/>
    <w:rsid w:val="00B90AB8"/>
    <w:rsid w:val="00B90AEB"/>
    <w:rsid w:val="00B90B22"/>
    <w:rsid w:val="00B90C34"/>
    <w:rsid w:val="00B90C49"/>
    <w:rsid w:val="00B90C7C"/>
    <w:rsid w:val="00B90CA2"/>
    <w:rsid w:val="00B90DAF"/>
    <w:rsid w:val="00B90DEB"/>
    <w:rsid w:val="00B90E29"/>
    <w:rsid w:val="00B90E32"/>
    <w:rsid w:val="00B90E34"/>
    <w:rsid w:val="00B90E60"/>
    <w:rsid w:val="00B90E66"/>
    <w:rsid w:val="00B90E6D"/>
    <w:rsid w:val="00B90E91"/>
    <w:rsid w:val="00B90F5B"/>
    <w:rsid w:val="00B91018"/>
    <w:rsid w:val="00B9101D"/>
    <w:rsid w:val="00B910CE"/>
    <w:rsid w:val="00B91236"/>
    <w:rsid w:val="00B91287"/>
    <w:rsid w:val="00B9128E"/>
    <w:rsid w:val="00B9132D"/>
    <w:rsid w:val="00B91388"/>
    <w:rsid w:val="00B91416"/>
    <w:rsid w:val="00B91423"/>
    <w:rsid w:val="00B91466"/>
    <w:rsid w:val="00B91529"/>
    <w:rsid w:val="00B9158C"/>
    <w:rsid w:val="00B9170E"/>
    <w:rsid w:val="00B91727"/>
    <w:rsid w:val="00B91846"/>
    <w:rsid w:val="00B9187D"/>
    <w:rsid w:val="00B9188B"/>
    <w:rsid w:val="00B918FA"/>
    <w:rsid w:val="00B91940"/>
    <w:rsid w:val="00B91A08"/>
    <w:rsid w:val="00B91A1C"/>
    <w:rsid w:val="00B91A7D"/>
    <w:rsid w:val="00B91B2C"/>
    <w:rsid w:val="00B91B2D"/>
    <w:rsid w:val="00B91BB9"/>
    <w:rsid w:val="00B91C66"/>
    <w:rsid w:val="00B91C98"/>
    <w:rsid w:val="00B91CC2"/>
    <w:rsid w:val="00B91D9E"/>
    <w:rsid w:val="00B91DDC"/>
    <w:rsid w:val="00B91E83"/>
    <w:rsid w:val="00B91EBB"/>
    <w:rsid w:val="00B91F41"/>
    <w:rsid w:val="00B91F62"/>
    <w:rsid w:val="00B91F6A"/>
    <w:rsid w:val="00B92053"/>
    <w:rsid w:val="00B92098"/>
    <w:rsid w:val="00B92179"/>
    <w:rsid w:val="00B921DD"/>
    <w:rsid w:val="00B92356"/>
    <w:rsid w:val="00B9237B"/>
    <w:rsid w:val="00B923B7"/>
    <w:rsid w:val="00B923DB"/>
    <w:rsid w:val="00B92410"/>
    <w:rsid w:val="00B924CD"/>
    <w:rsid w:val="00B924D2"/>
    <w:rsid w:val="00B92509"/>
    <w:rsid w:val="00B9253E"/>
    <w:rsid w:val="00B92584"/>
    <w:rsid w:val="00B9266C"/>
    <w:rsid w:val="00B927A2"/>
    <w:rsid w:val="00B92810"/>
    <w:rsid w:val="00B92897"/>
    <w:rsid w:val="00B9292F"/>
    <w:rsid w:val="00B9294F"/>
    <w:rsid w:val="00B92A34"/>
    <w:rsid w:val="00B92A3C"/>
    <w:rsid w:val="00B92B79"/>
    <w:rsid w:val="00B92BFE"/>
    <w:rsid w:val="00B92CE8"/>
    <w:rsid w:val="00B92D04"/>
    <w:rsid w:val="00B92D7C"/>
    <w:rsid w:val="00B92DE4"/>
    <w:rsid w:val="00B92DF1"/>
    <w:rsid w:val="00B92E5B"/>
    <w:rsid w:val="00B92E60"/>
    <w:rsid w:val="00B92E98"/>
    <w:rsid w:val="00B92E9A"/>
    <w:rsid w:val="00B92F18"/>
    <w:rsid w:val="00B92F25"/>
    <w:rsid w:val="00B92F3F"/>
    <w:rsid w:val="00B92FAA"/>
    <w:rsid w:val="00B92FB5"/>
    <w:rsid w:val="00B92FBC"/>
    <w:rsid w:val="00B93156"/>
    <w:rsid w:val="00B93257"/>
    <w:rsid w:val="00B9326B"/>
    <w:rsid w:val="00B9326D"/>
    <w:rsid w:val="00B932A9"/>
    <w:rsid w:val="00B9333C"/>
    <w:rsid w:val="00B93467"/>
    <w:rsid w:val="00B934C0"/>
    <w:rsid w:val="00B934D7"/>
    <w:rsid w:val="00B93506"/>
    <w:rsid w:val="00B93514"/>
    <w:rsid w:val="00B93522"/>
    <w:rsid w:val="00B93722"/>
    <w:rsid w:val="00B9377A"/>
    <w:rsid w:val="00B937AB"/>
    <w:rsid w:val="00B938BA"/>
    <w:rsid w:val="00B93927"/>
    <w:rsid w:val="00B93A00"/>
    <w:rsid w:val="00B93A14"/>
    <w:rsid w:val="00B93AFA"/>
    <w:rsid w:val="00B93B01"/>
    <w:rsid w:val="00B93B69"/>
    <w:rsid w:val="00B93C09"/>
    <w:rsid w:val="00B93C1C"/>
    <w:rsid w:val="00B93C25"/>
    <w:rsid w:val="00B93C3D"/>
    <w:rsid w:val="00B93C6C"/>
    <w:rsid w:val="00B93C96"/>
    <w:rsid w:val="00B93DE8"/>
    <w:rsid w:val="00B93DFF"/>
    <w:rsid w:val="00B93E9F"/>
    <w:rsid w:val="00B93EDD"/>
    <w:rsid w:val="00B93F09"/>
    <w:rsid w:val="00B93F1D"/>
    <w:rsid w:val="00B93F24"/>
    <w:rsid w:val="00B93F3E"/>
    <w:rsid w:val="00B93F5E"/>
    <w:rsid w:val="00B93FBD"/>
    <w:rsid w:val="00B9403F"/>
    <w:rsid w:val="00B94055"/>
    <w:rsid w:val="00B9413C"/>
    <w:rsid w:val="00B9418F"/>
    <w:rsid w:val="00B941B7"/>
    <w:rsid w:val="00B941CD"/>
    <w:rsid w:val="00B941D4"/>
    <w:rsid w:val="00B941F2"/>
    <w:rsid w:val="00B9425A"/>
    <w:rsid w:val="00B94295"/>
    <w:rsid w:val="00B942C0"/>
    <w:rsid w:val="00B9432A"/>
    <w:rsid w:val="00B94341"/>
    <w:rsid w:val="00B9434B"/>
    <w:rsid w:val="00B943D6"/>
    <w:rsid w:val="00B94433"/>
    <w:rsid w:val="00B94467"/>
    <w:rsid w:val="00B944CF"/>
    <w:rsid w:val="00B94526"/>
    <w:rsid w:val="00B9458D"/>
    <w:rsid w:val="00B946C7"/>
    <w:rsid w:val="00B947B6"/>
    <w:rsid w:val="00B947DD"/>
    <w:rsid w:val="00B947E1"/>
    <w:rsid w:val="00B9484D"/>
    <w:rsid w:val="00B9490B"/>
    <w:rsid w:val="00B94A21"/>
    <w:rsid w:val="00B94B0D"/>
    <w:rsid w:val="00B94B74"/>
    <w:rsid w:val="00B94B9E"/>
    <w:rsid w:val="00B94BBA"/>
    <w:rsid w:val="00B94D05"/>
    <w:rsid w:val="00B94DCA"/>
    <w:rsid w:val="00B94E2F"/>
    <w:rsid w:val="00B94F76"/>
    <w:rsid w:val="00B94F8B"/>
    <w:rsid w:val="00B94F91"/>
    <w:rsid w:val="00B94FBB"/>
    <w:rsid w:val="00B95003"/>
    <w:rsid w:val="00B95068"/>
    <w:rsid w:val="00B9506C"/>
    <w:rsid w:val="00B95085"/>
    <w:rsid w:val="00B95156"/>
    <w:rsid w:val="00B9517A"/>
    <w:rsid w:val="00B951D5"/>
    <w:rsid w:val="00B952B3"/>
    <w:rsid w:val="00B952ED"/>
    <w:rsid w:val="00B9532D"/>
    <w:rsid w:val="00B9533A"/>
    <w:rsid w:val="00B95354"/>
    <w:rsid w:val="00B953AF"/>
    <w:rsid w:val="00B9542B"/>
    <w:rsid w:val="00B954C5"/>
    <w:rsid w:val="00B9559F"/>
    <w:rsid w:val="00B955B9"/>
    <w:rsid w:val="00B9562F"/>
    <w:rsid w:val="00B9568C"/>
    <w:rsid w:val="00B95799"/>
    <w:rsid w:val="00B957C7"/>
    <w:rsid w:val="00B958C4"/>
    <w:rsid w:val="00B959BE"/>
    <w:rsid w:val="00B959C3"/>
    <w:rsid w:val="00B959ED"/>
    <w:rsid w:val="00B95A48"/>
    <w:rsid w:val="00B95B28"/>
    <w:rsid w:val="00B95C23"/>
    <w:rsid w:val="00B95C4B"/>
    <w:rsid w:val="00B95D71"/>
    <w:rsid w:val="00B95E2B"/>
    <w:rsid w:val="00B95E9B"/>
    <w:rsid w:val="00B95F6B"/>
    <w:rsid w:val="00B960F0"/>
    <w:rsid w:val="00B96226"/>
    <w:rsid w:val="00B96378"/>
    <w:rsid w:val="00B96411"/>
    <w:rsid w:val="00B96648"/>
    <w:rsid w:val="00B96676"/>
    <w:rsid w:val="00B96705"/>
    <w:rsid w:val="00B9687D"/>
    <w:rsid w:val="00B9693D"/>
    <w:rsid w:val="00B969A0"/>
    <w:rsid w:val="00B96A1C"/>
    <w:rsid w:val="00B96B86"/>
    <w:rsid w:val="00B96BC2"/>
    <w:rsid w:val="00B96C1D"/>
    <w:rsid w:val="00B96C23"/>
    <w:rsid w:val="00B96CD5"/>
    <w:rsid w:val="00B96E9D"/>
    <w:rsid w:val="00B96EDF"/>
    <w:rsid w:val="00B96EE7"/>
    <w:rsid w:val="00B97013"/>
    <w:rsid w:val="00B97068"/>
    <w:rsid w:val="00B970DF"/>
    <w:rsid w:val="00B97133"/>
    <w:rsid w:val="00B97175"/>
    <w:rsid w:val="00B971A7"/>
    <w:rsid w:val="00B971AD"/>
    <w:rsid w:val="00B971C4"/>
    <w:rsid w:val="00B97386"/>
    <w:rsid w:val="00B97510"/>
    <w:rsid w:val="00B97571"/>
    <w:rsid w:val="00B975AC"/>
    <w:rsid w:val="00B975C9"/>
    <w:rsid w:val="00B97648"/>
    <w:rsid w:val="00B976DF"/>
    <w:rsid w:val="00B97775"/>
    <w:rsid w:val="00B97785"/>
    <w:rsid w:val="00B977B3"/>
    <w:rsid w:val="00B978B2"/>
    <w:rsid w:val="00B978E6"/>
    <w:rsid w:val="00B97971"/>
    <w:rsid w:val="00B97A4D"/>
    <w:rsid w:val="00B97A6D"/>
    <w:rsid w:val="00B97A8A"/>
    <w:rsid w:val="00B97AA1"/>
    <w:rsid w:val="00B97AEB"/>
    <w:rsid w:val="00B97C0C"/>
    <w:rsid w:val="00B97C3A"/>
    <w:rsid w:val="00B97D1D"/>
    <w:rsid w:val="00B97DA5"/>
    <w:rsid w:val="00B97DEF"/>
    <w:rsid w:val="00B97E60"/>
    <w:rsid w:val="00B97FFD"/>
    <w:rsid w:val="00BA00DB"/>
    <w:rsid w:val="00BA0264"/>
    <w:rsid w:val="00BA0266"/>
    <w:rsid w:val="00BA0338"/>
    <w:rsid w:val="00BA0344"/>
    <w:rsid w:val="00BA039A"/>
    <w:rsid w:val="00BA0419"/>
    <w:rsid w:val="00BA0441"/>
    <w:rsid w:val="00BA048A"/>
    <w:rsid w:val="00BA0492"/>
    <w:rsid w:val="00BA04CC"/>
    <w:rsid w:val="00BA04F5"/>
    <w:rsid w:val="00BA056E"/>
    <w:rsid w:val="00BA058D"/>
    <w:rsid w:val="00BA061C"/>
    <w:rsid w:val="00BA062F"/>
    <w:rsid w:val="00BA0644"/>
    <w:rsid w:val="00BA064A"/>
    <w:rsid w:val="00BA072A"/>
    <w:rsid w:val="00BA0733"/>
    <w:rsid w:val="00BA07C6"/>
    <w:rsid w:val="00BA0867"/>
    <w:rsid w:val="00BA08F9"/>
    <w:rsid w:val="00BA09B3"/>
    <w:rsid w:val="00BA0A5C"/>
    <w:rsid w:val="00BA0A88"/>
    <w:rsid w:val="00BA0AAA"/>
    <w:rsid w:val="00BA0B6E"/>
    <w:rsid w:val="00BA0C35"/>
    <w:rsid w:val="00BA0CC4"/>
    <w:rsid w:val="00BA0D3C"/>
    <w:rsid w:val="00BA0DEC"/>
    <w:rsid w:val="00BA0E02"/>
    <w:rsid w:val="00BA0E0E"/>
    <w:rsid w:val="00BA0E20"/>
    <w:rsid w:val="00BA0F52"/>
    <w:rsid w:val="00BA1023"/>
    <w:rsid w:val="00BA1049"/>
    <w:rsid w:val="00BA1226"/>
    <w:rsid w:val="00BA1229"/>
    <w:rsid w:val="00BA13A7"/>
    <w:rsid w:val="00BA13C5"/>
    <w:rsid w:val="00BA140D"/>
    <w:rsid w:val="00BA1455"/>
    <w:rsid w:val="00BA1482"/>
    <w:rsid w:val="00BA14BC"/>
    <w:rsid w:val="00BA14CD"/>
    <w:rsid w:val="00BA14E5"/>
    <w:rsid w:val="00BA1559"/>
    <w:rsid w:val="00BA15D9"/>
    <w:rsid w:val="00BA1613"/>
    <w:rsid w:val="00BA16C6"/>
    <w:rsid w:val="00BA1759"/>
    <w:rsid w:val="00BA1790"/>
    <w:rsid w:val="00BA1798"/>
    <w:rsid w:val="00BA17B6"/>
    <w:rsid w:val="00BA17C5"/>
    <w:rsid w:val="00BA1862"/>
    <w:rsid w:val="00BA19C1"/>
    <w:rsid w:val="00BA1ABC"/>
    <w:rsid w:val="00BA1B30"/>
    <w:rsid w:val="00BA1B35"/>
    <w:rsid w:val="00BA1B8D"/>
    <w:rsid w:val="00BA1BFC"/>
    <w:rsid w:val="00BA1C9E"/>
    <w:rsid w:val="00BA1CB1"/>
    <w:rsid w:val="00BA1D14"/>
    <w:rsid w:val="00BA1D2B"/>
    <w:rsid w:val="00BA1D41"/>
    <w:rsid w:val="00BA1E27"/>
    <w:rsid w:val="00BA1E40"/>
    <w:rsid w:val="00BA1F0B"/>
    <w:rsid w:val="00BA1F14"/>
    <w:rsid w:val="00BA20B3"/>
    <w:rsid w:val="00BA20BC"/>
    <w:rsid w:val="00BA20BD"/>
    <w:rsid w:val="00BA2156"/>
    <w:rsid w:val="00BA21CF"/>
    <w:rsid w:val="00BA228D"/>
    <w:rsid w:val="00BA236E"/>
    <w:rsid w:val="00BA2395"/>
    <w:rsid w:val="00BA2406"/>
    <w:rsid w:val="00BA249F"/>
    <w:rsid w:val="00BA25F5"/>
    <w:rsid w:val="00BA263E"/>
    <w:rsid w:val="00BA26A8"/>
    <w:rsid w:val="00BA2737"/>
    <w:rsid w:val="00BA28C1"/>
    <w:rsid w:val="00BA2972"/>
    <w:rsid w:val="00BA2A63"/>
    <w:rsid w:val="00BA2ABF"/>
    <w:rsid w:val="00BA2AD0"/>
    <w:rsid w:val="00BA2AE4"/>
    <w:rsid w:val="00BA2D12"/>
    <w:rsid w:val="00BA2D26"/>
    <w:rsid w:val="00BA2D33"/>
    <w:rsid w:val="00BA2DFC"/>
    <w:rsid w:val="00BA2E6F"/>
    <w:rsid w:val="00BA2F79"/>
    <w:rsid w:val="00BA2FAA"/>
    <w:rsid w:val="00BA2FCC"/>
    <w:rsid w:val="00BA3083"/>
    <w:rsid w:val="00BA313E"/>
    <w:rsid w:val="00BA315F"/>
    <w:rsid w:val="00BA316C"/>
    <w:rsid w:val="00BA31B4"/>
    <w:rsid w:val="00BA31EF"/>
    <w:rsid w:val="00BA3288"/>
    <w:rsid w:val="00BA3420"/>
    <w:rsid w:val="00BA34FC"/>
    <w:rsid w:val="00BA350B"/>
    <w:rsid w:val="00BA3515"/>
    <w:rsid w:val="00BA3536"/>
    <w:rsid w:val="00BA355C"/>
    <w:rsid w:val="00BA3681"/>
    <w:rsid w:val="00BA36CC"/>
    <w:rsid w:val="00BA3748"/>
    <w:rsid w:val="00BA37EB"/>
    <w:rsid w:val="00BA386E"/>
    <w:rsid w:val="00BA38B2"/>
    <w:rsid w:val="00BA3903"/>
    <w:rsid w:val="00BA3910"/>
    <w:rsid w:val="00BA39BB"/>
    <w:rsid w:val="00BA39DD"/>
    <w:rsid w:val="00BA3A1B"/>
    <w:rsid w:val="00BA3ADF"/>
    <w:rsid w:val="00BA3B48"/>
    <w:rsid w:val="00BA3D39"/>
    <w:rsid w:val="00BA3E54"/>
    <w:rsid w:val="00BA3E69"/>
    <w:rsid w:val="00BA3E7B"/>
    <w:rsid w:val="00BA3E8A"/>
    <w:rsid w:val="00BA3EA0"/>
    <w:rsid w:val="00BA3EA9"/>
    <w:rsid w:val="00BA3F19"/>
    <w:rsid w:val="00BA3F9F"/>
    <w:rsid w:val="00BA4037"/>
    <w:rsid w:val="00BA40A6"/>
    <w:rsid w:val="00BA40E6"/>
    <w:rsid w:val="00BA41C1"/>
    <w:rsid w:val="00BA41C7"/>
    <w:rsid w:val="00BA4258"/>
    <w:rsid w:val="00BA42EC"/>
    <w:rsid w:val="00BA4355"/>
    <w:rsid w:val="00BA43A3"/>
    <w:rsid w:val="00BA44FD"/>
    <w:rsid w:val="00BA45C7"/>
    <w:rsid w:val="00BA45D4"/>
    <w:rsid w:val="00BA45FE"/>
    <w:rsid w:val="00BA461F"/>
    <w:rsid w:val="00BA464D"/>
    <w:rsid w:val="00BA468C"/>
    <w:rsid w:val="00BA46BD"/>
    <w:rsid w:val="00BA46C9"/>
    <w:rsid w:val="00BA473F"/>
    <w:rsid w:val="00BA47A9"/>
    <w:rsid w:val="00BA4815"/>
    <w:rsid w:val="00BA486A"/>
    <w:rsid w:val="00BA48BA"/>
    <w:rsid w:val="00BA49E9"/>
    <w:rsid w:val="00BA49F6"/>
    <w:rsid w:val="00BA4A39"/>
    <w:rsid w:val="00BA4A9B"/>
    <w:rsid w:val="00BA4B36"/>
    <w:rsid w:val="00BA4BCE"/>
    <w:rsid w:val="00BA4BD2"/>
    <w:rsid w:val="00BA4D60"/>
    <w:rsid w:val="00BA4D83"/>
    <w:rsid w:val="00BA4F57"/>
    <w:rsid w:val="00BA4F9D"/>
    <w:rsid w:val="00BA4FCC"/>
    <w:rsid w:val="00BA4FF0"/>
    <w:rsid w:val="00BA509B"/>
    <w:rsid w:val="00BA50B6"/>
    <w:rsid w:val="00BA510E"/>
    <w:rsid w:val="00BA515C"/>
    <w:rsid w:val="00BA5179"/>
    <w:rsid w:val="00BA51F2"/>
    <w:rsid w:val="00BA5287"/>
    <w:rsid w:val="00BA52E3"/>
    <w:rsid w:val="00BA5332"/>
    <w:rsid w:val="00BA53CA"/>
    <w:rsid w:val="00BA5409"/>
    <w:rsid w:val="00BA5458"/>
    <w:rsid w:val="00BA54E2"/>
    <w:rsid w:val="00BA5520"/>
    <w:rsid w:val="00BA554B"/>
    <w:rsid w:val="00BA55BA"/>
    <w:rsid w:val="00BA55BF"/>
    <w:rsid w:val="00BA5643"/>
    <w:rsid w:val="00BA5763"/>
    <w:rsid w:val="00BA577A"/>
    <w:rsid w:val="00BA57E7"/>
    <w:rsid w:val="00BA5903"/>
    <w:rsid w:val="00BA5909"/>
    <w:rsid w:val="00BA59B1"/>
    <w:rsid w:val="00BA5A2F"/>
    <w:rsid w:val="00BA5A5C"/>
    <w:rsid w:val="00BA5B1B"/>
    <w:rsid w:val="00BA5B3F"/>
    <w:rsid w:val="00BA5B45"/>
    <w:rsid w:val="00BA5B8E"/>
    <w:rsid w:val="00BA5B98"/>
    <w:rsid w:val="00BA5B9B"/>
    <w:rsid w:val="00BA5BC8"/>
    <w:rsid w:val="00BA5C88"/>
    <w:rsid w:val="00BA5C91"/>
    <w:rsid w:val="00BA5D01"/>
    <w:rsid w:val="00BA5D2E"/>
    <w:rsid w:val="00BA5DBA"/>
    <w:rsid w:val="00BA5DD8"/>
    <w:rsid w:val="00BA5E60"/>
    <w:rsid w:val="00BA5E7C"/>
    <w:rsid w:val="00BA5E9E"/>
    <w:rsid w:val="00BA5F38"/>
    <w:rsid w:val="00BA6030"/>
    <w:rsid w:val="00BA6063"/>
    <w:rsid w:val="00BA6160"/>
    <w:rsid w:val="00BA616F"/>
    <w:rsid w:val="00BA6198"/>
    <w:rsid w:val="00BA61FF"/>
    <w:rsid w:val="00BA626C"/>
    <w:rsid w:val="00BA6392"/>
    <w:rsid w:val="00BA64AF"/>
    <w:rsid w:val="00BA6550"/>
    <w:rsid w:val="00BA655C"/>
    <w:rsid w:val="00BA656B"/>
    <w:rsid w:val="00BA6667"/>
    <w:rsid w:val="00BA6754"/>
    <w:rsid w:val="00BA678C"/>
    <w:rsid w:val="00BA679A"/>
    <w:rsid w:val="00BA67DE"/>
    <w:rsid w:val="00BA67E6"/>
    <w:rsid w:val="00BA68A1"/>
    <w:rsid w:val="00BA68C1"/>
    <w:rsid w:val="00BA69BE"/>
    <w:rsid w:val="00BA69FA"/>
    <w:rsid w:val="00BA6A1E"/>
    <w:rsid w:val="00BA6A4F"/>
    <w:rsid w:val="00BA6B4E"/>
    <w:rsid w:val="00BA6BB1"/>
    <w:rsid w:val="00BA6D7C"/>
    <w:rsid w:val="00BA6D9E"/>
    <w:rsid w:val="00BA6E08"/>
    <w:rsid w:val="00BA6E0B"/>
    <w:rsid w:val="00BA6E22"/>
    <w:rsid w:val="00BA6E83"/>
    <w:rsid w:val="00BA6EA2"/>
    <w:rsid w:val="00BA6EF8"/>
    <w:rsid w:val="00BA701C"/>
    <w:rsid w:val="00BA7040"/>
    <w:rsid w:val="00BA705A"/>
    <w:rsid w:val="00BA7150"/>
    <w:rsid w:val="00BA71B3"/>
    <w:rsid w:val="00BA71E8"/>
    <w:rsid w:val="00BA7243"/>
    <w:rsid w:val="00BA74C5"/>
    <w:rsid w:val="00BA751B"/>
    <w:rsid w:val="00BA7569"/>
    <w:rsid w:val="00BA75AB"/>
    <w:rsid w:val="00BA76BE"/>
    <w:rsid w:val="00BA772A"/>
    <w:rsid w:val="00BA7783"/>
    <w:rsid w:val="00BA77B2"/>
    <w:rsid w:val="00BA793F"/>
    <w:rsid w:val="00BA7944"/>
    <w:rsid w:val="00BA7954"/>
    <w:rsid w:val="00BA79A1"/>
    <w:rsid w:val="00BA7A17"/>
    <w:rsid w:val="00BA7A23"/>
    <w:rsid w:val="00BA7AAB"/>
    <w:rsid w:val="00BA7AC9"/>
    <w:rsid w:val="00BA7ADF"/>
    <w:rsid w:val="00BA7B54"/>
    <w:rsid w:val="00BA7C85"/>
    <w:rsid w:val="00BA7D93"/>
    <w:rsid w:val="00BA7E0A"/>
    <w:rsid w:val="00BA7E9B"/>
    <w:rsid w:val="00BA7EA0"/>
    <w:rsid w:val="00BA7EA2"/>
    <w:rsid w:val="00BA7EB7"/>
    <w:rsid w:val="00BA7F1A"/>
    <w:rsid w:val="00BA7F2A"/>
    <w:rsid w:val="00BA7F3F"/>
    <w:rsid w:val="00BAE0E3"/>
    <w:rsid w:val="00BB0009"/>
    <w:rsid w:val="00BB004C"/>
    <w:rsid w:val="00BB0112"/>
    <w:rsid w:val="00BB0239"/>
    <w:rsid w:val="00BB03C6"/>
    <w:rsid w:val="00BB0418"/>
    <w:rsid w:val="00BB0421"/>
    <w:rsid w:val="00BB04C4"/>
    <w:rsid w:val="00BB0598"/>
    <w:rsid w:val="00BB061C"/>
    <w:rsid w:val="00BB0646"/>
    <w:rsid w:val="00BB06AF"/>
    <w:rsid w:val="00BB06FC"/>
    <w:rsid w:val="00BB0945"/>
    <w:rsid w:val="00BB0950"/>
    <w:rsid w:val="00BB0A9A"/>
    <w:rsid w:val="00BB0AE2"/>
    <w:rsid w:val="00BB0B61"/>
    <w:rsid w:val="00BB0BF8"/>
    <w:rsid w:val="00BB0CFB"/>
    <w:rsid w:val="00BB0D1F"/>
    <w:rsid w:val="00BB0DD9"/>
    <w:rsid w:val="00BB0F43"/>
    <w:rsid w:val="00BB0FDA"/>
    <w:rsid w:val="00BB100B"/>
    <w:rsid w:val="00BB1122"/>
    <w:rsid w:val="00BB1292"/>
    <w:rsid w:val="00BB1397"/>
    <w:rsid w:val="00BB13D3"/>
    <w:rsid w:val="00BB1433"/>
    <w:rsid w:val="00BB147E"/>
    <w:rsid w:val="00BB1481"/>
    <w:rsid w:val="00BB1496"/>
    <w:rsid w:val="00BB14BE"/>
    <w:rsid w:val="00BB14D1"/>
    <w:rsid w:val="00BB14FA"/>
    <w:rsid w:val="00BB154B"/>
    <w:rsid w:val="00BB1555"/>
    <w:rsid w:val="00BB1775"/>
    <w:rsid w:val="00BB1963"/>
    <w:rsid w:val="00BB1A8C"/>
    <w:rsid w:val="00BB1BD7"/>
    <w:rsid w:val="00BB1BDF"/>
    <w:rsid w:val="00BB1BE0"/>
    <w:rsid w:val="00BB1C38"/>
    <w:rsid w:val="00BB1C47"/>
    <w:rsid w:val="00BB1E77"/>
    <w:rsid w:val="00BB1E84"/>
    <w:rsid w:val="00BB1E93"/>
    <w:rsid w:val="00BB1F20"/>
    <w:rsid w:val="00BB1F9F"/>
    <w:rsid w:val="00BB1FB9"/>
    <w:rsid w:val="00BB2026"/>
    <w:rsid w:val="00BB2039"/>
    <w:rsid w:val="00BB2073"/>
    <w:rsid w:val="00BB20A3"/>
    <w:rsid w:val="00BB20B1"/>
    <w:rsid w:val="00BB20B4"/>
    <w:rsid w:val="00BB2213"/>
    <w:rsid w:val="00BB228D"/>
    <w:rsid w:val="00BB228E"/>
    <w:rsid w:val="00BB229B"/>
    <w:rsid w:val="00BB22D0"/>
    <w:rsid w:val="00BB234A"/>
    <w:rsid w:val="00BB235A"/>
    <w:rsid w:val="00BB2374"/>
    <w:rsid w:val="00BB246A"/>
    <w:rsid w:val="00BB249B"/>
    <w:rsid w:val="00BB250D"/>
    <w:rsid w:val="00BB2542"/>
    <w:rsid w:val="00BB2550"/>
    <w:rsid w:val="00BB2599"/>
    <w:rsid w:val="00BB25C6"/>
    <w:rsid w:val="00BB25E6"/>
    <w:rsid w:val="00BB25FC"/>
    <w:rsid w:val="00BB2637"/>
    <w:rsid w:val="00BB269C"/>
    <w:rsid w:val="00BB26F4"/>
    <w:rsid w:val="00BB27AC"/>
    <w:rsid w:val="00BB27F5"/>
    <w:rsid w:val="00BB2843"/>
    <w:rsid w:val="00BB284F"/>
    <w:rsid w:val="00BB28C5"/>
    <w:rsid w:val="00BB2939"/>
    <w:rsid w:val="00BB2A06"/>
    <w:rsid w:val="00BB2A32"/>
    <w:rsid w:val="00BB2A58"/>
    <w:rsid w:val="00BB2A9E"/>
    <w:rsid w:val="00BB2ACB"/>
    <w:rsid w:val="00BB2B82"/>
    <w:rsid w:val="00BB2B94"/>
    <w:rsid w:val="00BB2D03"/>
    <w:rsid w:val="00BB2E9A"/>
    <w:rsid w:val="00BB2F01"/>
    <w:rsid w:val="00BB2F0F"/>
    <w:rsid w:val="00BB2F94"/>
    <w:rsid w:val="00BB2FA5"/>
    <w:rsid w:val="00BB2FB3"/>
    <w:rsid w:val="00BB30E3"/>
    <w:rsid w:val="00BB30F6"/>
    <w:rsid w:val="00BB3116"/>
    <w:rsid w:val="00BB3162"/>
    <w:rsid w:val="00BB31CF"/>
    <w:rsid w:val="00BB3378"/>
    <w:rsid w:val="00BB344E"/>
    <w:rsid w:val="00BB3457"/>
    <w:rsid w:val="00BB3584"/>
    <w:rsid w:val="00BB363A"/>
    <w:rsid w:val="00BB3690"/>
    <w:rsid w:val="00BB36E6"/>
    <w:rsid w:val="00BB3777"/>
    <w:rsid w:val="00BB379F"/>
    <w:rsid w:val="00BB37A0"/>
    <w:rsid w:val="00BB37F8"/>
    <w:rsid w:val="00BB3815"/>
    <w:rsid w:val="00BB3836"/>
    <w:rsid w:val="00BB383C"/>
    <w:rsid w:val="00BB397A"/>
    <w:rsid w:val="00BB397B"/>
    <w:rsid w:val="00BB3A60"/>
    <w:rsid w:val="00BB3A6E"/>
    <w:rsid w:val="00BB3AF8"/>
    <w:rsid w:val="00BB3B96"/>
    <w:rsid w:val="00BB3BB8"/>
    <w:rsid w:val="00BB3BF4"/>
    <w:rsid w:val="00BB3C6C"/>
    <w:rsid w:val="00BB3C93"/>
    <w:rsid w:val="00BB3D10"/>
    <w:rsid w:val="00BB3D90"/>
    <w:rsid w:val="00BB3E3B"/>
    <w:rsid w:val="00BB3E8C"/>
    <w:rsid w:val="00BB3E90"/>
    <w:rsid w:val="00BB3E9A"/>
    <w:rsid w:val="00BB3ECC"/>
    <w:rsid w:val="00BB3F70"/>
    <w:rsid w:val="00BB3FE3"/>
    <w:rsid w:val="00BB4073"/>
    <w:rsid w:val="00BB40B6"/>
    <w:rsid w:val="00BB4210"/>
    <w:rsid w:val="00BB4215"/>
    <w:rsid w:val="00BB4246"/>
    <w:rsid w:val="00BB4278"/>
    <w:rsid w:val="00BB4288"/>
    <w:rsid w:val="00BB42FB"/>
    <w:rsid w:val="00BB4349"/>
    <w:rsid w:val="00BB43B8"/>
    <w:rsid w:val="00BB45BF"/>
    <w:rsid w:val="00BB45DB"/>
    <w:rsid w:val="00BB462D"/>
    <w:rsid w:val="00BB4638"/>
    <w:rsid w:val="00BB4661"/>
    <w:rsid w:val="00BB4662"/>
    <w:rsid w:val="00BB46EC"/>
    <w:rsid w:val="00BB487C"/>
    <w:rsid w:val="00BB48A3"/>
    <w:rsid w:val="00BB48A8"/>
    <w:rsid w:val="00BB48E7"/>
    <w:rsid w:val="00BB4904"/>
    <w:rsid w:val="00BB490F"/>
    <w:rsid w:val="00BB491B"/>
    <w:rsid w:val="00BB4928"/>
    <w:rsid w:val="00BB4946"/>
    <w:rsid w:val="00BB49A3"/>
    <w:rsid w:val="00BB49DE"/>
    <w:rsid w:val="00BB4AD7"/>
    <w:rsid w:val="00BB4AFE"/>
    <w:rsid w:val="00BB4B90"/>
    <w:rsid w:val="00BB4C62"/>
    <w:rsid w:val="00BB4CB7"/>
    <w:rsid w:val="00BB4D6F"/>
    <w:rsid w:val="00BB4D94"/>
    <w:rsid w:val="00BB4DD2"/>
    <w:rsid w:val="00BB4FAB"/>
    <w:rsid w:val="00BB501A"/>
    <w:rsid w:val="00BB5072"/>
    <w:rsid w:val="00BB50E3"/>
    <w:rsid w:val="00BB510D"/>
    <w:rsid w:val="00BB5123"/>
    <w:rsid w:val="00BB5187"/>
    <w:rsid w:val="00BB51D5"/>
    <w:rsid w:val="00BB51EF"/>
    <w:rsid w:val="00BB5243"/>
    <w:rsid w:val="00BB536C"/>
    <w:rsid w:val="00BB5446"/>
    <w:rsid w:val="00BB5496"/>
    <w:rsid w:val="00BB54ED"/>
    <w:rsid w:val="00BB5595"/>
    <w:rsid w:val="00BB559F"/>
    <w:rsid w:val="00BB55A2"/>
    <w:rsid w:val="00BB55AC"/>
    <w:rsid w:val="00BB562A"/>
    <w:rsid w:val="00BB570A"/>
    <w:rsid w:val="00BB576F"/>
    <w:rsid w:val="00BB5855"/>
    <w:rsid w:val="00BB59FD"/>
    <w:rsid w:val="00BB5A9D"/>
    <w:rsid w:val="00BB5B07"/>
    <w:rsid w:val="00BB5BDF"/>
    <w:rsid w:val="00BB5C97"/>
    <w:rsid w:val="00BB5CA1"/>
    <w:rsid w:val="00BB5E33"/>
    <w:rsid w:val="00BB5E4D"/>
    <w:rsid w:val="00BB5E68"/>
    <w:rsid w:val="00BB5E70"/>
    <w:rsid w:val="00BB5E7C"/>
    <w:rsid w:val="00BB5ECE"/>
    <w:rsid w:val="00BB5F94"/>
    <w:rsid w:val="00BB6099"/>
    <w:rsid w:val="00BB61B3"/>
    <w:rsid w:val="00BB61F1"/>
    <w:rsid w:val="00BB623A"/>
    <w:rsid w:val="00BB6243"/>
    <w:rsid w:val="00BB6245"/>
    <w:rsid w:val="00BB626A"/>
    <w:rsid w:val="00BB6308"/>
    <w:rsid w:val="00BB6387"/>
    <w:rsid w:val="00BB6447"/>
    <w:rsid w:val="00BB646B"/>
    <w:rsid w:val="00BB6478"/>
    <w:rsid w:val="00BB650F"/>
    <w:rsid w:val="00BB65C0"/>
    <w:rsid w:val="00BB65D0"/>
    <w:rsid w:val="00BB65DC"/>
    <w:rsid w:val="00BB65FA"/>
    <w:rsid w:val="00BB6658"/>
    <w:rsid w:val="00BB6673"/>
    <w:rsid w:val="00BB66C1"/>
    <w:rsid w:val="00BB66CE"/>
    <w:rsid w:val="00BB674F"/>
    <w:rsid w:val="00BB675F"/>
    <w:rsid w:val="00BB681F"/>
    <w:rsid w:val="00BB68D5"/>
    <w:rsid w:val="00BB6922"/>
    <w:rsid w:val="00BB6967"/>
    <w:rsid w:val="00BB69D2"/>
    <w:rsid w:val="00BB6A91"/>
    <w:rsid w:val="00BB6AD0"/>
    <w:rsid w:val="00BB6AE8"/>
    <w:rsid w:val="00BB6B6B"/>
    <w:rsid w:val="00BB6C13"/>
    <w:rsid w:val="00BB6C52"/>
    <w:rsid w:val="00BB6C8C"/>
    <w:rsid w:val="00BB6CA1"/>
    <w:rsid w:val="00BB6D93"/>
    <w:rsid w:val="00BB6D94"/>
    <w:rsid w:val="00BB6DFE"/>
    <w:rsid w:val="00BB6E14"/>
    <w:rsid w:val="00BB6E2D"/>
    <w:rsid w:val="00BB6E96"/>
    <w:rsid w:val="00BB6EE4"/>
    <w:rsid w:val="00BB6F02"/>
    <w:rsid w:val="00BB6F46"/>
    <w:rsid w:val="00BB6F83"/>
    <w:rsid w:val="00BB6FD9"/>
    <w:rsid w:val="00BB6FED"/>
    <w:rsid w:val="00BB715B"/>
    <w:rsid w:val="00BB720E"/>
    <w:rsid w:val="00BB7220"/>
    <w:rsid w:val="00BB7276"/>
    <w:rsid w:val="00BB7301"/>
    <w:rsid w:val="00BB7306"/>
    <w:rsid w:val="00BB735B"/>
    <w:rsid w:val="00BB73EE"/>
    <w:rsid w:val="00BB740A"/>
    <w:rsid w:val="00BB7494"/>
    <w:rsid w:val="00BB749C"/>
    <w:rsid w:val="00BB74BA"/>
    <w:rsid w:val="00BB74CB"/>
    <w:rsid w:val="00BB7513"/>
    <w:rsid w:val="00BB75F0"/>
    <w:rsid w:val="00BB7644"/>
    <w:rsid w:val="00BB76C6"/>
    <w:rsid w:val="00BB7785"/>
    <w:rsid w:val="00BB77F3"/>
    <w:rsid w:val="00BB7946"/>
    <w:rsid w:val="00BB7A32"/>
    <w:rsid w:val="00BB7A5B"/>
    <w:rsid w:val="00BB7BDF"/>
    <w:rsid w:val="00BB7C97"/>
    <w:rsid w:val="00BB7CC0"/>
    <w:rsid w:val="00BB7CD5"/>
    <w:rsid w:val="00BB7D2E"/>
    <w:rsid w:val="00BB7D50"/>
    <w:rsid w:val="00BB7DC4"/>
    <w:rsid w:val="00BB7DFF"/>
    <w:rsid w:val="00BB7EC0"/>
    <w:rsid w:val="00BB7F3B"/>
    <w:rsid w:val="00BB7F56"/>
    <w:rsid w:val="00BB7FD6"/>
    <w:rsid w:val="00BC001A"/>
    <w:rsid w:val="00BC006A"/>
    <w:rsid w:val="00BC009C"/>
    <w:rsid w:val="00BC00C1"/>
    <w:rsid w:val="00BC0125"/>
    <w:rsid w:val="00BC01A9"/>
    <w:rsid w:val="00BC023B"/>
    <w:rsid w:val="00BC0272"/>
    <w:rsid w:val="00BC02BE"/>
    <w:rsid w:val="00BC03B7"/>
    <w:rsid w:val="00BC03DA"/>
    <w:rsid w:val="00BC04F5"/>
    <w:rsid w:val="00BC04FC"/>
    <w:rsid w:val="00BC0537"/>
    <w:rsid w:val="00BC0559"/>
    <w:rsid w:val="00BC05B9"/>
    <w:rsid w:val="00BC05F1"/>
    <w:rsid w:val="00BC061E"/>
    <w:rsid w:val="00BC067B"/>
    <w:rsid w:val="00BC0721"/>
    <w:rsid w:val="00BC08AB"/>
    <w:rsid w:val="00BC0ACF"/>
    <w:rsid w:val="00BC0B1A"/>
    <w:rsid w:val="00BC0B4B"/>
    <w:rsid w:val="00BC0B51"/>
    <w:rsid w:val="00BC0BAF"/>
    <w:rsid w:val="00BC0C52"/>
    <w:rsid w:val="00BC0C81"/>
    <w:rsid w:val="00BC0CE8"/>
    <w:rsid w:val="00BC0D1E"/>
    <w:rsid w:val="00BC0D74"/>
    <w:rsid w:val="00BC0D86"/>
    <w:rsid w:val="00BC0E03"/>
    <w:rsid w:val="00BC0E58"/>
    <w:rsid w:val="00BC0EA6"/>
    <w:rsid w:val="00BC0F33"/>
    <w:rsid w:val="00BC0F42"/>
    <w:rsid w:val="00BC0FA0"/>
    <w:rsid w:val="00BC0FA1"/>
    <w:rsid w:val="00BC0FB9"/>
    <w:rsid w:val="00BC0FF8"/>
    <w:rsid w:val="00BC106A"/>
    <w:rsid w:val="00BC10A7"/>
    <w:rsid w:val="00BC10AB"/>
    <w:rsid w:val="00BC10B6"/>
    <w:rsid w:val="00BC121C"/>
    <w:rsid w:val="00BC1222"/>
    <w:rsid w:val="00BC1314"/>
    <w:rsid w:val="00BC13D3"/>
    <w:rsid w:val="00BC1414"/>
    <w:rsid w:val="00BC1484"/>
    <w:rsid w:val="00BC1559"/>
    <w:rsid w:val="00BC155A"/>
    <w:rsid w:val="00BC1697"/>
    <w:rsid w:val="00BC1704"/>
    <w:rsid w:val="00BC17BB"/>
    <w:rsid w:val="00BC17E0"/>
    <w:rsid w:val="00BC188B"/>
    <w:rsid w:val="00BC18EB"/>
    <w:rsid w:val="00BC18F3"/>
    <w:rsid w:val="00BC1A99"/>
    <w:rsid w:val="00BC1AC4"/>
    <w:rsid w:val="00BC1BAE"/>
    <w:rsid w:val="00BC1C0F"/>
    <w:rsid w:val="00BC1CDA"/>
    <w:rsid w:val="00BC1D2D"/>
    <w:rsid w:val="00BC1DF4"/>
    <w:rsid w:val="00BC1EC1"/>
    <w:rsid w:val="00BC1F74"/>
    <w:rsid w:val="00BC1F85"/>
    <w:rsid w:val="00BC1FDD"/>
    <w:rsid w:val="00BC1FFA"/>
    <w:rsid w:val="00BC202E"/>
    <w:rsid w:val="00BC2058"/>
    <w:rsid w:val="00BC2149"/>
    <w:rsid w:val="00BC2150"/>
    <w:rsid w:val="00BC21BF"/>
    <w:rsid w:val="00BC224B"/>
    <w:rsid w:val="00BC2380"/>
    <w:rsid w:val="00BC238A"/>
    <w:rsid w:val="00BC23AE"/>
    <w:rsid w:val="00BC24A9"/>
    <w:rsid w:val="00BC263F"/>
    <w:rsid w:val="00BC2643"/>
    <w:rsid w:val="00BC264B"/>
    <w:rsid w:val="00BC2660"/>
    <w:rsid w:val="00BC2661"/>
    <w:rsid w:val="00BC2713"/>
    <w:rsid w:val="00BC2794"/>
    <w:rsid w:val="00BC2882"/>
    <w:rsid w:val="00BC2985"/>
    <w:rsid w:val="00BC2D01"/>
    <w:rsid w:val="00BC2D71"/>
    <w:rsid w:val="00BC2DBF"/>
    <w:rsid w:val="00BC2DD5"/>
    <w:rsid w:val="00BC2E4E"/>
    <w:rsid w:val="00BC2EA6"/>
    <w:rsid w:val="00BC2EED"/>
    <w:rsid w:val="00BC2FDA"/>
    <w:rsid w:val="00BC311E"/>
    <w:rsid w:val="00BC311F"/>
    <w:rsid w:val="00BC3131"/>
    <w:rsid w:val="00BC315F"/>
    <w:rsid w:val="00BC318E"/>
    <w:rsid w:val="00BC31DD"/>
    <w:rsid w:val="00BC31E2"/>
    <w:rsid w:val="00BC3365"/>
    <w:rsid w:val="00BC3539"/>
    <w:rsid w:val="00BC353D"/>
    <w:rsid w:val="00BC3650"/>
    <w:rsid w:val="00BC3771"/>
    <w:rsid w:val="00BC3850"/>
    <w:rsid w:val="00BC3A2C"/>
    <w:rsid w:val="00BC3A90"/>
    <w:rsid w:val="00BC3AAA"/>
    <w:rsid w:val="00BC3AB2"/>
    <w:rsid w:val="00BC3ADC"/>
    <w:rsid w:val="00BC3AF3"/>
    <w:rsid w:val="00BC3B6D"/>
    <w:rsid w:val="00BC3C2B"/>
    <w:rsid w:val="00BC3D13"/>
    <w:rsid w:val="00BC3D66"/>
    <w:rsid w:val="00BC3DEF"/>
    <w:rsid w:val="00BC3E36"/>
    <w:rsid w:val="00BC3E92"/>
    <w:rsid w:val="00BC3EE7"/>
    <w:rsid w:val="00BC3FC4"/>
    <w:rsid w:val="00BC4071"/>
    <w:rsid w:val="00BC4112"/>
    <w:rsid w:val="00BC4153"/>
    <w:rsid w:val="00BC416E"/>
    <w:rsid w:val="00BC4185"/>
    <w:rsid w:val="00BC429A"/>
    <w:rsid w:val="00BC42FD"/>
    <w:rsid w:val="00BC42FE"/>
    <w:rsid w:val="00BC438F"/>
    <w:rsid w:val="00BC4397"/>
    <w:rsid w:val="00BC43CF"/>
    <w:rsid w:val="00BC4468"/>
    <w:rsid w:val="00BC44E5"/>
    <w:rsid w:val="00BC44EF"/>
    <w:rsid w:val="00BC4518"/>
    <w:rsid w:val="00BC4566"/>
    <w:rsid w:val="00BC45FC"/>
    <w:rsid w:val="00BC4666"/>
    <w:rsid w:val="00BC46A1"/>
    <w:rsid w:val="00BC46B0"/>
    <w:rsid w:val="00BC4772"/>
    <w:rsid w:val="00BC479B"/>
    <w:rsid w:val="00BC4992"/>
    <w:rsid w:val="00BC4AB5"/>
    <w:rsid w:val="00BC4ACB"/>
    <w:rsid w:val="00BC4B50"/>
    <w:rsid w:val="00BC4B69"/>
    <w:rsid w:val="00BC4B7B"/>
    <w:rsid w:val="00BC4C2A"/>
    <w:rsid w:val="00BC4C85"/>
    <w:rsid w:val="00BC4CBC"/>
    <w:rsid w:val="00BC4CD6"/>
    <w:rsid w:val="00BC4CFC"/>
    <w:rsid w:val="00BC4DE5"/>
    <w:rsid w:val="00BC4E1F"/>
    <w:rsid w:val="00BC4E32"/>
    <w:rsid w:val="00BC4E69"/>
    <w:rsid w:val="00BC4E6C"/>
    <w:rsid w:val="00BC4E7F"/>
    <w:rsid w:val="00BC4EBA"/>
    <w:rsid w:val="00BC4F30"/>
    <w:rsid w:val="00BC4FA4"/>
    <w:rsid w:val="00BC5002"/>
    <w:rsid w:val="00BC50BF"/>
    <w:rsid w:val="00BC517D"/>
    <w:rsid w:val="00BC51A0"/>
    <w:rsid w:val="00BC51FF"/>
    <w:rsid w:val="00BC5203"/>
    <w:rsid w:val="00BC525B"/>
    <w:rsid w:val="00BC525F"/>
    <w:rsid w:val="00BC52C6"/>
    <w:rsid w:val="00BC52D0"/>
    <w:rsid w:val="00BC536D"/>
    <w:rsid w:val="00BC5395"/>
    <w:rsid w:val="00BC53C6"/>
    <w:rsid w:val="00BC5406"/>
    <w:rsid w:val="00BC5421"/>
    <w:rsid w:val="00BC5463"/>
    <w:rsid w:val="00BC5558"/>
    <w:rsid w:val="00BC55E0"/>
    <w:rsid w:val="00BC5600"/>
    <w:rsid w:val="00BC5622"/>
    <w:rsid w:val="00BC5627"/>
    <w:rsid w:val="00BC5713"/>
    <w:rsid w:val="00BC573E"/>
    <w:rsid w:val="00BC57C9"/>
    <w:rsid w:val="00BC58D9"/>
    <w:rsid w:val="00BC591A"/>
    <w:rsid w:val="00BC593D"/>
    <w:rsid w:val="00BC5A1A"/>
    <w:rsid w:val="00BC5A48"/>
    <w:rsid w:val="00BC5BA8"/>
    <w:rsid w:val="00BC5BC1"/>
    <w:rsid w:val="00BC5C8D"/>
    <w:rsid w:val="00BC5C96"/>
    <w:rsid w:val="00BC5CB1"/>
    <w:rsid w:val="00BC5D54"/>
    <w:rsid w:val="00BC5D96"/>
    <w:rsid w:val="00BC5DFF"/>
    <w:rsid w:val="00BC5E51"/>
    <w:rsid w:val="00BC5FE0"/>
    <w:rsid w:val="00BC605B"/>
    <w:rsid w:val="00BC6067"/>
    <w:rsid w:val="00BC6076"/>
    <w:rsid w:val="00BC607C"/>
    <w:rsid w:val="00BC6093"/>
    <w:rsid w:val="00BC60D4"/>
    <w:rsid w:val="00BC6105"/>
    <w:rsid w:val="00BC622E"/>
    <w:rsid w:val="00BC6280"/>
    <w:rsid w:val="00BC628C"/>
    <w:rsid w:val="00BC628E"/>
    <w:rsid w:val="00BC638C"/>
    <w:rsid w:val="00BC63BC"/>
    <w:rsid w:val="00BC6456"/>
    <w:rsid w:val="00BC645D"/>
    <w:rsid w:val="00BC64A5"/>
    <w:rsid w:val="00BC6599"/>
    <w:rsid w:val="00BC6613"/>
    <w:rsid w:val="00BC6633"/>
    <w:rsid w:val="00BC6641"/>
    <w:rsid w:val="00BC6725"/>
    <w:rsid w:val="00BC678E"/>
    <w:rsid w:val="00BC679E"/>
    <w:rsid w:val="00BC67B4"/>
    <w:rsid w:val="00BC6842"/>
    <w:rsid w:val="00BC68E4"/>
    <w:rsid w:val="00BC6949"/>
    <w:rsid w:val="00BC6951"/>
    <w:rsid w:val="00BC6A30"/>
    <w:rsid w:val="00BC6A73"/>
    <w:rsid w:val="00BC6AC6"/>
    <w:rsid w:val="00BC6AD2"/>
    <w:rsid w:val="00BC6AD6"/>
    <w:rsid w:val="00BC6AE1"/>
    <w:rsid w:val="00BC6BAB"/>
    <w:rsid w:val="00BC6C4F"/>
    <w:rsid w:val="00BC6CC1"/>
    <w:rsid w:val="00BC6CEC"/>
    <w:rsid w:val="00BC6CF0"/>
    <w:rsid w:val="00BC6CFD"/>
    <w:rsid w:val="00BC6D02"/>
    <w:rsid w:val="00BC6D43"/>
    <w:rsid w:val="00BC6D52"/>
    <w:rsid w:val="00BC6D64"/>
    <w:rsid w:val="00BC6DB7"/>
    <w:rsid w:val="00BC6DED"/>
    <w:rsid w:val="00BC6E0E"/>
    <w:rsid w:val="00BC6EB1"/>
    <w:rsid w:val="00BC6EBC"/>
    <w:rsid w:val="00BC6ECD"/>
    <w:rsid w:val="00BC6F2B"/>
    <w:rsid w:val="00BC6F4B"/>
    <w:rsid w:val="00BC7041"/>
    <w:rsid w:val="00BC705F"/>
    <w:rsid w:val="00BC70AC"/>
    <w:rsid w:val="00BC70BA"/>
    <w:rsid w:val="00BC70BD"/>
    <w:rsid w:val="00BC70D3"/>
    <w:rsid w:val="00BC70E8"/>
    <w:rsid w:val="00BC70F0"/>
    <w:rsid w:val="00BC7151"/>
    <w:rsid w:val="00BC7160"/>
    <w:rsid w:val="00BC7167"/>
    <w:rsid w:val="00BC7176"/>
    <w:rsid w:val="00BC7187"/>
    <w:rsid w:val="00BC7239"/>
    <w:rsid w:val="00BC7299"/>
    <w:rsid w:val="00BC729B"/>
    <w:rsid w:val="00BC729C"/>
    <w:rsid w:val="00BC742C"/>
    <w:rsid w:val="00BC74CE"/>
    <w:rsid w:val="00BC7606"/>
    <w:rsid w:val="00BC7646"/>
    <w:rsid w:val="00BC775D"/>
    <w:rsid w:val="00BC7844"/>
    <w:rsid w:val="00BC784C"/>
    <w:rsid w:val="00BC78ED"/>
    <w:rsid w:val="00BC7921"/>
    <w:rsid w:val="00BC7986"/>
    <w:rsid w:val="00BC7A27"/>
    <w:rsid w:val="00BC7A47"/>
    <w:rsid w:val="00BC7A7D"/>
    <w:rsid w:val="00BC7BF7"/>
    <w:rsid w:val="00BC7C2F"/>
    <w:rsid w:val="00BC7CB4"/>
    <w:rsid w:val="00BC7CC3"/>
    <w:rsid w:val="00BC7CF2"/>
    <w:rsid w:val="00BC7D08"/>
    <w:rsid w:val="00BC7D5F"/>
    <w:rsid w:val="00BC7DE7"/>
    <w:rsid w:val="00BC7E52"/>
    <w:rsid w:val="00BC7E71"/>
    <w:rsid w:val="00BC7EF6"/>
    <w:rsid w:val="00BC7F15"/>
    <w:rsid w:val="00BC7F2B"/>
    <w:rsid w:val="00BC7F58"/>
    <w:rsid w:val="00BC7F9D"/>
    <w:rsid w:val="00BC7FA3"/>
    <w:rsid w:val="00BC7FFD"/>
    <w:rsid w:val="00BD0121"/>
    <w:rsid w:val="00BD01BC"/>
    <w:rsid w:val="00BD01CA"/>
    <w:rsid w:val="00BD01CF"/>
    <w:rsid w:val="00BD01E8"/>
    <w:rsid w:val="00BD026C"/>
    <w:rsid w:val="00BD02D0"/>
    <w:rsid w:val="00BD04A7"/>
    <w:rsid w:val="00BD04EE"/>
    <w:rsid w:val="00BD0515"/>
    <w:rsid w:val="00BD0549"/>
    <w:rsid w:val="00BD054E"/>
    <w:rsid w:val="00BD05EB"/>
    <w:rsid w:val="00BD0613"/>
    <w:rsid w:val="00BD0631"/>
    <w:rsid w:val="00BD0708"/>
    <w:rsid w:val="00BD0797"/>
    <w:rsid w:val="00BD0866"/>
    <w:rsid w:val="00BD0B4C"/>
    <w:rsid w:val="00BD0BCF"/>
    <w:rsid w:val="00BD0BD0"/>
    <w:rsid w:val="00BD0C19"/>
    <w:rsid w:val="00BD0CA1"/>
    <w:rsid w:val="00BD0D3F"/>
    <w:rsid w:val="00BD0D8F"/>
    <w:rsid w:val="00BD0E35"/>
    <w:rsid w:val="00BD0EB5"/>
    <w:rsid w:val="00BD0F2B"/>
    <w:rsid w:val="00BD0FB8"/>
    <w:rsid w:val="00BD0FEE"/>
    <w:rsid w:val="00BD1165"/>
    <w:rsid w:val="00BD11E4"/>
    <w:rsid w:val="00BD11F2"/>
    <w:rsid w:val="00BD120D"/>
    <w:rsid w:val="00BD1272"/>
    <w:rsid w:val="00BD128C"/>
    <w:rsid w:val="00BD1303"/>
    <w:rsid w:val="00BD1337"/>
    <w:rsid w:val="00BD13B4"/>
    <w:rsid w:val="00BD13DF"/>
    <w:rsid w:val="00BD157A"/>
    <w:rsid w:val="00BD1584"/>
    <w:rsid w:val="00BD15AB"/>
    <w:rsid w:val="00BD164F"/>
    <w:rsid w:val="00BD168C"/>
    <w:rsid w:val="00BD16A5"/>
    <w:rsid w:val="00BD16B9"/>
    <w:rsid w:val="00BD176B"/>
    <w:rsid w:val="00BD17B9"/>
    <w:rsid w:val="00BD183E"/>
    <w:rsid w:val="00BD189F"/>
    <w:rsid w:val="00BD18A3"/>
    <w:rsid w:val="00BD18FB"/>
    <w:rsid w:val="00BD190B"/>
    <w:rsid w:val="00BD1948"/>
    <w:rsid w:val="00BD19D8"/>
    <w:rsid w:val="00BD1A7D"/>
    <w:rsid w:val="00BD1A99"/>
    <w:rsid w:val="00BD1AD3"/>
    <w:rsid w:val="00BD1B32"/>
    <w:rsid w:val="00BD1B7A"/>
    <w:rsid w:val="00BD1BFC"/>
    <w:rsid w:val="00BD1CE1"/>
    <w:rsid w:val="00BD1CFF"/>
    <w:rsid w:val="00BD1D13"/>
    <w:rsid w:val="00BD1D66"/>
    <w:rsid w:val="00BD1E8A"/>
    <w:rsid w:val="00BD1F45"/>
    <w:rsid w:val="00BD1F58"/>
    <w:rsid w:val="00BD1F79"/>
    <w:rsid w:val="00BD1F7C"/>
    <w:rsid w:val="00BD2019"/>
    <w:rsid w:val="00BD211E"/>
    <w:rsid w:val="00BD2124"/>
    <w:rsid w:val="00BD2220"/>
    <w:rsid w:val="00BD226B"/>
    <w:rsid w:val="00BD226E"/>
    <w:rsid w:val="00BD2275"/>
    <w:rsid w:val="00BD2276"/>
    <w:rsid w:val="00BD2291"/>
    <w:rsid w:val="00BD23A7"/>
    <w:rsid w:val="00BD23E9"/>
    <w:rsid w:val="00BD2413"/>
    <w:rsid w:val="00BD2444"/>
    <w:rsid w:val="00BD24D0"/>
    <w:rsid w:val="00BD24DD"/>
    <w:rsid w:val="00BD2505"/>
    <w:rsid w:val="00BD2558"/>
    <w:rsid w:val="00BD25B0"/>
    <w:rsid w:val="00BD25C0"/>
    <w:rsid w:val="00BD276A"/>
    <w:rsid w:val="00BD278E"/>
    <w:rsid w:val="00BD282F"/>
    <w:rsid w:val="00BD28AA"/>
    <w:rsid w:val="00BD29EC"/>
    <w:rsid w:val="00BD2A85"/>
    <w:rsid w:val="00BD2B37"/>
    <w:rsid w:val="00BD2BB7"/>
    <w:rsid w:val="00BD2C11"/>
    <w:rsid w:val="00BD2C26"/>
    <w:rsid w:val="00BD2CBE"/>
    <w:rsid w:val="00BD2CD0"/>
    <w:rsid w:val="00BD2DBD"/>
    <w:rsid w:val="00BD2DC5"/>
    <w:rsid w:val="00BD2DD7"/>
    <w:rsid w:val="00BD2FA6"/>
    <w:rsid w:val="00BD3077"/>
    <w:rsid w:val="00BD307F"/>
    <w:rsid w:val="00BD30A3"/>
    <w:rsid w:val="00BD30C8"/>
    <w:rsid w:val="00BD3147"/>
    <w:rsid w:val="00BD3179"/>
    <w:rsid w:val="00BD317F"/>
    <w:rsid w:val="00BD3243"/>
    <w:rsid w:val="00BD3251"/>
    <w:rsid w:val="00BD3255"/>
    <w:rsid w:val="00BD326A"/>
    <w:rsid w:val="00BD32B8"/>
    <w:rsid w:val="00BD3320"/>
    <w:rsid w:val="00BD3382"/>
    <w:rsid w:val="00BD3392"/>
    <w:rsid w:val="00BD33CD"/>
    <w:rsid w:val="00BD33E9"/>
    <w:rsid w:val="00BD347F"/>
    <w:rsid w:val="00BD34AC"/>
    <w:rsid w:val="00BD3518"/>
    <w:rsid w:val="00BD35C0"/>
    <w:rsid w:val="00BD35CF"/>
    <w:rsid w:val="00BD35E6"/>
    <w:rsid w:val="00BD369C"/>
    <w:rsid w:val="00BD3724"/>
    <w:rsid w:val="00BD3796"/>
    <w:rsid w:val="00BD38EB"/>
    <w:rsid w:val="00BD392B"/>
    <w:rsid w:val="00BD395F"/>
    <w:rsid w:val="00BD3A3C"/>
    <w:rsid w:val="00BD3AC9"/>
    <w:rsid w:val="00BD3AD4"/>
    <w:rsid w:val="00BD3AE6"/>
    <w:rsid w:val="00BD3B5A"/>
    <w:rsid w:val="00BD3B79"/>
    <w:rsid w:val="00BD3C98"/>
    <w:rsid w:val="00BD3CDD"/>
    <w:rsid w:val="00BD3DAD"/>
    <w:rsid w:val="00BD3DB4"/>
    <w:rsid w:val="00BD3DC0"/>
    <w:rsid w:val="00BD3EBD"/>
    <w:rsid w:val="00BD3EDA"/>
    <w:rsid w:val="00BD3EFD"/>
    <w:rsid w:val="00BD3F3A"/>
    <w:rsid w:val="00BD3FFA"/>
    <w:rsid w:val="00BD4001"/>
    <w:rsid w:val="00BD40A7"/>
    <w:rsid w:val="00BD41AA"/>
    <w:rsid w:val="00BD41AF"/>
    <w:rsid w:val="00BD41E8"/>
    <w:rsid w:val="00BD4238"/>
    <w:rsid w:val="00BD43BF"/>
    <w:rsid w:val="00BD45C5"/>
    <w:rsid w:val="00BD4675"/>
    <w:rsid w:val="00BD46A7"/>
    <w:rsid w:val="00BD473D"/>
    <w:rsid w:val="00BD4820"/>
    <w:rsid w:val="00BD4821"/>
    <w:rsid w:val="00BD4854"/>
    <w:rsid w:val="00BD4901"/>
    <w:rsid w:val="00BD49FA"/>
    <w:rsid w:val="00BD4A2D"/>
    <w:rsid w:val="00BD4ADA"/>
    <w:rsid w:val="00BD4C17"/>
    <w:rsid w:val="00BD4C18"/>
    <w:rsid w:val="00BD4C23"/>
    <w:rsid w:val="00BD4C67"/>
    <w:rsid w:val="00BD4CF5"/>
    <w:rsid w:val="00BD4DF9"/>
    <w:rsid w:val="00BD4E75"/>
    <w:rsid w:val="00BD4E85"/>
    <w:rsid w:val="00BD4ED4"/>
    <w:rsid w:val="00BD4EEB"/>
    <w:rsid w:val="00BD4F04"/>
    <w:rsid w:val="00BD4F6F"/>
    <w:rsid w:val="00BD4F90"/>
    <w:rsid w:val="00BD4FAA"/>
    <w:rsid w:val="00BD4FC6"/>
    <w:rsid w:val="00BD503E"/>
    <w:rsid w:val="00BD504A"/>
    <w:rsid w:val="00BD5217"/>
    <w:rsid w:val="00BD5304"/>
    <w:rsid w:val="00BD53A2"/>
    <w:rsid w:val="00BD53BD"/>
    <w:rsid w:val="00BD5492"/>
    <w:rsid w:val="00BD54AF"/>
    <w:rsid w:val="00BD5517"/>
    <w:rsid w:val="00BD5536"/>
    <w:rsid w:val="00BD5538"/>
    <w:rsid w:val="00BD5545"/>
    <w:rsid w:val="00BD55B6"/>
    <w:rsid w:val="00BD5639"/>
    <w:rsid w:val="00BD565A"/>
    <w:rsid w:val="00BD566D"/>
    <w:rsid w:val="00BD569D"/>
    <w:rsid w:val="00BD57F0"/>
    <w:rsid w:val="00BD582C"/>
    <w:rsid w:val="00BD5839"/>
    <w:rsid w:val="00BD5841"/>
    <w:rsid w:val="00BD58CD"/>
    <w:rsid w:val="00BD59D5"/>
    <w:rsid w:val="00BD5A0A"/>
    <w:rsid w:val="00BD5A14"/>
    <w:rsid w:val="00BD5AD0"/>
    <w:rsid w:val="00BD5AD7"/>
    <w:rsid w:val="00BD5AF2"/>
    <w:rsid w:val="00BD5B93"/>
    <w:rsid w:val="00BD5B9E"/>
    <w:rsid w:val="00BD5BF5"/>
    <w:rsid w:val="00BD5C95"/>
    <w:rsid w:val="00BD5CEB"/>
    <w:rsid w:val="00BD5D10"/>
    <w:rsid w:val="00BD5D66"/>
    <w:rsid w:val="00BD5DF4"/>
    <w:rsid w:val="00BD5DFC"/>
    <w:rsid w:val="00BD5E3F"/>
    <w:rsid w:val="00BD6015"/>
    <w:rsid w:val="00BD604E"/>
    <w:rsid w:val="00BD6071"/>
    <w:rsid w:val="00BD6130"/>
    <w:rsid w:val="00BD61E9"/>
    <w:rsid w:val="00BD629B"/>
    <w:rsid w:val="00BD6338"/>
    <w:rsid w:val="00BD6348"/>
    <w:rsid w:val="00BD6350"/>
    <w:rsid w:val="00BD6520"/>
    <w:rsid w:val="00BD665F"/>
    <w:rsid w:val="00BD670D"/>
    <w:rsid w:val="00BD6777"/>
    <w:rsid w:val="00BD6972"/>
    <w:rsid w:val="00BD6977"/>
    <w:rsid w:val="00BD6AA1"/>
    <w:rsid w:val="00BD6AC2"/>
    <w:rsid w:val="00BD6BE2"/>
    <w:rsid w:val="00BD6C09"/>
    <w:rsid w:val="00BD6C2B"/>
    <w:rsid w:val="00BD6D10"/>
    <w:rsid w:val="00BD6DB1"/>
    <w:rsid w:val="00BD6DE9"/>
    <w:rsid w:val="00BD6E2C"/>
    <w:rsid w:val="00BD6EF6"/>
    <w:rsid w:val="00BD6F16"/>
    <w:rsid w:val="00BD6F7C"/>
    <w:rsid w:val="00BD7094"/>
    <w:rsid w:val="00BD70C4"/>
    <w:rsid w:val="00BD710F"/>
    <w:rsid w:val="00BD7128"/>
    <w:rsid w:val="00BD712D"/>
    <w:rsid w:val="00BD7244"/>
    <w:rsid w:val="00BD72B7"/>
    <w:rsid w:val="00BD732B"/>
    <w:rsid w:val="00BD7494"/>
    <w:rsid w:val="00BD74B7"/>
    <w:rsid w:val="00BD7553"/>
    <w:rsid w:val="00BD75B6"/>
    <w:rsid w:val="00BD75BD"/>
    <w:rsid w:val="00BD75D4"/>
    <w:rsid w:val="00BD763D"/>
    <w:rsid w:val="00BD764D"/>
    <w:rsid w:val="00BD764F"/>
    <w:rsid w:val="00BD76B7"/>
    <w:rsid w:val="00BD76C7"/>
    <w:rsid w:val="00BD772B"/>
    <w:rsid w:val="00BD776D"/>
    <w:rsid w:val="00BD77D7"/>
    <w:rsid w:val="00BD7816"/>
    <w:rsid w:val="00BD783E"/>
    <w:rsid w:val="00BD78C1"/>
    <w:rsid w:val="00BD78C9"/>
    <w:rsid w:val="00BD7953"/>
    <w:rsid w:val="00BD7974"/>
    <w:rsid w:val="00BD79E0"/>
    <w:rsid w:val="00BD7A8C"/>
    <w:rsid w:val="00BD7B7D"/>
    <w:rsid w:val="00BD7BE0"/>
    <w:rsid w:val="00BD7BE4"/>
    <w:rsid w:val="00BD7C3D"/>
    <w:rsid w:val="00BD7D75"/>
    <w:rsid w:val="00BD7DEA"/>
    <w:rsid w:val="00BD7DF3"/>
    <w:rsid w:val="00BE001D"/>
    <w:rsid w:val="00BE00C0"/>
    <w:rsid w:val="00BE01C7"/>
    <w:rsid w:val="00BE01FF"/>
    <w:rsid w:val="00BE0254"/>
    <w:rsid w:val="00BE0343"/>
    <w:rsid w:val="00BE0372"/>
    <w:rsid w:val="00BE03CC"/>
    <w:rsid w:val="00BE0434"/>
    <w:rsid w:val="00BE0456"/>
    <w:rsid w:val="00BE04E6"/>
    <w:rsid w:val="00BE0559"/>
    <w:rsid w:val="00BE056C"/>
    <w:rsid w:val="00BE05C5"/>
    <w:rsid w:val="00BE05D4"/>
    <w:rsid w:val="00BE060B"/>
    <w:rsid w:val="00BE064F"/>
    <w:rsid w:val="00BE0746"/>
    <w:rsid w:val="00BE0747"/>
    <w:rsid w:val="00BE07C3"/>
    <w:rsid w:val="00BE08AA"/>
    <w:rsid w:val="00BE099C"/>
    <w:rsid w:val="00BE09B1"/>
    <w:rsid w:val="00BE09C2"/>
    <w:rsid w:val="00BE0A2A"/>
    <w:rsid w:val="00BE0AC4"/>
    <w:rsid w:val="00BE0B86"/>
    <w:rsid w:val="00BE0C1D"/>
    <w:rsid w:val="00BE0DBB"/>
    <w:rsid w:val="00BE0E7C"/>
    <w:rsid w:val="00BE0E88"/>
    <w:rsid w:val="00BE0EC6"/>
    <w:rsid w:val="00BE10AF"/>
    <w:rsid w:val="00BE113D"/>
    <w:rsid w:val="00BE114A"/>
    <w:rsid w:val="00BE1156"/>
    <w:rsid w:val="00BE117A"/>
    <w:rsid w:val="00BE1186"/>
    <w:rsid w:val="00BE1225"/>
    <w:rsid w:val="00BE12D1"/>
    <w:rsid w:val="00BE12D8"/>
    <w:rsid w:val="00BE1396"/>
    <w:rsid w:val="00BE13BE"/>
    <w:rsid w:val="00BE1460"/>
    <w:rsid w:val="00BE1515"/>
    <w:rsid w:val="00BE164B"/>
    <w:rsid w:val="00BE17AC"/>
    <w:rsid w:val="00BE184C"/>
    <w:rsid w:val="00BE1862"/>
    <w:rsid w:val="00BE1963"/>
    <w:rsid w:val="00BE19D2"/>
    <w:rsid w:val="00BE1ACC"/>
    <w:rsid w:val="00BE1BC7"/>
    <w:rsid w:val="00BE1BE1"/>
    <w:rsid w:val="00BE1C91"/>
    <w:rsid w:val="00BE1CAD"/>
    <w:rsid w:val="00BE1D2A"/>
    <w:rsid w:val="00BE1D34"/>
    <w:rsid w:val="00BE1DED"/>
    <w:rsid w:val="00BE1EF2"/>
    <w:rsid w:val="00BE1FD9"/>
    <w:rsid w:val="00BE20BE"/>
    <w:rsid w:val="00BE20C4"/>
    <w:rsid w:val="00BE20F0"/>
    <w:rsid w:val="00BE20F6"/>
    <w:rsid w:val="00BE21A6"/>
    <w:rsid w:val="00BE21A9"/>
    <w:rsid w:val="00BE21FA"/>
    <w:rsid w:val="00BE2225"/>
    <w:rsid w:val="00BE22D9"/>
    <w:rsid w:val="00BE231D"/>
    <w:rsid w:val="00BE23A7"/>
    <w:rsid w:val="00BE24A1"/>
    <w:rsid w:val="00BE2635"/>
    <w:rsid w:val="00BE2650"/>
    <w:rsid w:val="00BE26E2"/>
    <w:rsid w:val="00BE2784"/>
    <w:rsid w:val="00BE2795"/>
    <w:rsid w:val="00BE27F3"/>
    <w:rsid w:val="00BE27FE"/>
    <w:rsid w:val="00BE2873"/>
    <w:rsid w:val="00BE28E3"/>
    <w:rsid w:val="00BE2952"/>
    <w:rsid w:val="00BE2957"/>
    <w:rsid w:val="00BE29F5"/>
    <w:rsid w:val="00BE2A00"/>
    <w:rsid w:val="00BE2A30"/>
    <w:rsid w:val="00BE2A4D"/>
    <w:rsid w:val="00BE2A74"/>
    <w:rsid w:val="00BE2A94"/>
    <w:rsid w:val="00BE2BBF"/>
    <w:rsid w:val="00BE2C04"/>
    <w:rsid w:val="00BE2DCE"/>
    <w:rsid w:val="00BE2E05"/>
    <w:rsid w:val="00BE2E42"/>
    <w:rsid w:val="00BE2E96"/>
    <w:rsid w:val="00BE2ED5"/>
    <w:rsid w:val="00BE2EE8"/>
    <w:rsid w:val="00BE2F60"/>
    <w:rsid w:val="00BE2F96"/>
    <w:rsid w:val="00BE2FB7"/>
    <w:rsid w:val="00BE2FBB"/>
    <w:rsid w:val="00BE3014"/>
    <w:rsid w:val="00BE305A"/>
    <w:rsid w:val="00BE3067"/>
    <w:rsid w:val="00BE309B"/>
    <w:rsid w:val="00BE3133"/>
    <w:rsid w:val="00BE31B5"/>
    <w:rsid w:val="00BE31B9"/>
    <w:rsid w:val="00BE3322"/>
    <w:rsid w:val="00BE3407"/>
    <w:rsid w:val="00BE340F"/>
    <w:rsid w:val="00BE3429"/>
    <w:rsid w:val="00BE3475"/>
    <w:rsid w:val="00BE347D"/>
    <w:rsid w:val="00BE3520"/>
    <w:rsid w:val="00BE3525"/>
    <w:rsid w:val="00BE35E2"/>
    <w:rsid w:val="00BE3661"/>
    <w:rsid w:val="00BE3664"/>
    <w:rsid w:val="00BE373F"/>
    <w:rsid w:val="00BE376A"/>
    <w:rsid w:val="00BE3773"/>
    <w:rsid w:val="00BE37CF"/>
    <w:rsid w:val="00BE390C"/>
    <w:rsid w:val="00BE3985"/>
    <w:rsid w:val="00BE3A20"/>
    <w:rsid w:val="00BE3A36"/>
    <w:rsid w:val="00BE3AA7"/>
    <w:rsid w:val="00BE3B23"/>
    <w:rsid w:val="00BE3BB3"/>
    <w:rsid w:val="00BE3BC9"/>
    <w:rsid w:val="00BE3C08"/>
    <w:rsid w:val="00BE3C2C"/>
    <w:rsid w:val="00BE3DBE"/>
    <w:rsid w:val="00BE3DBF"/>
    <w:rsid w:val="00BE3E4D"/>
    <w:rsid w:val="00BE3E83"/>
    <w:rsid w:val="00BE3EC1"/>
    <w:rsid w:val="00BE3F01"/>
    <w:rsid w:val="00BE3F10"/>
    <w:rsid w:val="00BE3F2B"/>
    <w:rsid w:val="00BE3FBC"/>
    <w:rsid w:val="00BE4004"/>
    <w:rsid w:val="00BE400E"/>
    <w:rsid w:val="00BE4045"/>
    <w:rsid w:val="00BE4079"/>
    <w:rsid w:val="00BE4085"/>
    <w:rsid w:val="00BE40E3"/>
    <w:rsid w:val="00BE40F9"/>
    <w:rsid w:val="00BE415A"/>
    <w:rsid w:val="00BE417B"/>
    <w:rsid w:val="00BE4208"/>
    <w:rsid w:val="00BE42B0"/>
    <w:rsid w:val="00BE42D9"/>
    <w:rsid w:val="00BE42EB"/>
    <w:rsid w:val="00BE4336"/>
    <w:rsid w:val="00BE43A4"/>
    <w:rsid w:val="00BE444C"/>
    <w:rsid w:val="00BE4580"/>
    <w:rsid w:val="00BE4655"/>
    <w:rsid w:val="00BE4686"/>
    <w:rsid w:val="00BE46A3"/>
    <w:rsid w:val="00BE47C1"/>
    <w:rsid w:val="00BE4848"/>
    <w:rsid w:val="00BE48D8"/>
    <w:rsid w:val="00BE4918"/>
    <w:rsid w:val="00BE49DB"/>
    <w:rsid w:val="00BE4AB8"/>
    <w:rsid w:val="00BE4AF0"/>
    <w:rsid w:val="00BE4B73"/>
    <w:rsid w:val="00BE4B94"/>
    <w:rsid w:val="00BE4BB2"/>
    <w:rsid w:val="00BE4BEE"/>
    <w:rsid w:val="00BE4C27"/>
    <w:rsid w:val="00BE4DD9"/>
    <w:rsid w:val="00BE4E02"/>
    <w:rsid w:val="00BE4EC4"/>
    <w:rsid w:val="00BE4EEA"/>
    <w:rsid w:val="00BE4F18"/>
    <w:rsid w:val="00BE4F85"/>
    <w:rsid w:val="00BE4FE1"/>
    <w:rsid w:val="00BE4FFF"/>
    <w:rsid w:val="00BE502B"/>
    <w:rsid w:val="00BE5131"/>
    <w:rsid w:val="00BE514F"/>
    <w:rsid w:val="00BE519A"/>
    <w:rsid w:val="00BE5286"/>
    <w:rsid w:val="00BE5324"/>
    <w:rsid w:val="00BE53AB"/>
    <w:rsid w:val="00BE53B6"/>
    <w:rsid w:val="00BE53E7"/>
    <w:rsid w:val="00BE5447"/>
    <w:rsid w:val="00BE54B2"/>
    <w:rsid w:val="00BE5561"/>
    <w:rsid w:val="00BE5578"/>
    <w:rsid w:val="00BE580E"/>
    <w:rsid w:val="00BE592A"/>
    <w:rsid w:val="00BE597B"/>
    <w:rsid w:val="00BE59BA"/>
    <w:rsid w:val="00BE59CD"/>
    <w:rsid w:val="00BE5AA5"/>
    <w:rsid w:val="00BE5AA6"/>
    <w:rsid w:val="00BE5ACB"/>
    <w:rsid w:val="00BE5B53"/>
    <w:rsid w:val="00BE5BA8"/>
    <w:rsid w:val="00BE5C48"/>
    <w:rsid w:val="00BE5D0A"/>
    <w:rsid w:val="00BE5D99"/>
    <w:rsid w:val="00BE5DDE"/>
    <w:rsid w:val="00BE5F2C"/>
    <w:rsid w:val="00BE5F98"/>
    <w:rsid w:val="00BE5FA5"/>
    <w:rsid w:val="00BE605B"/>
    <w:rsid w:val="00BE60A3"/>
    <w:rsid w:val="00BE60AC"/>
    <w:rsid w:val="00BE60F5"/>
    <w:rsid w:val="00BE6158"/>
    <w:rsid w:val="00BE6200"/>
    <w:rsid w:val="00BE6203"/>
    <w:rsid w:val="00BE6232"/>
    <w:rsid w:val="00BE63FB"/>
    <w:rsid w:val="00BE63FF"/>
    <w:rsid w:val="00BE64A0"/>
    <w:rsid w:val="00BE64F0"/>
    <w:rsid w:val="00BE652D"/>
    <w:rsid w:val="00BE664E"/>
    <w:rsid w:val="00BE697C"/>
    <w:rsid w:val="00BE6990"/>
    <w:rsid w:val="00BE6B02"/>
    <w:rsid w:val="00BE6B29"/>
    <w:rsid w:val="00BE6DA7"/>
    <w:rsid w:val="00BE6EC4"/>
    <w:rsid w:val="00BE704E"/>
    <w:rsid w:val="00BE7101"/>
    <w:rsid w:val="00BE71B6"/>
    <w:rsid w:val="00BE71CB"/>
    <w:rsid w:val="00BE71D1"/>
    <w:rsid w:val="00BE720D"/>
    <w:rsid w:val="00BE7287"/>
    <w:rsid w:val="00BE728D"/>
    <w:rsid w:val="00BE746E"/>
    <w:rsid w:val="00BE7479"/>
    <w:rsid w:val="00BE7509"/>
    <w:rsid w:val="00BE76B0"/>
    <w:rsid w:val="00BE76DE"/>
    <w:rsid w:val="00BE772C"/>
    <w:rsid w:val="00BE77A9"/>
    <w:rsid w:val="00BE77D0"/>
    <w:rsid w:val="00BE7892"/>
    <w:rsid w:val="00BE79D9"/>
    <w:rsid w:val="00BE7A46"/>
    <w:rsid w:val="00BE7C7B"/>
    <w:rsid w:val="00BE7CC2"/>
    <w:rsid w:val="00BE7D79"/>
    <w:rsid w:val="00BE7D7F"/>
    <w:rsid w:val="00BE7D98"/>
    <w:rsid w:val="00BE7F2C"/>
    <w:rsid w:val="00BE7F43"/>
    <w:rsid w:val="00BE7F4D"/>
    <w:rsid w:val="00BE7F57"/>
    <w:rsid w:val="00BE7F7B"/>
    <w:rsid w:val="00BE7FE3"/>
    <w:rsid w:val="00BE7FF3"/>
    <w:rsid w:val="00BF0015"/>
    <w:rsid w:val="00BF003D"/>
    <w:rsid w:val="00BF006F"/>
    <w:rsid w:val="00BF008B"/>
    <w:rsid w:val="00BF00E9"/>
    <w:rsid w:val="00BF0107"/>
    <w:rsid w:val="00BF012D"/>
    <w:rsid w:val="00BF014D"/>
    <w:rsid w:val="00BF0154"/>
    <w:rsid w:val="00BF01C2"/>
    <w:rsid w:val="00BF02CC"/>
    <w:rsid w:val="00BF039E"/>
    <w:rsid w:val="00BF0429"/>
    <w:rsid w:val="00BF0432"/>
    <w:rsid w:val="00BF047F"/>
    <w:rsid w:val="00BF04A2"/>
    <w:rsid w:val="00BF04D2"/>
    <w:rsid w:val="00BF0504"/>
    <w:rsid w:val="00BF0535"/>
    <w:rsid w:val="00BF062E"/>
    <w:rsid w:val="00BF0688"/>
    <w:rsid w:val="00BF081D"/>
    <w:rsid w:val="00BF09E3"/>
    <w:rsid w:val="00BF0A6C"/>
    <w:rsid w:val="00BF0AA1"/>
    <w:rsid w:val="00BF0AC9"/>
    <w:rsid w:val="00BF0B55"/>
    <w:rsid w:val="00BF0B7A"/>
    <w:rsid w:val="00BF0B81"/>
    <w:rsid w:val="00BF0BAD"/>
    <w:rsid w:val="00BF0BEB"/>
    <w:rsid w:val="00BF0C01"/>
    <w:rsid w:val="00BF0C21"/>
    <w:rsid w:val="00BF0C52"/>
    <w:rsid w:val="00BF0C77"/>
    <w:rsid w:val="00BF0CFE"/>
    <w:rsid w:val="00BF0D20"/>
    <w:rsid w:val="00BF0D4B"/>
    <w:rsid w:val="00BF0D87"/>
    <w:rsid w:val="00BF0E0D"/>
    <w:rsid w:val="00BF0E69"/>
    <w:rsid w:val="00BF0E8B"/>
    <w:rsid w:val="00BF0EA2"/>
    <w:rsid w:val="00BF0ED8"/>
    <w:rsid w:val="00BF0EE2"/>
    <w:rsid w:val="00BF0F7B"/>
    <w:rsid w:val="00BF0FA9"/>
    <w:rsid w:val="00BF10AE"/>
    <w:rsid w:val="00BF1127"/>
    <w:rsid w:val="00BF112E"/>
    <w:rsid w:val="00BF11A6"/>
    <w:rsid w:val="00BF11C5"/>
    <w:rsid w:val="00BF11FF"/>
    <w:rsid w:val="00BF1263"/>
    <w:rsid w:val="00BF12FD"/>
    <w:rsid w:val="00BF1381"/>
    <w:rsid w:val="00BF13DC"/>
    <w:rsid w:val="00BF1524"/>
    <w:rsid w:val="00BF166B"/>
    <w:rsid w:val="00BF16D9"/>
    <w:rsid w:val="00BF17FF"/>
    <w:rsid w:val="00BF188B"/>
    <w:rsid w:val="00BF1991"/>
    <w:rsid w:val="00BF19C8"/>
    <w:rsid w:val="00BF19CA"/>
    <w:rsid w:val="00BF1A5A"/>
    <w:rsid w:val="00BF1A79"/>
    <w:rsid w:val="00BF1B1A"/>
    <w:rsid w:val="00BF1BCC"/>
    <w:rsid w:val="00BF1BDC"/>
    <w:rsid w:val="00BF1CD7"/>
    <w:rsid w:val="00BF1E4A"/>
    <w:rsid w:val="00BF1E85"/>
    <w:rsid w:val="00BF1EA5"/>
    <w:rsid w:val="00BF1FAD"/>
    <w:rsid w:val="00BF1FF0"/>
    <w:rsid w:val="00BF20B8"/>
    <w:rsid w:val="00BF20BE"/>
    <w:rsid w:val="00BF219F"/>
    <w:rsid w:val="00BF21B8"/>
    <w:rsid w:val="00BF21C6"/>
    <w:rsid w:val="00BF222A"/>
    <w:rsid w:val="00BF2276"/>
    <w:rsid w:val="00BF22B2"/>
    <w:rsid w:val="00BF23BA"/>
    <w:rsid w:val="00BF23D7"/>
    <w:rsid w:val="00BF23F3"/>
    <w:rsid w:val="00BF2446"/>
    <w:rsid w:val="00BF244E"/>
    <w:rsid w:val="00BF259F"/>
    <w:rsid w:val="00BF25B7"/>
    <w:rsid w:val="00BF26D5"/>
    <w:rsid w:val="00BF279E"/>
    <w:rsid w:val="00BF280A"/>
    <w:rsid w:val="00BF28A7"/>
    <w:rsid w:val="00BF292F"/>
    <w:rsid w:val="00BF2965"/>
    <w:rsid w:val="00BF29F2"/>
    <w:rsid w:val="00BF2A06"/>
    <w:rsid w:val="00BF2A23"/>
    <w:rsid w:val="00BF2A66"/>
    <w:rsid w:val="00BF2AC2"/>
    <w:rsid w:val="00BF2B6B"/>
    <w:rsid w:val="00BF2BBE"/>
    <w:rsid w:val="00BF2CCC"/>
    <w:rsid w:val="00BF2CD5"/>
    <w:rsid w:val="00BF2D03"/>
    <w:rsid w:val="00BF2D30"/>
    <w:rsid w:val="00BF2D44"/>
    <w:rsid w:val="00BF2D75"/>
    <w:rsid w:val="00BF2DCE"/>
    <w:rsid w:val="00BF2E4B"/>
    <w:rsid w:val="00BF2E55"/>
    <w:rsid w:val="00BF2E93"/>
    <w:rsid w:val="00BF2F22"/>
    <w:rsid w:val="00BF2F4C"/>
    <w:rsid w:val="00BF2F5D"/>
    <w:rsid w:val="00BF301C"/>
    <w:rsid w:val="00BF3021"/>
    <w:rsid w:val="00BF3169"/>
    <w:rsid w:val="00BF316A"/>
    <w:rsid w:val="00BF31E0"/>
    <w:rsid w:val="00BF323F"/>
    <w:rsid w:val="00BF3258"/>
    <w:rsid w:val="00BF327C"/>
    <w:rsid w:val="00BF32A2"/>
    <w:rsid w:val="00BF32AE"/>
    <w:rsid w:val="00BF32DE"/>
    <w:rsid w:val="00BF3322"/>
    <w:rsid w:val="00BF3341"/>
    <w:rsid w:val="00BF3360"/>
    <w:rsid w:val="00BF33E0"/>
    <w:rsid w:val="00BF3461"/>
    <w:rsid w:val="00BF350E"/>
    <w:rsid w:val="00BF362A"/>
    <w:rsid w:val="00BF37EA"/>
    <w:rsid w:val="00BF380F"/>
    <w:rsid w:val="00BF3839"/>
    <w:rsid w:val="00BF3853"/>
    <w:rsid w:val="00BF38BF"/>
    <w:rsid w:val="00BF38CB"/>
    <w:rsid w:val="00BF392C"/>
    <w:rsid w:val="00BF3A21"/>
    <w:rsid w:val="00BF3B34"/>
    <w:rsid w:val="00BF3BB9"/>
    <w:rsid w:val="00BF3C38"/>
    <w:rsid w:val="00BF3C7F"/>
    <w:rsid w:val="00BF3CFC"/>
    <w:rsid w:val="00BF3D18"/>
    <w:rsid w:val="00BF3D88"/>
    <w:rsid w:val="00BF3E83"/>
    <w:rsid w:val="00BF3FDA"/>
    <w:rsid w:val="00BF3FE6"/>
    <w:rsid w:val="00BF4098"/>
    <w:rsid w:val="00BF40F3"/>
    <w:rsid w:val="00BF4204"/>
    <w:rsid w:val="00BF4219"/>
    <w:rsid w:val="00BF4291"/>
    <w:rsid w:val="00BF433A"/>
    <w:rsid w:val="00BF4375"/>
    <w:rsid w:val="00BF440A"/>
    <w:rsid w:val="00BF44AF"/>
    <w:rsid w:val="00BF44F9"/>
    <w:rsid w:val="00BF450C"/>
    <w:rsid w:val="00BF453C"/>
    <w:rsid w:val="00BF4688"/>
    <w:rsid w:val="00BF46A3"/>
    <w:rsid w:val="00BF4735"/>
    <w:rsid w:val="00BF48A4"/>
    <w:rsid w:val="00BF49BB"/>
    <w:rsid w:val="00BF49D1"/>
    <w:rsid w:val="00BF4A47"/>
    <w:rsid w:val="00BF4AC4"/>
    <w:rsid w:val="00BF4ACF"/>
    <w:rsid w:val="00BF4B47"/>
    <w:rsid w:val="00BF4B7E"/>
    <w:rsid w:val="00BF4CBE"/>
    <w:rsid w:val="00BF4CE2"/>
    <w:rsid w:val="00BF4D70"/>
    <w:rsid w:val="00BF4DAC"/>
    <w:rsid w:val="00BF4DE0"/>
    <w:rsid w:val="00BF5001"/>
    <w:rsid w:val="00BF5010"/>
    <w:rsid w:val="00BF5076"/>
    <w:rsid w:val="00BF50F1"/>
    <w:rsid w:val="00BF5213"/>
    <w:rsid w:val="00BF5231"/>
    <w:rsid w:val="00BF52EF"/>
    <w:rsid w:val="00BF53C0"/>
    <w:rsid w:val="00BF53D1"/>
    <w:rsid w:val="00BF5439"/>
    <w:rsid w:val="00BF5498"/>
    <w:rsid w:val="00BF5507"/>
    <w:rsid w:val="00BF554E"/>
    <w:rsid w:val="00BF55FB"/>
    <w:rsid w:val="00BF563B"/>
    <w:rsid w:val="00BF56EC"/>
    <w:rsid w:val="00BF57F4"/>
    <w:rsid w:val="00BF58E0"/>
    <w:rsid w:val="00BF58F4"/>
    <w:rsid w:val="00BF593E"/>
    <w:rsid w:val="00BF5A2B"/>
    <w:rsid w:val="00BF5A35"/>
    <w:rsid w:val="00BF5A45"/>
    <w:rsid w:val="00BF5A78"/>
    <w:rsid w:val="00BF5A9A"/>
    <w:rsid w:val="00BF5AE9"/>
    <w:rsid w:val="00BF5B86"/>
    <w:rsid w:val="00BF5BE0"/>
    <w:rsid w:val="00BF5C01"/>
    <w:rsid w:val="00BF5CF0"/>
    <w:rsid w:val="00BF5DE2"/>
    <w:rsid w:val="00BF5EC4"/>
    <w:rsid w:val="00BF5EDE"/>
    <w:rsid w:val="00BF5EFA"/>
    <w:rsid w:val="00BF5FBD"/>
    <w:rsid w:val="00BF5FF2"/>
    <w:rsid w:val="00BF6003"/>
    <w:rsid w:val="00BF6005"/>
    <w:rsid w:val="00BF6078"/>
    <w:rsid w:val="00BF60D2"/>
    <w:rsid w:val="00BF60E9"/>
    <w:rsid w:val="00BF6168"/>
    <w:rsid w:val="00BF6187"/>
    <w:rsid w:val="00BF61BF"/>
    <w:rsid w:val="00BF6220"/>
    <w:rsid w:val="00BF6243"/>
    <w:rsid w:val="00BF6254"/>
    <w:rsid w:val="00BF6297"/>
    <w:rsid w:val="00BF6388"/>
    <w:rsid w:val="00BF63BE"/>
    <w:rsid w:val="00BF6591"/>
    <w:rsid w:val="00BF67A3"/>
    <w:rsid w:val="00BF686A"/>
    <w:rsid w:val="00BF6919"/>
    <w:rsid w:val="00BF6949"/>
    <w:rsid w:val="00BF695E"/>
    <w:rsid w:val="00BF69E0"/>
    <w:rsid w:val="00BF69E9"/>
    <w:rsid w:val="00BF6A15"/>
    <w:rsid w:val="00BF6A62"/>
    <w:rsid w:val="00BF6B9C"/>
    <w:rsid w:val="00BF6C0C"/>
    <w:rsid w:val="00BF6C30"/>
    <w:rsid w:val="00BF6C77"/>
    <w:rsid w:val="00BF6CF4"/>
    <w:rsid w:val="00BF6CF9"/>
    <w:rsid w:val="00BF6D29"/>
    <w:rsid w:val="00BF6D2C"/>
    <w:rsid w:val="00BF6E84"/>
    <w:rsid w:val="00BF6FC0"/>
    <w:rsid w:val="00BF702B"/>
    <w:rsid w:val="00BF703A"/>
    <w:rsid w:val="00BF70A5"/>
    <w:rsid w:val="00BF70DE"/>
    <w:rsid w:val="00BF71DB"/>
    <w:rsid w:val="00BF7275"/>
    <w:rsid w:val="00BF7288"/>
    <w:rsid w:val="00BF7378"/>
    <w:rsid w:val="00BF7456"/>
    <w:rsid w:val="00BF74D8"/>
    <w:rsid w:val="00BF74F5"/>
    <w:rsid w:val="00BF7556"/>
    <w:rsid w:val="00BF7618"/>
    <w:rsid w:val="00BF763F"/>
    <w:rsid w:val="00BF7675"/>
    <w:rsid w:val="00BF7693"/>
    <w:rsid w:val="00BF76E2"/>
    <w:rsid w:val="00BF77E7"/>
    <w:rsid w:val="00BF7826"/>
    <w:rsid w:val="00BF7843"/>
    <w:rsid w:val="00BF790A"/>
    <w:rsid w:val="00BF7951"/>
    <w:rsid w:val="00BF7988"/>
    <w:rsid w:val="00BF7A2F"/>
    <w:rsid w:val="00BF7A88"/>
    <w:rsid w:val="00BF7B53"/>
    <w:rsid w:val="00BF7B59"/>
    <w:rsid w:val="00BF7B65"/>
    <w:rsid w:val="00BF7C35"/>
    <w:rsid w:val="00BF7D3E"/>
    <w:rsid w:val="00BF7E59"/>
    <w:rsid w:val="00BF7EC8"/>
    <w:rsid w:val="00BF7EF2"/>
    <w:rsid w:val="00BF7F30"/>
    <w:rsid w:val="00BF7FDC"/>
    <w:rsid w:val="00C00085"/>
    <w:rsid w:val="00C00090"/>
    <w:rsid w:val="00C00094"/>
    <w:rsid w:val="00C000B6"/>
    <w:rsid w:val="00C00133"/>
    <w:rsid w:val="00C00156"/>
    <w:rsid w:val="00C0017B"/>
    <w:rsid w:val="00C00222"/>
    <w:rsid w:val="00C002D2"/>
    <w:rsid w:val="00C002FC"/>
    <w:rsid w:val="00C00303"/>
    <w:rsid w:val="00C00305"/>
    <w:rsid w:val="00C0031A"/>
    <w:rsid w:val="00C00322"/>
    <w:rsid w:val="00C003BF"/>
    <w:rsid w:val="00C00472"/>
    <w:rsid w:val="00C0055A"/>
    <w:rsid w:val="00C005C9"/>
    <w:rsid w:val="00C00600"/>
    <w:rsid w:val="00C00643"/>
    <w:rsid w:val="00C006A6"/>
    <w:rsid w:val="00C0074C"/>
    <w:rsid w:val="00C007B5"/>
    <w:rsid w:val="00C00807"/>
    <w:rsid w:val="00C00846"/>
    <w:rsid w:val="00C0088F"/>
    <w:rsid w:val="00C0089B"/>
    <w:rsid w:val="00C008D7"/>
    <w:rsid w:val="00C00957"/>
    <w:rsid w:val="00C00964"/>
    <w:rsid w:val="00C0099B"/>
    <w:rsid w:val="00C009D9"/>
    <w:rsid w:val="00C00D16"/>
    <w:rsid w:val="00C00DB6"/>
    <w:rsid w:val="00C00DDA"/>
    <w:rsid w:val="00C00E22"/>
    <w:rsid w:val="00C00EA3"/>
    <w:rsid w:val="00C00EC0"/>
    <w:rsid w:val="00C00F8F"/>
    <w:rsid w:val="00C01043"/>
    <w:rsid w:val="00C0106D"/>
    <w:rsid w:val="00C010A9"/>
    <w:rsid w:val="00C0119B"/>
    <w:rsid w:val="00C011A9"/>
    <w:rsid w:val="00C011C7"/>
    <w:rsid w:val="00C0126C"/>
    <w:rsid w:val="00C01323"/>
    <w:rsid w:val="00C0136D"/>
    <w:rsid w:val="00C013D8"/>
    <w:rsid w:val="00C013EF"/>
    <w:rsid w:val="00C01401"/>
    <w:rsid w:val="00C0158E"/>
    <w:rsid w:val="00C0165D"/>
    <w:rsid w:val="00C01781"/>
    <w:rsid w:val="00C01794"/>
    <w:rsid w:val="00C0180F"/>
    <w:rsid w:val="00C018BF"/>
    <w:rsid w:val="00C01AB7"/>
    <w:rsid w:val="00C01B18"/>
    <w:rsid w:val="00C01B6E"/>
    <w:rsid w:val="00C01B9C"/>
    <w:rsid w:val="00C01C29"/>
    <w:rsid w:val="00C01CAA"/>
    <w:rsid w:val="00C01DFB"/>
    <w:rsid w:val="00C01E1A"/>
    <w:rsid w:val="00C01E22"/>
    <w:rsid w:val="00C01F83"/>
    <w:rsid w:val="00C01FF0"/>
    <w:rsid w:val="00C02077"/>
    <w:rsid w:val="00C02092"/>
    <w:rsid w:val="00C021F2"/>
    <w:rsid w:val="00C0226B"/>
    <w:rsid w:val="00C0228E"/>
    <w:rsid w:val="00C022BB"/>
    <w:rsid w:val="00C02379"/>
    <w:rsid w:val="00C0241B"/>
    <w:rsid w:val="00C02428"/>
    <w:rsid w:val="00C02445"/>
    <w:rsid w:val="00C02448"/>
    <w:rsid w:val="00C0244F"/>
    <w:rsid w:val="00C02478"/>
    <w:rsid w:val="00C02523"/>
    <w:rsid w:val="00C0259A"/>
    <w:rsid w:val="00C02600"/>
    <w:rsid w:val="00C02606"/>
    <w:rsid w:val="00C026E2"/>
    <w:rsid w:val="00C02757"/>
    <w:rsid w:val="00C02766"/>
    <w:rsid w:val="00C027B1"/>
    <w:rsid w:val="00C0283C"/>
    <w:rsid w:val="00C02860"/>
    <w:rsid w:val="00C028AA"/>
    <w:rsid w:val="00C0294A"/>
    <w:rsid w:val="00C029BB"/>
    <w:rsid w:val="00C029FA"/>
    <w:rsid w:val="00C02A5C"/>
    <w:rsid w:val="00C02A69"/>
    <w:rsid w:val="00C02B1F"/>
    <w:rsid w:val="00C02BB0"/>
    <w:rsid w:val="00C02C63"/>
    <w:rsid w:val="00C02C98"/>
    <w:rsid w:val="00C02D13"/>
    <w:rsid w:val="00C02E09"/>
    <w:rsid w:val="00C02E59"/>
    <w:rsid w:val="00C02E64"/>
    <w:rsid w:val="00C02E70"/>
    <w:rsid w:val="00C02E86"/>
    <w:rsid w:val="00C02E9A"/>
    <w:rsid w:val="00C02F62"/>
    <w:rsid w:val="00C02FA0"/>
    <w:rsid w:val="00C02FDE"/>
    <w:rsid w:val="00C02FE3"/>
    <w:rsid w:val="00C0303B"/>
    <w:rsid w:val="00C03069"/>
    <w:rsid w:val="00C030B0"/>
    <w:rsid w:val="00C03166"/>
    <w:rsid w:val="00C0316E"/>
    <w:rsid w:val="00C03199"/>
    <w:rsid w:val="00C0319B"/>
    <w:rsid w:val="00C031C7"/>
    <w:rsid w:val="00C0321F"/>
    <w:rsid w:val="00C0327F"/>
    <w:rsid w:val="00C032F9"/>
    <w:rsid w:val="00C03323"/>
    <w:rsid w:val="00C0333F"/>
    <w:rsid w:val="00C034B7"/>
    <w:rsid w:val="00C034C8"/>
    <w:rsid w:val="00C034D8"/>
    <w:rsid w:val="00C035AF"/>
    <w:rsid w:val="00C035C7"/>
    <w:rsid w:val="00C0361A"/>
    <w:rsid w:val="00C03670"/>
    <w:rsid w:val="00C036A6"/>
    <w:rsid w:val="00C036B8"/>
    <w:rsid w:val="00C036CE"/>
    <w:rsid w:val="00C0370A"/>
    <w:rsid w:val="00C0383E"/>
    <w:rsid w:val="00C038E4"/>
    <w:rsid w:val="00C0390F"/>
    <w:rsid w:val="00C0394E"/>
    <w:rsid w:val="00C03982"/>
    <w:rsid w:val="00C039FE"/>
    <w:rsid w:val="00C03A12"/>
    <w:rsid w:val="00C03A5B"/>
    <w:rsid w:val="00C03A62"/>
    <w:rsid w:val="00C03A80"/>
    <w:rsid w:val="00C03AE1"/>
    <w:rsid w:val="00C03AE8"/>
    <w:rsid w:val="00C03B29"/>
    <w:rsid w:val="00C03BEA"/>
    <w:rsid w:val="00C03D4B"/>
    <w:rsid w:val="00C03DE2"/>
    <w:rsid w:val="00C03DF1"/>
    <w:rsid w:val="00C03EF2"/>
    <w:rsid w:val="00C040F3"/>
    <w:rsid w:val="00C04177"/>
    <w:rsid w:val="00C0417F"/>
    <w:rsid w:val="00C04192"/>
    <w:rsid w:val="00C041D9"/>
    <w:rsid w:val="00C041FE"/>
    <w:rsid w:val="00C04376"/>
    <w:rsid w:val="00C0440E"/>
    <w:rsid w:val="00C04458"/>
    <w:rsid w:val="00C04484"/>
    <w:rsid w:val="00C04530"/>
    <w:rsid w:val="00C0456F"/>
    <w:rsid w:val="00C04631"/>
    <w:rsid w:val="00C04647"/>
    <w:rsid w:val="00C04664"/>
    <w:rsid w:val="00C04676"/>
    <w:rsid w:val="00C046EE"/>
    <w:rsid w:val="00C046F1"/>
    <w:rsid w:val="00C04724"/>
    <w:rsid w:val="00C047D5"/>
    <w:rsid w:val="00C04822"/>
    <w:rsid w:val="00C0487D"/>
    <w:rsid w:val="00C048B6"/>
    <w:rsid w:val="00C048BD"/>
    <w:rsid w:val="00C04924"/>
    <w:rsid w:val="00C049EA"/>
    <w:rsid w:val="00C04B40"/>
    <w:rsid w:val="00C04B8C"/>
    <w:rsid w:val="00C04B8D"/>
    <w:rsid w:val="00C04BB2"/>
    <w:rsid w:val="00C04BFC"/>
    <w:rsid w:val="00C04C01"/>
    <w:rsid w:val="00C04C0F"/>
    <w:rsid w:val="00C04C9B"/>
    <w:rsid w:val="00C04CB3"/>
    <w:rsid w:val="00C04DDB"/>
    <w:rsid w:val="00C04E39"/>
    <w:rsid w:val="00C04E57"/>
    <w:rsid w:val="00C04ED9"/>
    <w:rsid w:val="00C04EE5"/>
    <w:rsid w:val="00C04EEE"/>
    <w:rsid w:val="00C04F83"/>
    <w:rsid w:val="00C04FB6"/>
    <w:rsid w:val="00C04FCC"/>
    <w:rsid w:val="00C04FEE"/>
    <w:rsid w:val="00C05151"/>
    <w:rsid w:val="00C05164"/>
    <w:rsid w:val="00C0523A"/>
    <w:rsid w:val="00C0529F"/>
    <w:rsid w:val="00C0532B"/>
    <w:rsid w:val="00C05344"/>
    <w:rsid w:val="00C054BB"/>
    <w:rsid w:val="00C056C6"/>
    <w:rsid w:val="00C0579D"/>
    <w:rsid w:val="00C057DA"/>
    <w:rsid w:val="00C05806"/>
    <w:rsid w:val="00C05837"/>
    <w:rsid w:val="00C058C8"/>
    <w:rsid w:val="00C0597F"/>
    <w:rsid w:val="00C05BE0"/>
    <w:rsid w:val="00C05CD0"/>
    <w:rsid w:val="00C05E9E"/>
    <w:rsid w:val="00C05F18"/>
    <w:rsid w:val="00C05F5D"/>
    <w:rsid w:val="00C05FB8"/>
    <w:rsid w:val="00C060BE"/>
    <w:rsid w:val="00C063BB"/>
    <w:rsid w:val="00C063E7"/>
    <w:rsid w:val="00C06409"/>
    <w:rsid w:val="00C0642D"/>
    <w:rsid w:val="00C0649D"/>
    <w:rsid w:val="00C064D8"/>
    <w:rsid w:val="00C06513"/>
    <w:rsid w:val="00C06660"/>
    <w:rsid w:val="00C0667B"/>
    <w:rsid w:val="00C066D0"/>
    <w:rsid w:val="00C066D1"/>
    <w:rsid w:val="00C066E8"/>
    <w:rsid w:val="00C0670C"/>
    <w:rsid w:val="00C06729"/>
    <w:rsid w:val="00C067D7"/>
    <w:rsid w:val="00C06961"/>
    <w:rsid w:val="00C06985"/>
    <w:rsid w:val="00C06B37"/>
    <w:rsid w:val="00C06B46"/>
    <w:rsid w:val="00C06C6A"/>
    <w:rsid w:val="00C06C77"/>
    <w:rsid w:val="00C06CB9"/>
    <w:rsid w:val="00C06E2C"/>
    <w:rsid w:val="00C06E47"/>
    <w:rsid w:val="00C06E86"/>
    <w:rsid w:val="00C06ED8"/>
    <w:rsid w:val="00C06FC9"/>
    <w:rsid w:val="00C072A2"/>
    <w:rsid w:val="00C072D0"/>
    <w:rsid w:val="00C0732B"/>
    <w:rsid w:val="00C0737D"/>
    <w:rsid w:val="00C07395"/>
    <w:rsid w:val="00C073D7"/>
    <w:rsid w:val="00C07410"/>
    <w:rsid w:val="00C07428"/>
    <w:rsid w:val="00C0750A"/>
    <w:rsid w:val="00C0757C"/>
    <w:rsid w:val="00C07590"/>
    <w:rsid w:val="00C075D8"/>
    <w:rsid w:val="00C07648"/>
    <w:rsid w:val="00C076F6"/>
    <w:rsid w:val="00C07704"/>
    <w:rsid w:val="00C07723"/>
    <w:rsid w:val="00C07872"/>
    <w:rsid w:val="00C07888"/>
    <w:rsid w:val="00C0792E"/>
    <w:rsid w:val="00C07982"/>
    <w:rsid w:val="00C07A0D"/>
    <w:rsid w:val="00C07A28"/>
    <w:rsid w:val="00C07A98"/>
    <w:rsid w:val="00C07B43"/>
    <w:rsid w:val="00C07CB2"/>
    <w:rsid w:val="00C07D89"/>
    <w:rsid w:val="00C07DAF"/>
    <w:rsid w:val="00C07DEA"/>
    <w:rsid w:val="00C07E57"/>
    <w:rsid w:val="00C07ECB"/>
    <w:rsid w:val="00C07ED3"/>
    <w:rsid w:val="00C07F2A"/>
    <w:rsid w:val="00C07F6D"/>
    <w:rsid w:val="00C07FEF"/>
    <w:rsid w:val="00C10118"/>
    <w:rsid w:val="00C10163"/>
    <w:rsid w:val="00C101BB"/>
    <w:rsid w:val="00C102BD"/>
    <w:rsid w:val="00C10316"/>
    <w:rsid w:val="00C10474"/>
    <w:rsid w:val="00C10479"/>
    <w:rsid w:val="00C104B2"/>
    <w:rsid w:val="00C104E8"/>
    <w:rsid w:val="00C1057E"/>
    <w:rsid w:val="00C105E1"/>
    <w:rsid w:val="00C106B3"/>
    <w:rsid w:val="00C10723"/>
    <w:rsid w:val="00C1090A"/>
    <w:rsid w:val="00C10A0B"/>
    <w:rsid w:val="00C10A69"/>
    <w:rsid w:val="00C10A71"/>
    <w:rsid w:val="00C10D02"/>
    <w:rsid w:val="00C10D17"/>
    <w:rsid w:val="00C10D1A"/>
    <w:rsid w:val="00C10DA5"/>
    <w:rsid w:val="00C10E3A"/>
    <w:rsid w:val="00C10EA1"/>
    <w:rsid w:val="00C10EC3"/>
    <w:rsid w:val="00C10EEA"/>
    <w:rsid w:val="00C10F25"/>
    <w:rsid w:val="00C110E1"/>
    <w:rsid w:val="00C11259"/>
    <w:rsid w:val="00C11285"/>
    <w:rsid w:val="00C112AA"/>
    <w:rsid w:val="00C113DC"/>
    <w:rsid w:val="00C11443"/>
    <w:rsid w:val="00C11472"/>
    <w:rsid w:val="00C114A4"/>
    <w:rsid w:val="00C114DB"/>
    <w:rsid w:val="00C1153D"/>
    <w:rsid w:val="00C11564"/>
    <w:rsid w:val="00C115D1"/>
    <w:rsid w:val="00C11775"/>
    <w:rsid w:val="00C118B0"/>
    <w:rsid w:val="00C1191D"/>
    <w:rsid w:val="00C1196E"/>
    <w:rsid w:val="00C11970"/>
    <w:rsid w:val="00C119CB"/>
    <w:rsid w:val="00C11A09"/>
    <w:rsid w:val="00C11A35"/>
    <w:rsid w:val="00C11A98"/>
    <w:rsid w:val="00C11AB9"/>
    <w:rsid w:val="00C11B81"/>
    <w:rsid w:val="00C11B91"/>
    <w:rsid w:val="00C11BBB"/>
    <w:rsid w:val="00C11C78"/>
    <w:rsid w:val="00C11DE4"/>
    <w:rsid w:val="00C11E1C"/>
    <w:rsid w:val="00C11E94"/>
    <w:rsid w:val="00C11F28"/>
    <w:rsid w:val="00C11F4B"/>
    <w:rsid w:val="00C11F92"/>
    <w:rsid w:val="00C120E1"/>
    <w:rsid w:val="00C1216F"/>
    <w:rsid w:val="00C12251"/>
    <w:rsid w:val="00C122B1"/>
    <w:rsid w:val="00C122D6"/>
    <w:rsid w:val="00C1230E"/>
    <w:rsid w:val="00C12338"/>
    <w:rsid w:val="00C12368"/>
    <w:rsid w:val="00C123B1"/>
    <w:rsid w:val="00C1243F"/>
    <w:rsid w:val="00C12588"/>
    <w:rsid w:val="00C125DC"/>
    <w:rsid w:val="00C12610"/>
    <w:rsid w:val="00C12618"/>
    <w:rsid w:val="00C1267C"/>
    <w:rsid w:val="00C12687"/>
    <w:rsid w:val="00C126F6"/>
    <w:rsid w:val="00C1271F"/>
    <w:rsid w:val="00C1278D"/>
    <w:rsid w:val="00C127FA"/>
    <w:rsid w:val="00C1295E"/>
    <w:rsid w:val="00C129EE"/>
    <w:rsid w:val="00C12AAF"/>
    <w:rsid w:val="00C12B11"/>
    <w:rsid w:val="00C12BBD"/>
    <w:rsid w:val="00C12C9D"/>
    <w:rsid w:val="00C12CE3"/>
    <w:rsid w:val="00C12D2A"/>
    <w:rsid w:val="00C12D77"/>
    <w:rsid w:val="00C12EC8"/>
    <w:rsid w:val="00C12F14"/>
    <w:rsid w:val="00C12F9E"/>
    <w:rsid w:val="00C13016"/>
    <w:rsid w:val="00C13019"/>
    <w:rsid w:val="00C1320C"/>
    <w:rsid w:val="00C13294"/>
    <w:rsid w:val="00C13320"/>
    <w:rsid w:val="00C13374"/>
    <w:rsid w:val="00C134A8"/>
    <w:rsid w:val="00C134CC"/>
    <w:rsid w:val="00C135B5"/>
    <w:rsid w:val="00C135BE"/>
    <w:rsid w:val="00C135C1"/>
    <w:rsid w:val="00C135CC"/>
    <w:rsid w:val="00C13603"/>
    <w:rsid w:val="00C1367C"/>
    <w:rsid w:val="00C1369D"/>
    <w:rsid w:val="00C136B5"/>
    <w:rsid w:val="00C13708"/>
    <w:rsid w:val="00C1372D"/>
    <w:rsid w:val="00C1374B"/>
    <w:rsid w:val="00C137A7"/>
    <w:rsid w:val="00C13849"/>
    <w:rsid w:val="00C13854"/>
    <w:rsid w:val="00C1385E"/>
    <w:rsid w:val="00C13902"/>
    <w:rsid w:val="00C13926"/>
    <w:rsid w:val="00C13979"/>
    <w:rsid w:val="00C13986"/>
    <w:rsid w:val="00C13A7E"/>
    <w:rsid w:val="00C13B6B"/>
    <w:rsid w:val="00C13BA2"/>
    <w:rsid w:val="00C13BF9"/>
    <w:rsid w:val="00C13C02"/>
    <w:rsid w:val="00C13C9B"/>
    <w:rsid w:val="00C13D0E"/>
    <w:rsid w:val="00C13D91"/>
    <w:rsid w:val="00C13EBD"/>
    <w:rsid w:val="00C13EC3"/>
    <w:rsid w:val="00C13F66"/>
    <w:rsid w:val="00C14063"/>
    <w:rsid w:val="00C140AA"/>
    <w:rsid w:val="00C1411A"/>
    <w:rsid w:val="00C14199"/>
    <w:rsid w:val="00C141D5"/>
    <w:rsid w:val="00C14237"/>
    <w:rsid w:val="00C14253"/>
    <w:rsid w:val="00C142AA"/>
    <w:rsid w:val="00C14384"/>
    <w:rsid w:val="00C14424"/>
    <w:rsid w:val="00C14426"/>
    <w:rsid w:val="00C144C9"/>
    <w:rsid w:val="00C14510"/>
    <w:rsid w:val="00C14513"/>
    <w:rsid w:val="00C14521"/>
    <w:rsid w:val="00C1455F"/>
    <w:rsid w:val="00C14579"/>
    <w:rsid w:val="00C1457A"/>
    <w:rsid w:val="00C1467F"/>
    <w:rsid w:val="00C1468B"/>
    <w:rsid w:val="00C14704"/>
    <w:rsid w:val="00C147E3"/>
    <w:rsid w:val="00C1487A"/>
    <w:rsid w:val="00C14880"/>
    <w:rsid w:val="00C1489C"/>
    <w:rsid w:val="00C148D3"/>
    <w:rsid w:val="00C14994"/>
    <w:rsid w:val="00C149C4"/>
    <w:rsid w:val="00C14A1A"/>
    <w:rsid w:val="00C14A43"/>
    <w:rsid w:val="00C14A71"/>
    <w:rsid w:val="00C14AA3"/>
    <w:rsid w:val="00C14B04"/>
    <w:rsid w:val="00C14B18"/>
    <w:rsid w:val="00C14BE5"/>
    <w:rsid w:val="00C14C1D"/>
    <w:rsid w:val="00C14C43"/>
    <w:rsid w:val="00C14C7A"/>
    <w:rsid w:val="00C14C82"/>
    <w:rsid w:val="00C14C96"/>
    <w:rsid w:val="00C14CF5"/>
    <w:rsid w:val="00C14DB5"/>
    <w:rsid w:val="00C14DFA"/>
    <w:rsid w:val="00C14E53"/>
    <w:rsid w:val="00C14F0E"/>
    <w:rsid w:val="00C14F6E"/>
    <w:rsid w:val="00C14FE0"/>
    <w:rsid w:val="00C14FFE"/>
    <w:rsid w:val="00C150DF"/>
    <w:rsid w:val="00C153CA"/>
    <w:rsid w:val="00C15410"/>
    <w:rsid w:val="00C15415"/>
    <w:rsid w:val="00C15452"/>
    <w:rsid w:val="00C154EE"/>
    <w:rsid w:val="00C1550D"/>
    <w:rsid w:val="00C156BF"/>
    <w:rsid w:val="00C156FC"/>
    <w:rsid w:val="00C157AD"/>
    <w:rsid w:val="00C157EA"/>
    <w:rsid w:val="00C15942"/>
    <w:rsid w:val="00C1598C"/>
    <w:rsid w:val="00C159B9"/>
    <w:rsid w:val="00C15A0F"/>
    <w:rsid w:val="00C15A57"/>
    <w:rsid w:val="00C15A87"/>
    <w:rsid w:val="00C15A8E"/>
    <w:rsid w:val="00C15B7E"/>
    <w:rsid w:val="00C15BB9"/>
    <w:rsid w:val="00C15C3C"/>
    <w:rsid w:val="00C15CD6"/>
    <w:rsid w:val="00C15D2F"/>
    <w:rsid w:val="00C15D38"/>
    <w:rsid w:val="00C15D63"/>
    <w:rsid w:val="00C15DD1"/>
    <w:rsid w:val="00C15EA2"/>
    <w:rsid w:val="00C15EF4"/>
    <w:rsid w:val="00C15FDA"/>
    <w:rsid w:val="00C15FE0"/>
    <w:rsid w:val="00C16037"/>
    <w:rsid w:val="00C16069"/>
    <w:rsid w:val="00C1617F"/>
    <w:rsid w:val="00C161B5"/>
    <w:rsid w:val="00C16260"/>
    <w:rsid w:val="00C162C6"/>
    <w:rsid w:val="00C16336"/>
    <w:rsid w:val="00C16352"/>
    <w:rsid w:val="00C16405"/>
    <w:rsid w:val="00C1642F"/>
    <w:rsid w:val="00C16632"/>
    <w:rsid w:val="00C166E0"/>
    <w:rsid w:val="00C167CF"/>
    <w:rsid w:val="00C16963"/>
    <w:rsid w:val="00C169B3"/>
    <w:rsid w:val="00C16A08"/>
    <w:rsid w:val="00C16A53"/>
    <w:rsid w:val="00C16A87"/>
    <w:rsid w:val="00C16AED"/>
    <w:rsid w:val="00C16BDA"/>
    <w:rsid w:val="00C16C1D"/>
    <w:rsid w:val="00C16C30"/>
    <w:rsid w:val="00C16C97"/>
    <w:rsid w:val="00C16C9E"/>
    <w:rsid w:val="00C16CAC"/>
    <w:rsid w:val="00C16CF0"/>
    <w:rsid w:val="00C16D2E"/>
    <w:rsid w:val="00C16DCB"/>
    <w:rsid w:val="00C16E2F"/>
    <w:rsid w:val="00C16E80"/>
    <w:rsid w:val="00C16EA4"/>
    <w:rsid w:val="00C16EBB"/>
    <w:rsid w:val="00C16EBE"/>
    <w:rsid w:val="00C16F77"/>
    <w:rsid w:val="00C16FFE"/>
    <w:rsid w:val="00C17066"/>
    <w:rsid w:val="00C170D0"/>
    <w:rsid w:val="00C170D5"/>
    <w:rsid w:val="00C1717C"/>
    <w:rsid w:val="00C1718E"/>
    <w:rsid w:val="00C172D1"/>
    <w:rsid w:val="00C172E8"/>
    <w:rsid w:val="00C172ED"/>
    <w:rsid w:val="00C17389"/>
    <w:rsid w:val="00C173C7"/>
    <w:rsid w:val="00C174F6"/>
    <w:rsid w:val="00C175D8"/>
    <w:rsid w:val="00C17601"/>
    <w:rsid w:val="00C17607"/>
    <w:rsid w:val="00C1762F"/>
    <w:rsid w:val="00C17655"/>
    <w:rsid w:val="00C1767A"/>
    <w:rsid w:val="00C177B6"/>
    <w:rsid w:val="00C17815"/>
    <w:rsid w:val="00C1784C"/>
    <w:rsid w:val="00C17947"/>
    <w:rsid w:val="00C179F8"/>
    <w:rsid w:val="00C179F9"/>
    <w:rsid w:val="00C17A7D"/>
    <w:rsid w:val="00C17BEB"/>
    <w:rsid w:val="00C17C1D"/>
    <w:rsid w:val="00C17CF5"/>
    <w:rsid w:val="00C17D04"/>
    <w:rsid w:val="00C17D4E"/>
    <w:rsid w:val="00C17D65"/>
    <w:rsid w:val="00C17D7E"/>
    <w:rsid w:val="00C17DDF"/>
    <w:rsid w:val="00C17EAB"/>
    <w:rsid w:val="00C17EF1"/>
    <w:rsid w:val="00C17F55"/>
    <w:rsid w:val="00C1D15D"/>
    <w:rsid w:val="00C20030"/>
    <w:rsid w:val="00C200A6"/>
    <w:rsid w:val="00C200EF"/>
    <w:rsid w:val="00C20184"/>
    <w:rsid w:val="00C20271"/>
    <w:rsid w:val="00C2027A"/>
    <w:rsid w:val="00C20362"/>
    <w:rsid w:val="00C20427"/>
    <w:rsid w:val="00C20435"/>
    <w:rsid w:val="00C204C1"/>
    <w:rsid w:val="00C2057C"/>
    <w:rsid w:val="00C205C5"/>
    <w:rsid w:val="00C205DA"/>
    <w:rsid w:val="00C2062E"/>
    <w:rsid w:val="00C20686"/>
    <w:rsid w:val="00C206DD"/>
    <w:rsid w:val="00C2073B"/>
    <w:rsid w:val="00C2079B"/>
    <w:rsid w:val="00C207BD"/>
    <w:rsid w:val="00C20894"/>
    <w:rsid w:val="00C20933"/>
    <w:rsid w:val="00C209EC"/>
    <w:rsid w:val="00C20AA8"/>
    <w:rsid w:val="00C20B24"/>
    <w:rsid w:val="00C20C12"/>
    <w:rsid w:val="00C20C91"/>
    <w:rsid w:val="00C20D47"/>
    <w:rsid w:val="00C20DEA"/>
    <w:rsid w:val="00C20E0C"/>
    <w:rsid w:val="00C20E4A"/>
    <w:rsid w:val="00C20E6B"/>
    <w:rsid w:val="00C20EA6"/>
    <w:rsid w:val="00C20EFE"/>
    <w:rsid w:val="00C20F26"/>
    <w:rsid w:val="00C20F37"/>
    <w:rsid w:val="00C20F9A"/>
    <w:rsid w:val="00C20FF0"/>
    <w:rsid w:val="00C21002"/>
    <w:rsid w:val="00C210C7"/>
    <w:rsid w:val="00C21218"/>
    <w:rsid w:val="00C21223"/>
    <w:rsid w:val="00C212E2"/>
    <w:rsid w:val="00C2131E"/>
    <w:rsid w:val="00C21337"/>
    <w:rsid w:val="00C2143C"/>
    <w:rsid w:val="00C21455"/>
    <w:rsid w:val="00C214D0"/>
    <w:rsid w:val="00C21505"/>
    <w:rsid w:val="00C215A9"/>
    <w:rsid w:val="00C215EB"/>
    <w:rsid w:val="00C2165A"/>
    <w:rsid w:val="00C216BD"/>
    <w:rsid w:val="00C21731"/>
    <w:rsid w:val="00C217DA"/>
    <w:rsid w:val="00C21852"/>
    <w:rsid w:val="00C218C7"/>
    <w:rsid w:val="00C21967"/>
    <w:rsid w:val="00C21988"/>
    <w:rsid w:val="00C21996"/>
    <w:rsid w:val="00C219C9"/>
    <w:rsid w:val="00C219E3"/>
    <w:rsid w:val="00C21AA1"/>
    <w:rsid w:val="00C21AC9"/>
    <w:rsid w:val="00C21B7B"/>
    <w:rsid w:val="00C21B8F"/>
    <w:rsid w:val="00C21B9A"/>
    <w:rsid w:val="00C21BF5"/>
    <w:rsid w:val="00C21CC4"/>
    <w:rsid w:val="00C21CF8"/>
    <w:rsid w:val="00C21D46"/>
    <w:rsid w:val="00C21E2B"/>
    <w:rsid w:val="00C21E8E"/>
    <w:rsid w:val="00C21E98"/>
    <w:rsid w:val="00C21EE1"/>
    <w:rsid w:val="00C21F9E"/>
    <w:rsid w:val="00C22265"/>
    <w:rsid w:val="00C2245F"/>
    <w:rsid w:val="00C2255A"/>
    <w:rsid w:val="00C2256B"/>
    <w:rsid w:val="00C22587"/>
    <w:rsid w:val="00C2269F"/>
    <w:rsid w:val="00C22776"/>
    <w:rsid w:val="00C227F0"/>
    <w:rsid w:val="00C22857"/>
    <w:rsid w:val="00C228CA"/>
    <w:rsid w:val="00C22983"/>
    <w:rsid w:val="00C22A19"/>
    <w:rsid w:val="00C22A73"/>
    <w:rsid w:val="00C22AB5"/>
    <w:rsid w:val="00C22B61"/>
    <w:rsid w:val="00C22B7D"/>
    <w:rsid w:val="00C22DAC"/>
    <w:rsid w:val="00C22E33"/>
    <w:rsid w:val="00C22E92"/>
    <w:rsid w:val="00C22F43"/>
    <w:rsid w:val="00C22F93"/>
    <w:rsid w:val="00C23025"/>
    <w:rsid w:val="00C23026"/>
    <w:rsid w:val="00C2307C"/>
    <w:rsid w:val="00C23102"/>
    <w:rsid w:val="00C231B7"/>
    <w:rsid w:val="00C23206"/>
    <w:rsid w:val="00C23222"/>
    <w:rsid w:val="00C23271"/>
    <w:rsid w:val="00C2328A"/>
    <w:rsid w:val="00C232BE"/>
    <w:rsid w:val="00C232D0"/>
    <w:rsid w:val="00C2335D"/>
    <w:rsid w:val="00C234C6"/>
    <w:rsid w:val="00C235CD"/>
    <w:rsid w:val="00C235CF"/>
    <w:rsid w:val="00C235F3"/>
    <w:rsid w:val="00C2362A"/>
    <w:rsid w:val="00C23630"/>
    <w:rsid w:val="00C23687"/>
    <w:rsid w:val="00C2376E"/>
    <w:rsid w:val="00C2381F"/>
    <w:rsid w:val="00C2383B"/>
    <w:rsid w:val="00C2385E"/>
    <w:rsid w:val="00C23938"/>
    <w:rsid w:val="00C23939"/>
    <w:rsid w:val="00C23958"/>
    <w:rsid w:val="00C23982"/>
    <w:rsid w:val="00C239A1"/>
    <w:rsid w:val="00C239B7"/>
    <w:rsid w:val="00C239D8"/>
    <w:rsid w:val="00C23A6F"/>
    <w:rsid w:val="00C23AAA"/>
    <w:rsid w:val="00C23AC3"/>
    <w:rsid w:val="00C23B41"/>
    <w:rsid w:val="00C23B42"/>
    <w:rsid w:val="00C23B7A"/>
    <w:rsid w:val="00C23C54"/>
    <w:rsid w:val="00C23C5E"/>
    <w:rsid w:val="00C23D31"/>
    <w:rsid w:val="00C23D93"/>
    <w:rsid w:val="00C23DD9"/>
    <w:rsid w:val="00C23F07"/>
    <w:rsid w:val="00C23F1F"/>
    <w:rsid w:val="00C23F99"/>
    <w:rsid w:val="00C23FB0"/>
    <w:rsid w:val="00C240B3"/>
    <w:rsid w:val="00C240D0"/>
    <w:rsid w:val="00C24298"/>
    <w:rsid w:val="00C242EF"/>
    <w:rsid w:val="00C242F9"/>
    <w:rsid w:val="00C24416"/>
    <w:rsid w:val="00C24434"/>
    <w:rsid w:val="00C244A0"/>
    <w:rsid w:val="00C244E1"/>
    <w:rsid w:val="00C244E5"/>
    <w:rsid w:val="00C244F5"/>
    <w:rsid w:val="00C2454C"/>
    <w:rsid w:val="00C245FD"/>
    <w:rsid w:val="00C24640"/>
    <w:rsid w:val="00C24700"/>
    <w:rsid w:val="00C24788"/>
    <w:rsid w:val="00C248F0"/>
    <w:rsid w:val="00C24958"/>
    <w:rsid w:val="00C24995"/>
    <w:rsid w:val="00C249D5"/>
    <w:rsid w:val="00C24A78"/>
    <w:rsid w:val="00C24AAB"/>
    <w:rsid w:val="00C24AC8"/>
    <w:rsid w:val="00C24AEC"/>
    <w:rsid w:val="00C24C3D"/>
    <w:rsid w:val="00C24C91"/>
    <w:rsid w:val="00C24C95"/>
    <w:rsid w:val="00C24CCA"/>
    <w:rsid w:val="00C24DC2"/>
    <w:rsid w:val="00C24ED6"/>
    <w:rsid w:val="00C24F6C"/>
    <w:rsid w:val="00C24FC3"/>
    <w:rsid w:val="00C250A9"/>
    <w:rsid w:val="00C251F2"/>
    <w:rsid w:val="00C2532F"/>
    <w:rsid w:val="00C2539C"/>
    <w:rsid w:val="00C253DD"/>
    <w:rsid w:val="00C253E1"/>
    <w:rsid w:val="00C253FB"/>
    <w:rsid w:val="00C2547F"/>
    <w:rsid w:val="00C25507"/>
    <w:rsid w:val="00C255F4"/>
    <w:rsid w:val="00C25827"/>
    <w:rsid w:val="00C2585D"/>
    <w:rsid w:val="00C258CD"/>
    <w:rsid w:val="00C258EC"/>
    <w:rsid w:val="00C2596F"/>
    <w:rsid w:val="00C25A06"/>
    <w:rsid w:val="00C25A23"/>
    <w:rsid w:val="00C25A4A"/>
    <w:rsid w:val="00C25A4E"/>
    <w:rsid w:val="00C25A5E"/>
    <w:rsid w:val="00C25B23"/>
    <w:rsid w:val="00C25B33"/>
    <w:rsid w:val="00C25B40"/>
    <w:rsid w:val="00C25BD8"/>
    <w:rsid w:val="00C25C2F"/>
    <w:rsid w:val="00C25D73"/>
    <w:rsid w:val="00C25D8A"/>
    <w:rsid w:val="00C25DA9"/>
    <w:rsid w:val="00C25DDB"/>
    <w:rsid w:val="00C25E37"/>
    <w:rsid w:val="00C25E8C"/>
    <w:rsid w:val="00C25EE5"/>
    <w:rsid w:val="00C26046"/>
    <w:rsid w:val="00C260B3"/>
    <w:rsid w:val="00C26187"/>
    <w:rsid w:val="00C261CE"/>
    <w:rsid w:val="00C26279"/>
    <w:rsid w:val="00C2628F"/>
    <w:rsid w:val="00C262B5"/>
    <w:rsid w:val="00C262C8"/>
    <w:rsid w:val="00C262FB"/>
    <w:rsid w:val="00C26452"/>
    <w:rsid w:val="00C26458"/>
    <w:rsid w:val="00C2645E"/>
    <w:rsid w:val="00C264E5"/>
    <w:rsid w:val="00C2650F"/>
    <w:rsid w:val="00C2651B"/>
    <w:rsid w:val="00C265A2"/>
    <w:rsid w:val="00C2661E"/>
    <w:rsid w:val="00C26700"/>
    <w:rsid w:val="00C26764"/>
    <w:rsid w:val="00C2677B"/>
    <w:rsid w:val="00C26788"/>
    <w:rsid w:val="00C26811"/>
    <w:rsid w:val="00C26854"/>
    <w:rsid w:val="00C268B3"/>
    <w:rsid w:val="00C269A5"/>
    <w:rsid w:val="00C26A2A"/>
    <w:rsid w:val="00C26A89"/>
    <w:rsid w:val="00C26AA1"/>
    <w:rsid w:val="00C26AB0"/>
    <w:rsid w:val="00C26C90"/>
    <w:rsid w:val="00C26CD0"/>
    <w:rsid w:val="00C26CFC"/>
    <w:rsid w:val="00C26E09"/>
    <w:rsid w:val="00C26E99"/>
    <w:rsid w:val="00C26F0F"/>
    <w:rsid w:val="00C26F20"/>
    <w:rsid w:val="00C26F62"/>
    <w:rsid w:val="00C26F7F"/>
    <w:rsid w:val="00C26FB7"/>
    <w:rsid w:val="00C27046"/>
    <w:rsid w:val="00C2708F"/>
    <w:rsid w:val="00C271A5"/>
    <w:rsid w:val="00C271FD"/>
    <w:rsid w:val="00C27317"/>
    <w:rsid w:val="00C2735C"/>
    <w:rsid w:val="00C27396"/>
    <w:rsid w:val="00C2739D"/>
    <w:rsid w:val="00C273D0"/>
    <w:rsid w:val="00C273DC"/>
    <w:rsid w:val="00C273EE"/>
    <w:rsid w:val="00C273FE"/>
    <w:rsid w:val="00C27537"/>
    <w:rsid w:val="00C2757C"/>
    <w:rsid w:val="00C275A2"/>
    <w:rsid w:val="00C27684"/>
    <w:rsid w:val="00C276BD"/>
    <w:rsid w:val="00C2776D"/>
    <w:rsid w:val="00C27783"/>
    <w:rsid w:val="00C277FA"/>
    <w:rsid w:val="00C27894"/>
    <w:rsid w:val="00C278D4"/>
    <w:rsid w:val="00C278F2"/>
    <w:rsid w:val="00C278F9"/>
    <w:rsid w:val="00C2793E"/>
    <w:rsid w:val="00C27AB2"/>
    <w:rsid w:val="00C27AFF"/>
    <w:rsid w:val="00C27B23"/>
    <w:rsid w:val="00C27B8E"/>
    <w:rsid w:val="00C27BC2"/>
    <w:rsid w:val="00C27BD1"/>
    <w:rsid w:val="00C27CF7"/>
    <w:rsid w:val="00C27D1E"/>
    <w:rsid w:val="00C27DC3"/>
    <w:rsid w:val="00C27E95"/>
    <w:rsid w:val="00C27F41"/>
    <w:rsid w:val="00C27FB6"/>
    <w:rsid w:val="00C27FBB"/>
    <w:rsid w:val="00C27FDA"/>
    <w:rsid w:val="00C27FFA"/>
    <w:rsid w:val="00C30005"/>
    <w:rsid w:val="00C30202"/>
    <w:rsid w:val="00C30262"/>
    <w:rsid w:val="00C304AC"/>
    <w:rsid w:val="00C305E8"/>
    <w:rsid w:val="00C3068B"/>
    <w:rsid w:val="00C3069E"/>
    <w:rsid w:val="00C306D2"/>
    <w:rsid w:val="00C30744"/>
    <w:rsid w:val="00C30852"/>
    <w:rsid w:val="00C308BF"/>
    <w:rsid w:val="00C308CE"/>
    <w:rsid w:val="00C309B7"/>
    <w:rsid w:val="00C309F2"/>
    <w:rsid w:val="00C30A2D"/>
    <w:rsid w:val="00C30A2E"/>
    <w:rsid w:val="00C30A61"/>
    <w:rsid w:val="00C30AC9"/>
    <w:rsid w:val="00C30C28"/>
    <w:rsid w:val="00C30C8B"/>
    <w:rsid w:val="00C30D07"/>
    <w:rsid w:val="00C30DE3"/>
    <w:rsid w:val="00C30E35"/>
    <w:rsid w:val="00C30E5A"/>
    <w:rsid w:val="00C30EEC"/>
    <w:rsid w:val="00C30FA3"/>
    <w:rsid w:val="00C30FD2"/>
    <w:rsid w:val="00C31021"/>
    <w:rsid w:val="00C31156"/>
    <w:rsid w:val="00C31256"/>
    <w:rsid w:val="00C31288"/>
    <w:rsid w:val="00C312BA"/>
    <w:rsid w:val="00C312F0"/>
    <w:rsid w:val="00C3136B"/>
    <w:rsid w:val="00C31419"/>
    <w:rsid w:val="00C31546"/>
    <w:rsid w:val="00C31551"/>
    <w:rsid w:val="00C31585"/>
    <w:rsid w:val="00C315AD"/>
    <w:rsid w:val="00C31706"/>
    <w:rsid w:val="00C31781"/>
    <w:rsid w:val="00C31836"/>
    <w:rsid w:val="00C318B8"/>
    <w:rsid w:val="00C318C4"/>
    <w:rsid w:val="00C31901"/>
    <w:rsid w:val="00C31909"/>
    <w:rsid w:val="00C31982"/>
    <w:rsid w:val="00C31984"/>
    <w:rsid w:val="00C319C9"/>
    <w:rsid w:val="00C31AE2"/>
    <w:rsid w:val="00C31B2D"/>
    <w:rsid w:val="00C31B72"/>
    <w:rsid w:val="00C31BED"/>
    <w:rsid w:val="00C31CCD"/>
    <w:rsid w:val="00C31D15"/>
    <w:rsid w:val="00C31D72"/>
    <w:rsid w:val="00C31E06"/>
    <w:rsid w:val="00C31E75"/>
    <w:rsid w:val="00C31EC1"/>
    <w:rsid w:val="00C31F1D"/>
    <w:rsid w:val="00C31F2F"/>
    <w:rsid w:val="00C31F4C"/>
    <w:rsid w:val="00C32007"/>
    <w:rsid w:val="00C32028"/>
    <w:rsid w:val="00C32029"/>
    <w:rsid w:val="00C320BE"/>
    <w:rsid w:val="00C3212F"/>
    <w:rsid w:val="00C32159"/>
    <w:rsid w:val="00C32179"/>
    <w:rsid w:val="00C321D1"/>
    <w:rsid w:val="00C323C8"/>
    <w:rsid w:val="00C323D3"/>
    <w:rsid w:val="00C323F6"/>
    <w:rsid w:val="00C32455"/>
    <w:rsid w:val="00C32476"/>
    <w:rsid w:val="00C32523"/>
    <w:rsid w:val="00C3252F"/>
    <w:rsid w:val="00C325C7"/>
    <w:rsid w:val="00C3264E"/>
    <w:rsid w:val="00C326B0"/>
    <w:rsid w:val="00C32704"/>
    <w:rsid w:val="00C327FB"/>
    <w:rsid w:val="00C3287C"/>
    <w:rsid w:val="00C32998"/>
    <w:rsid w:val="00C329A5"/>
    <w:rsid w:val="00C329F0"/>
    <w:rsid w:val="00C32BAD"/>
    <w:rsid w:val="00C32BDF"/>
    <w:rsid w:val="00C32CB9"/>
    <w:rsid w:val="00C32D2A"/>
    <w:rsid w:val="00C32D69"/>
    <w:rsid w:val="00C32E44"/>
    <w:rsid w:val="00C32E52"/>
    <w:rsid w:val="00C32ED1"/>
    <w:rsid w:val="00C3304D"/>
    <w:rsid w:val="00C33382"/>
    <w:rsid w:val="00C33388"/>
    <w:rsid w:val="00C333BF"/>
    <w:rsid w:val="00C3344D"/>
    <w:rsid w:val="00C33475"/>
    <w:rsid w:val="00C33559"/>
    <w:rsid w:val="00C335AF"/>
    <w:rsid w:val="00C335D9"/>
    <w:rsid w:val="00C335E0"/>
    <w:rsid w:val="00C336C8"/>
    <w:rsid w:val="00C336CD"/>
    <w:rsid w:val="00C336F0"/>
    <w:rsid w:val="00C33736"/>
    <w:rsid w:val="00C33771"/>
    <w:rsid w:val="00C33773"/>
    <w:rsid w:val="00C338A7"/>
    <w:rsid w:val="00C33A06"/>
    <w:rsid w:val="00C33A2F"/>
    <w:rsid w:val="00C33AD7"/>
    <w:rsid w:val="00C33B04"/>
    <w:rsid w:val="00C33B62"/>
    <w:rsid w:val="00C33C39"/>
    <w:rsid w:val="00C33C5A"/>
    <w:rsid w:val="00C33C7F"/>
    <w:rsid w:val="00C33CA0"/>
    <w:rsid w:val="00C33D77"/>
    <w:rsid w:val="00C33E10"/>
    <w:rsid w:val="00C33E92"/>
    <w:rsid w:val="00C33F20"/>
    <w:rsid w:val="00C33F4C"/>
    <w:rsid w:val="00C34028"/>
    <w:rsid w:val="00C34038"/>
    <w:rsid w:val="00C34198"/>
    <w:rsid w:val="00C3420A"/>
    <w:rsid w:val="00C342A0"/>
    <w:rsid w:val="00C343AC"/>
    <w:rsid w:val="00C34526"/>
    <w:rsid w:val="00C34535"/>
    <w:rsid w:val="00C34627"/>
    <w:rsid w:val="00C34649"/>
    <w:rsid w:val="00C3469D"/>
    <w:rsid w:val="00C346F4"/>
    <w:rsid w:val="00C347AF"/>
    <w:rsid w:val="00C347BA"/>
    <w:rsid w:val="00C3494C"/>
    <w:rsid w:val="00C34A01"/>
    <w:rsid w:val="00C34A26"/>
    <w:rsid w:val="00C34AD4"/>
    <w:rsid w:val="00C34AF9"/>
    <w:rsid w:val="00C34B66"/>
    <w:rsid w:val="00C34B99"/>
    <w:rsid w:val="00C34CD7"/>
    <w:rsid w:val="00C34CDA"/>
    <w:rsid w:val="00C34D91"/>
    <w:rsid w:val="00C34E4C"/>
    <w:rsid w:val="00C34F0F"/>
    <w:rsid w:val="00C34F17"/>
    <w:rsid w:val="00C34F47"/>
    <w:rsid w:val="00C34F51"/>
    <w:rsid w:val="00C350B3"/>
    <w:rsid w:val="00C35151"/>
    <w:rsid w:val="00C35154"/>
    <w:rsid w:val="00C35196"/>
    <w:rsid w:val="00C351D9"/>
    <w:rsid w:val="00C35274"/>
    <w:rsid w:val="00C3530C"/>
    <w:rsid w:val="00C35353"/>
    <w:rsid w:val="00C353BF"/>
    <w:rsid w:val="00C3547A"/>
    <w:rsid w:val="00C354B9"/>
    <w:rsid w:val="00C355C8"/>
    <w:rsid w:val="00C3564A"/>
    <w:rsid w:val="00C3564D"/>
    <w:rsid w:val="00C35713"/>
    <w:rsid w:val="00C3574D"/>
    <w:rsid w:val="00C357D2"/>
    <w:rsid w:val="00C357E4"/>
    <w:rsid w:val="00C35892"/>
    <w:rsid w:val="00C358C7"/>
    <w:rsid w:val="00C358EC"/>
    <w:rsid w:val="00C358FF"/>
    <w:rsid w:val="00C35907"/>
    <w:rsid w:val="00C359A3"/>
    <w:rsid w:val="00C35AA2"/>
    <w:rsid w:val="00C35B4C"/>
    <w:rsid w:val="00C35B76"/>
    <w:rsid w:val="00C35BC1"/>
    <w:rsid w:val="00C35BD4"/>
    <w:rsid w:val="00C35C3D"/>
    <w:rsid w:val="00C35C55"/>
    <w:rsid w:val="00C35D14"/>
    <w:rsid w:val="00C35D43"/>
    <w:rsid w:val="00C35D75"/>
    <w:rsid w:val="00C35E21"/>
    <w:rsid w:val="00C35E33"/>
    <w:rsid w:val="00C35E46"/>
    <w:rsid w:val="00C36060"/>
    <w:rsid w:val="00C360A3"/>
    <w:rsid w:val="00C3611D"/>
    <w:rsid w:val="00C361A0"/>
    <w:rsid w:val="00C36242"/>
    <w:rsid w:val="00C3625B"/>
    <w:rsid w:val="00C36267"/>
    <w:rsid w:val="00C36295"/>
    <w:rsid w:val="00C3636F"/>
    <w:rsid w:val="00C363AF"/>
    <w:rsid w:val="00C363C6"/>
    <w:rsid w:val="00C36404"/>
    <w:rsid w:val="00C36597"/>
    <w:rsid w:val="00C3662A"/>
    <w:rsid w:val="00C36675"/>
    <w:rsid w:val="00C366EB"/>
    <w:rsid w:val="00C368A2"/>
    <w:rsid w:val="00C369B9"/>
    <w:rsid w:val="00C369E8"/>
    <w:rsid w:val="00C369F6"/>
    <w:rsid w:val="00C36B08"/>
    <w:rsid w:val="00C36BAC"/>
    <w:rsid w:val="00C36BB3"/>
    <w:rsid w:val="00C36C05"/>
    <w:rsid w:val="00C36C65"/>
    <w:rsid w:val="00C36C96"/>
    <w:rsid w:val="00C36CE0"/>
    <w:rsid w:val="00C36D87"/>
    <w:rsid w:val="00C36DB3"/>
    <w:rsid w:val="00C36DE1"/>
    <w:rsid w:val="00C36E32"/>
    <w:rsid w:val="00C36E44"/>
    <w:rsid w:val="00C36F00"/>
    <w:rsid w:val="00C36F70"/>
    <w:rsid w:val="00C37034"/>
    <w:rsid w:val="00C37084"/>
    <w:rsid w:val="00C37100"/>
    <w:rsid w:val="00C37408"/>
    <w:rsid w:val="00C37452"/>
    <w:rsid w:val="00C3751C"/>
    <w:rsid w:val="00C37554"/>
    <w:rsid w:val="00C37599"/>
    <w:rsid w:val="00C3759A"/>
    <w:rsid w:val="00C375E8"/>
    <w:rsid w:val="00C37618"/>
    <w:rsid w:val="00C376D5"/>
    <w:rsid w:val="00C37766"/>
    <w:rsid w:val="00C3776E"/>
    <w:rsid w:val="00C37794"/>
    <w:rsid w:val="00C3785B"/>
    <w:rsid w:val="00C379FD"/>
    <w:rsid w:val="00C37ACD"/>
    <w:rsid w:val="00C37B03"/>
    <w:rsid w:val="00C37BFD"/>
    <w:rsid w:val="00C37CB9"/>
    <w:rsid w:val="00C37CC7"/>
    <w:rsid w:val="00C37D77"/>
    <w:rsid w:val="00C37E0C"/>
    <w:rsid w:val="00C37EDD"/>
    <w:rsid w:val="00C37F97"/>
    <w:rsid w:val="00C400BA"/>
    <w:rsid w:val="00C400E7"/>
    <w:rsid w:val="00C4010B"/>
    <w:rsid w:val="00C40327"/>
    <w:rsid w:val="00C4033A"/>
    <w:rsid w:val="00C403D5"/>
    <w:rsid w:val="00C404CA"/>
    <w:rsid w:val="00C4056C"/>
    <w:rsid w:val="00C4061A"/>
    <w:rsid w:val="00C40630"/>
    <w:rsid w:val="00C4076B"/>
    <w:rsid w:val="00C407DE"/>
    <w:rsid w:val="00C4087C"/>
    <w:rsid w:val="00C40891"/>
    <w:rsid w:val="00C40896"/>
    <w:rsid w:val="00C4093A"/>
    <w:rsid w:val="00C40A23"/>
    <w:rsid w:val="00C40B8B"/>
    <w:rsid w:val="00C40B9F"/>
    <w:rsid w:val="00C40C74"/>
    <w:rsid w:val="00C40CD1"/>
    <w:rsid w:val="00C40CE3"/>
    <w:rsid w:val="00C40CE5"/>
    <w:rsid w:val="00C40DC8"/>
    <w:rsid w:val="00C40DE3"/>
    <w:rsid w:val="00C40E08"/>
    <w:rsid w:val="00C40E3B"/>
    <w:rsid w:val="00C40E72"/>
    <w:rsid w:val="00C40E8F"/>
    <w:rsid w:val="00C40EBF"/>
    <w:rsid w:val="00C40F53"/>
    <w:rsid w:val="00C40F58"/>
    <w:rsid w:val="00C40FFF"/>
    <w:rsid w:val="00C41053"/>
    <w:rsid w:val="00C4114B"/>
    <w:rsid w:val="00C41198"/>
    <w:rsid w:val="00C41229"/>
    <w:rsid w:val="00C41327"/>
    <w:rsid w:val="00C413B3"/>
    <w:rsid w:val="00C41426"/>
    <w:rsid w:val="00C4146F"/>
    <w:rsid w:val="00C4147A"/>
    <w:rsid w:val="00C414A9"/>
    <w:rsid w:val="00C414D1"/>
    <w:rsid w:val="00C4153C"/>
    <w:rsid w:val="00C41596"/>
    <w:rsid w:val="00C415ED"/>
    <w:rsid w:val="00C41616"/>
    <w:rsid w:val="00C416E8"/>
    <w:rsid w:val="00C416EE"/>
    <w:rsid w:val="00C4182E"/>
    <w:rsid w:val="00C4183B"/>
    <w:rsid w:val="00C4195E"/>
    <w:rsid w:val="00C41B67"/>
    <w:rsid w:val="00C41BFB"/>
    <w:rsid w:val="00C41C3B"/>
    <w:rsid w:val="00C41CC4"/>
    <w:rsid w:val="00C41DB8"/>
    <w:rsid w:val="00C41E2A"/>
    <w:rsid w:val="00C41E3A"/>
    <w:rsid w:val="00C41F57"/>
    <w:rsid w:val="00C42124"/>
    <w:rsid w:val="00C42182"/>
    <w:rsid w:val="00C421B1"/>
    <w:rsid w:val="00C4223A"/>
    <w:rsid w:val="00C4226C"/>
    <w:rsid w:val="00C42288"/>
    <w:rsid w:val="00C42371"/>
    <w:rsid w:val="00C423B3"/>
    <w:rsid w:val="00C4241E"/>
    <w:rsid w:val="00C42464"/>
    <w:rsid w:val="00C42577"/>
    <w:rsid w:val="00C425FE"/>
    <w:rsid w:val="00C42755"/>
    <w:rsid w:val="00C4275C"/>
    <w:rsid w:val="00C427D0"/>
    <w:rsid w:val="00C428E0"/>
    <w:rsid w:val="00C42942"/>
    <w:rsid w:val="00C429F0"/>
    <w:rsid w:val="00C429F5"/>
    <w:rsid w:val="00C42BC5"/>
    <w:rsid w:val="00C42BD6"/>
    <w:rsid w:val="00C42BE6"/>
    <w:rsid w:val="00C42C64"/>
    <w:rsid w:val="00C42C9A"/>
    <w:rsid w:val="00C42CCC"/>
    <w:rsid w:val="00C42CE5"/>
    <w:rsid w:val="00C42D01"/>
    <w:rsid w:val="00C42D19"/>
    <w:rsid w:val="00C42D2D"/>
    <w:rsid w:val="00C42D31"/>
    <w:rsid w:val="00C42D86"/>
    <w:rsid w:val="00C42DA2"/>
    <w:rsid w:val="00C42E4F"/>
    <w:rsid w:val="00C42EDD"/>
    <w:rsid w:val="00C42FCC"/>
    <w:rsid w:val="00C43040"/>
    <w:rsid w:val="00C430F1"/>
    <w:rsid w:val="00C430F8"/>
    <w:rsid w:val="00C43142"/>
    <w:rsid w:val="00C431CB"/>
    <w:rsid w:val="00C43266"/>
    <w:rsid w:val="00C4326E"/>
    <w:rsid w:val="00C4326F"/>
    <w:rsid w:val="00C432BF"/>
    <w:rsid w:val="00C43308"/>
    <w:rsid w:val="00C433EE"/>
    <w:rsid w:val="00C434B2"/>
    <w:rsid w:val="00C4352D"/>
    <w:rsid w:val="00C435D7"/>
    <w:rsid w:val="00C4361C"/>
    <w:rsid w:val="00C436A2"/>
    <w:rsid w:val="00C43707"/>
    <w:rsid w:val="00C43793"/>
    <w:rsid w:val="00C437F3"/>
    <w:rsid w:val="00C438D6"/>
    <w:rsid w:val="00C4393B"/>
    <w:rsid w:val="00C43945"/>
    <w:rsid w:val="00C43973"/>
    <w:rsid w:val="00C43AA1"/>
    <w:rsid w:val="00C43AEF"/>
    <w:rsid w:val="00C43B1C"/>
    <w:rsid w:val="00C43B36"/>
    <w:rsid w:val="00C43C9A"/>
    <w:rsid w:val="00C43CDE"/>
    <w:rsid w:val="00C43DB4"/>
    <w:rsid w:val="00C43E4C"/>
    <w:rsid w:val="00C43F70"/>
    <w:rsid w:val="00C441DB"/>
    <w:rsid w:val="00C441FD"/>
    <w:rsid w:val="00C4425D"/>
    <w:rsid w:val="00C442B5"/>
    <w:rsid w:val="00C442F1"/>
    <w:rsid w:val="00C443E3"/>
    <w:rsid w:val="00C443F9"/>
    <w:rsid w:val="00C44497"/>
    <w:rsid w:val="00C444A1"/>
    <w:rsid w:val="00C444EB"/>
    <w:rsid w:val="00C4452F"/>
    <w:rsid w:val="00C44549"/>
    <w:rsid w:val="00C44592"/>
    <w:rsid w:val="00C44686"/>
    <w:rsid w:val="00C446A8"/>
    <w:rsid w:val="00C44729"/>
    <w:rsid w:val="00C447EC"/>
    <w:rsid w:val="00C4485B"/>
    <w:rsid w:val="00C449DA"/>
    <w:rsid w:val="00C449E2"/>
    <w:rsid w:val="00C44A76"/>
    <w:rsid w:val="00C44AE3"/>
    <w:rsid w:val="00C44BAF"/>
    <w:rsid w:val="00C44BE5"/>
    <w:rsid w:val="00C44CFD"/>
    <w:rsid w:val="00C44E86"/>
    <w:rsid w:val="00C44EAA"/>
    <w:rsid w:val="00C44EB5"/>
    <w:rsid w:val="00C44FCA"/>
    <w:rsid w:val="00C4503F"/>
    <w:rsid w:val="00C4504F"/>
    <w:rsid w:val="00C4506E"/>
    <w:rsid w:val="00C450FB"/>
    <w:rsid w:val="00C45132"/>
    <w:rsid w:val="00C45198"/>
    <w:rsid w:val="00C4524D"/>
    <w:rsid w:val="00C45283"/>
    <w:rsid w:val="00C452D4"/>
    <w:rsid w:val="00C45403"/>
    <w:rsid w:val="00C4543B"/>
    <w:rsid w:val="00C45440"/>
    <w:rsid w:val="00C454BC"/>
    <w:rsid w:val="00C454DA"/>
    <w:rsid w:val="00C454DE"/>
    <w:rsid w:val="00C45544"/>
    <w:rsid w:val="00C4557E"/>
    <w:rsid w:val="00C45655"/>
    <w:rsid w:val="00C4566A"/>
    <w:rsid w:val="00C456A3"/>
    <w:rsid w:val="00C456A4"/>
    <w:rsid w:val="00C4572D"/>
    <w:rsid w:val="00C45762"/>
    <w:rsid w:val="00C457AD"/>
    <w:rsid w:val="00C457AF"/>
    <w:rsid w:val="00C457F3"/>
    <w:rsid w:val="00C45836"/>
    <w:rsid w:val="00C4585E"/>
    <w:rsid w:val="00C45899"/>
    <w:rsid w:val="00C4593D"/>
    <w:rsid w:val="00C4595C"/>
    <w:rsid w:val="00C45A08"/>
    <w:rsid w:val="00C45AB5"/>
    <w:rsid w:val="00C45B2A"/>
    <w:rsid w:val="00C45B59"/>
    <w:rsid w:val="00C45B7A"/>
    <w:rsid w:val="00C45B93"/>
    <w:rsid w:val="00C45BB5"/>
    <w:rsid w:val="00C45BB9"/>
    <w:rsid w:val="00C45C39"/>
    <w:rsid w:val="00C45C4C"/>
    <w:rsid w:val="00C45CBA"/>
    <w:rsid w:val="00C45CBD"/>
    <w:rsid w:val="00C45D46"/>
    <w:rsid w:val="00C45E64"/>
    <w:rsid w:val="00C45EB3"/>
    <w:rsid w:val="00C45F39"/>
    <w:rsid w:val="00C45F89"/>
    <w:rsid w:val="00C45FC6"/>
    <w:rsid w:val="00C45FF1"/>
    <w:rsid w:val="00C45FFB"/>
    <w:rsid w:val="00C46153"/>
    <w:rsid w:val="00C46196"/>
    <w:rsid w:val="00C4625E"/>
    <w:rsid w:val="00C46261"/>
    <w:rsid w:val="00C4629F"/>
    <w:rsid w:val="00C462CF"/>
    <w:rsid w:val="00C462F1"/>
    <w:rsid w:val="00C4633A"/>
    <w:rsid w:val="00C4648C"/>
    <w:rsid w:val="00C464EB"/>
    <w:rsid w:val="00C46589"/>
    <w:rsid w:val="00C465EF"/>
    <w:rsid w:val="00C465F9"/>
    <w:rsid w:val="00C46614"/>
    <w:rsid w:val="00C466FC"/>
    <w:rsid w:val="00C467A8"/>
    <w:rsid w:val="00C4687B"/>
    <w:rsid w:val="00C46902"/>
    <w:rsid w:val="00C46909"/>
    <w:rsid w:val="00C469C9"/>
    <w:rsid w:val="00C46BCD"/>
    <w:rsid w:val="00C46BD2"/>
    <w:rsid w:val="00C46BFE"/>
    <w:rsid w:val="00C46C53"/>
    <w:rsid w:val="00C46C7D"/>
    <w:rsid w:val="00C46C95"/>
    <w:rsid w:val="00C46E19"/>
    <w:rsid w:val="00C46E2C"/>
    <w:rsid w:val="00C4707C"/>
    <w:rsid w:val="00C47155"/>
    <w:rsid w:val="00C471A7"/>
    <w:rsid w:val="00C47284"/>
    <w:rsid w:val="00C473E5"/>
    <w:rsid w:val="00C47484"/>
    <w:rsid w:val="00C474DB"/>
    <w:rsid w:val="00C47516"/>
    <w:rsid w:val="00C4753E"/>
    <w:rsid w:val="00C47581"/>
    <w:rsid w:val="00C4759E"/>
    <w:rsid w:val="00C475E4"/>
    <w:rsid w:val="00C475E5"/>
    <w:rsid w:val="00C476CC"/>
    <w:rsid w:val="00C476D7"/>
    <w:rsid w:val="00C47735"/>
    <w:rsid w:val="00C47758"/>
    <w:rsid w:val="00C477C7"/>
    <w:rsid w:val="00C47808"/>
    <w:rsid w:val="00C47823"/>
    <w:rsid w:val="00C479CB"/>
    <w:rsid w:val="00C479D8"/>
    <w:rsid w:val="00C479F0"/>
    <w:rsid w:val="00C47A48"/>
    <w:rsid w:val="00C47A7E"/>
    <w:rsid w:val="00C47A97"/>
    <w:rsid w:val="00C47AC9"/>
    <w:rsid w:val="00C47BDC"/>
    <w:rsid w:val="00C47C88"/>
    <w:rsid w:val="00C47DB5"/>
    <w:rsid w:val="00C47E26"/>
    <w:rsid w:val="00C500FD"/>
    <w:rsid w:val="00C50106"/>
    <w:rsid w:val="00C50121"/>
    <w:rsid w:val="00C50150"/>
    <w:rsid w:val="00C50265"/>
    <w:rsid w:val="00C502E7"/>
    <w:rsid w:val="00C503C8"/>
    <w:rsid w:val="00C50427"/>
    <w:rsid w:val="00C50428"/>
    <w:rsid w:val="00C5042B"/>
    <w:rsid w:val="00C50532"/>
    <w:rsid w:val="00C50546"/>
    <w:rsid w:val="00C5059D"/>
    <w:rsid w:val="00C505F2"/>
    <w:rsid w:val="00C50663"/>
    <w:rsid w:val="00C506B0"/>
    <w:rsid w:val="00C5081D"/>
    <w:rsid w:val="00C50884"/>
    <w:rsid w:val="00C508F4"/>
    <w:rsid w:val="00C50929"/>
    <w:rsid w:val="00C5099C"/>
    <w:rsid w:val="00C509FB"/>
    <w:rsid w:val="00C50A14"/>
    <w:rsid w:val="00C50C1A"/>
    <w:rsid w:val="00C50C2B"/>
    <w:rsid w:val="00C50CE5"/>
    <w:rsid w:val="00C50D95"/>
    <w:rsid w:val="00C50DD7"/>
    <w:rsid w:val="00C50DED"/>
    <w:rsid w:val="00C50EBF"/>
    <w:rsid w:val="00C50EC2"/>
    <w:rsid w:val="00C50FC0"/>
    <w:rsid w:val="00C51078"/>
    <w:rsid w:val="00C510EB"/>
    <w:rsid w:val="00C51105"/>
    <w:rsid w:val="00C5125C"/>
    <w:rsid w:val="00C5126A"/>
    <w:rsid w:val="00C51313"/>
    <w:rsid w:val="00C51370"/>
    <w:rsid w:val="00C51444"/>
    <w:rsid w:val="00C51455"/>
    <w:rsid w:val="00C51462"/>
    <w:rsid w:val="00C515C8"/>
    <w:rsid w:val="00C515DE"/>
    <w:rsid w:val="00C51764"/>
    <w:rsid w:val="00C517A3"/>
    <w:rsid w:val="00C517B2"/>
    <w:rsid w:val="00C51887"/>
    <w:rsid w:val="00C51923"/>
    <w:rsid w:val="00C51934"/>
    <w:rsid w:val="00C51948"/>
    <w:rsid w:val="00C51955"/>
    <w:rsid w:val="00C519CE"/>
    <w:rsid w:val="00C51A4A"/>
    <w:rsid w:val="00C51B6D"/>
    <w:rsid w:val="00C51B87"/>
    <w:rsid w:val="00C51BB6"/>
    <w:rsid w:val="00C51BBB"/>
    <w:rsid w:val="00C51CAC"/>
    <w:rsid w:val="00C51CEC"/>
    <w:rsid w:val="00C51D18"/>
    <w:rsid w:val="00C51D25"/>
    <w:rsid w:val="00C51DCB"/>
    <w:rsid w:val="00C51DD2"/>
    <w:rsid w:val="00C51DE3"/>
    <w:rsid w:val="00C51DF6"/>
    <w:rsid w:val="00C51E62"/>
    <w:rsid w:val="00C51E9C"/>
    <w:rsid w:val="00C51F91"/>
    <w:rsid w:val="00C51FA7"/>
    <w:rsid w:val="00C5201C"/>
    <w:rsid w:val="00C52052"/>
    <w:rsid w:val="00C52057"/>
    <w:rsid w:val="00C520A6"/>
    <w:rsid w:val="00C5219A"/>
    <w:rsid w:val="00C521BB"/>
    <w:rsid w:val="00C52207"/>
    <w:rsid w:val="00C52252"/>
    <w:rsid w:val="00C522D8"/>
    <w:rsid w:val="00C5248C"/>
    <w:rsid w:val="00C52533"/>
    <w:rsid w:val="00C52580"/>
    <w:rsid w:val="00C5264B"/>
    <w:rsid w:val="00C526C6"/>
    <w:rsid w:val="00C52734"/>
    <w:rsid w:val="00C527C1"/>
    <w:rsid w:val="00C527F2"/>
    <w:rsid w:val="00C5283F"/>
    <w:rsid w:val="00C52855"/>
    <w:rsid w:val="00C5285B"/>
    <w:rsid w:val="00C52923"/>
    <w:rsid w:val="00C52932"/>
    <w:rsid w:val="00C52935"/>
    <w:rsid w:val="00C52A8D"/>
    <w:rsid w:val="00C52AE2"/>
    <w:rsid w:val="00C52B00"/>
    <w:rsid w:val="00C52B3E"/>
    <w:rsid w:val="00C52B4F"/>
    <w:rsid w:val="00C52B78"/>
    <w:rsid w:val="00C52C20"/>
    <w:rsid w:val="00C52C40"/>
    <w:rsid w:val="00C52C5B"/>
    <w:rsid w:val="00C52CD9"/>
    <w:rsid w:val="00C52CEA"/>
    <w:rsid w:val="00C52DAD"/>
    <w:rsid w:val="00C52DCC"/>
    <w:rsid w:val="00C52E47"/>
    <w:rsid w:val="00C52E8F"/>
    <w:rsid w:val="00C52F82"/>
    <w:rsid w:val="00C52F8E"/>
    <w:rsid w:val="00C5302A"/>
    <w:rsid w:val="00C530EC"/>
    <w:rsid w:val="00C5330A"/>
    <w:rsid w:val="00C53490"/>
    <w:rsid w:val="00C534A4"/>
    <w:rsid w:val="00C534C8"/>
    <w:rsid w:val="00C53524"/>
    <w:rsid w:val="00C5356B"/>
    <w:rsid w:val="00C53639"/>
    <w:rsid w:val="00C53641"/>
    <w:rsid w:val="00C536B2"/>
    <w:rsid w:val="00C536D1"/>
    <w:rsid w:val="00C53886"/>
    <w:rsid w:val="00C53962"/>
    <w:rsid w:val="00C53965"/>
    <w:rsid w:val="00C539EF"/>
    <w:rsid w:val="00C53A01"/>
    <w:rsid w:val="00C53A48"/>
    <w:rsid w:val="00C53B07"/>
    <w:rsid w:val="00C53B7F"/>
    <w:rsid w:val="00C53C3B"/>
    <w:rsid w:val="00C53D01"/>
    <w:rsid w:val="00C53D0F"/>
    <w:rsid w:val="00C53D24"/>
    <w:rsid w:val="00C53D60"/>
    <w:rsid w:val="00C53DBA"/>
    <w:rsid w:val="00C53E91"/>
    <w:rsid w:val="00C53EB4"/>
    <w:rsid w:val="00C53FDB"/>
    <w:rsid w:val="00C5428B"/>
    <w:rsid w:val="00C5429B"/>
    <w:rsid w:val="00C54308"/>
    <w:rsid w:val="00C54330"/>
    <w:rsid w:val="00C54383"/>
    <w:rsid w:val="00C544DA"/>
    <w:rsid w:val="00C544DB"/>
    <w:rsid w:val="00C5458B"/>
    <w:rsid w:val="00C546AE"/>
    <w:rsid w:val="00C546B5"/>
    <w:rsid w:val="00C546EE"/>
    <w:rsid w:val="00C54787"/>
    <w:rsid w:val="00C5480B"/>
    <w:rsid w:val="00C548C0"/>
    <w:rsid w:val="00C548CD"/>
    <w:rsid w:val="00C548EF"/>
    <w:rsid w:val="00C5492B"/>
    <w:rsid w:val="00C549C0"/>
    <w:rsid w:val="00C549C5"/>
    <w:rsid w:val="00C549D5"/>
    <w:rsid w:val="00C54A00"/>
    <w:rsid w:val="00C54A0A"/>
    <w:rsid w:val="00C54A17"/>
    <w:rsid w:val="00C54A7B"/>
    <w:rsid w:val="00C54CA6"/>
    <w:rsid w:val="00C54D05"/>
    <w:rsid w:val="00C54D3D"/>
    <w:rsid w:val="00C54D80"/>
    <w:rsid w:val="00C54DD5"/>
    <w:rsid w:val="00C54DF6"/>
    <w:rsid w:val="00C54E37"/>
    <w:rsid w:val="00C550EC"/>
    <w:rsid w:val="00C552A4"/>
    <w:rsid w:val="00C553BF"/>
    <w:rsid w:val="00C5543A"/>
    <w:rsid w:val="00C55446"/>
    <w:rsid w:val="00C55470"/>
    <w:rsid w:val="00C55562"/>
    <w:rsid w:val="00C55687"/>
    <w:rsid w:val="00C5569F"/>
    <w:rsid w:val="00C556A2"/>
    <w:rsid w:val="00C556BB"/>
    <w:rsid w:val="00C556CB"/>
    <w:rsid w:val="00C5578A"/>
    <w:rsid w:val="00C557C3"/>
    <w:rsid w:val="00C5580A"/>
    <w:rsid w:val="00C55839"/>
    <w:rsid w:val="00C5584F"/>
    <w:rsid w:val="00C558B7"/>
    <w:rsid w:val="00C559A8"/>
    <w:rsid w:val="00C559AF"/>
    <w:rsid w:val="00C55AA7"/>
    <w:rsid w:val="00C55AAB"/>
    <w:rsid w:val="00C55B22"/>
    <w:rsid w:val="00C55C9A"/>
    <w:rsid w:val="00C55CC5"/>
    <w:rsid w:val="00C55CFE"/>
    <w:rsid w:val="00C55F82"/>
    <w:rsid w:val="00C5607E"/>
    <w:rsid w:val="00C560BD"/>
    <w:rsid w:val="00C560D8"/>
    <w:rsid w:val="00C561B3"/>
    <w:rsid w:val="00C561C1"/>
    <w:rsid w:val="00C56269"/>
    <w:rsid w:val="00C562D2"/>
    <w:rsid w:val="00C562F9"/>
    <w:rsid w:val="00C563D7"/>
    <w:rsid w:val="00C56447"/>
    <w:rsid w:val="00C564C3"/>
    <w:rsid w:val="00C564C7"/>
    <w:rsid w:val="00C5656C"/>
    <w:rsid w:val="00C565EC"/>
    <w:rsid w:val="00C56616"/>
    <w:rsid w:val="00C56766"/>
    <w:rsid w:val="00C56785"/>
    <w:rsid w:val="00C567D1"/>
    <w:rsid w:val="00C567E1"/>
    <w:rsid w:val="00C56897"/>
    <w:rsid w:val="00C568AE"/>
    <w:rsid w:val="00C568E9"/>
    <w:rsid w:val="00C568F9"/>
    <w:rsid w:val="00C56931"/>
    <w:rsid w:val="00C569AB"/>
    <w:rsid w:val="00C56A05"/>
    <w:rsid w:val="00C56A32"/>
    <w:rsid w:val="00C56AD8"/>
    <w:rsid w:val="00C56B66"/>
    <w:rsid w:val="00C56BB2"/>
    <w:rsid w:val="00C56BC2"/>
    <w:rsid w:val="00C56C28"/>
    <w:rsid w:val="00C56C73"/>
    <w:rsid w:val="00C56D62"/>
    <w:rsid w:val="00C56F26"/>
    <w:rsid w:val="00C56FB3"/>
    <w:rsid w:val="00C56FDF"/>
    <w:rsid w:val="00C56FF2"/>
    <w:rsid w:val="00C57035"/>
    <w:rsid w:val="00C57076"/>
    <w:rsid w:val="00C57099"/>
    <w:rsid w:val="00C57180"/>
    <w:rsid w:val="00C5725A"/>
    <w:rsid w:val="00C572A2"/>
    <w:rsid w:val="00C57329"/>
    <w:rsid w:val="00C573AB"/>
    <w:rsid w:val="00C573B6"/>
    <w:rsid w:val="00C573EE"/>
    <w:rsid w:val="00C5742F"/>
    <w:rsid w:val="00C5743C"/>
    <w:rsid w:val="00C5746A"/>
    <w:rsid w:val="00C57496"/>
    <w:rsid w:val="00C57506"/>
    <w:rsid w:val="00C57530"/>
    <w:rsid w:val="00C57585"/>
    <w:rsid w:val="00C575C0"/>
    <w:rsid w:val="00C575F6"/>
    <w:rsid w:val="00C57685"/>
    <w:rsid w:val="00C5769D"/>
    <w:rsid w:val="00C576AA"/>
    <w:rsid w:val="00C576EB"/>
    <w:rsid w:val="00C5774C"/>
    <w:rsid w:val="00C57752"/>
    <w:rsid w:val="00C577B8"/>
    <w:rsid w:val="00C577EB"/>
    <w:rsid w:val="00C5780B"/>
    <w:rsid w:val="00C5785C"/>
    <w:rsid w:val="00C578AF"/>
    <w:rsid w:val="00C578CE"/>
    <w:rsid w:val="00C5790D"/>
    <w:rsid w:val="00C57938"/>
    <w:rsid w:val="00C57939"/>
    <w:rsid w:val="00C57960"/>
    <w:rsid w:val="00C579D1"/>
    <w:rsid w:val="00C57A9E"/>
    <w:rsid w:val="00C57ACA"/>
    <w:rsid w:val="00C57B84"/>
    <w:rsid w:val="00C57CF7"/>
    <w:rsid w:val="00C57D08"/>
    <w:rsid w:val="00C57D1A"/>
    <w:rsid w:val="00C57D6D"/>
    <w:rsid w:val="00C57E4E"/>
    <w:rsid w:val="00C57E8A"/>
    <w:rsid w:val="00C57EC9"/>
    <w:rsid w:val="00C57F16"/>
    <w:rsid w:val="00C57F7D"/>
    <w:rsid w:val="00C57FAC"/>
    <w:rsid w:val="00C57FB9"/>
    <w:rsid w:val="00C60007"/>
    <w:rsid w:val="00C60045"/>
    <w:rsid w:val="00C6009D"/>
    <w:rsid w:val="00C600FF"/>
    <w:rsid w:val="00C601F9"/>
    <w:rsid w:val="00C601FE"/>
    <w:rsid w:val="00C6042E"/>
    <w:rsid w:val="00C604A9"/>
    <w:rsid w:val="00C6050B"/>
    <w:rsid w:val="00C605CC"/>
    <w:rsid w:val="00C60699"/>
    <w:rsid w:val="00C607EB"/>
    <w:rsid w:val="00C607F5"/>
    <w:rsid w:val="00C608A2"/>
    <w:rsid w:val="00C608FC"/>
    <w:rsid w:val="00C609AD"/>
    <w:rsid w:val="00C609E4"/>
    <w:rsid w:val="00C60A47"/>
    <w:rsid w:val="00C60B03"/>
    <w:rsid w:val="00C60B48"/>
    <w:rsid w:val="00C60B8B"/>
    <w:rsid w:val="00C60C6E"/>
    <w:rsid w:val="00C60DAD"/>
    <w:rsid w:val="00C60E20"/>
    <w:rsid w:val="00C60E2A"/>
    <w:rsid w:val="00C60E72"/>
    <w:rsid w:val="00C60F19"/>
    <w:rsid w:val="00C60FA3"/>
    <w:rsid w:val="00C61067"/>
    <w:rsid w:val="00C610A8"/>
    <w:rsid w:val="00C610CD"/>
    <w:rsid w:val="00C610EC"/>
    <w:rsid w:val="00C61112"/>
    <w:rsid w:val="00C6115F"/>
    <w:rsid w:val="00C61309"/>
    <w:rsid w:val="00C6157C"/>
    <w:rsid w:val="00C615A2"/>
    <w:rsid w:val="00C61612"/>
    <w:rsid w:val="00C61618"/>
    <w:rsid w:val="00C61728"/>
    <w:rsid w:val="00C61756"/>
    <w:rsid w:val="00C61829"/>
    <w:rsid w:val="00C6187C"/>
    <w:rsid w:val="00C6187E"/>
    <w:rsid w:val="00C618B8"/>
    <w:rsid w:val="00C61931"/>
    <w:rsid w:val="00C6195C"/>
    <w:rsid w:val="00C61995"/>
    <w:rsid w:val="00C61A8C"/>
    <w:rsid w:val="00C61B83"/>
    <w:rsid w:val="00C61C40"/>
    <w:rsid w:val="00C61C49"/>
    <w:rsid w:val="00C61C8F"/>
    <w:rsid w:val="00C61CC1"/>
    <w:rsid w:val="00C61CC2"/>
    <w:rsid w:val="00C61CF7"/>
    <w:rsid w:val="00C61D62"/>
    <w:rsid w:val="00C61D72"/>
    <w:rsid w:val="00C61FEB"/>
    <w:rsid w:val="00C62003"/>
    <w:rsid w:val="00C62058"/>
    <w:rsid w:val="00C620A0"/>
    <w:rsid w:val="00C62101"/>
    <w:rsid w:val="00C623C0"/>
    <w:rsid w:val="00C623CA"/>
    <w:rsid w:val="00C62440"/>
    <w:rsid w:val="00C6247A"/>
    <w:rsid w:val="00C6256A"/>
    <w:rsid w:val="00C6259D"/>
    <w:rsid w:val="00C625DA"/>
    <w:rsid w:val="00C62605"/>
    <w:rsid w:val="00C6269B"/>
    <w:rsid w:val="00C62713"/>
    <w:rsid w:val="00C62794"/>
    <w:rsid w:val="00C627EA"/>
    <w:rsid w:val="00C627FB"/>
    <w:rsid w:val="00C627FE"/>
    <w:rsid w:val="00C6280F"/>
    <w:rsid w:val="00C62971"/>
    <w:rsid w:val="00C62AEA"/>
    <w:rsid w:val="00C62BE4"/>
    <w:rsid w:val="00C62C4F"/>
    <w:rsid w:val="00C62C96"/>
    <w:rsid w:val="00C62CA9"/>
    <w:rsid w:val="00C62D3C"/>
    <w:rsid w:val="00C62D45"/>
    <w:rsid w:val="00C62D71"/>
    <w:rsid w:val="00C62DBF"/>
    <w:rsid w:val="00C62DD8"/>
    <w:rsid w:val="00C62E68"/>
    <w:rsid w:val="00C62F97"/>
    <w:rsid w:val="00C62FFE"/>
    <w:rsid w:val="00C63043"/>
    <w:rsid w:val="00C630E0"/>
    <w:rsid w:val="00C63146"/>
    <w:rsid w:val="00C6317D"/>
    <w:rsid w:val="00C631F3"/>
    <w:rsid w:val="00C631FE"/>
    <w:rsid w:val="00C63218"/>
    <w:rsid w:val="00C632CD"/>
    <w:rsid w:val="00C63334"/>
    <w:rsid w:val="00C633F1"/>
    <w:rsid w:val="00C63418"/>
    <w:rsid w:val="00C6346C"/>
    <w:rsid w:val="00C63504"/>
    <w:rsid w:val="00C63571"/>
    <w:rsid w:val="00C63581"/>
    <w:rsid w:val="00C6359F"/>
    <w:rsid w:val="00C635BC"/>
    <w:rsid w:val="00C6362C"/>
    <w:rsid w:val="00C63661"/>
    <w:rsid w:val="00C6369E"/>
    <w:rsid w:val="00C636DA"/>
    <w:rsid w:val="00C63758"/>
    <w:rsid w:val="00C63786"/>
    <w:rsid w:val="00C637D6"/>
    <w:rsid w:val="00C63815"/>
    <w:rsid w:val="00C63881"/>
    <w:rsid w:val="00C638BD"/>
    <w:rsid w:val="00C63925"/>
    <w:rsid w:val="00C63959"/>
    <w:rsid w:val="00C63998"/>
    <w:rsid w:val="00C6399E"/>
    <w:rsid w:val="00C639B0"/>
    <w:rsid w:val="00C639CA"/>
    <w:rsid w:val="00C63A16"/>
    <w:rsid w:val="00C63A28"/>
    <w:rsid w:val="00C63A45"/>
    <w:rsid w:val="00C63A4D"/>
    <w:rsid w:val="00C63A89"/>
    <w:rsid w:val="00C63B26"/>
    <w:rsid w:val="00C63B2B"/>
    <w:rsid w:val="00C63B93"/>
    <w:rsid w:val="00C63BAE"/>
    <w:rsid w:val="00C63BC4"/>
    <w:rsid w:val="00C63C54"/>
    <w:rsid w:val="00C63CB9"/>
    <w:rsid w:val="00C63D37"/>
    <w:rsid w:val="00C63D82"/>
    <w:rsid w:val="00C63E1F"/>
    <w:rsid w:val="00C63EA3"/>
    <w:rsid w:val="00C63EAF"/>
    <w:rsid w:val="00C63EC1"/>
    <w:rsid w:val="00C63FF0"/>
    <w:rsid w:val="00C64048"/>
    <w:rsid w:val="00C64277"/>
    <w:rsid w:val="00C64320"/>
    <w:rsid w:val="00C64329"/>
    <w:rsid w:val="00C6435D"/>
    <w:rsid w:val="00C6457E"/>
    <w:rsid w:val="00C645CE"/>
    <w:rsid w:val="00C645D7"/>
    <w:rsid w:val="00C645F6"/>
    <w:rsid w:val="00C64607"/>
    <w:rsid w:val="00C64642"/>
    <w:rsid w:val="00C646C7"/>
    <w:rsid w:val="00C64792"/>
    <w:rsid w:val="00C64797"/>
    <w:rsid w:val="00C6479E"/>
    <w:rsid w:val="00C647AD"/>
    <w:rsid w:val="00C64827"/>
    <w:rsid w:val="00C64851"/>
    <w:rsid w:val="00C6487F"/>
    <w:rsid w:val="00C648FB"/>
    <w:rsid w:val="00C64960"/>
    <w:rsid w:val="00C649E1"/>
    <w:rsid w:val="00C64A28"/>
    <w:rsid w:val="00C64A3E"/>
    <w:rsid w:val="00C64A5B"/>
    <w:rsid w:val="00C64A5E"/>
    <w:rsid w:val="00C64AA7"/>
    <w:rsid w:val="00C64AB6"/>
    <w:rsid w:val="00C64AF1"/>
    <w:rsid w:val="00C64B06"/>
    <w:rsid w:val="00C64B0C"/>
    <w:rsid w:val="00C64B29"/>
    <w:rsid w:val="00C64B61"/>
    <w:rsid w:val="00C64B63"/>
    <w:rsid w:val="00C64B7C"/>
    <w:rsid w:val="00C64BF8"/>
    <w:rsid w:val="00C64C72"/>
    <w:rsid w:val="00C64CA7"/>
    <w:rsid w:val="00C64CE2"/>
    <w:rsid w:val="00C64D1D"/>
    <w:rsid w:val="00C64F82"/>
    <w:rsid w:val="00C651A1"/>
    <w:rsid w:val="00C651C6"/>
    <w:rsid w:val="00C653D9"/>
    <w:rsid w:val="00C6553B"/>
    <w:rsid w:val="00C6562F"/>
    <w:rsid w:val="00C656B1"/>
    <w:rsid w:val="00C6574D"/>
    <w:rsid w:val="00C657A5"/>
    <w:rsid w:val="00C657F5"/>
    <w:rsid w:val="00C6588B"/>
    <w:rsid w:val="00C658BB"/>
    <w:rsid w:val="00C659E8"/>
    <w:rsid w:val="00C65A08"/>
    <w:rsid w:val="00C65A41"/>
    <w:rsid w:val="00C65A6D"/>
    <w:rsid w:val="00C65AE5"/>
    <w:rsid w:val="00C65BA6"/>
    <w:rsid w:val="00C65BB7"/>
    <w:rsid w:val="00C65C7F"/>
    <w:rsid w:val="00C65C93"/>
    <w:rsid w:val="00C65C9A"/>
    <w:rsid w:val="00C65D66"/>
    <w:rsid w:val="00C65DBA"/>
    <w:rsid w:val="00C65DD1"/>
    <w:rsid w:val="00C65DEE"/>
    <w:rsid w:val="00C65E5B"/>
    <w:rsid w:val="00C65EBC"/>
    <w:rsid w:val="00C65F0A"/>
    <w:rsid w:val="00C65F86"/>
    <w:rsid w:val="00C65FA8"/>
    <w:rsid w:val="00C6600E"/>
    <w:rsid w:val="00C6607A"/>
    <w:rsid w:val="00C66149"/>
    <w:rsid w:val="00C662C2"/>
    <w:rsid w:val="00C66369"/>
    <w:rsid w:val="00C663D7"/>
    <w:rsid w:val="00C66403"/>
    <w:rsid w:val="00C66486"/>
    <w:rsid w:val="00C665AC"/>
    <w:rsid w:val="00C665B0"/>
    <w:rsid w:val="00C665D3"/>
    <w:rsid w:val="00C665FF"/>
    <w:rsid w:val="00C66625"/>
    <w:rsid w:val="00C66651"/>
    <w:rsid w:val="00C66672"/>
    <w:rsid w:val="00C66682"/>
    <w:rsid w:val="00C6668B"/>
    <w:rsid w:val="00C66746"/>
    <w:rsid w:val="00C6675A"/>
    <w:rsid w:val="00C66786"/>
    <w:rsid w:val="00C667E0"/>
    <w:rsid w:val="00C667E7"/>
    <w:rsid w:val="00C6680B"/>
    <w:rsid w:val="00C668E6"/>
    <w:rsid w:val="00C669FE"/>
    <w:rsid w:val="00C66AA4"/>
    <w:rsid w:val="00C66D19"/>
    <w:rsid w:val="00C66D2E"/>
    <w:rsid w:val="00C66D32"/>
    <w:rsid w:val="00C66E22"/>
    <w:rsid w:val="00C66E47"/>
    <w:rsid w:val="00C66E84"/>
    <w:rsid w:val="00C66EA0"/>
    <w:rsid w:val="00C66EAF"/>
    <w:rsid w:val="00C67013"/>
    <w:rsid w:val="00C6709B"/>
    <w:rsid w:val="00C670D9"/>
    <w:rsid w:val="00C671E5"/>
    <w:rsid w:val="00C67346"/>
    <w:rsid w:val="00C6741D"/>
    <w:rsid w:val="00C674C7"/>
    <w:rsid w:val="00C674DE"/>
    <w:rsid w:val="00C67665"/>
    <w:rsid w:val="00C67705"/>
    <w:rsid w:val="00C67722"/>
    <w:rsid w:val="00C677E6"/>
    <w:rsid w:val="00C677E8"/>
    <w:rsid w:val="00C67873"/>
    <w:rsid w:val="00C67A9E"/>
    <w:rsid w:val="00C67B1B"/>
    <w:rsid w:val="00C67B3E"/>
    <w:rsid w:val="00C67C13"/>
    <w:rsid w:val="00C67C56"/>
    <w:rsid w:val="00C67C84"/>
    <w:rsid w:val="00C67EAB"/>
    <w:rsid w:val="00C67F96"/>
    <w:rsid w:val="00C67FA0"/>
    <w:rsid w:val="00C67FAE"/>
    <w:rsid w:val="00C70013"/>
    <w:rsid w:val="00C7004E"/>
    <w:rsid w:val="00C70127"/>
    <w:rsid w:val="00C70153"/>
    <w:rsid w:val="00C7016E"/>
    <w:rsid w:val="00C701AF"/>
    <w:rsid w:val="00C7020B"/>
    <w:rsid w:val="00C70271"/>
    <w:rsid w:val="00C7027B"/>
    <w:rsid w:val="00C702D1"/>
    <w:rsid w:val="00C70342"/>
    <w:rsid w:val="00C70431"/>
    <w:rsid w:val="00C70452"/>
    <w:rsid w:val="00C70478"/>
    <w:rsid w:val="00C704A0"/>
    <w:rsid w:val="00C70525"/>
    <w:rsid w:val="00C705DF"/>
    <w:rsid w:val="00C70610"/>
    <w:rsid w:val="00C7062C"/>
    <w:rsid w:val="00C70730"/>
    <w:rsid w:val="00C70852"/>
    <w:rsid w:val="00C708FE"/>
    <w:rsid w:val="00C70998"/>
    <w:rsid w:val="00C709AF"/>
    <w:rsid w:val="00C709CF"/>
    <w:rsid w:val="00C70A56"/>
    <w:rsid w:val="00C70AF7"/>
    <w:rsid w:val="00C70B12"/>
    <w:rsid w:val="00C70B17"/>
    <w:rsid w:val="00C70B35"/>
    <w:rsid w:val="00C70BD3"/>
    <w:rsid w:val="00C70C09"/>
    <w:rsid w:val="00C70C2D"/>
    <w:rsid w:val="00C70C96"/>
    <w:rsid w:val="00C70D97"/>
    <w:rsid w:val="00C70DB5"/>
    <w:rsid w:val="00C70E8F"/>
    <w:rsid w:val="00C70EC6"/>
    <w:rsid w:val="00C70EE5"/>
    <w:rsid w:val="00C70FA7"/>
    <w:rsid w:val="00C71000"/>
    <w:rsid w:val="00C710F3"/>
    <w:rsid w:val="00C71125"/>
    <w:rsid w:val="00C7120C"/>
    <w:rsid w:val="00C7121F"/>
    <w:rsid w:val="00C71226"/>
    <w:rsid w:val="00C71265"/>
    <w:rsid w:val="00C712AD"/>
    <w:rsid w:val="00C712D3"/>
    <w:rsid w:val="00C7130C"/>
    <w:rsid w:val="00C71327"/>
    <w:rsid w:val="00C71431"/>
    <w:rsid w:val="00C7145D"/>
    <w:rsid w:val="00C714F7"/>
    <w:rsid w:val="00C715B4"/>
    <w:rsid w:val="00C7168F"/>
    <w:rsid w:val="00C716D1"/>
    <w:rsid w:val="00C716EF"/>
    <w:rsid w:val="00C7179E"/>
    <w:rsid w:val="00C717B3"/>
    <w:rsid w:val="00C7181C"/>
    <w:rsid w:val="00C7186C"/>
    <w:rsid w:val="00C7191E"/>
    <w:rsid w:val="00C719AF"/>
    <w:rsid w:val="00C71B3A"/>
    <w:rsid w:val="00C71D2B"/>
    <w:rsid w:val="00C71E3E"/>
    <w:rsid w:val="00C71E4B"/>
    <w:rsid w:val="00C71EDD"/>
    <w:rsid w:val="00C71EFA"/>
    <w:rsid w:val="00C71FC5"/>
    <w:rsid w:val="00C71FC9"/>
    <w:rsid w:val="00C72027"/>
    <w:rsid w:val="00C72064"/>
    <w:rsid w:val="00C72074"/>
    <w:rsid w:val="00C7214E"/>
    <w:rsid w:val="00C72320"/>
    <w:rsid w:val="00C72340"/>
    <w:rsid w:val="00C72355"/>
    <w:rsid w:val="00C723A9"/>
    <w:rsid w:val="00C723D8"/>
    <w:rsid w:val="00C723DE"/>
    <w:rsid w:val="00C7248D"/>
    <w:rsid w:val="00C724EA"/>
    <w:rsid w:val="00C72502"/>
    <w:rsid w:val="00C7254E"/>
    <w:rsid w:val="00C725A2"/>
    <w:rsid w:val="00C7265A"/>
    <w:rsid w:val="00C726C9"/>
    <w:rsid w:val="00C7278D"/>
    <w:rsid w:val="00C727CD"/>
    <w:rsid w:val="00C728B9"/>
    <w:rsid w:val="00C72917"/>
    <w:rsid w:val="00C72941"/>
    <w:rsid w:val="00C7294B"/>
    <w:rsid w:val="00C729A2"/>
    <w:rsid w:val="00C729C1"/>
    <w:rsid w:val="00C72B6D"/>
    <w:rsid w:val="00C72BFF"/>
    <w:rsid w:val="00C72C15"/>
    <w:rsid w:val="00C72C30"/>
    <w:rsid w:val="00C72C4F"/>
    <w:rsid w:val="00C72CBD"/>
    <w:rsid w:val="00C72D07"/>
    <w:rsid w:val="00C72D15"/>
    <w:rsid w:val="00C72D34"/>
    <w:rsid w:val="00C72DCF"/>
    <w:rsid w:val="00C72E00"/>
    <w:rsid w:val="00C72E02"/>
    <w:rsid w:val="00C72E9D"/>
    <w:rsid w:val="00C72EEC"/>
    <w:rsid w:val="00C72FA0"/>
    <w:rsid w:val="00C730C7"/>
    <w:rsid w:val="00C730ED"/>
    <w:rsid w:val="00C731C7"/>
    <w:rsid w:val="00C731DD"/>
    <w:rsid w:val="00C73237"/>
    <w:rsid w:val="00C732A7"/>
    <w:rsid w:val="00C73309"/>
    <w:rsid w:val="00C7330D"/>
    <w:rsid w:val="00C733BB"/>
    <w:rsid w:val="00C73509"/>
    <w:rsid w:val="00C735D5"/>
    <w:rsid w:val="00C7360B"/>
    <w:rsid w:val="00C73658"/>
    <w:rsid w:val="00C737FD"/>
    <w:rsid w:val="00C738CB"/>
    <w:rsid w:val="00C7390E"/>
    <w:rsid w:val="00C739AC"/>
    <w:rsid w:val="00C739DC"/>
    <w:rsid w:val="00C73A3B"/>
    <w:rsid w:val="00C73BB4"/>
    <w:rsid w:val="00C73C04"/>
    <w:rsid w:val="00C73CA2"/>
    <w:rsid w:val="00C73D3A"/>
    <w:rsid w:val="00C73D50"/>
    <w:rsid w:val="00C73D6D"/>
    <w:rsid w:val="00C73D96"/>
    <w:rsid w:val="00C73E0F"/>
    <w:rsid w:val="00C73E1E"/>
    <w:rsid w:val="00C73E26"/>
    <w:rsid w:val="00C73E93"/>
    <w:rsid w:val="00C73F2C"/>
    <w:rsid w:val="00C73F62"/>
    <w:rsid w:val="00C740C1"/>
    <w:rsid w:val="00C74180"/>
    <w:rsid w:val="00C74251"/>
    <w:rsid w:val="00C742CD"/>
    <w:rsid w:val="00C74383"/>
    <w:rsid w:val="00C743D7"/>
    <w:rsid w:val="00C744A9"/>
    <w:rsid w:val="00C74592"/>
    <w:rsid w:val="00C746A8"/>
    <w:rsid w:val="00C746FD"/>
    <w:rsid w:val="00C74712"/>
    <w:rsid w:val="00C74812"/>
    <w:rsid w:val="00C74887"/>
    <w:rsid w:val="00C748F7"/>
    <w:rsid w:val="00C74910"/>
    <w:rsid w:val="00C749E7"/>
    <w:rsid w:val="00C74A1F"/>
    <w:rsid w:val="00C74A20"/>
    <w:rsid w:val="00C74A5D"/>
    <w:rsid w:val="00C74A84"/>
    <w:rsid w:val="00C74B3E"/>
    <w:rsid w:val="00C74B49"/>
    <w:rsid w:val="00C74B87"/>
    <w:rsid w:val="00C74BDC"/>
    <w:rsid w:val="00C74C5F"/>
    <w:rsid w:val="00C74C97"/>
    <w:rsid w:val="00C74CA1"/>
    <w:rsid w:val="00C74D00"/>
    <w:rsid w:val="00C74D36"/>
    <w:rsid w:val="00C74D3A"/>
    <w:rsid w:val="00C74D87"/>
    <w:rsid w:val="00C74D93"/>
    <w:rsid w:val="00C74E1E"/>
    <w:rsid w:val="00C74EC8"/>
    <w:rsid w:val="00C74EFC"/>
    <w:rsid w:val="00C75040"/>
    <w:rsid w:val="00C75071"/>
    <w:rsid w:val="00C75115"/>
    <w:rsid w:val="00C75236"/>
    <w:rsid w:val="00C75246"/>
    <w:rsid w:val="00C75298"/>
    <w:rsid w:val="00C7533F"/>
    <w:rsid w:val="00C75509"/>
    <w:rsid w:val="00C75551"/>
    <w:rsid w:val="00C75564"/>
    <w:rsid w:val="00C7560B"/>
    <w:rsid w:val="00C75652"/>
    <w:rsid w:val="00C757F6"/>
    <w:rsid w:val="00C7582B"/>
    <w:rsid w:val="00C75854"/>
    <w:rsid w:val="00C75862"/>
    <w:rsid w:val="00C75883"/>
    <w:rsid w:val="00C758B2"/>
    <w:rsid w:val="00C758E2"/>
    <w:rsid w:val="00C75A60"/>
    <w:rsid w:val="00C75AF9"/>
    <w:rsid w:val="00C75B32"/>
    <w:rsid w:val="00C75B47"/>
    <w:rsid w:val="00C75B54"/>
    <w:rsid w:val="00C75BFD"/>
    <w:rsid w:val="00C75CB4"/>
    <w:rsid w:val="00C75D28"/>
    <w:rsid w:val="00C75D5A"/>
    <w:rsid w:val="00C75DA9"/>
    <w:rsid w:val="00C75DDC"/>
    <w:rsid w:val="00C75E28"/>
    <w:rsid w:val="00C75E70"/>
    <w:rsid w:val="00C75EE7"/>
    <w:rsid w:val="00C75F31"/>
    <w:rsid w:val="00C75F51"/>
    <w:rsid w:val="00C75F58"/>
    <w:rsid w:val="00C76033"/>
    <w:rsid w:val="00C76064"/>
    <w:rsid w:val="00C760C1"/>
    <w:rsid w:val="00C760D8"/>
    <w:rsid w:val="00C7614E"/>
    <w:rsid w:val="00C76198"/>
    <w:rsid w:val="00C761D4"/>
    <w:rsid w:val="00C7622F"/>
    <w:rsid w:val="00C76361"/>
    <w:rsid w:val="00C76382"/>
    <w:rsid w:val="00C763D7"/>
    <w:rsid w:val="00C76519"/>
    <w:rsid w:val="00C7665F"/>
    <w:rsid w:val="00C76670"/>
    <w:rsid w:val="00C766D0"/>
    <w:rsid w:val="00C767A0"/>
    <w:rsid w:val="00C767DA"/>
    <w:rsid w:val="00C76804"/>
    <w:rsid w:val="00C7689C"/>
    <w:rsid w:val="00C7691F"/>
    <w:rsid w:val="00C76957"/>
    <w:rsid w:val="00C769A0"/>
    <w:rsid w:val="00C769F1"/>
    <w:rsid w:val="00C76A8F"/>
    <w:rsid w:val="00C76AA9"/>
    <w:rsid w:val="00C76AC1"/>
    <w:rsid w:val="00C76B3B"/>
    <w:rsid w:val="00C76B80"/>
    <w:rsid w:val="00C76BC3"/>
    <w:rsid w:val="00C76BF0"/>
    <w:rsid w:val="00C76C65"/>
    <w:rsid w:val="00C76C89"/>
    <w:rsid w:val="00C76D27"/>
    <w:rsid w:val="00C76D28"/>
    <w:rsid w:val="00C76D68"/>
    <w:rsid w:val="00C76DCE"/>
    <w:rsid w:val="00C76DFC"/>
    <w:rsid w:val="00C76ECF"/>
    <w:rsid w:val="00C76F7E"/>
    <w:rsid w:val="00C76FCF"/>
    <w:rsid w:val="00C770F6"/>
    <w:rsid w:val="00C770FD"/>
    <w:rsid w:val="00C77205"/>
    <w:rsid w:val="00C7721B"/>
    <w:rsid w:val="00C772BE"/>
    <w:rsid w:val="00C7739F"/>
    <w:rsid w:val="00C773A2"/>
    <w:rsid w:val="00C77408"/>
    <w:rsid w:val="00C77480"/>
    <w:rsid w:val="00C774C6"/>
    <w:rsid w:val="00C774F1"/>
    <w:rsid w:val="00C77516"/>
    <w:rsid w:val="00C775FF"/>
    <w:rsid w:val="00C776AE"/>
    <w:rsid w:val="00C7775D"/>
    <w:rsid w:val="00C7777D"/>
    <w:rsid w:val="00C7783B"/>
    <w:rsid w:val="00C779FB"/>
    <w:rsid w:val="00C77A13"/>
    <w:rsid w:val="00C77A2F"/>
    <w:rsid w:val="00C77A82"/>
    <w:rsid w:val="00C77ADA"/>
    <w:rsid w:val="00C77C20"/>
    <w:rsid w:val="00C77CF8"/>
    <w:rsid w:val="00C77D20"/>
    <w:rsid w:val="00C77D4A"/>
    <w:rsid w:val="00C77E0A"/>
    <w:rsid w:val="00C77E18"/>
    <w:rsid w:val="00C77E28"/>
    <w:rsid w:val="00C77E49"/>
    <w:rsid w:val="00C77EFE"/>
    <w:rsid w:val="00C77F38"/>
    <w:rsid w:val="00C77FAD"/>
    <w:rsid w:val="00C77FB7"/>
    <w:rsid w:val="00C800BA"/>
    <w:rsid w:val="00C801AC"/>
    <w:rsid w:val="00C802F1"/>
    <w:rsid w:val="00C8036B"/>
    <w:rsid w:val="00C804A6"/>
    <w:rsid w:val="00C80533"/>
    <w:rsid w:val="00C80551"/>
    <w:rsid w:val="00C8066D"/>
    <w:rsid w:val="00C8068C"/>
    <w:rsid w:val="00C8074F"/>
    <w:rsid w:val="00C80771"/>
    <w:rsid w:val="00C80897"/>
    <w:rsid w:val="00C80925"/>
    <w:rsid w:val="00C80965"/>
    <w:rsid w:val="00C8097A"/>
    <w:rsid w:val="00C809D2"/>
    <w:rsid w:val="00C80A11"/>
    <w:rsid w:val="00C80AA8"/>
    <w:rsid w:val="00C80BCA"/>
    <w:rsid w:val="00C80C4B"/>
    <w:rsid w:val="00C80D23"/>
    <w:rsid w:val="00C80DDB"/>
    <w:rsid w:val="00C80EFE"/>
    <w:rsid w:val="00C80F67"/>
    <w:rsid w:val="00C80F8C"/>
    <w:rsid w:val="00C80F9A"/>
    <w:rsid w:val="00C80FBE"/>
    <w:rsid w:val="00C810FC"/>
    <w:rsid w:val="00C8114C"/>
    <w:rsid w:val="00C811F2"/>
    <w:rsid w:val="00C81272"/>
    <w:rsid w:val="00C8127F"/>
    <w:rsid w:val="00C81296"/>
    <w:rsid w:val="00C812A6"/>
    <w:rsid w:val="00C8132E"/>
    <w:rsid w:val="00C813B7"/>
    <w:rsid w:val="00C813BB"/>
    <w:rsid w:val="00C81507"/>
    <w:rsid w:val="00C81525"/>
    <w:rsid w:val="00C8154A"/>
    <w:rsid w:val="00C8157A"/>
    <w:rsid w:val="00C8157B"/>
    <w:rsid w:val="00C8158D"/>
    <w:rsid w:val="00C815B2"/>
    <w:rsid w:val="00C815B8"/>
    <w:rsid w:val="00C81637"/>
    <w:rsid w:val="00C8173C"/>
    <w:rsid w:val="00C817AD"/>
    <w:rsid w:val="00C817B9"/>
    <w:rsid w:val="00C817FA"/>
    <w:rsid w:val="00C81846"/>
    <w:rsid w:val="00C819FD"/>
    <w:rsid w:val="00C81A3C"/>
    <w:rsid w:val="00C81B11"/>
    <w:rsid w:val="00C81B4D"/>
    <w:rsid w:val="00C81B56"/>
    <w:rsid w:val="00C81B57"/>
    <w:rsid w:val="00C81B9C"/>
    <w:rsid w:val="00C81BC6"/>
    <w:rsid w:val="00C81C05"/>
    <w:rsid w:val="00C81C7F"/>
    <w:rsid w:val="00C81CA4"/>
    <w:rsid w:val="00C81D29"/>
    <w:rsid w:val="00C81DB7"/>
    <w:rsid w:val="00C81DD6"/>
    <w:rsid w:val="00C81DE7"/>
    <w:rsid w:val="00C81E07"/>
    <w:rsid w:val="00C81E48"/>
    <w:rsid w:val="00C81EEF"/>
    <w:rsid w:val="00C81F2E"/>
    <w:rsid w:val="00C81FC8"/>
    <w:rsid w:val="00C8203B"/>
    <w:rsid w:val="00C82066"/>
    <w:rsid w:val="00C82143"/>
    <w:rsid w:val="00C8216E"/>
    <w:rsid w:val="00C8225B"/>
    <w:rsid w:val="00C8236E"/>
    <w:rsid w:val="00C82510"/>
    <w:rsid w:val="00C82541"/>
    <w:rsid w:val="00C8256E"/>
    <w:rsid w:val="00C82583"/>
    <w:rsid w:val="00C82588"/>
    <w:rsid w:val="00C8258E"/>
    <w:rsid w:val="00C82603"/>
    <w:rsid w:val="00C8262D"/>
    <w:rsid w:val="00C82659"/>
    <w:rsid w:val="00C826B5"/>
    <w:rsid w:val="00C82769"/>
    <w:rsid w:val="00C827E5"/>
    <w:rsid w:val="00C82833"/>
    <w:rsid w:val="00C82844"/>
    <w:rsid w:val="00C8285A"/>
    <w:rsid w:val="00C82915"/>
    <w:rsid w:val="00C829E5"/>
    <w:rsid w:val="00C82A28"/>
    <w:rsid w:val="00C82ABB"/>
    <w:rsid w:val="00C82AD0"/>
    <w:rsid w:val="00C82BE7"/>
    <w:rsid w:val="00C82C6C"/>
    <w:rsid w:val="00C82D1A"/>
    <w:rsid w:val="00C82DD6"/>
    <w:rsid w:val="00C82F5F"/>
    <w:rsid w:val="00C82F6A"/>
    <w:rsid w:val="00C82FA7"/>
    <w:rsid w:val="00C82FD7"/>
    <w:rsid w:val="00C8301C"/>
    <w:rsid w:val="00C83050"/>
    <w:rsid w:val="00C830DC"/>
    <w:rsid w:val="00C831A2"/>
    <w:rsid w:val="00C831A3"/>
    <w:rsid w:val="00C831ED"/>
    <w:rsid w:val="00C83330"/>
    <w:rsid w:val="00C83352"/>
    <w:rsid w:val="00C8335E"/>
    <w:rsid w:val="00C833A7"/>
    <w:rsid w:val="00C8345F"/>
    <w:rsid w:val="00C834B4"/>
    <w:rsid w:val="00C83561"/>
    <w:rsid w:val="00C83569"/>
    <w:rsid w:val="00C8358E"/>
    <w:rsid w:val="00C835E1"/>
    <w:rsid w:val="00C835F7"/>
    <w:rsid w:val="00C83672"/>
    <w:rsid w:val="00C837FD"/>
    <w:rsid w:val="00C83854"/>
    <w:rsid w:val="00C838A7"/>
    <w:rsid w:val="00C838D8"/>
    <w:rsid w:val="00C83999"/>
    <w:rsid w:val="00C839A1"/>
    <w:rsid w:val="00C83A61"/>
    <w:rsid w:val="00C83B5B"/>
    <w:rsid w:val="00C83BAF"/>
    <w:rsid w:val="00C83C67"/>
    <w:rsid w:val="00C83C81"/>
    <w:rsid w:val="00C83CDA"/>
    <w:rsid w:val="00C83DE5"/>
    <w:rsid w:val="00C83E22"/>
    <w:rsid w:val="00C83F45"/>
    <w:rsid w:val="00C83FC1"/>
    <w:rsid w:val="00C83FC9"/>
    <w:rsid w:val="00C840A9"/>
    <w:rsid w:val="00C84149"/>
    <w:rsid w:val="00C841CF"/>
    <w:rsid w:val="00C8432D"/>
    <w:rsid w:val="00C84406"/>
    <w:rsid w:val="00C84524"/>
    <w:rsid w:val="00C84600"/>
    <w:rsid w:val="00C8466B"/>
    <w:rsid w:val="00C84691"/>
    <w:rsid w:val="00C84AF2"/>
    <w:rsid w:val="00C84B50"/>
    <w:rsid w:val="00C84B69"/>
    <w:rsid w:val="00C84BBE"/>
    <w:rsid w:val="00C84BCB"/>
    <w:rsid w:val="00C84C14"/>
    <w:rsid w:val="00C84C4A"/>
    <w:rsid w:val="00C84C74"/>
    <w:rsid w:val="00C84CE7"/>
    <w:rsid w:val="00C84CF6"/>
    <w:rsid w:val="00C84D33"/>
    <w:rsid w:val="00C84D38"/>
    <w:rsid w:val="00C84D74"/>
    <w:rsid w:val="00C84D90"/>
    <w:rsid w:val="00C84EAC"/>
    <w:rsid w:val="00C84ED2"/>
    <w:rsid w:val="00C84EE9"/>
    <w:rsid w:val="00C84F40"/>
    <w:rsid w:val="00C84F66"/>
    <w:rsid w:val="00C850BC"/>
    <w:rsid w:val="00C8511D"/>
    <w:rsid w:val="00C85132"/>
    <w:rsid w:val="00C85157"/>
    <w:rsid w:val="00C85352"/>
    <w:rsid w:val="00C853E0"/>
    <w:rsid w:val="00C853E7"/>
    <w:rsid w:val="00C85409"/>
    <w:rsid w:val="00C854EC"/>
    <w:rsid w:val="00C8557C"/>
    <w:rsid w:val="00C855EE"/>
    <w:rsid w:val="00C85603"/>
    <w:rsid w:val="00C85789"/>
    <w:rsid w:val="00C8581D"/>
    <w:rsid w:val="00C85889"/>
    <w:rsid w:val="00C85906"/>
    <w:rsid w:val="00C85959"/>
    <w:rsid w:val="00C85997"/>
    <w:rsid w:val="00C859B9"/>
    <w:rsid w:val="00C859D7"/>
    <w:rsid w:val="00C85A83"/>
    <w:rsid w:val="00C85B18"/>
    <w:rsid w:val="00C85B35"/>
    <w:rsid w:val="00C85B87"/>
    <w:rsid w:val="00C85BC4"/>
    <w:rsid w:val="00C85BDE"/>
    <w:rsid w:val="00C85C7E"/>
    <w:rsid w:val="00C85CC9"/>
    <w:rsid w:val="00C85D16"/>
    <w:rsid w:val="00C85D4E"/>
    <w:rsid w:val="00C85E9D"/>
    <w:rsid w:val="00C85F29"/>
    <w:rsid w:val="00C85FA9"/>
    <w:rsid w:val="00C85FD6"/>
    <w:rsid w:val="00C85FFA"/>
    <w:rsid w:val="00C85FFF"/>
    <w:rsid w:val="00C8609E"/>
    <w:rsid w:val="00C860C5"/>
    <w:rsid w:val="00C8610B"/>
    <w:rsid w:val="00C86154"/>
    <w:rsid w:val="00C861BC"/>
    <w:rsid w:val="00C86323"/>
    <w:rsid w:val="00C8639F"/>
    <w:rsid w:val="00C863D8"/>
    <w:rsid w:val="00C86442"/>
    <w:rsid w:val="00C8668D"/>
    <w:rsid w:val="00C8668E"/>
    <w:rsid w:val="00C866BC"/>
    <w:rsid w:val="00C8685C"/>
    <w:rsid w:val="00C8689C"/>
    <w:rsid w:val="00C868C3"/>
    <w:rsid w:val="00C869A6"/>
    <w:rsid w:val="00C869A7"/>
    <w:rsid w:val="00C86A1F"/>
    <w:rsid w:val="00C86A29"/>
    <w:rsid w:val="00C86A30"/>
    <w:rsid w:val="00C86A60"/>
    <w:rsid w:val="00C86AD7"/>
    <w:rsid w:val="00C86AD8"/>
    <w:rsid w:val="00C86B63"/>
    <w:rsid w:val="00C86B90"/>
    <w:rsid w:val="00C86B9E"/>
    <w:rsid w:val="00C86C3D"/>
    <w:rsid w:val="00C86C42"/>
    <w:rsid w:val="00C86C64"/>
    <w:rsid w:val="00C86C70"/>
    <w:rsid w:val="00C86CFA"/>
    <w:rsid w:val="00C86D0B"/>
    <w:rsid w:val="00C86D96"/>
    <w:rsid w:val="00C86E8F"/>
    <w:rsid w:val="00C86EA8"/>
    <w:rsid w:val="00C86F4B"/>
    <w:rsid w:val="00C87037"/>
    <w:rsid w:val="00C87042"/>
    <w:rsid w:val="00C87078"/>
    <w:rsid w:val="00C870AA"/>
    <w:rsid w:val="00C870C6"/>
    <w:rsid w:val="00C87110"/>
    <w:rsid w:val="00C8713C"/>
    <w:rsid w:val="00C8713D"/>
    <w:rsid w:val="00C871A6"/>
    <w:rsid w:val="00C871E9"/>
    <w:rsid w:val="00C87203"/>
    <w:rsid w:val="00C87209"/>
    <w:rsid w:val="00C87377"/>
    <w:rsid w:val="00C8737D"/>
    <w:rsid w:val="00C8739A"/>
    <w:rsid w:val="00C873FC"/>
    <w:rsid w:val="00C875D2"/>
    <w:rsid w:val="00C87686"/>
    <w:rsid w:val="00C877E9"/>
    <w:rsid w:val="00C8781C"/>
    <w:rsid w:val="00C87854"/>
    <w:rsid w:val="00C878F2"/>
    <w:rsid w:val="00C87931"/>
    <w:rsid w:val="00C87957"/>
    <w:rsid w:val="00C87A24"/>
    <w:rsid w:val="00C87A5F"/>
    <w:rsid w:val="00C87AA9"/>
    <w:rsid w:val="00C87B8F"/>
    <w:rsid w:val="00C87B9D"/>
    <w:rsid w:val="00C87BAC"/>
    <w:rsid w:val="00C87C0C"/>
    <w:rsid w:val="00C87C0F"/>
    <w:rsid w:val="00C87C1F"/>
    <w:rsid w:val="00C87C3A"/>
    <w:rsid w:val="00C87C7D"/>
    <w:rsid w:val="00C87D24"/>
    <w:rsid w:val="00C87D6F"/>
    <w:rsid w:val="00C87DEC"/>
    <w:rsid w:val="00C87E56"/>
    <w:rsid w:val="00C87E61"/>
    <w:rsid w:val="00C87ECB"/>
    <w:rsid w:val="00C87EE4"/>
    <w:rsid w:val="00C87F35"/>
    <w:rsid w:val="00C87F61"/>
    <w:rsid w:val="00C90003"/>
    <w:rsid w:val="00C90054"/>
    <w:rsid w:val="00C90064"/>
    <w:rsid w:val="00C90074"/>
    <w:rsid w:val="00C900D8"/>
    <w:rsid w:val="00C900E9"/>
    <w:rsid w:val="00C90144"/>
    <w:rsid w:val="00C90175"/>
    <w:rsid w:val="00C90227"/>
    <w:rsid w:val="00C9033F"/>
    <w:rsid w:val="00C90391"/>
    <w:rsid w:val="00C903E1"/>
    <w:rsid w:val="00C90417"/>
    <w:rsid w:val="00C90455"/>
    <w:rsid w:val="00C904FD"/>
    <w:rsid w:val="00C90580"/>
    <w:rsid w:val="00C905DD"/>
    <w:rsid w:val="00C90684"/>
    <w:rsid w:val="00C906C2"/>
    <w:rsid w:val="00C906CF"/>
    <w:rsid w:val="00C90771"/>
    <w:rsid w:val="00C907AC"/>
    <w:rsid w:val="00C90900"/>
    <w:rsid w:val="00C9091F"/>
    <w:rsid w:val="00C90A8B"/>
    <w:rsid w:val="00C90AE1"/>
    <w:rsid w:val="00C90AE8"/>
    <w:rsid w:val="00C90B91"/>
    <w:rsid w:val="00C90C16"/>
    <w:rsid w:val="00C90CE3"/>
    <w:rsid w:val="00C90D3A"/>
    <w:rsid w:val="00C90DEA"/>
    <w:rsid w:val="00C90E11"/>
    <w:rsid w:val="00C90F45"/>
    <w:rsid w:val="00C90F8B"/>
    <w:rsid w:val="00C911FA"/>
    <w:rsid w:val="00C91228"/>
    <w:rsid w:val="00C91352"/>
    <w:rsid w:val="00C91389"/>
    <w:rsid w:val="00C91515"/>
    <w:rsid w:val="00C91596"/>
    <w:rsid w:val="00C915B8"/>
    <w:rsid w:val="00C91664"/>
    <w:rsid w:val="00C916B0"/>
    <w:rsid w:val="00C916CA"/>
    <w:rsid w:val="00C91742"/>
    <w:rsid w:val="00C918E1"/>
    <w:rsid w:val="00C91954"/>
    <w:rsid w:val="00C9196C"/>
    <w:rsid w:val="00C919B9"/>
    <w:rsid w:val="00C919E1"/>
    <w:rsid w:val="00C91B37"/>
    <w:rsid w:val="00C91B49"/>
    <w:rsid w:val="00C91BF7"/>
    <w:rsid w:val="00C91C26"/>
    <w:rsid w:val="00C91C4B"/>
    <w:rsid w:val="00C91CC2"/>
    <w:rsid w:val="00C91D63"/>
    <w:rsid w:val="00C91D73"/>
    <w:rsid w:val="00C91E6C"/>
    <w:rsid w:val="00C91EF4"/>
    <w:rsid w:val="00C91F12"/>
    <w:rsid w:val="00C91F15"/>
    <w:rsid w:val="00C91FB6"/>
    <w:rsid w:val="00C91FCE"/>
    <w:rsid w:val="00C91FEB"/>
    <w:rsid w:val="00C92068"/>
    <w:rsid w:val="00C921A2"/>
    <w:rsid w:val="00C921C7"/>
    <w:rsid w:val="00C92210"/>
    <w:rsid w:val="00C92267"/>
    <w:rsid w:val="00C9231E"/>
    <w:rsid w:val="00C92328"/>
    <w:rsid w:val="00C92335"/>
    <w:rsid w:val="00C9242D"/>
    <w:rsid w:val="00C92451"/>
    <w:rsid w:val="00C924D1"/>
    <w:rsid w:val="00C9252C"/>
    <w:rsid w:val="00C9254D"/>
    <w:rsid w:val="00C92570"/>
    <w:rsid w:val="00C925A7"/>
    <w:rsid w:val="00C92668"/>
    <w:rsid w:val="00C92676"/>
    <w:rsid w:val="00C9273D"/>
    <w:rsid w:val="00C927AF"/>
    <w:rsid w:val="00C92812"/>
    <w:rsid w:val="00C9283C"/>
    <w:rsid w:val="00C92921"/>
    <w:rsid w:val="00C929B4"/>
    <w:rsid w:val="00C929E8"/>
    <w:rsid w:val="00C92A9A"/>
    <w:rsid w:val="00C92ADC"/>
    <w:rsid w:val="00C92B20"/>
    <w:rsid w:val="00C92BEC"/>
    <w:rsid w:val="00C92D84"/>
    <w:rsid w:val="00C92E22"/>
    <w:rsid w:val="00C92E58"/>
    <w:rsid w:val="00C92F1F"/>
    <w:rsid w:val="00C92F49"/>
    <w:rsid w:val="00C93024"/>
    <w:rsid w:val="00C93101"/>
    <w:rsid w:val="00C93147"/>
    <w:rsid w:val="00C931F0"/>
    <w:rsid w:val="00C9320D"/>
    <w:rsid w:val="00C93338"/>
    <w:rsid w:val="00C93399"/>
    <w:rsid w:val="00C93444"/>
    <w:rsid w:val="00C9346F"/>
    <w:rsid w:val="00C9349D"/>
    <w:rsid w:val="00C934CF"/>
    <w:rsid w:val="00C934E3"/>
    <w:rsid w:val="00C934FF"/>
    <w:rsid w:val="00C9353C"/>
    <w:rsid w:val="00C93540"/>
    <w:rsid w:val="00C935EA"/>
    <w:rsid w:val="00C935F1"/>
    <w:rsid w:val="00C9365F"/>
    <w:rsid w:val="00C93691"/>
    <w:rsid w:val="00C936FE"/>
    <w:rsid w:val="00C93814"/>
    <w:rsid w:val="00C93890"/>
    <w:rsid w:val="00C938B8"/>
    <w:rsid w:val="00C9390D"/>
    <w:rsid w:val="00C939EC"/>
    <w:rsid w:val="00C93A03"/>
    <w:rsid w:val="00C93A3A"/>
    <w:rsid w:val="00C93A97"/>
    <w:rsid w:val="00C93AE3"/>
    <w:rsid w:val="00C93AF4"/>
    <w:rsid w:val="00C93B61"/>
    <w:rsid w:val="00C93BDA"/>
    <w:rsid w:val="00C93C03"/>
    <w:rsid w:val="00C93C55"/>
    <w:rsid w:val="00C93EE5"/>
    <w:rsid w:val="00C94053"/>
    <w:rsid w:val="00C9405F"/>
    <w:rsid w:val="00C94084"/>
    <w:rsid w:val="00C940C8"/>
    <w:rsid w:val="00C941A5"/>
    <w:rsid w:val="00C94283"/>
    <w:rsid w:val="00C94397"/>
    <w:rsid w:val="00C943B0"/>
    <w:rsid w:val="00C9446F"/>
    <w:rsid w:val="00C9449C"/>
    <w:rsid w:val="00C944B2"/>
    <w:rsid w:val="00C944B3"/>
    <w:rsid w:val="00C9451D"/>
    <w:rsid w:val="00C94597"/>
    <w:rsid w:val="00C945F8"/>
    <w:rsid w:val="00C94606"/>
    <w:rsid w:val="00C9469B"/>
    <w:rsid w:val="00C946BE"/>
    <w:rsid w:val="00C946DC"/>
    <w:rsid w:val="00C947C1"/>
    <w:rsid w:val="00C94886"/>
    <w:rsid w:val="00C948F3"/>
    <w:rsid w:val="00C94A67"/>
    <w:rsid w:val="00C94BEA"/>
    <w:rsid w:val="00C94C26"/>
    <w:rsid w:val="00C94D56"/>
    <w:rsid w:val="00C94D5B"/>
    <w:rsid w:val="00C94DB4"/>
    <w:rsid w:val="00C94E5C"/>
    <w:rsid w:val="00C94E5E"/>
    <w:rsid w:val="00C94EBC"/>
    <w:rsid w:val="00C94F19"/>
    <w:rsid w:val="00C94F56"/>
    <w:rsid w:val="00C94F8C"/>
    <w:rsid w:val="00C95016"/>
    <w:rsid w:val="00C95043"/>
    <w:rsid w:val="00C95085"/>
    <w:rsid w:val="00C9509E"/>
    <w:rsid w:val="00C95151"/>
    <w:rsid w:val="00C9527F"/>
    <w:rsid w:val="00C952B7"/>
    <w:rsid w:val="00C952F3"/>
    <w:rsid w:val="00C95348"/>
    <w:rsid w:val="00C95462"/>
    <w:rsid w:val="00C95479"/>
    <w:rsid w:val="00C955C0"/>
    <w:rsid w:val="00C955EF"/>
    <w:rsid w:val="00C95653"/>
    <w:rsid w:val="00C956B5"/>
    <w:rsid w:val="00C956CD"/>
    <w:rsid w:val="00C956FB"/>
    <w:rsid w:val="00C9585D"/>
    <w:rsid w:val="00C9586E"/>
    <w:rsid w:val="00C95870"/>
    <w:rsid w:val="00C958E3"/>
    <w:rsid w:val="00C95904"/>
    <w:rsid w:val="00C95955"/>
    <w:rsid w:val="00C959CD"/>
    <w:rsid w:val="00C95A2C"/>
    <w:rsid w:val="00C95B1C"/>
    <w:rsid w:val="00C95B36"/>
    <w:rsid w:val="00C95C3F"/>
    <w:rsid w:val="00C95CAA"/>
    <w:rsid w:val="00C95CB5"/>
    <w:rsid w:val="00C95CDA"/>
    <w:rsid w:val="00C95D64"/>
    <w:rsid w:val="00C95DAB"/>
    <w:rsid w:val="00C95EB2"/>
    <w:rsid w:val="00C95EEE"/>
    <w:rsid w:val="00C95EEF"/>
    <w:rsid w:val="00C95F25"/>
    <w:rsid w:val="00C95F64"/>
    <w:rsid w:val="00C95F86"/>
    <w:rsid w:val="00C9606E"/>
    <w:rsid w:val="00C96084"/>
    <w:rsid w:val="00C96179"/>
    <w:rsid w:val="00C961AF"/>
    <w:rsid w:val="00C961B9"/>
    <w:rsid w:val="00C962D8"/>
    <w:rsid w:val="00C96364"/>
    <w:rsid w:val="00C963F1"/>
    <w:rsid w:val="00C963FF"/>
    <w:rsid w:val="00C964C5"/>
    <w:rsid w:val="00C964CA"/>
    <w:rsid w:val="00C96608"/>
    <w:rsid w:val="00C96630"/>
    <w:rsid w:val="00C96647"/>
    <w:rsid w:val="00C966DF"/>
    <w:rsid w:val="00C9679E"/>
    <w:rsid w:val="00C967F3"/>
    <w:rsid w:val="00C9681A"/>
    <w:rsid w:val="00C96961"/>
    <w:rsid w:val="00C969F9"/>
    <w:rsid w:val="00C96A58"/>
    <w:rsid w:val="00C96A7B"/>
    <w:rsid w:val="00C96B4A"/>
    <w:rsid w:val="00C96BC2"/>
    <w:rsid w:val="00C96BF8"/>
    <w:rsid w:val="00C96C15"/>
    <w:rsid w:val="00C96C30"/>
    <w:rsid w:val="00C96DB2"/>
    <w:rsid w:val="00C96E6B"/>
    <w:rsid w:val="00C96E88"/>
    <w:rsid w:val="00C96E8D"/>
    <w:rsid w:val="00C96EBC"/>
    <w:rsid w:val="00C96EFD"/>
    <w:rsid w:val="00C96F52"/>
    <w:rsid w:val="00C96FAF"/>
    <w:rsid w:val="00C96FD3"/>
    <w:rsid w:val="00C9702F"/>
    <w:rsid w:val="00C9712B"/>
    <w:rsid w:val="00C97137"/>
    <w:rsid w:val="00C9716E"/>
    <w:rsid w:val="00C9720B"/>
    <w:rsid w:val="00C972A0"/>
    <w:rsid w:val="00C972AA"/>
    <w:rsid w:val="00C972BD"/>
    <w:rsid w:val="00C972E5"/>
    <w:rsid w:val="00C973CD"/>
    <w:rsid w:val="00C97460"/>
    <w:rsid w:val="00C9747F"/>
    <w:rsid w:val="00C97506"/>
    <w:rsid w:val="00C9765E"/>
    <w:rsid w:val="00C977A0"/>
    <w:rsid w:val="00C97835"/>
    <w:rsid w:val="00C9785F"/>
    <w:rsid w:val="00C978FF"/>
    <w:rsid w:val="00C979B1"/>
    <w:rsid w:val="00C97A01"/>
    <w:rsid w:val="00C97AB2"/>
    <w:rsid w:val="00C97AB6"/>
    <w:rsid w:val="00C97B17"/>
    <w:rsid w:val="00C97B83"/>
    <w:rsid w:val="00C97D61"/>
    <w:rsid w:val="00C97DE6"/>
    <w:rsid w:val="00C97E71"/>
    <w:rsid w:val="00CA004B"/>
    <w:rsid w:val="00CA004F"/>
    <w:rsid w:val="00CA0087"/>
    <w:rsid w:val="00CA0093"/>
    <w:rsid w:val="00CA00A7"/>
    <w:rsid w:val="00CA019C"/>
    <w:rsid w:val="00CA01C3"/>
    <w:rsid w:val="00CA0251"/>
    <w:rsid w:val="00CA02BB"/>
    <w:rsid w:val="00CA0383"/>
    <w:rsid w:val="00CA03B3"/>
    <w:rsid w:val="00CA040A"/>
    <w:rsid w:val="00CA0609"/>
    <w:rsid w:val="00CA0681"/>
    <w:rsid w:val="00CA06D4"/>
    <w:rsid w:val="00CA06F6"/>
    <w:rsid w:val="00CA078C"/>
    <w:rsid w:val="00CA08C0"/>
    <w:rsid w:val="00CA099B"/>
    <w:rsid w:val="00CA0AAC"/>
    <w:rsid w:val="00CA0C29"/>
    <w:rsid w:val="00CA0C66"/>
    <w:rsid w:val="00CA0D21"/>
    <w:rsid w:val="00CA0DD6"/>
    <w:rsid w:val="00CA0E40"/>
    <w:rsid w:val="00CA1060"/>
    <w:rsid w:val="00CA1217"/>
    <w:rsid w:val="00CA1221"/>
    <w:rsid w:val="00CA1264"/>
    <w:rsid w:val="00CA12C9"/>
    <w:rsid w:val="00CA13F5"/>
    <w:rsid w:val="00CA142D"/>
    <w:rsid w:val="00CA149F"/>
    <w:rsid w:val="00CA172F"/>
    <w:rsid w:val="00CA1740"/>
    <w:rsid w:val="00CA1866"/>
    <w:rsid w:val="00CA18E3"/>
    <w:rsid w:val="00CA1916"/>
    <w:rsid w:val="00CA1981"/>
    <w:rsid w:val="00CA1994"/>
    <w:rsid w:val="00CA1A94"/>
    <w:rsid w:val="00CA1BFC"/>
    <w:rsid w:val="00CA1D0D"/>
    <w:rsid w:val="00CA1D82"/>
    <w:rsid w:val="00CA1E1C"/>
    <w:rsid w:val="00CA1E1F"/>
    <w:rsid w:val="00CA1E4F"/>
    <w:rsid w:val="00CA1E73"/>
    <w:rsid w:val="00CA1F36"/>
    <w:rsid w:val="00CA1F9F"/>
    <w:rsid w:val="00CA2096"/>
    <w:rsid w:val="00CA20DF"/>
    <w:rsid w:val="00CA227F"/>
    <w:rsid w:val="00CA22B9"/>
    <w:rsid w:val="00CA237E"/>
    <w:rsid w:val="00CA23C7"/>
    <w:rsid w:val="00CA2401"/>
    <w:rsid w:val="00CA2469"/>
    <w:rsid w:val="00CA2489"/>
    <w:rsid w:val="00CA25AB"/>
    <w:rsid w:val="00CA2644"/>
    <w:rsid w:val="00CA26F6"/>
    <w:rsid w:val="00CA27FB"/>
    <w:rsid w:val="00CA281D"/>
    <w:rsid w:val="00CA29BF"/>
    <w:rsid w:val="00CA2A3F"/>
    <w:rsid w:val="00CA2AE1"/>
    <w:rsid w:val="00CA2B12"/>
    <w:rsid w:val="00CA2B29"/>
    <w:rsid w:val="00CA2B51"/>
    <w:rsid w:val="00CA2B56"/>
    <w:rsid w:val="00CA2BCE"/>
    <w:rsid w:val="00CA2C17"/>
    <w:rsid w:val="00CA2C41"/>
    <w:rsid w:val="00CA2C6A"/>
    <w:rsid w:val="00CA2C9A"/>
    <w:rsid w:val="00CA2D0F"/>
    <w:rsid w:val="00CA2D34"/>
    <w:rsid w:val="00CA2D53"/>
    <w:rsid w:val="00CA2DF4"/>
    <w:rsid w:val="00CA2EA3"/>
    <w:rsid w:val="00CA2F12"/>
    <w:rsid w:val="00CA2F81"/>
    <w:rsid w:val="00CA300A"/>
    <w:rsid w:val="00CA307A"/>
    <w:rsid w:val="00CA3084"/>
    <w:rsid w:val="00CA30E5"/>
    <w:rsid w:val="00CA315D"/>
    <w:rsid w:val="00CA3265"/>
    <w:rsid w:val="00CA3307"/>
    <w:rsid w:val="00CA3342"/>
    <w:rsid w:val="00CA33E5"/>
    <w:rsid w:val="00CA342D"/>
    <w:rsid w:val="00CA3494"/>
    <w:rsid w:val="00CA3533"/>
    <w:rsid w:val="00CA353E"/>
    <w:rsid w:val="00CA35B9"/>
    <w:rsid w:val="00CA35D9"/>
    <w:rsid w:val="00CA36B2"/>
    <w:rsid w:val="00CA36CC"/>
    <w:rsid w:val="00CA3849"/>
    <w:rsid w:val="00CA38A4"/>
    <w:rsid w:val="00CA38B9"/>
    <w:rsid w:val="00CA395D"/>
    <w:rsid w:val="00CA39F0"/>
    <w:rsid w:val="00CA3A69"/>
    <w:rsid w:val="00CA3A82"/>
    <w:rsid w:val="00CA3B4A"/>
    <w:rsid w:val="00CA3B63"/>
    <w:rsid w:val="00CA3DB2"/>
    <w:rsid w:val="00CA3E7C"/>
    <w:rsid w:val="00CA3EA0"/>
    <w:rsid w:val="00CA3EA3"/>
    <w:rsid w:val="00CA3FA6"/>
    <w:rsid w:val="00CA405B"/>
    <w:rsid w:val="00CA40C6"/>
    <w:rsid w:val="00CA40EC"/>
    <w:rsid w:val="00CA41CD"/>
    <w:rsid w:val="00CA41ED"/>
    <w:rsid w:val="00CA4269"/>
    <w:rsid w:val="00CA4274"/>
    <w:rsid w:val="00CA4366"/>
    <w:rsid w:val="00CA43BE"/>
    <w:rsid w:val="00CA4438"/>
    <w:rsid w:val="00CA443C"/>
    <w:rsid w:val="00CA44B2"/>
    <w:rsid w:val="00CA44C5"/>
    <w:rsid w:val="00CA44CE"/>
    <w:rsid w:val="00CA4503"/>
    <w:rsid w:val="00CA45BE"/>
    <w:rsid w:val="00CA4664"/>
    <w:rsid w:val="00CA4685"/>
    <w:rsid w:val="00CA4697"/>
    <w:rsid w:val="00CA46AB"/>
    <w:rsid w:val="00CA47A5"/>
    <w:rsid w:val="00CA496C"/>
    <w:rsid w:val="00CA497D"/>
    <w:rsid w:val="00CA4A1B"/>
    <w:rsid w:val="00CA4A7E"/>
    <w:rsid w:val="00CA4ABE"/>
    <w:rsid w:val="00CA4B19"/>
    <w:rsid w:val="00CA4BD5"/>
    <w:rsid w:val="00CA4C2B"/>
    <w:rsid w:val="00CA4C92"/>
    <w:rsid w:val="00CA4CA6"/>
    <w:rsid w:val="00CA4D28"/>
    <w:rsid w:val="00CA4E18"/>
    <w:rsid w:val="00CA4E91"/>
    <w:rsid w:val="00CA4E94"/>
    <w:rsid w:val="00CA4EA3"/>
    <w:rsid w:val="00CA4EB9"/>
    <w:rsid w:val="00CA50EE"/>
    <w:rsid w:val="00CA52C4"/>
    <w:rsid w:val="00CA52D6"/>
    <w:rsid w:val="00CA52E0"/>
    <w:rsid w:val="00CA5318"/>
    <w:rsid w:val="00CA532F"/>
    <w:rsid w:val="00CA534A"/>
    <w:rsid w:val="00CA53FB"/>
    <w:rsid w:val="00CA5463"/>
    <w:rsid w:val="00CA54B8"/>
    <w:rsid w:val="00CA5513"/>
    <w:rsid w:val="00CA5565"/>
    <w:rsid w:val="00CA5586"/>
    <w:rsid w:val="00CA558A"/>
    <w:rsid w:val="00CA55FB"/>
    <w:rsid w:val="00CA57C4"/>
    <w:rsid w:val="00CA57EB"/>
    <w:rsid w:val="00CA588A"/>
    <w:rsid w:val="00CA58A7"/>
    <w:rsid w:val="00CA58AB"/>
    <w:rsid w:val="00CA58C3"/>
    <w:rsid w:val="00CA58F2"/>
    <w:rsid w:val="00CA5924"/>
    <w:rsid w:val="00CA59D9"/>
    <w:rsid w:val="00CA59F0"/>
    <w:rsid w:val="00CA5A1C"/>
    <w:rsid w:val="00CA5A3B"/>
    <w:rsid w:val="00CA5B84"/>
    <w:rsid w:val="00CA5B9C"/>
    <w:rsid w:val="00CA5C7D"/>
    <w:rsid w:val="00CA5D20"/>
    <w:rsid w:val="00CA5D3B"/>
    <w:rsid w:val="00CA5E46"/>
    <w:rsid w:val="00CA5E59"/>
    <w:rsid w:val="00CA5E69"/>
    <w:rsid w:val="00CA5EA6"/>
    <w:rsid w:val="00CA5EFF"/>
    <w:rsid w:val="00CA5F21"/>
    <w:rsid w:val="00CA6020"/>
    <w:rsid w:val="00CA6081"/>
    <w:rsid w:val="00CA60C1"/>
    <w:rsid w:val="00CA6101"/>
    <w:rsid w:val="00CA6149"/>
    <w:rsid w:val="00CA616B"/>
    <w:rsid w:val="00CA617B"/>
    <w:rsid w:val="00CA61D7"/>
    <w:rsid w:val="00CA6204"/>
    <w:rsid w:val="00CA6224"/>
    <w:rsid w:val="00CA6254"/>
    <w:rsid w:val="00CA627B"/>
    <w:rsid w:val="00CA62BB"/>
    <w:rsid w:val="00CA62D2"/>
    <w:rsid w:val="00CA6349"/>
    <w:rsid w:val="00CA6510"/>
    <w:rsid w:val="00CA654E"/>
    <w:rsid w:val="00CA65D1"/>
    <w:rsid w:val="00CA6764"/>
    <w:rsid w:val="00CA67D4"/>
    <w:rsid w:val="00CA6873"/>
    <w:rsid w:val="00CA68D3"/>
    <w:rsid w:val="00CA68DC"/>
    <w:rsid w:val="00CA6944"/>
    <w:rsid w:val="00CA69AA"/>
    <w:rsid w:val="00CA69B4"/>
    <w:rsid w:val="00CA6B84"/>
    <w:rsid w:val="00CA6CEB"/>
    <w:rsid w:val="00CA6CFE"/>
    <w:rsid w:val="00CA6D17"/>
    <w:rsid w:val="00CA6D3E"/>
    <w:rsid w:val="00CA6DA7"/>
    <w:rsid w:val="00CA6E19"/>
    <w:rsid w:val="00CA6E65"/>
    <w:rsid w:val="00CA6EF1"/>
    <w:rsid w:val="00CA6F30"/>
    <w:rsid w:val="00CA6F60"/>
    <w:rsid w:val="00CA6FED"/>
    <w:rsid w:val="00CA712A"/>
    <w:rsid w:val="00CA712F"/>
    <w:rsid w:val="00CA716D"/>
    <w:rsid w:val="00CA7212"/>
    <w:rsid w:val="00CA726A"/>
    <w:rsid w:val="00CA72DE"/>
    <w:rsid w:val="00CA7320"/>
    <w:rsid w:val="00CA733E"/>
    <w:rsid w:val="00CA734A"/>
    <w:rsid w:val="00CA7407"/>
    <w:rsid w:val="00CA7477"/>
    <w:rsid w:val="00CA75F6"/>
    <w:rsid w:val="00CA761B"/>
    <w:rsid w:val="00CA7664"/>
    <w:rsid w:val="00CA76FF"/>
    <w:rsid w:val="00CA7728"/>
    <w:rsid w:val="00CA77E0"/>
    <w:rsid w:val="00CA77E4"/>
    <w:rsid w:val="00CA77E8"/>
    <w:rsid w:val="00CA780E"/>
    <w:rsid w:val="00CA78BB"/>
    <w:rsid w:val="00CA7911"/>
    <w:rsid w:val="00CA7991"/>
    <w:rsid w:val="00CA79CE"/>
    <w:rsid w:val="00CA7AB6"/>
    <w:rsid w:val="00CA7BBE"/>
    <w:rsid w:val="00CA7C01"/>
    <w:rsid w:val="00CA7C15"/>
    <w:rsid w:val="00CA7C5E"/>
    <w:rsid w:val="00CA7D25"/>
    <w:rsid w:val="00CA7D3E"/>
    <w:rsid w:val="00CA7DCA"/>
    <w:rsid w:val="00CA7DED"/>
    <w:rsid w:val="00CA7E18"/>
    <w:rsid w:val="00CA7EFE"/>
    <w:rsid w:val="00CA7F77"/>
    <w:rsid w:val="00CA7FCA"/>
    <w:rsid w:val="00CB0024"/>
    <w:rsid w:val="00CB0090"/>
    <w:rsid w:val="00CB014D"/>
    <w:rsid w:val="00CB027E"/>
    <w:rsid w:val="00CB028A"/>
    <w:rsid w:val="00CB02A0"/>
    <w:rsid w:val="00CB02B7"/>
    <w:rsid w:val="00CB03C4"/>
    <w:rsid w:val="00CB03DF"/>
    <w:rsid w:val="00CB042B"/>
    <w:rsid w:val="00CB0551"/>
    <w:rsid w:val="00CB05DC"/>
    <w:rsid w:val="00CB0622"/>
    <w:rsid w:val="00CB0710"/>
    <w:rsid w:val="00CB072A"/>
    <w:rsid w:val="00CB08B9"/>
    <w:rsid w:val="00CB08CA"/>
    <w:rsid w:val="00CB08CC"/>
    <w:rsid w:val="00CB0928"/>
    <w:rsid w:val="00CB0946"/>
    <w:rsid w:val="00CB0987"/>
    <w:rsid w:val="00CB0A04"/>
    <w:rsid w:val="00CB0A5A"/>
    <w:rsid w:val="00CB0AB2"/>
    <w:rsid w:val="00CB0B79"/>
    <w:rsid w:val="00CB0BA8"/>
    <w:rsid w:val="00CB0CC8"/>
    <w:rsid w:val="00CB0D31"/>
    <w:rsid w:val="00CB0D33"/>
    <w:rsid w:val="00CB0DD4"/>
    <w:rsid w:val="00CB0DE3"/>
    <w:rsid w:val="00CB0E10"/>
    <w:rsid w:val="00CB0EBC"/>
    <w:rsid w:val="00CB0EF8"/>
    <w:rsid w:val="00CB0F01"/>
    <w:rsid w:val="00CB0F66"/>
    <w:rsid w:val="00CB0F6F"/>
    <w:rsid w:val="00CB101E"/>
    <w:rsid w:val="00CB1083"/>
    <w:rsid w:val="00CB10CA"/>
    <w:rsid w:val="00CB10EC"/>
    <w:rsid w:val="00CB1115"/>
    <w:rsid w:val="00CB11E6"/>
    <w:rsid w:val="00CB11FA"/>
    <w:rsid w:val="00CB125B"/>
    <w:rsid w:val="00CB1289"/>
    <w:rsid w:val="00CB1312"/>
    <w:rsid w:val="00CB1384"/>
    <w:rsid w:val="00CB13B3"/>
    <w:rsid w:val="00CB140D"/>
    <w:rsid w:val="00CB149D"/>
    <w:rsid w:val="00CB14A6"/>
    <w:rsid w:val="00CB14C2"/>
    <w:rsid w:val="00CB1555"/>
    <w:rsid w:val="00CB15C2"/>
    <w:rsid w:val="00CB15DF"/>
    <w:rsid w:val="00CB15F2"/>
    <w:rsid w:val="00CB1620"/>
    <w:rsid w:val="00CB1698"/>
    <w:rsid w:val="00CB16A7"/>
    <w:rsid w:val="00CB16BF"/>
    <w:rsid w:val="00CB16C3"/>
    <w:rsid w:val="00CB16C5"/>
    <w:rsid w:val="00CB1700"/>
    <w:rsid w:val="00CB1738"/>
    <w:rsid w:val="00CB1750"/>
    <w:rsid w:val="00CB17DB"/>
    <w:rsid w:val="00CB194D"/>
    <w:rsid w:val="00CB19B9"/>
    <w:rsid w:val="00CB1C16"/>
    <w:rsid w:val="00CB1C4D"/>
    <w:rsid w:val="00CB1C75"/>
    <w:rsid w:val="00CB1CA8"/>
    <w:rsid w:val="00CB1CD1"/>
    <w:rsid w:val="00CB1E24"/>
    <w:rsid w:val="00CB1E8D"/>
    <w:rsid w:val="00CB1EBB"/>
    <w:rsid w:val="00CB1EBC"/>
    <w:rsid w:val="00CB1EEA"/>
    <w:rsid w:val="00CB1F04"/>
    <w:rsid w:val="00CB2076"/>
    <w:rsid w:val="00CB2123"/>
    <w:rsid w:val="00CB2184"/>
    <w:rsid w:val="00CB21C5"/>
    <w:rsid w:val="00CB21DF"/>
    <w:rsid w:val="00CB2314"/>
    <w:rsid w:val="00CB24DF"/>
    <w:rsid w:val="00CB24EA"/>
    <w:rsid w:val="00CB25CE"/>
    <w:rsid w:val="00CB2642"/>
    <w:rsid w:val="00CB2660"/>
    <w:rsid w:val="00CB2672"/>
    <w:rsid w:val="00CB26A2"/>
    <w:rsid w:val="00CB26DF"/>
    <w:rsid w:val="00CB27B2"/>
    <w:rsid w:val="00CB27CC"/>
    <w:rsid w:val="00CB2886"/>
    <w:rsid w:val="00CB28A9"/>
    <w:rsid w:val="00CB2A35"/>
    <w:rsid w:val="00CB2BED"/>
    <w:rsid w:val="00CB2C5D"/>
    <w:rsid w:val="00CB2D04"/>
    <w:rsid w:val="00CB2D5F"/>
    <w:rsid w:val="00CB2DF7"/>
    <w:rsid w:val="00CB308E"/>
    <w:rsid w:val="00CB30AE"/>
    <w:rsid w:val="00CB30D4"/>
    <w:rsid w:val="00CB30D8"/>
    <w:rsid w:val="00CB31DD"/>
    <w:rsid w:val="00CB3202"/>
    <w:rsid w:val="00CB32C6"/>
    <w:rsid w:val="00CB32E8"/>
    <w:rsid w:val="00CB3307"/>
    <w:rsid w:val="00CB34C5"/>
    <w:rsid w:val="00CB354B"/>
    <w:rsid w:val="00CB3568"/>
    <w:rsid w:val="00CB35C3"/>
    <w:rsid w:val="00CB35E8"/>
    <w:rsid w:val="00CB38C8"/>
    <w:rsid w:val="00CB39B0"/>
    <w:rsid w:val="00CB39CB"/>
    <w:rsid w:val="00CB3A4A"/>
    <w:rsid w:val="00CB3ACB"/>
    <w:rsid w:val="00CB3AD4"/>
    <w:rsid w:val="00CB3AF2"/>
    <w:rsid w:val="00CB3B31"/>
    <w:rsid w:val="00CB3B88"/>
    <w:rsid w:val="00CB3C07"/>
    <w:rsid w:val="00CB3CE5"/>
    <w:rsid w:val="00CB3D0E"/>
    <w:rsid w:val="00CB3D28"/>
    <w:rsid w:val="00CB3D4C"/>
    <w:rsid w:val="00CB3D7C"/>
    <w:rsid w:val="00CB3DE5"/>
    <w:rsid w:val="00CB3E0D"/>
    <w:rsid w:val="00CB3E8D"/>
    <w:rsid w:val="00CB3ED0"/>
    <w:rsid w:val="00CB40D8"/>
    <w:rsid w:val="00CB40F6"/>
    <w:rsid w:val="00CB414A"/>
    <w:rsid w:val="00CB41C6"/>
    <w:rsid w:val="00CB41CB"/>
    <w:rsid w:val="00CB42D4"/>
    <w:rsid w:val="00CB42DA"/>
    <w:rsid w:val="00CB442B"/>
    <w:rsid w:val="00CB4475"/>
    <w:rsid w:val="00CB44FE"/>
    <w:rsid w:val="00CB45D5"/>
    <w:rsid w:val="00CB4683"/>
    <w:rsid w:val="00CB471A"/>
    <w:rsid w:val="00CB4781"/>
    <w:rsid w:val="00CB481F"/>
    <w:rsid w:val="00CB4890"/>
    <w:rsid w:val="00CB49D4"/>
    <w:rsid w:val="00CB4A76"/>
    <w:rsid w:val="00CB4B61"/>
    <w:rsid w:val="00CB4CA8"/>
    <w:rsid w:val="00CB4D76"/>
    <w:rsid w:val="00CB4D9E"/>
    <w:rsid w:val="00CB4EB7"/>
    <w:rsid w:val="00CB4EDB"/>
    <w:rsid w:val="00CB4F59"/>
    <w:rsid w:val="00CB4FFB"/>
    <w:rsid w:val="00CB5010"/>
    <w:rsid w:val="00CB511E"/>
    <w:rsid w:val="00CB5126"/>
    <w:rsid w:val="00CB5144"/>
    <w:rsid w:val="00CB5170"/>
    <w:rsid w:val="00CB52AB"/>
    <w:rsid w:val="00CB52CF"/>
    <w:rsid w:val="00CB5317"/>
    <w:rsid w:val="00CB5353"/>
    <w:rsid w:val="00CB53F0"/>
    <w:rsid w:val="00CB54D1"/>
    <w:rsid w:val="00CB55D0"/>
    <w:rsid w:val="00CB55EA"/>
    <w:rsid w:val="00CB56AB"/>
    <w:rsid w:val="00CB57A6"/>
    <w:rsid w:val="00CB5813"/>
    <w:rsid w:val="00CB5874"/>
    <w:rsid w:val="00CB58CB"/>
    <w:rsid w:val="00CB58D7"/>
    <w:rsid w:val="00CB595C"/>
    <w:rsid w:val="00CB5B80"/>
    <w:rsid w:val="00CB5B8D"/>
    <w:rsid w:val="00CB5BE9"/>
    <w:rsid w:val="00CB5CA7"/>
    <w:rsid w:val="00CB5D1A"/>
    <w:rsid w:val="00CB5DB5"/>
    <w:rsid w:val="00CB5DCE"/>
    <w:rsid w:val="00CB5EAE"/>
    <w:rsid w:val="00CB5EB9"/>
    <w:rsid w:val="00CB5F2F"/>
    <w:rsid w:val="00CB5FBF"/>
    <w:rsid w:val="00CB5FD9"/>
    <w:rsid w:val="00CB601A"/>
    <w:rsid w:val="00CB60E2"/>
    <w:rsid w:val="00CB6191"/>
    <w:rsid w:val="00CB61A0"/>
    <w:rsid w:val="00CB628B"/>
    <w:rsid w:val="00CB62B5"/>
    <w:rsid w:val="00CB62F7"/>
    <w:rsid w:val="00CB6328"/>
    <w:rsid w:val="00CB6339"/>
    <w:rsid w:val="00CB6367"/>
    <w:rsid w:val="00CB63AD"/>
    <w:rsid w:val="00CB63FA"/>
    <w:rsid w:val="00CB6518"/>
    <w:rsid w:val="00CB653A"/>
    <w:rsid w:val="00CB656F"/>
    <w:rsid w:val="00CB663C"/>
    <w:rsid w:val="00CB6660"/>
    <w:rsid w:val="00CB6729"/>
    <w:rsid w:val="00CB67AE"/>
    <w:rsid w:val="00CB67BE"/>
    <w:rsid w:val="00CB67CD"/>
    <w:rsid w:val="00CB693F"/>
    <w:rsid w:val="00CB6981"/>
    <w:rsid w:val="00CB6996"/>
    <w:rsid w:val="00CB69B0"/>
    <w:rsid w:val="00CB6A4E"/>
    <w:rsid w:val="00CB6BF7"/>
    <w:rsid w:val="00CB6C00"/>
    <w:rsid w:val="00CB6C69"/>
    <w:rsid w:val="00CB6D73"/>
    <w:rsid w:val="00CB6DB2"/>
    <w:rsid w:val="00CB6DD0"/>
    <w:rsid w:val="00CB6E16"/>
    <w:rsid w:val="00CB6E28"/>
    <w:rsid w:val="00CB6E30"/>
    <w:rsid w:val="00CB6EEA"/>
    <w:rsid w:val="00CB6EF0"/>
    <w:rsid w:val="00CB6FBC"/>
    <w:rsid w:val="00CB6FF0"/>
    <w:rsid w:val="00CB6FF7"/>
    <w:rsid w:val="00CB6FFC"/>
    <w:rsid w:val="00CB70A8"/>
    <w:rsid w:val="00CB724F"/>
    <w:rsid w:val="00CB72B5"/>
    <w:rsid w:val="00CB72D7"/>
    <w:rsid w:val="00CB72D9"/>
    <w:rsid w:val="00CB734F"/>
    <w:rsid w:val="00CB744B"/>
    <w:rsid w:val="00CB7521"/>
    <w:rsid w:val="00CB7534"/>
    <w:rsid w:val="00CB756D"/>
    <w:rsid w:val="00CB760F"/>
    <w:rsid w:val="00CB7694"/>
    <w:rsid w:val="00CB76BB"/>
    <w:rsid w:val="00CB771C"/>
    <w:rsid w:val="00CB78EF"/>
    <w:rsid w:val="00CB7932"/>
    <w:rsid w:val="00CB7980"/>
    <w:rsid w:val="00CB79A4"/>
    <w:rsid w:val="00CB79DE"/>
    <w:rsid w:val="00CB79F9"/>
    <w:rsid w:val="00CB7A0A"/>
    <w:rsid w:val="00CB7ACD"/>
    <w:rsid w:val="00CB7B2D"/>
    <w:rsid w:val="00CB7B3C"/>
    <w:rsid w:val="00CB7B83"/>
    <w:rsid w:val="00CB7BA7"/>
    <w:rsid w:val="00CB7BAA"/>
    <w:rsid w:val="00CB7C15"/>
    <w:rsid w:val="00CB7CB7"/>
    <w:rsid w:val="00CB7CC9"/>
    <w:rsid w:val="00CB7CD8"/>
    <w:rsid w:val="00CB7D7F"/>
    <w:rsid w:val="00CB7D95"/>
    <w:rsid w:val="00CB7DB2"/>
    <w:rsid w:val="00CB7DE4"/>
    <w:rsid w:val="00CB7F04"/>
    <w:rsid w:val="00CB7F5A"/>
    <w:rsid w:val="00CB7FA4"/>
    <w:rsid w:val="00CB7FE9"/>
    <w:rsid w:val="00CC0054"/>
    <w:rsid w:val="00CC007B"/>
    <w:rsid w:val="00CC019D"/>
    <w:rsid w:val="00CC038E"/>
    <w:rsid w:val="00CC03ED"/>
    <w:rsid w:val="00CC0413"/>
    <w:rsid w:val="00CC04CB"/>
    <w:rsid w:val="00CC0517"/>
    <w:rsid w:val="00CC057D"/>
    <w:rsid w:val="00CC05AF"/>
    <w:rsid w:val="00CC05CE"/>
    <w:rsid w:val="00CC0663"/>
    <w:rsid w:val="00CC0678"/>
    <w:rsid w:val="00CC0683"/>
    <w:rsid w:val="00CC06A9"/>
    <w:rsid w:val="00CC06EF"/>
    <w:rsid w:val="00CC0706"/>
    <w:rsid w:val="00CC070B"/>
    <w:rsid w:val="00CC0789"/>
    <w:rsid w:val="00CC09A2"/>
    <w:rsid w:val="00CC0B48"/>
    <w:rsid w:val="00CC0B4C"/>
    <w:rsid w:val="00CC0BD9"/>
    <w:rsid w:val="00CC0C08"/>
    <w:rsid w:val="00CC0C5C"/>
    <w:rsid w:val="00CC0C64"/>
    <w:rsid w:val="00CC0DCA"/>
    <w:rsid w:val="00CC0E4E"/>
    <w:rsid w:val="00CC0EFD"/>
    <w:rsid w:val="00CC0EFF"/>
    <w:rsid w:val="00CC0F1D"/>
    <w:rsid w:val="00CC0F34"/>
    <w:rsid w:val="00CC0F3F"/>
    <w:rsid w:val="00CC0FF9"/>
    <w:rsid w:val="00CC1092"/>
    <w:rsid w:val="00CC10C1"/>
    <w:rsid w:val="00CC1130"/>
    <w:rsid w:val="00CC1160"/>
    <w:rsid w:val="00CC1212"/>
    <w:rsid w:val="00CC131E"/>
    <w:rsid w:val="00CC13AE"/>
    <w:rsid w:val="00CC13E6"/>
    <w:rsid w:val="00CC141E"/>
    <w:rsid w:val="00CC144D"/>
    <w:rsid w:val="00CC148F"/>
    <w:rsid w:val="00CC15BF"/>
    <w:rsid w:val="00CC1610"/>
    <w:rsid w:val="00CC16AB"/>
    <w:rsid w:val="00CC16BB"/>
    <w:rsid w:val="00CC17C9"/>
    <w:rsid w:val="00CC1803"/>
    <w:rsid w:val="00CC1878"/>
    <w:rsid w:val="00CC1898"/>
    <w:rsid w:val="00CC18CF"/>
    <w:rsid w:val="00CC1908"/>
    <w:rsid w:val="00CC196D"/>
    <w:rsid w:val="00CC1A07"/>
    <w:rsid w:val="00CC1A96"/>
    <w:rsid w:val="00CC1AD8"/>
    <w:rsid w:val="00CC1C34"/>
    <w:rsid w:val="00CC1C4C"/>
    <w:rsid w:val="00CC1C7B"/>
    <w:rsid w:val="00CC1D05"/>
    <w:rsid w:val="00CC1D11"/>
    <w:rsid w:val="00CC1D53"/>
    <w:rsid w:val="00CC1D5E"/>
    <w:rsid w:val="00CC1D65"/>
    <w:rsid w:val="00CC1D73"/>
    <w:rsid w:val="00CC1E18"/>
    <w:rsid w:val="00CC1ED7"/>
    <w:rsid w:val="00CC1FE7"/>
    <w:rsid w:val="00CC206A"/>
    <w:rsid w:val="00CC2225"/>
    <w:rsid w:val="00CC2317"/>
    <w:rsid w:val="00CC235E"/>
    <w:rsid w:val="00CC2370"/>
    <w:rsid w:val="00CC23CC"/>
    <w:rsid w:val="00CC23F3"/>
    <w:rsid w:val="00CC23FE"/>
    <w:rsid w:val="00CC2479"/>
    <w:rsid w:val="00CC2481"/>
    <w:rsid w:val="00CC2486"/>
    <w:rsid w:val="00CC2493"/>
    <w:rsid w:val="00CC24B8"/>
    <w:rsid w:val="00CC2517"/>
    <w:rsid w:val="00CC25C0"/>
    <w:rsid w:val="00CC2604"/>
    <w:rsid w:val="00CC2606"/>
    <w:rsid w:val="00CC2642"/>
    <w:rsid w:val="00CC268D"/>
    <w:rsid w:val="00CC2698"/>
    <w:rsid w:val="00CC272C"/>
    <w:rsid w:val="00CC273A"/>
    <w:rsid w:val="00CC2777"/>
    <w:rsid w:val="00CC27E2"/>
    <w:rsid w:val="00CC2809"/>
    <w:rsid w:val="00CC28DD"/>
    <w:rsid w:val="00CC28EC"/>
    <w:rsid w:val="00CC2911"/>
    <w:rsid w:val="00CC2A69"/>
    <w:rsid w:val="00CC2A85"/>
    <w:rsid w:val="00CC2AA9"/>
    <w:rsid w:val="00CC2B57"/>
    <w:rsid w:val="00CC2BC4"/>
    <w:rsid w:val="00CC2EB5"/>
    <w:rsid w:val="00CC2ED4"/>
    <w:rsid w:val="00CC2F63"/>
    <w:rsid w:val="00CC2F9B"/>
    <w:rsid w:val="00CC3034"/>
    <w:rsid w:val="00CC305B"/>
    <w:rsid w:val="00CC307B"/>
    <w:rsid w:val="00CC3095"/>
    <w:rsid w:val="00CC3180"/>
    <w:rsid w:val="00CC31BD"/>
    <w:rsid w:val="00CC31CF"/>
    <w:rsid w:val="00CC32BF"/>
    <w:rsid w:val="00CC32C7"/>
    <w:rsid w:val="00CC32DE"/>
    <w:rsid w:val="00CC3348"/>
    <w:rsid w:val="00CC33D8"/>
    <w:rsid w:val="00CC33F6"/>
    <w:rsid w:val="00CC34A0"/>
    <w:rsid w:val="00CC34DA"/>
    <w:rsid w:val="00CC3511"/>
    <w:rsid w:val="00CC3678"/>
    <w:rsid w:val="00CC37FA"/>
    <w:rsid w:val="00CC382D"/>
    <w:rsid w:val="00CC3858"/>
    <w:rsid w:val="00CC38B4"/>
    <w:rsid w:val="00CC38F0"/>
    <w:rsid w:val="00CC393A"/>
    <w:rsid w:val="00CC3940"/>
    <w:rsid w:val="00CC39D4"/>
    <w:rsid w:val="00CC3A02"/>
    <w:rsid w:val="00CC3AC6"/>
    <w:rsid w:val="00CC3B38"/>
    <w:rsid w:val="00CC3B39"/>
    <w:rsid w:val="00CC3B63"/>
    <w:rsid w:val="00CC3B84"/>
    <w:rsid w:val="00CC3C06"/>
    <w:rsid w:val="00CC3C72"/>
    <w:rsid w:val="00CC3CCE"/>
    <w:rsid w:val="00CC3D06"/>
    <w:rsid w:val="00CC3D48"/>
    <w:rsid w:val="00CC3D58"/>
    <w:rsid w:val="00CC3D89"/>
    <w:rsid w:val="00CC3E84"/>
    <w:rsid w:val="00CC3F05"/>
    <w:rsid w:val="00CC4015"/>
    <w:rsid w:val="00CC40A5"/>
    <w:rsid w:val="00CC40B2"/>
    <w:rsid w:val="00CC40BC"/>
    <w:rsid w:val="00CC40DF"/>
    <w:rsid w:val="00CC420B"/>
    <w:rsid w:val="00CC425B"/>
    <w:rsid w:val="00CC42B3"/>
    <w:rsid w:val="00CC4365"/>
    <w:rsid w:val="00CC437E"/>
    <w:rsid w:val="00CC4436"/>
    <w:rsid w:val="00CC44C9"/>
    <w:rsid w:val="00CC451E"/>
    <w:rsid w:val="00CC4529"/>
    <w:rsid w:val="00CC46B6"/>
    <w:rsid w:val="00CC4805"/>
    <w:rsid w:val="00CC48FF"/>
    <w:rsid w:val="00CC4950"/>
    <w:rsid w:val="00CC4971"/>
    <w:rsid w:val="00CC49B0"/>
    <w:rsid w:val="00CC49C8"/>
    <w:rsid w:val="00CC49E6"/>
    <w:rsid w:val="00CC49E8"/>
    <w:rsid w:val="00CC4A81"/>
    <w:rsid w:val="00CC4A8C"/>
    <w:rsid w:val="00CC4AB3"/>
    <w:rsid w:val="00CC4ADD"/>
    <w:rsid w:val="00CC4C5B"/>
    <w:rsid w:val="00CC4D24"/>
    <w:rsid w:val="00CC4D2D"/>
    <w:rsid w:val="00CC4D36"/>
    <w:rsid w:val="00CC4D5D"/>
    <w:rsid w:val="00CC4D9C"/>
    <w:rsid w:val="00CC4E16"/>
    <w:rsid w:val="00CC4E2D"/>
    <w:rsid w:val="00CC4E64"/>
    <w:rsid w:val="00CC4EA0"/>
    <w:rsid w:val="00CC4F20"/>
    <w:rsid w:val="00CC500C"/>
    <w:rsid w:val="00CC5013"/>
    <w:rsid w:val="00CC5019"/>
    <w:rsid w:val="00CC50E9"/>
    <w:rsid w:val="00CC512F"/>
    <w:rsid w:val="00CC517B"/>
    <w:rsid w:val="00CC517E"/>
    <w:rsid w:val="00CC51C5"/>
    <w:rsid w:val="00CC524F"/>
    <w:rsid w:val="00CC5321"/>
    <w:rsid w:val="00CC5334"/>
    <w:rsid w:val="00CC533B"/>
    <w:rsid w:val="00CC5391"/>
    <w:rsid w:val="00CC53AE"/>
    <w:rsid w:val="00CC53D1"/>
    <w:rsid w:val="00CC5405"/>
    <w:rsid w:val="00CC543C"/>
    <w:rsid w:val="00CC54DD"/>
    <w:rsid w:val="00CC55B8"/>
    <w:rsid w:val="00CC55C0"/>
    <w:rsid w:val="00CC55EB"/>
    <w:rsid w:val="00CC57F5"/>
    <w:rsid w:val="00CC57FD"/>
    <w:rsid w:val="00CC5825"/>
    <w:rsid w:val="00CC5891"/>
    <w:rsid w:val="00CC58FA"/>
    <w:rsid w:val="00CC5A31"/>
    <w:rsid w:val="00CC5A63"/>
    <w:rsid w:val="00CC5A78"/>
    <w:rsid w:val="00CC5B6D"/>
    <w:rsid w:val="00CC5B80"/>
    <w:rsid w:val="00CC5BCC"/>
    <w:rsid w:val="00CC5D23"/>
    <w:rsid w:val="00CC5DBA"/>
    <w:rsid w:val="00CC5EFF"/>
    <w:rsid w:val="00CC5FE8"/>
    <w:rsid w:val="00CC5FF9"/>
    <w:rsid w:val="00CC6008"/>
    <w:rsid w:val="00CC6113"/>
    <w:rsid w:val="00CC612B"/>
    <w:rsid w:val="00CC615A"/>
    <w:rsid w:val="00CC6401"/>
    <w:rsid w:val="00CC6417"/>
    <w:rsid w:val="00CC6519"/>
    <w:rsid w:val="00CC6538"/>
    <w:rsid w:val="00CC6557"/>
    <w:rsid w:val="00CC657A"/>
    <w:rsid w:val="00CC6585"/>
    <w:rsid w:val="00CC678F"/>
    <w:rsid w:val="00CC6912"/>
    <w:rsid w:val="00CC6948"/>
    <w:rsid w:val="00CC6973"/>
    <w:rsid w:val="00CC698F"/>
    <w:rsid w:val="00CC699D"/>
    <w:rsid w:val="00CC6A24"/>
    <w:rsid w:val="00CC6A6F"/>
    <w:rsid w:val="00CC6AC3"/>
    <w:rsid w:val="00CC6B1F"/>
    <w:rsid w:val="00CC6B5A"/>
    <w:rsid w:val="00CC6B84"/>
    <w:rsid w:val="00CC6CE9"/>
    <w:rsid w:val="00CC6D6A"/>
    <w:rsid w:val="00CC6D95"/>
    <w:rsid w:val="00CC6DD2"/>
    <w:rsid w:val="00CC6F2B"/>
    <w:rsid w:val="00CC6FF6"/>
    <w:rsid w:val="00CC7030"/>
    <w:rsid w:val="00CC7033"/>
    <w:rsid w:val="00CC719E"/>
    <w:rsid w:val="00CC7233"/>
    <w:rsid w:val="00CC7445"/>
    <w:rsid w:val="00CC74B9"/>
    <w:rsid w:val="00CC74C1"/>
    <w:rsid w:val="00CC74DB"/>
    <w:rsid w:val="00CC74E4"/>
    <w:rsid w:val="00CC76C7"/>
    <w:rsid w:val="00CC7902"/>
    <w:rsid w:val="00CC7A34"/>
    <w:rsid w:val="00CC7A3A"/>
    <w:rsid w:val="00CC7BB1"/>
    <w:rsid w:val="00CC7C4A"/>
    <w:rsid w:val="00CC7EAE"/>
    <w:rsid w:val="00CC7EEA"/>
    <w:rsid w:val="00CC7F35"/>
    <w:rsid w:val="00CC7F45"/>
    <w:rsid w:val="00CC7FA5"/>
    <w:rsid w:val="00CD0087"/>
    <w:rsid w:val="00CD00BA"/>
    <w:rsid w:val="00CD00E9"/>
    <w:rsid w:val="00CD0192"/>
    <w:rsid w:val="00CD01E9"/>
    <w:rsid w:val="00CD024C"/>
    <w:rsid w:val="00CD03BE"/>
    <w:rsid w:val="00CD03C2"/>
    <w:rsid w:val="00CD03DF"/>
    <w:rsid w:val="00CD0459"/>
    <w:rsid w:val="00CD0566"/>
    <w:rsid w:val="00CD05B3"/>
    <w:rsid w:val="00CD05E6"/>
    <w:rsid w:val="00CD061A"/>
    <w:rsid w:val="00CD071E"/>
    <w:rsid w:val="00CD0819"/>
    <w:rsid w:val="00CD0820"/>
    <w:rsid w:val="00CD0840"/>
    <w:rsid w:val="00CD08D3"/>
    <w:rsid w:val="00CD09A1"/>
    <w:rsid w:val="00CD09E1"/>
    <w:rsid w:val="00CD0B3D"/>
    <w:rsid w:val="00CD0C4B"/>
    <w:rsid w:val="00CD0C66"/>
    <w:rsid w:val="00CD0C72"/>
    <w:rsid w:val="00CD0D6F"/>
    <w:rsid w:val="00CD0D98"/>
    <w:rsid w:val="00CD0DAD"/>
    <w:rsid w:val="00CD0E63"/>
    <w:rsid w:val="00CD0E64"/>
    <w:rsid w:val="00CD0F47"/>
    <w:rsid w:val="00CD0F68"/>
    <w:rsid w:val="00CD0FC1"/>
    <w:rsid w:val="00CD102A"/>
    <w:rsid w:val="00CD104B"/>
    <w:rsid w:val="00CD1071"/>
    <w:rsid w:val="00CD10AE"/>
    <w:rsid w:val="00CD10FC"/>
    <w:rsid w:val="00CD111B"/>
    <w:rsid w:val="00CD1186"/>
    <w:rsid w:val="00CD11C5"/>
    <w:rsid w:val="00CD1258"/>
    <w:rsid w:val="00CD126B"/>
    <w:rsid w:val="00CD129B"/>
    <w:rsid w:val="00CD1382"/>
    <w:rsid w:val="00CD143D"/>
    <w:rsid w:val="00CD1454"/>
    <w:rsid w:val="00CD1492"/>
    <w:rsid w:val="00CD1507"/>
    <w:rsid w:val="00CD157E"/>
    <w:rsid w:val="00CD162B"/>
    <w:rsid w:val="00CD167F"/>
    <w:rsid w:val="00CD16CC"/>
    <w:rsid w:val="00CD1712"/>
    <w:rsid w:val="00CD17EF"/>
    <w:rsid w:val="00CD185A"/>
    <w:rsid w:val="00CD18A4"/>
    <w:rsid w:val="00CD18F9"/>
    <w:rsid w:val="00CD191C"/>
    <w:rsid w:val="00CD1960"/>
    <w:rsid w:val="00CD19DD"/>
    <w:rsid w:val="00CD19E0"/>
    <w:rsid w:val="00CD1A15"/>
    <w:rsid w:val="00CD1A33"/>
    <w:rsid w:val="00CD1B2A"/>
    <w:rsid w:val="00CD1C32"/>
    <w:rsid w:val="00CD1C60"/>
    <w:rsid w:val="00CD1CA5"/>
    <w:rsid w:val="00CD1D47"/>
    <w:rsid w:val="00CD1D48"/>
    <w:rsid w:val="00CD1E72"/>
    <w:rsid w:val="00CD1ECD"/>
    <w:rsid w:val="00CD1EEF"/>
    <w:rsid w:val="00CD1F26"/>
    <w:rsid w:val="00CD20E4"/>
    <w:rsid w:val="00CD22FC"/>
    <w:rsid w:val="00CD2371"/>
    <w:rsid w:val="00CD2374"/>
    <w:rsid w:val="00CD2394"/>
    <w:rsid w:val="00CD2443"/>
    <w:rsid w:val="00CD24CD"/>
    <w:rsid w:val="00CD24ED"/>
    <w:rsid w:val="00CD2524"/>
    <w:rsid w:val="00CD2587"/>
    <w:rsid w:val="00CD25CB"/>
    <w:rsid w:val="00CD25E2"/>
    <w:rsid w:val="00CD2675"/>
    <w:rsid w:val="00CD26A2"/>
    <w:rsid w:val="00CD26FD"/>
    <w:rsid w:val="00CD2782"/>
    <w:rsid w:val="00CD27EB"/>
    <w:rsid w:val="00CD284A"/>
    <w:rsid w:val="00CD291F"/>
    <w:rsid w:val="00CD295B"/>
    <w:rsid w:val="00CD29BF"/>
    <w:rsid w:val="00CD29FA"/>
    <w:rsid w:val="00CD2AAE"/>
    <w:rsid w:val="00CD2B0F"/>
    <w:rsid w:val="00CD2CB0"/>
    <w:rsid w:val="00CD2CCD"/>
    <w:rsid w:val="00CD2D12"/>
    <w:rsid w:val="00CD2D18"/>
    <w:rsid w:val="00CD2DC4"/>
    <w:rsid w:val="00CD2DF2"/>
    <w:rsid w:val="00CD2E06"/>
    <w:rsid w:val="00CD2E9B"/>
    <w:rsid w:val="00CD2EAC"/>
    <w:rsid w:val="00CD2FE9"/>
    <w:rsid w:val="00CD3001"/>
    <w:rsid w:val="00CD3073"/>
    <w:rsid w:val="00CD30B2"/>
    <w:rsid w:val="00CD3108"/>
    <w:rsid w:val="00CD311F"/>
    <w:rsid w:val="00CD31F0"/>
    <w:rsid w:val="00CD337B"/>
    <w:rsid w:val="00CD33E1"/>
    <w:rsid w:val="00CD346B"/>
    <w:rsid w:val="00CD3480"/>
    <w:rsid w:val="00CD350F"/>
    <w:rsid w:val="00CD3542"/>
    <w:rsid w:val="00CD35CC"/>
    <w:rsid w:val="00CD3631"/>
    <w:rsid w:val="00CD366F"/>
    <w:rsid w:val="00CD367D"/>
    <w:rsid w:val="00CD3687"/>
    <w:rsid w:val="00CD36CF"/>
    <w:rsid w:val="00CD371A"/>
    <w:rsid w:val="00CD3782"/>
    <w:rsid w:val="00CD37F8"/>
    <w:rsid w:val="00CD395F"/>
    <w:rsid w:val="00CD39BC"/>
    <w:rsid w:val="00CD3B8E"/>
    <w:rsid w:val="00CD3BC1"/>
    <w:rsid w:val="00CD3C26"/>
    <w:rsid w:val="00CD3C94"/>
    <w:rsid w:val="00CD3CDE"/>
    <w:rsid w:val="00CD3D69"/>
    <w:rsid w:val="00CD3D96"/>
    <w:rsid w:val="00CD3DA8"/>
    <w:rsid w:val="00CD3DBE"/>
    <w:rsid w:val="00CD3DE8"/>
    <w:rsid w:val="00CD3E1C"/>
    <w:rsid w:val="00CD3E53"/>
    <w:rsid w:val="00CD3EA9"/>
    <w:rsid w:val="00CD3FA8"/>
    <w:rsid w:val="00CD3FCB"/>
    <w:rsid w:val="00CD3FCD"/>
    <w:rsid w:val="00CD3FE6"/>
    <w:rsid w:val="00CD408F"/>
    <w:rsid w:val="00CD40B5"/>
    <w:rsid w:val="00CD4109"/>
    <w:rsid w:val="00CD4197"/>
    <w:rsid w:val="00CD41F9"/>
    <w:rsid w:val="00CD421A"/>
    <w:rsid w:val="00CD4248"/>
    <w:rsid w:val="00CD4293"/>
    <w:rsid w:val="00CD42CD"/>
    <w:rsid w:val="00CD42E5"/>
    <w:rsid w:val="00CD4302"/>
    <w:rsid w:val="00CD430A"/>
    <w:rsid w:val="00CD4343"/>
    <w:rsid w:val="00CD442F"/>
    <w:rsid w:val="00CD45CF"/>
    <w:rsid w:val="00CD464F"/>
    <w:rsid w:val="00CD4730"/>
    <w:rsid w:val="00CD4745"/>
    <w:rsid w:val="00CD474E"/>
    <w:rsid w:val="00CD4808"/>
    <w:rsid w:val="00CD48DA"/>
    <w:rsid w:val="00CD497C"/>
    <w:rsid w:val="00CD4A3A"/>
    <w:rsid w:val="00CD4B13"/>
    <w:rsid w:val="00CD4B1C"/>
    <w:rsid w:val="00CD4BF8"/>
    <w:rsid w:val="00CD4C73"/>
    <w:rsid w:val="00CD4CAC"/>
    <w:rsid w:val="00CD4CD4"/>
    <w:rsid w:val="00CD4D34"/>
    <w:rsid w:val="00CD4DE6"/>
    <w:rsid w:val="00CD4E7E"/>
    <w:rsid w:val="00CD4EA4"/>
    <w:rsid w:val="00CD4F15"/>
    <w:rsid w:val="00CD4F18"/>
    <w:rsid w:val="00CD4F24"/>
    <w:rsid w:val="00CD4F82"/>
    <w:rsid w:val="00CD500F"/>
    <w:rsid w:val="00CD5092"/>
    <w:rsid w:val="00CD50F0"/>
    <w:rsid w:val="00CD5118"/>
    <w:rsid w:val="00CD52C4"/>
    <w:rsid w:val="00CD533D"/>
    <w:rsid w:val="00CD534F"/>
    <w:rsid w:val="00CD5365"/>
    <w:rsid w:val="00CD5438"/>
    <w:rsid w:val="00CD548F"/>
    <w:rsid w:val="00CD54BB"/>
    <w:rsid w:val="00CD5506"/>
    <w:rsid w:val="00CD555D"/>
    <w:rsid w:val="00CD5594"/>
    <w:rsid w:val="00CD5649"/>
    <w:rsid w:val="00CD5670"/>
    <w:rsid w:val="00CD5682"/>
    <w:rsid w:val="00CD56BA"/>
    <w:rsid w:val="00CD575B"/>
    <w:rsid w:val="00CD578F"/>
    <w:rsid w:val="00CD58E7"/>
    <w:rsid w:val="00CD591E"/>
    <w:rsid w:val="00CD5930"/>
    <w:rsid w:val="00CD594C"/>
    <w:rsid w:val="00CD596F"/>
    <w:rsid w:val="00CD5997"/>
    <w:rsid w:val="00CD59CF"/>
    <w:rsid w:val="00CD59F7"/>
    <w:rsid w:val="00CD5AC9"/>
    <w:rsid w:val="00CD5AEA"/>
    <w:rsid w:val="00CD5BA5"/>
    <w:rsid w:val="00CD5C4A"/>
    <w:rsid w:val="00CD5CA2"/>
    <w:rsid w:val="00CD5CF1"/>
    <w:rsid w:val="00CD5D8A"/>
    <w:rsid w:val="00CD5DE1"/>
    <w:rsid w:val="00CD5DF5"/>
    <w:rsid w:val="00CD5E12"/>
    <w:rsid w:val="00CD5E24"/>
    <w:rsid w:val="00CD5E41"/>
    <w:rsid w:val="00CD5F41"/>
    <w:rsid w:val="00CD5F88"/>
    <w:rsid w:val="00CD6052"/>
    <w:rsid w:val="00CD620E"/>
    <w:rsid w:val="00CD624B"/>
    <w:rsid w:val="00CD62E7"/>
    <w:rsid w:val="00CD62F4"/>
    <w:rsid w:val="00CD6346"/>
    <w:rsid w:val="00CD6358"/>
    <w:rsid w:val="00CD63A5"/>
    <w:rsid w:val="00CD63BB"/>
    <w:rsid w:val="00CD63C6"/>
    <w:rsid w:val="00CD63E2"/>
    <w:rsid w:val="00CD63FF"/>
    <w:rsid w:val="00CD6416"/>
    <w:rsid w:val="00CD642E"/>
    <w:rsid w:val="00CD642F"/>
    <w:rsid w:val="00CD651D"/>
    <w:rsid w:val="00CD6579"/>
    <w:rsid w:val="00CD6608"/>
    <w:rsid w:val="00CD6689"/>
    <w:rsid w:val="00CD677D"/>
    <w:rsid w:val="00CD6791"/>
    <w:rsid w:val="00CD67A2"/>
    <w:rsid w:val="00CD67A4"/>
    <w:rsid w:val="00CD67CD"/>
    <w:rsid w:val="00CD6875"/>
    <w:rsid w:val="00CD68C5"/>
    <w:rsid w:val="00CD6AB9"/>
    <w:rsid w:val="00CD6B04"/>
    <w:rsid w:val="00CD6B84"/>
    <w:rsid w:val="00CD6BB2"/>
    <w:rsid w:val="00CD6C26"/>
    <w:rsid w:val="00CD6CB7"/>
    <w:rsid w:val="00CD6D83"/>
    <w:rsid w:val="00CD6DF5"/>
    <w:rsid w:val="00CD6E41"/>
    <w:rsid w:val="00CD6E92"/>
    <w:rsid w:val="00CD6EA8"/>
    <w:rsid w:val="00CD701A"/>
    <w:rsid w:val="00CD719B"/>
    <w:rsid w:val="00CD719E"/>
    <w:rsid w:val="00CD72B7"/>
    <w:rsid w:val="00CD72C7"/>
    <w:rsid w:val="00CD7316"/>
    <w:rsid w:val="00CD73BB"/>
    <w:rsid w:val="00CD73F3"/>
    <w:rsid w:val="00CD742B"/>
    <w:rsid w:val="00CD7442"/>
    <w:rsid w:val="00CD74CA"/>
    <w:rsid w:val="00CD751E"/>
    <w:rsid w:val="00CD7539"/>
    <w:rsid w:val="00CD7564"/>
    <w:rsid w:val="00CD758A"/>
    <w:rsid w:val="00CD760E"/>
    <w:rsid w:val="00CD7621"/>
    <w:rsid w:val="00CD764A"/>
    <w:rsid w:val="00CD766A"/>
    <w:rsid w:val="00CD76A1"/>
    <w:rsid w:val="00CD779A"/>
    <w:rsid w:val="00CD77A5"/>
    <w:rsid w:val="00CD77AB"/>
    <w:rsid w:val="00CD783A"/>
    <w:rsid w:val="00CD785D"/>
    <w:rsid w:val="00CD7915"/>
    <w:rsid w:val="00CD79BE"/>
    <w:rsid w:val="00CD79F6"/>
    <w:rsid w:val="00CD7A05"/>
    <w:rsid w:val="00CD7AAC"/>
    <w:rsid w:val="00CD7AAD"/>
    <w:rsid w:val="00CD7AE5"/>
    <w:rsid w:val="00CD7B28"/>
    <w:rsid w:val="00CD7B4B"/>
    <w:rsid w:val="00CD7B72"/>
    <w:rsid w:val="00CD7BE9"/>
    <w:rsid w:val="00CD7CEE"/>
    <w:rsid w:val="00CD7D9B"/>
    <w:rsid w:val="00CD7FEF"/>
    <w:rsid w:val="00CE00DF"/>
    <w:rsid w:val="00CE00F7"/>
    <w:rsid w:val="00CE021C"/>
    <w:rsid w:val="00CE0266"/>
    <w:rsid w:val="00CE02BD"/>
    <w:rsid w:val="00CE03D0"/>
    <w:rsid w:val="00CE0415"/>
    <w:rsid w:val="00CE0460"/>
    <w:rsid w:val="00CE049F"/>
    <w:rsid w:val="00CE0668"/>
    <w:rsid w:val="00CE0688"/>
    <w:rsid w:val="00CE0689"/>
    <w:rsid w:val="00CE08A6"/>
    <w:rsid w:val="00CE098E"/>
    <w:rsid w:val="00CE0CF9"/>
    <w:rsid w:val="00CE0D0C"/>
    <w:rsid w:val="00CE0D4D"/>
    <w:rsid w:val="00CE0D97"/>
    <w:rsid w:val="00CE0E10"/>
    <w:rsid w:val="00CE0E23"/>
    <w:rsid w:val="00CE0E29"/>
    <w:rsid w:val="00CE0EAA"/>
    <w:rsid w:val="00CE0EDA"/>
    <w:rsid w:val="00CE0F4D"/>
    <w:rsid w:val="00CE0F61"/>
    <w:rsid w:val="00CE0FBD"/>
    <w:rsid w:val="00CE0FC3"/>
    <w:rsid w:val="00CE0FF6"/>
    <w:rsid w:val="00CE101D"/>
    <w:rsid w:val="00CE107C"/>
    <w:rsid w:val="00CE1133"/>
    <w:rsid w:val="00CE11BF"/>
    <w:rsid w:val="00CE1221"/>
    <w:rsid w:val="00CE12F5"/>
    <w:rsid w:val="00CE133C"/>
    <w:rsid w:val="00CE1515"/>
    <w:rsid w:val="00CE1529"/>
    <w:rsid w:val="00CE1540"/>
    <w:rsid w:val="00CE1575"/>
    <w:rsid w:val="00CE15E3"/>
    <w:rsid w:val="00CE16CA"/>
    <w:rsid w:val="00CE17A4"/>
    <w:rsid w:val="00CE17EE"/>
    <w:rsid w:val="00CE18AD"/>
    <w:rsid w:val="00CE190A"/>
    <w:rsid w:val="00CE1931"/>
    <w:rsid w:val="00CE193D"/>
    <w:rsid w:val="00CE1950"/>
    <w:rsid w:val="00CE1A03"/>
    <w:rsid w:val="00CE1A23"/>
    <w:rsid w:val="00CE1A4A"/>
    <w:rsid w:val="00CE1AA1"/>
    <w:rsid w:val="00CE1AAF"/>
    <w:rsid w:val="00CE1AC5"/>
    <w:rsid w:val="00CE1BA0"/>
    <w:rsid w:val="00CE1C6A"/>
    <w:rsid w:val="00CE1C88"/>
    <w:rsid w:val="00CE1D00"/>
    <w:rsid w:val="00CE1E1C"/>
    <w:rsid w:val="00CE1E4E"/>
    <w:rsid w:val="00CE1E71"/>
    <w:rsid w:val="00CE2022"/>
    <w:rsid w:val="00CE209C"/>
    <w:rsid w:val="00CE21D6"/>
    <w:rsid w:val="00CE23E0"/>
    <w:rsid w:val="00CE23E8"/>
    <w:rsid w:val="00CE246B"/>
    <w:rsid w:val="00CE246D"/>
    <w:rsid w:val="00CE24E0"/>
    <w:rsid w:val="00CE25CC"/>
    <w:rsid w:val="00CE261A"/>
    <w:rsid w:val="00CE2630"/>
    <w:rsid w:val="00CE27C1"/>
    <w:rsid w:val="00CE27D1"/>
    <w:rsid w:val="00CE2874"/>
    <w:rsid w:val="00CE29DA"/>
    <w:rsid w:val="00CE2BA9"/>
    <w:rsid w:val="00CE2BEA"/>
    <w:rsid w:val="00CE2C5C"/>
    <w:rsid w:val="00CE2D8A"/>
    <w:rsid w:val="00CE2DDC"/>
    <w:rsid w:val="00CE2DE7"/>
    <w:rsid w:val="00CE2E14"/>
    <w:rsid w:val="00CE2F19"/>
    <w:rsid w:val="00CE2F51"/>
    <w:rsid w:val="00CE2F52"/>
    <w:rsid w:val="00CE2F5E"/>
    <w:rsid w:val="00CE2FDF"/>
    <w:rsid w:val="00CE30C8"/>
    <w:rsid w:val="00CE30D7"/>
    <w:rsid w:val="00CE32E9"/>
    <w:rsid w:val="00CE3317"/>
    <w:rsid w:val="00CE3322"/>
    <w:rsid w:val="00CE33AD"/>
    <w:rsid w:val="00CE349F"/>
    <w:rsid w:val="00CE34EF"/>
    <w:rsid w:val="00CE3551"/>
    <w:rsid w:val="00CE3560"/>
    <w:rsid w:val="00CE36BB"/>
    <w:rsid w:val="00CE3735"/>
    <w:rsid w:val="00CE3754"/>
    <w:rsid w:val="00CE3780"/>
    <w:rsid w:val="00CE37DE"/>
    <w:rsid w:val="00CE37F3"/>
    <w:rsid w:val="00CE3848"/>
    <w:rsid w:val="00CE384C"/>
    <w:rsid w:val="00CE395F"/>
    <w:rsid w:val="00CE39D3"/>
    <w:rsid w:val="00CE3A23"/>
    <w:rsid w:val="00CE3A2F"/>
    <w:rsid w:val="00CE3A5C"/>
    <w:rsid w:val="00CE3BEC"/>
    <w:rsid w:val="00CE3C9F"/>
    <w:rsid w:val="00CE3CB5"/>
    <w:rsid w:val="00CE3D56"/>
    <w:rsid w:val="00CE3E44"/>
    <w:rsid w:val="00CE3E9F"/>
    <w:rsid w:val="00CE3F16"/>
    <w:rsid w:val="00CE406F"/>
    <w:rsid w:val="00CE40FE"/>
    <w:rsid w:val="00CE41D3"/>
    <w:rsid w:val="00CE4249"/>
    <w:rsid w:val="00CE429C"/>
    <w:rsid w:val="00CE4322"/>
    <w:rsid w:val="00CE4332"/>
    <w:rsid w:val="00CE43A7"/>
    <w:rsid w:val="00CE444B"/>
    <w:rsid w:val="00CE4871"/>
    <w:rsid w:val="00CE4874"/>
    <w:rsid w:val="00CE4879"/>
    <w:rsid w:val="00CE4A3D"/>
    <w:rsid w:val="00CE4A56"/>
    <w:rsid w:val="00CE4B7F"/>
    <w:rsid w:val="00CE4BA5"/>
    <w:rsid w:val="00CE4BB8"/>
    <w:rsid w:val="00CE4BE4"/>
    <w:rsid w:val="00CE4BEE"/>
    <w:rsid w:val="00CE4CE2"/>
    <w:rsid w:val="00CE4D4F"/>
    <w:rsid w:val="00CE4D50"/>
    <w:rsid w:val="00CE4D56"/>
    <w:rsid w:val="00CE4D7C"/>
    <w:rsid w:val="00CE4D90"/>
    <w:rsid w:val="00CE4E26"/>
    <w:rsid w:val="00CE4E9F"/>
    <w:rsid w:val="00CE4F44"/>
    <w:rsid w:val="00CE4F88"/>
    <w:rsid w:val="00CE5068"/>
    <w:rsid w:val="00CE51E3"/>
    <w:rsid w:val="00CE5284"/>
    <w:rsid w:val="00CE529A"/>
    <w:rsid w:val="00CE5342"/>
    <w:rsid w:val="00CE53DF"/>
    <w:rsid w:val="00CE5436"/>
    <w:rsid w:val="00CE54CE"/>
    <w:rsid w:val="00CE55F8"/>
    <w:rsid w:val="00CE5637"/>
    <w:rsid w:val="00CE56FF"/>
    <w:rsid w:val="00CE5760"/>
    <w:rsid w:val="00CE576F"/>
    <w:rsid w:val="00CE5775"/>
    <w:rsid w:val="00CE57B1"/>
    <w:rsid w:val="00CE57B6"/>
    <w:rsid w:val="00CE57DC"/>
    <w:rsid w:val="00CE5903"/>
    <w:rsid w:val="00CE5993"/>
    <w:rsid w:val="00CE59AE"/>
    <w:rsid w:val="00CE59D4"/>
    <w:rsid w:val="00CE5A4F"/>
    <w:rsid w:val="00CE5A99"/>
    <w:rsid w:val="00CE5AC3"/>
    <w:rsid w:val="00CE5B8C"/>
    <w:rsid w:val="00CE5C1A"/>
    <w:rsid w:val="00CE5C2F"/>
    <w:rsid w:val="00CE5C9A"/>
    <w:rsid w:val="00CE5CBE"/>
    <w:rsid w:val="00CE5CDC"/>
    <w:rsid w:val="00CE5CE0"/>
    <w:rsid w:val="00CE5D07"/>
    <w:rsid w:val="00CE5D39"/>
    <w:rsid w:val="00CE5D6F"/>
    <w:rsid w:val="00CE5D7F"/>
    <w:rsid w:val="00CE5DA0"/>
    <w:rsid w:val="00CE5E83"/>
    <w:rsid w:val="00CE5F59"/>
    <w:rsid w:val="00CE5F96"/>
    <w:rsid w:val="00CE6077"/>
    <w:rsid w:val="00CE608E"/>
    <w:rsid w:val="00CE6143"/>
    <w:rsid w:val="00CE6151"/>
    <w:rsid w:val="00CE6179"/>
    <w:rsid w:val="00CE639C"/>
    <w:rsid w:val="00CE63DD"/>
    <w:rsid w:val="00CE63EC"/>
    <w:rsid w:val="00CE649F"/>
    <w:rsid w:val="00CE6529"/>
    <w:rsid w:val="00CE657A"/>
    <w:rsid w:val="00CE658F"/>
    <w:rsid w:val="00CE65A4"/>
    <w:rsid w:val="00CE65AD"/>
    <w:rsid w:val="00CE6603"/>
    <w:rsid w:val="00CE6673"/>
    <w:rsid w:val="00CE66CA"/>
    <w:rsid w:val="00CE66F2"/>
    <w:rsid w:val="00CE6708"/>
    <w:rsid w:val="00CE6763"/>
    <w:rsid w:val="00CE676F"/>
    <w:rsid w:val="00CE67F4"/>
    <w:rsid w:val="00CE694C"/>
    <w:rsid w:val="00CE69DD"/>
    <w:rsid w:val="00CE69E4"/>
    <w:rsid w:val="00CE6A0B"/>
    <w:rsid w:val="00CE6A4B"/>
    <w:rsid w:val="00CE6B20"/>
    <w:rsid w:val="00CE6B9B"/>
    <w:rsid w:val="00CE6BC7"/>
    <w:rsid w:val="00CE6C47"/>
    <w:rsid w:val="00CE6C84"/>
    <w:rsid w:val="00CE6CA8"/>
    <w:rsid w:val="00CE6CF7"/>
    <w:rsid w:val="00CE6CFF"/>
    <w:rsid w:val="00CE6D82"/>
    <w:rsid w:val="00CE6DED"/>
    <w:rsid w:val="00CE6EC6"/>
    <w:rsid w:val="00CE6FB3"/>
    <w:rsid w:val="00CE704F"/>
    <w:rsid w:val="00CE709E"/>
    <w:rsid w:val="00CE70C1"/>
    <w:rsid w:val="00CE720A"/>
    <w:rsid w:val="00CE7250"/>
    <w:rsid w:val="00CE72BA"/>
    <w:rsid w:val="00CE72CF"/>
    <w:rsid w:val="00CE7312"/>
    <w:rsid w:val="00CE732E"/>
    <w:rsid w:val="00CE7424"/>
    <w:rsid w:val="00CE742A"/>
    <w:rsid w:val="00CE74E1"/>
    <w:rsid w:val="00CE7527"/>
    <w:rsid w:val="00CE761D"/>
    <w:rsid w:val="00CE769B"/>
    <w:rsid w:val="00CE76C2"/>
    <w:rsid w:val="00CE7758"/>
    <w:rsid w:val="00CE7804"/>
    <w:rsid w:val="00CE7814"/>
    <w:rsid w:val="00CE78A7"/>
    <w:rsid w:val="00CE78A9"/>
    <w:rsid w:val="00CE78D5"/>
    <w:rsid w:val="00CE7918"/>
    <w:rsid w:val="00CE79D4"/>
    <w:rsid w:val="00CE7A14"/>
    <w:rsid w:val="00CE7A1A"/>
    <w:rsid w:val="00CE7A20"/>
    <w:rsid w:val="00CE7A49"/>
    <w:rsid w:val="00CE7A59"/>
    <w:rsid w:val="00CE7AA6"/>
    <w:rsid w:val="00CE7B97"/>
    <w:rsid w:val="00CE7C2B"/>
    <w:rsid w:val="00CE7C65"/>
    <w:rsid w:val="00CE7D7F"/>
    <w:rsid w:val="00CE7E29"/>
    <w:rsid w:val="00CE7E2F"/>
    <w:rsid w:val="00CE7F07"/>
    <w:rsid w:val="00CF00E4"/>
    <w:rsid w:val="00CF015F"/>
    <w:rsid w:val="00CF01C6"/>
    <w:rsid w:val="00CF01DC"/>
    <w:rsid w:val="00CF01EA"/>
    <w:rsid w:val="00CF01F6"/>
    <w:rsid w:val="00CF023F"/>
    <w:rsid w:val="00CF0243"/>
    <w:rsid w:val="00CF0266"/>
    <w:rsid w:val="00CF02F2"/>
    <w:rsid w:val="00CF032C"/>
    <w:rsid w:val="00CF03AB"/>
    <w:rsid w:val="00CF03BB"/>
    <w:rsid w:val="00CF043E"/>
    <w:rsid w:val="00CF04A0"/>
    <w:rsid w:val="00CF0616"/>
    <w:rsid w:val="00CF06B6"/>
    <w:rsid w:val="00CF06C0"/>
    <w:rsid w:val="00CF06F2"/>
    <w:rsid w:val="00CF06F4"/>
    <w:rsid w:val="00CF0722"/>
    <w:rsid w:val="00CF0768"/>
    <w:rsid w:val="00CF077D"/>
    <w:rsid w:val="00CF07CD"/>
    <w:rsid w:val="00CF07EF"/>
    <w:rsid w:val="00CF09AB"/>
    <w:rsid w:val="00CF09D3"/>
    <w:rsid w:val="00CF09E2"/>
    <w:rsid w:val="00CF0A5D"/>
    <w:rsid w:val="00CF0ABB"/>
    <w:rsid w:val="00CF0AC4"/>
    <w:rsid w:val="00CF0B6A"/>
    <w:rsid w:val="00CF0B88"/>
    <w:rsid w:val="00CF0B96"/>
    <w:rsid w:val="00CF0BE6"/>
    <w:rsid w:val="00CF0CCD"/>
    <w:rsid w:val="00CF0CD8"/>
    <w:rsid w:val="00CF0CFE"/>
    <w:rsid w:val="00CF0E7D"/>
    <w:rsid w:val="00CF0E8F"/>
    <w:rsid w:val="00CF0F83"/>
    <w:rsid w:val="00CF0FC2"/>
    <w:rsid w:val="00CF1006"/>
    <w:rsid w:val="00CF1026"/>
    <w:rsid w:val="00CF103D"/>
    <w:rsid w:val="00CF1186"/>
    <w:rsid w:val="00CF127C"/>
    <w:rsid w:val="00CF12AB"/>
    <w:rsid w:val="00CF1369"/>
    <w:rsid w:val="00CF13C4"/>
    <w:rsid w:val="00CF142A"/>
    <w:rsid w:val="00CF144A"/>
    <w:rsid w:val="00CF145C"/>
    <w:rsid w:val="00CF14A1"/>
    <w:rsid w:val="00CF14D5"/>
    <w:rsid w:val="00CF150C"/>
    <w:rsid w:val="00CF1516"/>
    <w:rsid w:val="00CF15EE"/>
    <w:rsid w:val="00CF1602"/>
    <w:rsid w:val="00CF1686"/>
    <w:rsid w:val="00CF1694"/>
    <w:rsid w:val="00CF16D9"/>
    <w:rsid w:val="00CF1750"/>
    <w:rsid w:val="00CF1766"/>
    <w:rsid w:val="00CF177A"/>
    <w:rsid w:val="00CF1794"/>
    <w:rsid w:val="00CF1861"/>
    <w:rsid w:val="00CF186B"/>
    <w:rsid w:val="00CF1875"/>
    <w:rsid w:val="00CF187C"/>
    <w:rsid w:val="00CF18F8"/>
    <w:rsid w:val="00CF190D"/>
    <w:rsid w:val="00CF1922"/>
    <w:rsid w:val="00CF1952"/>
    <w:rsid w:val="00CF1B85"/>
    <w:rsid w:val="00CF1BD0"/>
    <w:rsid w:val="00CF1BF5"/>
    <w:rsid w:val="00CF1C91"/>
    <w:rsid w:val="00CF1CCB"/>
    <w:rsid w:val="00CF1D1F"/>
    <w:rsid w:val="00CF1DD0"/>
    <w:rsid w:val="00CF1E08"/>
    <w:rsid w:val="00CF1ECC"/>
    <w:rsid w:val="00CF1F12"/>
    <w:rsid w:val="00CF1F19"/>
    <w:rsid w:val="00CF1FF3"/>
    <w:rsid w:val="00CF208C"/>
    <w:rsid w:val="00CF209D"/>
    <w:rsid w:val="00CF219D"/>
    <w:rsid w:val="00CF2263"/>
    <w:rsid w:val="00CF228A"/>
    <w:rsid w:val="00CF22EA"/>
    <w:rsid w:val="00CF23B9"/>
    <w:rsid w:val="00CF23D2"/>
    <w:rsid w:val="00CF241B"/>
    <w:rsid w:val="00CF2527"/>
    <w:rsid w:val="00CF252A"/>
    <w:rsid w:val="00CF257A"/>
    <w:rsid w:val="00CF2659"/>
    <w:rsid w:val="00CF2702"/>
    <w:rsid w:val="00CF2756"/>
    <w:rsid w:val="00CF2758"/>
    <w:rsid w:val="00CF278C"/>
    <w:rsid w:val="00CF280B"/>
    <w:rsid w:val="00CF2842"/>
    <w:rsid w:val="00CF28C2"/>
    <w:rsid w:val="00CF2904"/>
    <w:rsid w:val="00CF2913"/>
    <w:rsid w:val="00CF2A72"/>
    <w:rsid w:val="00CF2A80"/>
    <w:rsid w:val="00CF2AFE"/>
    <w:rsid w:val="00CF2B90"/>
    <w:rsid w:val="00CF2BE4"/>
    <w:rsid w:val="00CF2C4C"/>
    <w:rsid w:val="00CF2CC2"/>
    <w:rsid w:val="00CF2CEA"/>
    <w:rsid w:val="00CF2E4F"/>
    <w:rsid w:val="00CF2E56"/>
    <w:rsid w:val="00CF2E5F"/>
    <w:rsid w:val="00CF2E79"/>
    <w:rsid w:val="00CF2EA8"/>
    <w:rsid w:val="00CF2F15"/>
    <w:rsid w:val="00CF2FF0"/>
    <w:rsid w:val="00CF3074"/>
    <w:rsid w:val="00CF309F"/>
    <w:rsid w:val="00CF3192"/>
    <w:rsid w:val="00CF31A4"/>
    <w:rsid w:val="00CF33BC"/>
    <w:rsid w:val="00CF33CF"/>
    <w:rsid w:val="00CF3446"/>
    <w:rsid w:val="00CF3473"/>
    <w:rsid w:val="00CF3485"/>
    <w:rsid w:val="00CF349D"/>
    <w:rsid w:val="00CF3541"/>
    <w:rsid w:val="00CF3599"/>
    <w:rsid w:val="00CF35B8"/>
    <w:rsid w:val="00CF35DC"/>
    <w:rsid w:val="00CF36E7"/>
    <w:rsid w:val="00CF3716"/>
    <w:rsid w:val="00CF3753"/>
    <w:rsid w:val="00CF37E4"/>
    <w:rsid w:val="00CF388A"/>
    <w:rsid w:val="00CF3898"/>
    <w:rsid w:val="00CF38B2"/>
    <w:rsid w:val="00CF3A04"/>
    <w:rsid w:val="00CF3AAC"/>
    <w:rsid w:val="00CF3AB2"/>
    <w:rsid w:val="00CF3AFA"/>
    <w:rsid w:val="00CF3B96"/>
    <w:rsid w:val="00CF3BB4"/>
    <w:rsid w:val="00CF3D6C"/>
    <w:rsid w:val="00CF3DA9"/>
    <w:rsid w:val="00CF3DCA"/>
    <w:rsid w:val="00CF3DFC"/>
    <w:rsid w:val="00CF3F06"/>
    <w:rsid w:val="00CF4071"/>
    <w:rsid w:val="00CF40FB"/>
    <w:rsid w:val="00CF4118"/>
    <w:rsid w:val="00CF4129"/>
    <w:rsid w:val="00CF4172"/>
    <w:rsid w:val="00CF418D"/>
    <w:rsid w:val="00CF4239"/>
    <w:rsid w:val="00CF428E"/>
    <w:rsid w:val="00CF42BB"/>
    <w:rsid w:val="00CF4324"/>
    <w:rsid w:val="00CF4336"/>
    <w:rsid w:val="00CF4537"/>
    <w:rsid w:val="00CF45CB"/>
    <w:rsid w:val="00CF468E"/>
    <w:rsid w:val="00CF46D8"/>
    <w:rsid w:val="00CF47C6"/>
    <w:rsid w:val="00CF47CD"/>
    <w:rsid w:val="00CF4848"/>
    <w:rsid w:val="00CF48C5"/>
    <w:rsid w:val="00CF48D9"/>
    <w:rsid w:val="00CF4902"/>
    <w:rsid w:val="00CF490D"/>
    <w:rsid w:val="00CF4976"/>
    <w:rsid w:val="00CF4A1A"/>
    <w:rsid w:val="00CF4A4A"/>
    <w:rsid w:val="00CF4CEF"/>
    <w:rsid w:val="00CF4E06"/>
    <w:rsid w:val="00CF50B5"/>
    <w:rsid w:val="00CF50EE"/>
    <w:rsid w:val="00CF51EE"/>
    <w:rsid w:val="00CF522C"/>
    <w:rsid w:val="00CF5256"/>
    <w:rsid w:val="00CF5284"/>
    <w:rsid w:val="00CF5306"/>
    <w:rsid w:val="00CF534A"/>
    <w:rsid w:val="00CF5372"/>
    <w:rsid w:val="00CF54C5"/>
    <w:rsid w:val="00CF56ED"/>
    <w:rsid w:val="00CF575D"/>
    <w:rsid w:val="00CF57AC"/>
    <w:rsid w:val="00CF57DE"/>
    <w:rsid w:val="00CF57F5"/>
    <w:rsid w:val="00CF5871"/>
    <w:rsid w:val="00CF587B"/>
    <w:rsid w:val="00CF5895"/>
    <w:rsid w:val="00CF58CA"/>
    <w:rsid w:val="00CF590A"/>
    <w:rsid w:val="00CF595B"/>
    <w:rsid w:val="00CF59DD"/>
    <w:rsid w:val="00CF59FB"/>
    <w:rsid w:val="00CF5AC3"/>
    <w:rsid w:val="00CF5B54"/>
    <w:rsid w:val="00CF5BD3"/>
    <w:rsid w:val="00CF5C1D"/>
    <w:rsid w:val="00CF5CA9"/>
    <w:rsid w:val="00CF5CB8"/>
    <w:rsid w:val="00CF5D84"/>
    <w:rsid w:val="00CF5D8D"/>
    <w:rsid w:val="00CF5EE7"/>
    <w:rsid w:val="00CF5FA6"/>
    <w:rsid w:val="00CF6026"/>
    <w:rsid w:val="00CF60E3"/>
    <w:rsid w:val="00CF61B8"/>
    <w:rsid w:val="00CF61CC"/>
    <w:rsid w:val="00CF625A"/>
    <w:rsid w:val="00CF62BD"/>
    <w:rsid w:val="00CF62C9"/>
    <w:rsid w:val="00CF63DC"/>
    <w:rsid w:val="00CF643B"/>
    <w:rsid w:val="00CF6504"/>
    <w:rsid w:val="00CF6538"/>
    <w:rsid w:val="00CF655F"/>
    <w:rsid w:val="00CF66E0"/>
    <w:rsid w:val="00CF6728"/>
    <w:rsid w:val="00CF677A"/>
    <w:rsid w:val="00CF67D8"/>
    <w:rsid w:val="00CF6800"/>
    <w:rsid w:val="00CF682B"/>
    <w:rsid w:val="00CF6861"/>
    <w:rsid w:val="00CF6913"/>
    <w:rsid w:val="00CF691F"/>
    <w:rsid w:val="00CF69CF"/>
    <w:rsid w:val="00CF69F6"/>
    <w:rsid w:val="00CF6B3E"/>
    <w:rsid w:val="00CF6B4A"/>
    <w:rsid w:val="00CF6B52"/>
    <w:rsid w:val="00CF6BBA"/>
    <w:rsid w:val="00CF6CB0"/>
    <w:rsid w:val="00CF6CC9"/>
    <w:rsid w:val="00CF6D7D"/>
    <w:rsid w:val="00CF6DDC"/>
    <w:rsid w:val="00CF6F17"/>
    <w:rsid w:val="00CF6F8D"/>
    <w:rsid w:val="00CF6F96"/>
    <w:rsid w:val="00CF7013"/>
    <w:rsid w:val="00CF7018"/>
    <w:rsid w:val="00CF70F2"/>
    <w:rsid w:val="00CF7117"/>
    <w:rsid w:val="00CF71D5"/>
    <w:rsid w:val="00CF71E3"/>
    <w:rsid w:val="00CF7285"/>
    <w:rsid w:val="00CF73B3"/>
    <w:rsid w:val="00CF73BE"/>
    <w:rsid w:val="00CF7463"/>
    <w:rsid w:val="00CF747D"/>
    <w:rsid w:val="00CF74E6"/>
    <w:rsid w:val="00CF754B"/>
    <w:rsid w:val="00CF755E"/>
    <w:rsid w:val="00CF75A3"/>
    <w:rsid w:val="00CF76C3"/>
    <w:rsid w:val="00CF781C"/>
    <w:rsid w:val="00CF787D"/>
    <w:rsid w:val="00CF78B4"/>
    <w:rsid w:val="00CF7977"/>
    <w:rsid w:val="00CF7A86"/>
    <w:rsid w:val="00CF7AA6"/>
    <w:rsid w:val="00CF7AB6"/>
    <w:rsid w:val="00CF7B36"/>
    <w:rsid w:val="00CF7B9A"/>
    <w:rsid w:val="00CF7B9B"/>
    <w:rsid w:val="00CF7CAD"/>
    <w:rsid w:val="00CF7CFD"/>
    <w:rsid w:val="00CF7E98"/>
    <w:rsid w:val="00CF7ECF"/>
    <w:rsid w:val="00CF7ED9"/>
    <w:rsid w:val="00CF7FB6"/>
    <w:rsid w:val="00CF7FDB"/>
    <w:rsid w:val="00D00018"/>
    <w:rsid w:val="00D0018C"/>
    <w:rsid w:val="00D00197"/>
    <w:rsid w:val="00D00244"/>
    <w:rsid w:val="00D002F0"/>
    <w:rsid w:val="00D00367"/>
    <w:rsid w:val="00D00412"/>
    <w:rsid w:val="00D004EB"/>
    <w:rsid w:val="00D00580"/>
    <w:rsid w:val="00D005A0"/>
    <w:rsid w:val="00D00655"/>
    <w:rsid w:val="00D00677"/>
    <w:rsid w:val="00D0068B"/>
    <w:rsid w:val="00D006F3"/>
    <w:rsid w:val="00D0074C"/>
    <w:rsid w:val="00D007C0"/>
    <w:rsid w:val="00D007EB"/>
    <w:rsid w:val="00D0088A"/>
    <w:rsid w:val="00D008C7"/>
    <w:rsid w:val="00D00970"/>
    <w:rsid w:val="00D009DC"/>
    <w:rsid w:val="00D00B53"/>
    <w:rsid w:val="00D00C31"/>
    <w:rsid w:val="00D00C45"/>
    <w:rsid w:val="00D00C60"/>
    <w:rsid w:val="00D00CC8"/>
    <w:rsid w:val="00D00D7C"/>
    <w:rsid w:val="00D00D90"/>
    <w:rsid w:val="00D00D97"/>
    <w:rsid w:val="00D00E5A"/>
    <w:rsid w:val="00D00E69"/>
    <w:rsid w:val="00D00F0C"/>
    <w:rsid w:val="00D00F54"/>
    <w:rsid w:val="00D0106E"/>
    <w:rsid w:val="00D01094"/>
    <w:rsid w:val="00D010A1"/>
    <w:rsid w:val="00D010CA"/>
    <w:rsid w:val="00D010D9"/>
    <w:rsid w:val="00D011B3"/>
    <w:rsid w:val="00D0122E"/>
    <w:rsid w:val="00D013B3"/>
    <w:rsid w:val="00D013CF"/>
    <w:rsid w:val="00D014E1"/>
    <w:rsid w:val="00D01528"/>
    <w:rsid w:val="00D016E5"/>
    <w:rsid w:val="00D016EA"/>
    <w:rsid w:val="00D01874"/>
    <w:rsid w:val="00D0188D"/>
    <w:rsid w:val="00D01902"/>
    <w:rsid w:val="00D0192E"/>
    <w:rsid w:val="00D019A6"/>
    <w:rsid w:val="00D01A57"/>
    <w:rsid w:val="00D01A68"/>
    <w:rsid w:val="00D01AA3"/>
    <w:rsid w:val="00D01AEB"/>
    <w:rsid w:val="00D01B00"/>
    <w:rsid w:val="00D01B42"/>
    <w:rsid w:val="00D01C7C"/>
    <w:rsid w:val="00D01CDA"/>
    <w:rsid w:val="00D01D0F"/>
    <w:rsid w:val="00D01D13"/>
    <w:rsid w:val="00D01D50"/>
    <w:rsid w:val="00D01E0C"/>
    <w:rsid w:val="00D0205C"/>
    <w:rsid w:val="00D02073"/>
    <w:rsid w:val="00D02123"/>
    <w:rsid w:val="00D0214E"/>
    <w:rsid w:val="00D02286"/>
    <w:rsid w:val="00D02290"/>
    <w:rsid w:val="00D022C3"/>
    <w:rsid w:val="00D02318"/>
    <w:rsid w:val="00D02336"/>
    <w:rsid w:val="00D02341"/>
    <w:rsid w:val="00D02377"/>
    <w:rsid w:val="00D023CA"/>
    <w:rsid w:val="00D0247F"/>
    <w:rsid w:val="00D024F2"/>
    <w:rsid w:val="00D024F7"/>
    <w:rsid w:val="00D02526"/>
    <w:rsid w:val="00D02560"/>
    <w:rsid w:val="00D0260A"/>
    <w:rsid w:val="00D0261C"/>
    <w:rsid w:val="00D028F3"/>
    <w:rsid w:val="00D02918"/>
    <w:rsid w:val="00D02947"/>
    <w:rsid w:val="00D02B20"/>
    <w:rsid w:val="00D02BAC"/>
    <w:rsid w:val="00D02BCE"/>
    <w:rsid w:val="00D02C49"/>
    <w:rsid w:val="00D02CAC"/>
    <w:rsid w:val="00D02D08"/>
    <w:rsid w:val="00D02D66"/>
    <w:rsid w:val="00D02DB7"/>
    <w:rsid w:val="00D02F20"/>
    <w:rsid w:val="00D03014"/>
    <w:rsid w:val="00D030F8"/>
    <w:rsid w:val="00D0318C"/>
    <w:rsid w:val="00D031F9"/>
    <w:rsid w:val="00D03219"/>
    <w:rsid w:val="00D0322B"/>
    <w:rsid w:val="00D032F3"/>
    <w:rsid w:val="00D032FA"/>
    <w:rsid w:val="00D032FD"/>
    <w:rsid w:val="00D033CA"/>
    <w:rsid w:val="00D033DE"/>
    <w:rsid w:val="00D033FE"/>
    <w:rsid w:val="00D03484"/>
    <w:rsid w:val="00D0348C"/>
    <w:rsid w:val="00D034C6"/>
    <w:rsid w:val="00D034DD"/>
    <w:rsid w:val="00D03554"/>
    <w:rsid w:val="00D03601"/>
    <w:rsid w:val="00D03615"/>
    <w:rsid w:val="00D03620"/>
    <w:rsid w:val="00D03626"/>
    <w:rsid w:val="00D0366A"/>
    <w:rsid w:val="00D03675"/>
    <w:rsid w:val="00D036D2"/>
    <w:rsid w:val="00D037A6"/>
    <w:rsid w:val="00D038B6"/>
    <w:rsid w:val="00D03938"/>
    <w:rsid w:val="00D039E8"/>
    <w:rsid w:val="00D03A46"/>
    <w:rsid w:val="00D03B60"/>
    <w:rsid w:val="00D03BE4"/>
    <w:rsid w:val="00D03C2C"/>
    <w:rsid w:val="00D03C94"/>
    <w:rsid w:val="00D03D4E"/>
    <w:rsid w:val="00D03EC3"/>
    <w:rsid w:val="00D03F83"/>
    <w:rsid w:val="00D03FC2"/>
    <w:rsid w:val="00D03FE5"/>
    <w:rsid w:val="00D04058"/>
    <w:rsid w:val="00D04072"/>
    <w:rsid w:val="00D040B0"/>
    <w:rsid w:val="00D0415B"/>
    <w:rsid w:val="00D0425D"/>
    <w:rsid w:val="00D042D2"/>
    <w:rsid w:val="00D0439C"/>
    <w:rsid w:val="00D04422"/>
    <w:rsid w:val="00D0443D"/>
    <w:rsid w:val="00D04462"/>
    <w:rsid w:val="00D0466D"/>
    <w:rsid w:val="00D04684"/>
    <w:rsid w:val="00D046CF"/>
    <w:rsid w:val="00D0474B"/>
    <w:rsid w:val="00D047BA"/>
    <w:rsid w:val="00D04821"/>
    <w:rsid w:val="00D04862"/>
    <w:rsid w:val="00D0489B"/>
    <w:rsid w:val="00D0499D"/>
    <w:rsid w:val="00D049D2"/>
    <w:rsid w:val="00D04ACF"/>
    <w:rsid w:val="00D04AE2"/>
    <w:rsid w:val="00D04AEE"/>
    <w:rsid w:val="00D04B1F"/>
    <w:rsid w:val="00D04BB8"/>
    <w:rsid w:val="00D04BC5"/>
    <w:rsid w:val="00D04C4F"/>
    <w:rsid w:val="00D04CBE"/>
    <w:rsid w:val="00D04D73"/>
    <w:rsid w:val="00D04E8F"/>
    <w:rsid w:val="00D04E91"/>
    <w:rsid w:val="00D04E9B"/>
    <w:rsid w:val="00D04F1A"/>
    <w:rsid w:val="00D04F2F"/>
    <w:rsid w:val="00D0501C"/>
    <w:rsid w:val="00D0502C"/>
    <w:rsid w:val="00D0502E"/>
    <w:rsid w:val="00D05118"/>
    <w:rsid w:val="00D05186"/>
    <w:rsid w:val="00D051AC"/>
    <w:rsid w:val="00D0535F"/>
    <w:rsid w:val="00D05461"/>
    <w:rsid w:val="00D054A3"/>
    <w:rsid w:val="00D0550F"/>
    <w:rsid w:val="00D0553E"/>
    <w:rsid w:val="00D0560B"/>
    <w:rsid w:val="00D05648"/>
    <w:rsid w:val="00D0564F"/>
    <w:rsid w:val="00D0565A"/>
    <w:rsid w:val="00D056AD"/>
    <w:rsid w:val="00D056F4"/>
    <w:rsid w:val="00D05723"/>
    <w:rsid w:val="00D0572A"/>
    <w:rsid w:val="00D05770"/>
    <w:rsid w:val="00D057A3"/>
    <w:rsid w:val="00D058E0"/>
    <w:rsid w:val="00D05998"/>
    <w:rsid w:val="00D0599F"/>
    <w:rsid w:val="00D059A3"/>
    <w:rsid w:val="00D059DE"/>
    <w:rsid w:val="00D05ACA"/>
    <w:rsid w:val="00D05AD1"/>
    <w:rsid w:val="00D05B00"/>
    <w:rsid w:val="00D05B13"/>
    <w:rsid w:val="00D05B43"/>
    <w:rsid w:val="00D05C3C"/>
    <w:rsid w:val="00D05DBC"/>
    <w:rsid w:val="00D05DED"/>
    <w:rsid w:val="00D05E02"/>
    <w:rsid w:val="00D05E43"/>
    <w:rsid w:val="00D05E86"/>
    <w:rsid w:val="00D05EA6"/>
    <w:rsid w:val="00D05EAF"/>
    <w:rsid w:val="00D05EDC"/>
    <w:rsid w:val="00D05EE0"/>
    <w:rsid w:val="00D05F0D"/>
    <w:rsid w:val="00D05FA9"/>
    <w:rsid w:val="00D05FFA"/>
    <w:rsid w:val="00D060C6"/>
    <w:rsid w:val="00D0624B"/>
    <w:rsid w:val="00D06252"/>
    <w:rsid w:val="00D0625B"/>
    <w:rsid w:val="00D06278"/>
    <w:rsid w:val="00D062B0"/>
    <w:rsid w:val="00D06349"/>
    <w:rsid w:val="00D06431"/>
    <w:rsid w:val="00D06473"/>
    <w:rsid w:val="00D06478"/>
    <w:rsid w:val="00D0649E"/>
    <w:rsid w:val="00D064C8"/>
    <w:rsid w:val="00D064F3"/>
    <w:rsid w:val="00D065CE"/>
    <w:rsid w:val="00D06621"/>
    <w:rsid w:val="00D06681"/>
    <w:rsid w:val="00D06779"/>
    <w:rsid w:val="00D067A7"/>
    <w:rsid w:val="00D06894"/>
    <w:rsid w:val="00D06912"/>
    <w:rsid w:val="00D069B0"/>
    <w:rsid w:val="00D06B0F"/>
    <w:rsid w:val="00D06C02"/>
    <w:rsid w:val="00D06CC8"/>
    <w:rsid w:val="00D06DD8"/>
    <w:rsid w:val="00D06DE4"/>
    <w:rsid w:val="00D06E17"/>
    <w:rsid w:val="00D06EF3"/>
    <w:rsid w:val="00D070BF"/>
    <w:rsid w:val="00D07292"/>
    <w:rsid w:val="00D072BA"/>
    <w:rsid w:val="00D07332"/>
    <w:rsid w:val="00D073AA"/>
    <w:rsid w:val="00D07431"/>
    <w:rsid w:val="00D074E0"/>
    <w:rsid w:val="00D0754F"/>
    <w:rsid w:val="00D07574"/>
    <w:rsid w:val="00D07590"/>
    <w:rsid w:val="00D0769E"/>
    <w:rsid w:val="00D076FE"/>
    <w:rsid w:val="00D07740"/>
    <w:rsid w:val="00D077BF"/>
    <w:rsid w:val="00D0793A"/>
    <w:rsid w:val="00D07A10"/>
    <w:rsid w:val="00D07B27"/>
    <w:rsid w:val="00D07B90"/>
    <w:rsid w:val="00D07BB3"/>
    <w:rsid w:val="00D07BEF"/>
    <w:rsid w:val="00D07C2B"/>
    <w:rsid w:val="00D07C70"/>
    <w:rsid w:val="00D07D0E"/>
    <w:rsid w:val="00D07D62"/>
    <w:rsid w:val="00D07D79"/>
    <w:rsid w:val="00D07D81"/>
    <w:rsid w:val="00D07D9E"/>
    <w:rsid w:val="00D07E4C"/>
    <w:rsid w:val="00D07EE0"/>
    <w:rsid w:val="00D07F1C"/>
    <w:rsid w:val="00D07F48"/>
    <w:rsid w:val="00D07F56"/>
    <w:rsid w:val="00D07F5B"/>
    <w:rsid w:val="00D100C1"/>
    <w:rsid w:val="00D102F4"/>
    <w:rsid w:val="00D103A0"/>
    <w:rsid w:val="00D103A7"/>
    <w:rsid w:val="00D1042B"/>
    <w:rsid w:val="00D104AE"/>
    <w:rsid w:val="00D10571"/>
    <w:rsid w:val="00D105AC"/>
    <w:rsid w:val="00D10684"/>
    <w:rsid w:val="00D10696"/>
    <w:rsid w:val="00D10781"/>
    <w:rsid w:val="00D1082B"/>
    <w:rsid w:val="00D1082F"/>
    <w:rsid w:val="00D10870"/>
    <w:rsid w:val="00D10915"/>
    <w:rsid w:val="00D109B4"/>
    <w:rsid w:val="00D109FA"/>
    <w:rsid w:val="00D10A25"/>
    <w:rsid w:val="00D10AFB"/>
    <w:rsid w:val="00D10B0C"/>
    <w:rsid w:val="00D10B5D"/>
    <w:rsid w:val="00D10BA8"/>
    <w:rsid w:val="00D10BE1"/>
    <w:rsid w:val="00D10C21"/>
    <w:rsid w:val="00D10C53"/>
    <w:rsid w:val="00D10C8E"/>
    <w:rsid w:val="00D10CD1"/>
    <w:rsid w:val="00D10D2D"/>
    <w:rsid w:val="00D10D32"/>
    <w:rsid w:val="00D111EE"/>
    <w:rsid w:val="00D11238"/>
    <w:rsid w:val="00D1124F"/>
    <w:rsid w:val="00D112D0"/>
    <w:rsid w:val="00D113B0"/>
    <w:rsid w:val="00D11412"/>
    <w:rsid w:val="00D1141B"/>
    <w:rsid w:val="00D11473"/>
    <w:rsid w:val="00D1149D"/>
    <w:rsid w:val="00D114C2"/>
    <w:rsid w:val="00D1157D"/>
    <w:rsid w:val="00D115AB"/>
    <w:rsid w:val="00D115EF"/>
    <w:rsid w:val="00D115F1"/>
    <w:rsid w:val="00D1163A"/>
    <w:rsid w:val="00D11680"/>
    <w:rsid w:val="00D116A3"/>
    <w:rsid w:val="00D11757"/>
    <w:rsid w:val="00D11790"/>
    <w:rsid w:val="00D11975"/>
    <w:rsid w:val="00D11A22"/>
    <w:rsid w:val="00D11AF6"/>
    <w:rsid w:val="00D11B07"/>
    <w:rsid w:val="00D11B16"/>
    <w:rsid w:val="00D11B4D"/>
    <w:rsid w:val="00D11BCB"/>
    <w:rsid w:val="00D11C82"/>
    <w:rsid w:val="00D11D7C"/>
    <w:rsid w:val="00D11E49"/>
    <w:rsid w:val="00D11E6C"/>
    <w:rsid w:val="00D11E7A"/>
    <w:rsid w:val="00D11EBB"/>
    <w:rsid w:val="00D11F72"/>
    <w:rsid w:val="00D11FD4"/>
    <w:rsid w:val="00D12107"/>
    <w:rsid w:val="00D12251"/>
    <w:rsid w:val="00D1235D"/>
    <w:rsid w:val="00D12405"/>
    <w:rsid w:val="00D124F7"/>
    <w:rsid w:val="00D12642"/>
    <w:rsid w:val="00D12686"/>
    <w:rsid w:val="00D12713"/>
    <w:rsid w:val="00D12733"/>
    <w:rsid w:val="00D12865"/>
    <w:rsid w:val="00D1286D"/>
    <w:rsid w:val="00D1287C"/>
    <w:rsid w:val="00D129AC"/>
    <w:rsid w:val="00D129B2"/>
    <w:rsid w:val="00D12A11"/>
    <w:rsid w:val="00D12AF4"/>
    <w:rsid w:val="00D12BEE"/>
    <w:rsid w:val="00D12D10"/>
    <w:rsid w:val="00D12D2E"/>
    <w:rsid w:val="00D12E22"/>
    <w:rsid w:val="00D12EEB"/>
    <w:rsid w:val="00D12F0F"/>
    <w:rsid w:val="00D12F6C"/>
    <w:rsid w:val="00D12FB3"/>
    <w:rsid w:val="00D13012"/>
    <w:rsid w:val="00D13049"/>
    <w:rsid w:val="00D13097"/>
    <w:rsid w:val="00D13111"/>
    <w:rsid w:val="00D131C0"/>
    <w:rsid w:val="00D131D5"/>
    <w:rsid w:val="00D13216"/>
    <w:rsid w:val="00D13219"/>
    <w:rsid w:val="00D13233"/>
    <w:rsid w:val="00D13249"/>
    <w:rsid w:val="00D1324F"/>
    <w:rsid w:val="00D1327E"/>
    <w:rsid w:val="00D132CE"/>
    <w:rsid w:val="00D13301"/>
    <w:rsid w:val="00D13313"/>
    <w:rsid w:val="00D13455"/>
    <w:rsid w:val="00D13468"/>
    <w:rsid w:val="00D13562"/>
    <w:rsid w:val="00D1365A"/>
    <w:rsid w:val="00D136B6"/>
    <w:rsid w:val="00D136C6"/>
    <w:rsid w:val="00D1381F"/>
    <w:rsid w:val="00D138E8"/>
    <w:rsid w:val="00D138EC"/>
    <w:rsid w:val="00D1390F"/>
    <w:rsid w:val="00D139D1"/>
    <w:rsid w:val="00D13B4A"/>
    <w:rsid w:val="00D13BD4"/>
    <w:rsid w:val="00D13C0A"/>
    <w:rsid w:val="00D13C33"/>
    <w:rsid w:val="00D13CAF"/>
    <w:rsid w:val="00D13CC6"/>
    <w:rsid w:val="00D13CF8"/>
    <w:rsid w:val="00D13D42"/>
    <w:rsid w:val="00D13D86"/>
    <w:rsid w:val="00D13DEE"/>
    <w:rsid w:val="00D13E75"/>
    <w:rsid w:val="00D13EB2"/>
    <w:rsid w:val="00D13EDA"/>
    <w:rsid w:val="00D1405B"/>
    <w:rsid w:val="00D140FB"/>
    <w:rsid w:val="00D14105"/>
    <w:rsid w:val="00D14132"/>
    <w:rsid w:val="00D1416F"/>
    <w:rsid w:val="00D141A2"/>
    <w:rsid w:val="00D141B9"/>
    <w:rsid w:val="00D141F0"/>
    <w:rsid w:val="00D14220"/>
    <w:rsid w:val="00D14262"/>
    <w:rsid w:val="00D1428F"/>
    <w:rsid w:val="00D142E9"/>
    <w:rsid w:val="00D142FD"/>
    <w:rsid w:val="00D14339"/>
    <w:rsid w:val="00D143AD"/>
    <w:rsid w:val="00D143FF"/>
    <w:rsid w:val="00D1464F"/>
    <w:rsid w:val="00D1477B"/>
    <w:rsid w:val="00D1480C"/>
    <w:rsid w:val="00D1481C"/>
    <w:rsid w:val="00D148AE"/>
    <w:rsid w:val="00D149AC"/>
    <w:rsid w:val="00D149F0"/>
    <w:rsid w:val="00D14A34"/>
    <w:rsid w:val="00D14A96"/>
    <w:rsid w:val="00D14AA8"/>
    <w:rsid w:val="00D14AEA"/>
    <w:rsid w:val="00D14B98"/>
    <w:rsid w:val="00D14BF2"/>
    <w:rsid w:val="00D14C8E"/>
    <w:rsid w:val="00D14CD5"/>
    <w:rsid w:val="00D14D0B"/>
    <w:rsid w:val="00D14D72"/>
    <w:rsid w:val="00D14DB9"/>
    <w:rsid w:val="00D14DC7"/>
    <w:rsid w:val="00D14DF3"/>
    <w:rsid w:val="00D14E0F"/>
    <w:rsid w:val="00D14E11"/>
    <w:rsid w:val="00D14E2E"/>
    <w:rsid w:val="00D14E2F"/>
    <w:rsid w:val="00D14E3C"/>
    <w:rsid w:val="00D14E7E"/>
    <w:rsid w:val="00D15040"/>
    <w:rsid w:val="00D150A1"/>
    <w:rsid w:val="00D15112"/>
    <w:rsid w:val="00D1511A"/>
    <w:rsid w:val="00D151AB"/>
    <w:rsid w:val="00D1524C"/>
    <w:rsid w:val="00D152B1"/>
    <w:rsid w:val="00D152FB"/>
    <w:rsid w:val="00D15395"/>
    <w:rsid w:val="00D15449"/>
    <w:rsid w:val="00D154AB"/>
    <w:rsid w:val="00D1551B"/>
    <w:rsid w:val="00D155FB"/>
    <w:rsid w:val="00D156F4"/>
    <w:rsid w:val="00D15768"/>
    <w:rsid w:val="00D15773"/>
    <w:rsid w:val="00D157FF"/>
    <w:rsid w:val="00D15819"/>
    <w:rsid w:val="00D1585D"/>
    <w:rsid w:val="00D1590B"/>
    <w:rsid w:val="00D159FB"/>
    <w:rsid w:val="00D15B06"/>
    <w:rsid w:val="00D15B9D"/>
    <w:rsid w:val="00D15BC5"/>
    <w:rsid w:val="00D15BEC"/>
    <w:rsid w:val="00D15D33"/>
    <w:rsid w:val="00D15D5E"/>
    <w:rsid w:val="00D15EE9"/>
    <w:rsid w:val="00D15FD7"/>
    <w:rsid w:val="00D16049"/>
    <w:rsid w:val="00D160D5"/>
    <w:rsid w:val="00D16237"/>
    <w:rsid w:val="00D162F6"/>
    <w:rsid w:val="00D163B0"/>
    <w:rsid w:val="00D163D9"/>
    <w:rsid w:val="00D163E4"/>
    <w:rsid w:val="00D1640C"/>
    <w:rsid w:val="00D16410"/>
    <w:rsid w:val="00D1645E"/>
    <w:rsid w:val="00D16526"/>
    <w:rsid w:val="00D16529"/>
    <w:rsid w:val="00D1658A"/>
    <w:rsid w:val="00D1663D"/>
    <w:rsid w:val="00D16706"/>
    <w:rsid w:val="00D1676E"/>
    <w:rsid w:val="00D16886"/>
    <w:rsid w:val="00D168B2"/>
    <w:rsid w:val="00D168EA"/>
    <w:rsid w:val="00D16933"/>
    <w:rsid w:val="00D16987"/>
    <w:rsid w:val="00D16B28"/>
    <w:rsid w:val="00D16B89"/>
    <w:rsid w:val="00D16BF2"/>
    <w:rsid w:val="00D16C1C"/>
    <w:rsid w:val="00D16D15"/>
    <w:rsid w:val="00D16E28"/>
    <w:rsid w:val="00D16E9F"/>
    <w:rsid w:val="00D16EB6"/>
    <w:rsid w:val="00D16EBA"/>
    <w:rsid w:val="00D16ED5"/>
    <w:rsid w:val="00D17018"/>
    <w:rsid w:val="00D1714B"/>
    <w:rsid w:val="00D17176"/>
    <w:rsid w:val="00D1723A"/>
    <w:rsid w:val="00D17312"/>
    <w:rsid w:val="00D17383"/>
    <w:rsid w:val="00D17446"/>
    <w:rsid w:val="00D17473"/>
    <w:rsid w:val="00D174D4"/>
    <w:rsid w:val="00D17518"/>
    <w:rsid w:val="00D1751A"/>
    <w:rsid w:val="00D175F4"/>
    <w:rsid w:val="00D17688"/>
    <w:rsid w:val="00D17742"/>
    <w:rsid w:val="00D1777F"/>
    <w:rsid w:val="00D17835"/>
    <w:rsid w:val="00D1786C"/>
    <w:rsid w:val="00D17A32"/>
    <w:rsid w:val="00D17A81"/>
    <w:rsid w:val="00D17AEE"/>
    <w:rsid w:val="00D17AFD"/>
    <w:rsid w:val="00D17BBD"/>
    <w:rsid w:val="00D17BC7"/>
    <w:rsid w:val="00D17CB3"/>
    <w:rsid w:val="00D17D13"/>
    <w:rsid w:val="00D17D94"/>
    <w:rsid w:val="00D17E13"/>
    <w:rsid w:val="00D17E95"/>
    <w:rsid w:val="00D17EB7"/>
    <w:rsid w:val="00D17F8C"/>
    <w:rsid w:val="00D17FFE"/>
    <w:rsid w:val="00D20134"/>
    <w:rsid w:val="00D2024B"/>
    <w:rsid w:val="00D202A3"/>
    <w:rsid w:val="00D20325"/>
    <w:rsid w:val="00D20340"/>
    <w:rsid w:val="00D2037E"/>
    <w:rsid w:val="00D2038F"/>
    <w:rsid w:val="00D20441"/>
    <w:rsid w:val="00D204FF"/>
    <w:rsid w:val="00D20529"/>
    <w:rsid w:val="00D206E0"/>
    <w:rsid w:val="00D20A75"/>
    <w:rsid w:val="00D20AC6"/>
    <w:rsid w:val="00D20B99"/>
    <w:rsid w:val="00D20BC7"/>
    <w:rsid w:val="00D20BF6"/>
    <w:rsid w:val="00D20C52"/>
    <w:rsid w:val="00D20C8E"/>
    <w:rsid w:val="00D20DA3"/>
    <w:rsid w:val="00D20DDA"/>
    <w:rsid w:val="00D20E19"/>
    <w:rsid w:val="00D20E47"/>
    <w:rsid w:val="00D20E67"/>
    <w:rsid w:val="00D20EA1"/>
    <w:rsid w:val="00D20EAA"/>
    <w:rsid w:val="00D20EC6"/>
    <w:rsid w:val="00D20FDA"/>
    <w:rsid w:val="00D21147"/>
    <w:rsid w:val="00D211F8"/>
    <w:rsid w:val="00D21206"/>
    <w:rsid w:val="00D21270"/>
    <w:rsid w:val="00D21275"/>
    <w:rsid w:val="00D212D7"/>
    <w:rsid w:val="00D212E1"/>
    <w:rsid w:val="00D2148B"/>
    <w:rsid w:val="00D2148F"/>
    <w:rsid w:val="00D214F3"/>
    <w:rsid w:val="00D2167B"/>
    <w:rsid w:val="00D216BE"/>
    <w:rsid w:val="00D2176B"/>
    <w:rsid w:val="00D2176C"/>
    <w:rsid w:val="00D21796"/>
    <w:rsid w:val="00D21798"/>
    <w:rsid w:val="00D2182E"/>
    <w:rsid w:val="00D21841"/>
    <w:rsid w:val="00D218F0"/>
    <w:rsid w:val="00D2192B"/>
    <w:rsid w:val="00D2195E"/>
    <w:rsid w:val="00D219E1"/>
    <w:rsid w:val="00D21A2D"/>
    <w:rsid w:val="00D21ABD"/>
    <w:rsid w:val="00D21AC2"/>
    <w:rsid w:val="00D21AC6"/>
    <w:rsid w:val="00D21B76"/>
    <w:rsid w:val="00D21C99"/>
    <w:rsid w:val="00D21E83"/>
    <w:rsid w:val="00D22023"/>
    <w:rsid w:val="00D2204A"/>
    <w:rsid w:val="00D22110"/>
    <w:rsid w:val="00D22295"/>
    <w:rsid w:val="00D222D2"/>
    <w:rsid w:val="00D223DB"/>
    <w:rsid w:val="00D2243A"/>
    <w:rsid w:val="00D2243F"/>
    <w:rsid w:val="00D22610"/>
    <w:rsid w:val="00D22673"/>
    <w:rsid w:val="00D226C6"/>
    <w:rsid w:val="00D22700"/>
    <w:rsid w:val="00D22737"/>
    <w:rsid w:val="00D227E9"/>
    <w:rsid w:val="00D22803"/>
    <w:rsid w:val="00D228A0"/>
    <w:rsid w:val="00D228D0"/>
    <w:rsid w:val="00D2292A"/>
    <w:rsid w:val="00D2292B"/>
    <w:rsid w:val="00D22A01"/>
    <w:rsid w:val="00D22A07"/>
    <w:rsid w:val="00D22B7E"/>
    <w:rsid w:val="00D22CB2"/>
    <w:rsid w:val="00D22CE4"/>
    <w:rsid w:val="00D22D2D"/>
    <w:rsid w:val="00D22D53"/>
    <w:rsid w:val="00D22D9F"/>
    <w:rsid w:val="00D22DDF"/>
    <w:rsid w:val="00D22E1A"/>
    <w:rsid w:val="00D22E54"/>
    <w:rsid w:val="00D22EF2"/>
    <w:rsid w:val="00D22F0D"/>
    <w:rsid w:val="00D22F29"/>
    <w:rsid w:val="00D22F63"/>
    <w:rsid w:val="00D23073"/>
    <w:rsid w:val="00D231BD"/>
    <w:rsid w:val="00D232C4"/>
    <w:rsid w:val="00D23342"/>
    <w:rsid w:val="00D2335E"/>
    <w:rsid w:val="00D233B9"/>
    <w:rsid w:val="00D23424"/>
    <w:rsid w:val="00D23488"/>
    <w:rsid w:val="00D234EF"/>
    <w:rsid w:val="00D23568"/>
    <w:rsid w:val="00D2356D"/>
    <w:rsid w:val="00D23582"/>
    <w:rsid w:val="00D235E8"/>
    <w:rsid w:val="00D23627"/>
    <w:rsid w:val="00D23711"/>
    <w:rsid w:val="00D23744"/>
    <w:rsid w:val="00D237FC"/>
    <w:rsid w:val="00D238C8"/>
    <w:rsid w:val="00D23951"/>
    <w:rsid w:val="00D2396E"/>
    <w:rsid w:val="00D23AB6"/>
    <w:rsid w:val="00D23C28"/>
    <w:rsid w:val="00D23CDA"/>
    <w:rsid w:val="00D23DA5"/>
    <w:rsid w:val="00D23DBD"/>
    <w:rsid w:val="00D23EC4"/>
    <w:rsid w:val="00D23F42"/>
    <w:rsid w:val="00D23F82"/>
    <w:rsid w:val="00D23FBE"/>
    <w:rsid w:val="00D24023"/>
    <w:rsid w:val="00D2410C"/>
    <w:rsid w:val="00D2414C"/>
    <w:rsid w:val="00D2416B"/>
    <w:rsid w:val="00D24191"/>
    <w:rsid w:val="00D241C8"/>
    <w:rsid w:val="00D24277"/>
    <w:rsid w:val="00D2429F"/>
    <w:rsid w:val="00D24372"/>
    <w:rsid w:val="00D243BB"/>
    <w:rsid w:val="00D243BE"/>
    <w:rsid w:val="00D2452B"/>
    <w:rsid w:val="00D2453E"/>
    <w:rsid w:val="00D2461C"/>
    <w:rsid w:val="00D24649"/>
    <w:rsid w:val="00D2467F"/>
    <w:rsid w:val="00D24697"/>
    <w:rsid w:val="00D246E0"/>
    <w:rsid w:val="00D246ED"/>
    <w:rsid w:val="00D24780"/>
    <w:rsid w:val="00D247DE"/>
    <w:rsid w:val="00D247E5"/>
    <w:rsid w:val="00D2487D"/>
    <w:rsid w:val="00D249EE"/>
    <w:rsid w:val="00D24A47"/>
    <w:rsid w:val="00D24A51"/>
    <w:rsid w:val="00D24AB6"/>
    <w:rsid w:val="00D24B36"/>
    <w:rsid w:val="00D24D1D"/>
    <w:rsid w:val="00D24D7D"/>
    <w:rsid w:val="00D24E83"/>
    <w:rsid w:val="00D24ED5"/>
    <w:rsid w:val="00D25149"/>
    <w:rsid w:val="00D25213"/>
    <w:rsid w:val="00D25342"/>
    <w:rsid w:val="00D25381"/>
    <w:rsid w:val="00D2538C"/>
    <w:rsid w:val="00D25544"/>
    <w:rsid w:val="00D25567"/>
    <w:rsid w:val="00D2565D"/>
    <w:rsid w:val="00D25793"/>
    <w:rsid w:val="00D2584B"/>
    <w:rsid w:val="00D25894"/>
    <w:rsid w:val="00D25930"/>
    <w:rsid w:val="00D25958"/>
    <w:rsid w:val="00D259C8"/>
    <w:rsid w:val="00D25A0C"/>
    <w:rsid w:val="00D25A7C"/>
    <w:rsid w:val="00D25B2A"/>
    <w:rsid w:val="00D25BAF"/>
    <w:rsid w:val="00D25BDD"/>
    <w:rsid w:val="00D25BED"/>
    <w:rsid w:val="00D25DA4"/>
    <w:rsid w:val="00D25DA9"/>
    <w:rsid w:val="00D25E87"/>
    <w:rsid w:val="00D25EA1"/>
    <w:rsid w:val="00D25F03"/>
    <w:rsid w:val="00D25FA1"/>
    <w:rsid w:val="00D26075"/>
    <w:rsid w:val="00D26182"/>
    <w:rsid w:val="00D261E6"/>
    <w:rsid w:val="00D26269"/>
    <w:rsid w:val="00D262D1"/>
    <w:rsid w:val="00D26345"/>
    <w:rsid w:val="00D2634F"/>
    <w:rsid w:val="00D263D1"/>
    <w:rsid w:val="00D26450"/>
    <w:rsid w:val="00D26462"/>
    <w:rsid w:val="00D26542"/>
    <w:rsid w:val="00D2657D"/>
    <w:rsid w:val="00D26588"/>
    <w:rsid w:val="00D265A3"/>
    <w:rsid w:val="00D266B2"/>
    <w:rsid w:val="00D2670C"/>
    <w:rsid w:val="00D2672E"/>
    <w:rsid w:val="00D269DB"/>
    <w:rsid w:val="00D26A0A"/>
    <w:rsid w:val="00D26A14"/>
    <w:rsid w:val="00D26A5B"/>
    <w:rsid w:val="00D26AF6"/>
    <w:rsid w:val="00D26B2F"/>
    <w:rsid w:val="00D26B9C"/>
    <w:rsid w:val="00D26BBC"/>
    <w:rsid w:val="00D26CC7"/>
    <w:rsid w:val="00D26DF1"/>
    <w:rsid w:val="00D26E6C"/>
    <w:rsid w:val="00D26ECE"/>
    <w:rsid w:val="00D26F62"/>
    <w:rsid w:val="00D26FAF"/>
    <w:rsid w:val="00D27076"/>
    <w:rsid w:val="00D270F5"/>
    <w:rsid w:val="00D27119"/>
    <w:rsid w:val="00D2713B"/>
    <w:rsid w:val="00D27193"/>
    <w:rsid w:val="00D2723E"/>
    <w:rsid w:val="00D27257"/>
    <w:rsid w:val="00D27301"/>
    <w:rsid w:val="00D27329"/>
    <w:rsid w:val="00D2733D"/>
    <w:rsid w:val="00D2737E"/>
    <w:rsid w:val="00D27440"/>
    <w:rsid w:val="00D2751A"/>
    <w:rsid w:val="00D276A9"/>
    <w:rsid w:val="00D2771B"/>
    <w:rsid w:val="00D27733"/>
    <w:rsid w:val="00D2777E"/>
    <w:rsid w:val="00D27786"/>
    <w:rsid w:val="00D277A5"/>
    <w:rsid w:val="00D277E9"/>
    <w:rsid w:val="00D27803"/>
    <w:rsid w:val="00D2790F"/>
    <w:rsid w:val="00D2791A"/>
    <w:rsid w:val="00D2795D"/>
    <w:rsid w:val="00D27978"/>
    <w:rsid w:val="00D279F1"/>
    <w:rsid w:val="00D27A63"/>
    <w:rsid w:val="00D27A70"/>
    <w:rsid w:val="00D27AB6"/>
    <w:rsid w:val="00D27AEA"/>
    <w:rsid w:val="00D27B30"/>
    <w:rsid w:val="00D27BB7"/>
    <w:rsid w:val="00D27BC8"/>
    <w:rsid w:val="00D27BCE"/>
    <w:rsid w:val="00D27BF9"/>
    <w:rsid w:val="00D27BFA"/>
    <w:rsid w:val="00D27C26"/>
    <w:rsid w:val="00D27C2C"/>
    <w:rsid w:val="00D27D26"/>
    <w:rsid w:val="00D27DC3"/>
    <w:rsid w:val="00D27E2A"/>
    <w:rsid w:val="00D27F14"/>
    <w:rsid w:val="00D27F6A"/>
    <w:rsid w:val="00D27F79"/>
    <w:rsid w:val="00D27F88"/>
    <w:rsid w:val="00D30067"/>
    <w:rsid w:val="00D30114"/>
    <w:rsid w:val="00D3012C"/>
    <w:rsid w:val="00D3016A"/>
    <w:rsid w:val="00D30199"/>
    <w:rsid w:val="00D3024C"/>
    <w:rsid w:val="00D30324"/>
    <w:rsid w:val="00D3037F"/>
    <w:rsid w:val="00D30396"/>
    <w:rsid w:val="00D3043C"/>
    <w:rsid w:val="00D304DB"/>
    <w:rsid w:val="00D30522"/>
    <w:rsid w:val="00D3054B"/>
    <w:rsid w:val="00D30772"/>
    <w:rsid w:val="00D307FB"/>
    <w:rsid w:val="00D307FC"/>
    <w:rsid w:val="00D30823"/>
    <w:rsid w:val="00D308AF"/>
    <w:rsid w:val="00D3090D"/>
    <w:rsid w:val="00D30944"/>
    <w:rsid w:val="00D309CB"/>
    <w:rsid w:val="00D309FC"/>
    <w:rsid w:val="00D30A7F"/>
    <w:rsid w:val="00D30A9F"/>
    <w:rsid w:val="00D30B0B"/>
    <w:rsid w:val="00D30BF3"/>
    <w:rsid w:val="00D30C68"/>
    <w:rsid w:val="00D30CBE"/>
    <w:rsid w:val="00D30E44"/>
    <w:rsid w:val="00D30E4E"/>
    <w:rsid w:val="00D30E8B"/>
    <w:rsid w:val="00D30EFD"/>
    <w:rsid w:val="00D30F80"/>
    <w:rsid w:val="00D30FB6"/>
    <w:rsid w:val="00D30FD7"/>
    <w:rsid w:val="00D31001"/>
    <w:rsid w:val="00D3102C"/>
    <w:rsid w:val="00D31040"/>
    <w:rsid w:val="00D31059"/>
    <w:rsid w:val="00D310A8"/>
    <w:rsid w:val="00D31151"/>
    <w:rsid w:val="00D31231"/>
    <w:rsid w:val="00D3125E"/>
    <w:rsid w:val="00D31273"/>
    <w:rsid w:val="00D3127E"/>
    <w:rsid w:val="00D31280"/>
    <w:rsid w:val="00D313C0"/>
    <w:rsid w:val="00D31422"/>
    <w:rsid w:val="00D314E1"/>
    <w:rsid w:val="00D3157A"/>
    <w:rsid w:val="00D315CD"/>
    <w:rsid w:val="00D31670"/>
    <w:rsid w:val="00D3170C"/>
    <w:rsid w:val="00D317FB"/>
    <w:rsid w:val="00D3187C"/>
    <w:rsid w:val="00D3188F"/>
    <w:rsid w:val="00D318F7"/>
    <w:rsid w:val="00D31920"/>
    <w:rsid w:val="00D31937"/>
    <w:rsid w:val="00D31961"/>
    <w:rsid w:val="00D319EB"/>
    <w:rsid w:val="00D31A2C"/>
    <w:rsid w:val="00D31A72"/>
    <w:rsid w:val="00D31A7F"/>
    <w:rsid w:val="00D31A81"/>
    <w:rsid w:val="00D31C5D"/>
    <w:rsid w:val="00D31C7A"/>
    <w:rsid w:val="00D31C9A"/>
    <w:rsid w:val="00D31CBF"/>
    <w:rsid w:val="00D31D2B"/>
    <w:rsid w:val="00D31E80"/>
    <w:rsid w:val="00D320AE"/>
    <w:rsid w:val="00D320EA"/>
    <w:rsid w:val="00D3211A"/>
    <w:rsid w:val="00D32154"/>
    <w:rsid w:val="00D3217A"/>
    <w:rsid w:val="00D32202"/>
    <w:rsid w:val="00D32282"/>
    <w:rsid w:val="00D3241A"/>
    <w:rsid w:val="00D3242E"/>
    <w:rsid w:val="00D3252F"/>
    <w:rsid w:val="00D32558"/>
    <w:rsid w:val="00D32610"/>
    <w:rsid w:val="00D3262B"/>
    <w:rsid w:val="00D3280D"/>
    <w:rsid w:val="00D328B9"/>
    <w:rsid w:val="00D32998"/>
    <w:rsid w:val="00D32AD3"/>
    <w:rsid w:val="00D32BBD"/>
    <w:rsid w:val="00D32BD7"/>
    <w:rsid w:val="00D32BE8"/>
    <w:rsid w:val="00D32BF4"/>
    <w:rsid w:val="00D32D52"/>
    <w:rsid w:val="00D32DEC"/>
    <w:rsid w:val="00D32DEE"/>
    <w:rsid w:val="00D32E02"/>
    <w:rsid w:val="00D32E08"/>
    <w:rsid w:val="00D32E2F"/>
    <w:rsid w:val="00D32E98"/>
    <w:rsid w:val="00D32EA6"/>
    <w:rsid w:val="00D33040"/>
    <w:rsid w:val="00D33053"/>
    <w:rsid w:val="00D3309B"/>
    <w:rsid w:val="00D330AD"/>
    <w:rsid w:val="00D330C4"/>
    <w:rsid w:val="00D330E0"/>
    <w:rsid w:val="00D33136"/>
    <w:rsid w:val="00D33196"/>
    <w:rsid w:val="00D331A1"/>
    <w:rsid w:val="00D331BC"/>
    <w:rsid w:val="00D331CA"/>
    <w:rsid w:val="00D3327B"/>
    <w:rsid w:val="00D3327C"/>
    <w:rsid w:val="00D3328F"/>
    <w:rsid w:val="00D333D9"/>
    <w:rsid w:val="00D3344D"/>
    <w:rsid w:val="00D3358C"/>
    <w:rsid w:val="00D335B6"/>
    <w:rsid w:val="00D335EC"/>
    <w:rsid w:val="00D33610"/>
    <w:rsid w:val="00D33618"/>
    <w:rsid w:val="00D33620"/>
    <w:rsid w:val="00D337CB"/>
    <w:rsid w:val="00D33877"/>
    <w:rsid w:val="00D3395E"/>
    <w:rsid w:val="00D33961"/>
    <w:rsid w:val="00D33A1C"/>
    <w:rsid w:val="00D33A41"/>
    <w:rsid w:val="00D33A4D"/>
    <w:rsid w:val="00D33AAC"/>
    <w:rsid w:val="00D33B20"/>
    <w:rsid w:val="00D33B55"/>
    <w:rsid w:val="00D33B8F"/>
    <w:rsid w:val="00D33C58"/>
    <w:rsid w:val="00D33C89"/>
    <w:rsid w:val="00D33C9A"/>
    <w:rsid w:val="00D33D2C"/>
    <w:rsid w:val="00D33D49"/>
    <w:rsid w:val="00D33D5F"/>
    <w:rsid w:val="00D33FFA"/>
    <w:rsid w:val="00D34050"/>
    <w:rsid w:val="00D3408E"/>
    <w:rsid w:val="00D340E4"/>
    <w:rsid w:val="00D340FD"/>
    <w:rsid w:val="00D34105"/>
    <w:rsid w:val="00D3411A"/>
    <w:rsid w:val="00D3413A"/>
    <w:rsid w:val="00D341CE"/>
    <w:rsid w:val="00D341F7"/>
    <w:rsid w:val="00D343D9"/>
    <w:rsid w:val="00D343DF"/>
    <w:rsid w:val="00D3445A"/>
    <w:rsid w:val="00D34618"/>
    <w:rsid w:val="00D346E0"/>
    <w:rsid w:val="00D346FE"/>
    <w:rsid w:val="00D34713"/>
    <w:rsid w:val="00D34760"/>
    <w:rsid w:val="00D347C2"/>
    <w:rsid w:val="00D3485F"/>
    <w:rsid w:val="00D348ED"/>
    <w:rsid w:val="00D34929"/>
    <w:rsid w:val="00D34938"/>
    <w:rsid w:val="00D34B08"/>
    <w:rsid w:val="00D34B49"/>
    <w:rsid w:val="00D34C28"/>
    <w:rsid w:val="00D34CE4"/>
    <w:rsid w:val="00D34D19"/>
    <w:rsid w:val="00D34DD7"/>
    <w:rsid w:val="00D34DFF"/>
    <w:rsid w:val="00D34F30"/>
    <w:rsid w:val="00D350CB"/>
    <w:rsid w:val="00D350DE"/>
    <w:rsid w:val="00D35181"/>
    <w:rsid w:val="00D35196"/>
    <w:rsid w:val="00D35232"/>
    <w:rsid w:val="00D3525C"/>
    <w:rsid w:val="00D35274"/>
    <w:rsid w:val="00D352E8"/>
    <w:rsid w:val="00D353AA"/>
    <w:rsid w:val="00D354A0"/>
    <w:rsid w:val="00D35503"/>
    <w:rsid w:val="00D35514"/>
    <w:rsid w:val="00D3562F"/>
    <w:rsid w:val="00D356EB"/>
    <w:rsid w:val="00D3576F"/>
    <w:rsid w:val="00D3580B"/>
    <w:rsid w:val="00D35888"/>
    <w:rsid w:val="00D35897"/>
    <w:rsid w:val="00D358FF"/>
    <w:rsid w:val="00D3593F"/>
    <w:rsid w:val="00D3594B"/>
    <w:rsid w:val="00D35A0C"/>
    <w:rsid w:val="00D35A13"/>
    <w:rsid w:val="00D35A32"/>
    <w:rsid w:val="00D35A7E"/>
    <w:rsid w:val="00D35B4D"/>
    <w:rsid w:val="00D35B5C"/>
    <w:rsid w:val="00D35C8C"/>
    <w:rsid w:val="00D35C93"/>
    <w:rsid w:val="00D35CCB"/>
    <w:rsid w:val="00D35D84"/>
    <w:rsid w:val="00D35E97"/>
    <w:rsid w:val="00D35EA5"/>
    <w:rsid w:val="00D35EB5"/>
    <w:rsid w:val="00D35EEB"/>
    <w:rsid w:val="00D35F10"/>
    <w:rsid w:val="00D35F27"/>
    <w:rsid w:val="00D35F99"/>
    <w:rsid w:val="00D35FFF"/>
    <w:rsid w:val="00D3604B"/>
    <w:rsid w:val="00D3608C"/>
    <w:rsid w:val="00D360FF"/>
    <w:rsid w:val="00D36106"/>
    <w:rsid w:val="00D36139"/>
    <w:rsid w:val="00D36158"/>
    <w:rsid w:val="00D36193"/>
    <w:rsid w:val="00D361A5"/>
    <w:rsid w:val="00D361EA"/>
    <w:rsid w:val="00D36324"/>
    <w:rsid w:val="00D3637A"/>
    <w:rsid w:val="00D36450"/>
    <w:rsid w:val="00D36467"/>
    <w:rsid w:val="00D364A8"/>
    <w:rsid w:val="00D364E2"/>
    <w:rsid w:val="00D364F5"/>
    <w:rsid w:val="00D364FA"/>
    <w:rsid w:val="00D36503"/>
    <w:rsid w:val="00D36591"/>
    <w:rsid w:val="00D36738"/>
    <w:rsid w:val="00D36757"/>
    <w:rsid w:val="00D3676B"/>
    <w:rsid w:val="00D367A7"/>
    <w:rsid w:val="00D367FB"/>
    <w:rsid w:val="00D36855"/>
    <w:rsid w:val="00D368D8"/>
    <w:rsid w:val="00D36A28"/>
    <w:rsid w:val="00D36A3D"/>
    <w:rsid w:val="00D36AF5"/>
    <w:rsid w:val="00D36D37"/>
    <w:rsid w:val="00D36D41"/>
    <w:rsid w:val="00D36D86"/>
    <w:rsid w:val="00D36D87"/>
    <w:rsid w:val="00D36DB3"/>
    <w:rsid w:val="00D36DEC"/>
    <w:rsid w:val="00D36E4A"/>
    <w:rsid w:val="00D36E98"/>
    <w:rsid w:val="00D36EFC"/>
    <w:rsid w:val="00D36F8D"/>
    <w:rsid w:val="00D371AD"/>
    <w:rsid w:val="00D37277"/>
    <w:rsid w:val="00D372EB"/>
    <w:rsid w:val="00D37300"/>
    <w:rsid w:val="00D3739F"/>
    <w:rsid w:val="00D3744D"/>
    <w:rsid w:val="00D374E8"/>
    <w:rsid w:val="00D37546"/>
    <w:rsid w:val="00D3756D"/>
    <w:rsid w:val="00D37688"/>
    <w:rsid w:val="00D376B0"/>
    <w:rsid w:val="00D37807"/>
    <w:rsid w:val="00D37876"/>
    <w:rsid w:val="00D3787F"/>
    <w:rsid w:val="00D378CA"/>
    <w:rsid w:val="00D379CE"/>
    <w:rsid w:val="00D379FB"/>
    <w:rsid w:val="00D37A14"/>
    <w:rsid w:val="00D37AFF"/>
    <w:rsid w:val="00D37B11"/>
    <w:rsid w:val="00D37B45"/>
    <w:rsid w:val="00D37B71"/>
    <w:rsid w:val="00D37C66"/>
    <w:rsid w:val="00D37C6E"/>
    <w:rsid w:val="00D37D1C"/>
    <w:rsid w:val="00D37D23"/>
    <w:rsid w:val="00D37D27"/>
    <w:rsid w:val="00D37D7D"/>
    <w:rsid w:val="00D37EC8"/>
    <w:rsid w:val="00D37EEF"/>
    <w:rsid w:val="00D37F36"/>
    <w:rsid w:val="00D37F9C"/>
    <w:rsid w:val="00D37F9E"/>
    <w:rsid w:val="00D37FCE"/>
    <w:rsid w:val="00D4001E"/>
    <w:rsid w:val="00D4007F"/>
    <w:rsid w:val="00D401D4"/>
    <w:rsid w:val="00D401EB"/>
    <w:rsid w:val="00D4020B"/>
    <w:rsid w:val="00D40225"/>
    <w:rsid w:val="00D4027A"/>
    <w:rsid w:val="00D402E1"/>
    <w:rsid w:val="00D403D0"/>
    <w:rsid w:val="00D404F5"/>
    <w:rsid w:val="00D4052D"/>
    <w:rsid w:val="00D4056B"/>
    <w:rsid w:val="00D405BA"/>
    <w:rsid w:val="00D405DA"/>
    <w:rsid w:val="00D40615"/>
    <w:rsid w:val="00D40620"/>
    <w:rsid w:val="00D406D0"/>
    <w:rsid w:val="00D407C1"/>
    <w:rsid w:val="00D40854"/>
    <w:rsid w:val="00D40B87"/>
    <w:rsid w:val="00D40C26"/>
    <w:rsid w:val="00D40CC5"/>
    <w:rsid w:val="00D40CE9"/>
    <w:rsid w:val="00D40CF7"/>
    <w:rsid w:val="00D40D4D"/>
    <w:rsid w:val="00D40E70"/>
    <w:rsid w:val="00D40E93"/>
    <w:rsid w:val="00D40F7D"/>
    <w:rsid w:val="00D4118D"/>
    <w:rsid w:val="00D41352"/>
    <w:rsid w:val="00D413DC"/>
    <w:rsid w:val="00D414E0"/>
    <w:rsid w:val="00D4155D"/>
    <w:rsid w:val="00D41630"/>
    <w:rsid w:val="00D416BB"/>
    <w:rsid w:val="00D4179A"/>
    <w:rsid w:val="00D4180E"/>
    <w:rsid w:val="00D41813"/>
    <w:rsid w:val="00D41892"/>
    <w:rsid w:val="00D41902"/>
    <w:rsid w:val="00D41948"/>
    <w:rsid w:val="00D41996"/>
    <w:rsid w:val="00D41A4E"/>
    <w:rsid w:val="00D41A5E"/>
    <w:rsid w:val="00D41ADF"/>
    <w:rsid w:val="00D41B4B"/>
    <w:rsid w:val="00D41B6B"/>
    <w:rsid w:val="00D41C46"/>
    <w:rsid w:val="00D41DBE"/>
    <w:rsid w:val="00D41E83"/>
    <w:rsid w:val="00D41EB3"/>
    <w:rsid w:val="00D41EC0"/>
    <w:rsid w:val="00D41FA7"/>
    <w:rsid w:val="00D41FAE"/>
    <w:rsid w:val="00D41FED"/>
    <w:rsid w:val="00D42083"/>
    <w:rsid w:val="00D421B6"/>
    <w:rsid w:val="00D4221A"/>
    <w:rsid w:val="00D42377"/>
    <w:rsid w:val="00D4237D"/>
    <w:rsid w:val="00D4264F"/>
    <w:rsid w:val="00D42720"/>
    <w:rsid w:val="00D42800"/>
    <w:rsid w:val="00D42816"/>
    <w:rsid w:val="00D42942"/>
    <w:rsid w:val="00D42A4F"/>
    <w:rsid w:val="00D42AD9"/>
    <w:rsid w:val="00D42B02"/>
    <w:rsid w:val="00D42BC0"/>
    <w:rsid w:val="00D42CF3"/>
    <w:rsid w:val="00D42DE0"/>
    <w:rsid w:val="00D42E11"/>
    <w:rsid w:val="00D42E4B"/>
    <w:rsid w:val="00D42F5A"/>
    <w:rsid w:val="00D42F5B"/>
    <w:rsid w:val="00D42FE2"/>
    <w:rsid w:val="00D42FEF"/>
    <w:rsid w:val="00D430A4"/>
    <w:rsid w:val="00D430F2"/>
    <w:rsid w:val="00D43134"/>
    <w:rsid w:val="00D43137"/>
    <w:rsid w:val="00D4313E"/>
    <w:rsid w:val="00D4317E"/>
    <w:rsid w:val="00D43195"/>
    <w:rsid w:val="00D4319E"/>
    <w:rsid w:val="00D43227"/>
    <w:rsid w:val="00D43245"/>
    <w:rsid w:val="00D4326E"/>
    <w:rsid w:val="00D4329A"/>
    <w:rsid w:val="00D43311"/>
    <w:rsid w:val="00D4333E"/>
    <w:rsid w:val="00D4337E"/>
    <w:rsid w:val="00D4345D"/>
    <w:rsid w:val="00D434B9"/>
    <w:rsid w:val="00D43542"/>
    <w:rsid w:val="00D43577"/>
    <w:rsid w:val="00D4358A"/>
    <w:rsid w:val="00D43601"/>
    <w:rsid w:val="00D4361C"/>
    <w:rsid w:val="00D4370F"/>
    <w:rsid w:val="00D43774"/>
    <w:rsid w:val="00D43897"/>
    <w:rsid w:val="00D43974"/>
    <w:rsid w:val="00D439AB"/>
    <w:rsid w:val="00D439B4"/>
    <w:rsid w:val="00D43A70"/>
    <w:rsid w:val="00D43AF6"/>
    <w:rsid w:val="00D43B7E"/>
    <w:rsid w:val="00D43CA5"/>
    <w:rsid w:val="00D43D8C"/>
    <w:rsid w:val="00D43DEB"/>
    <w:rsid w:val="00D43E27"/>
    <w:rsid w:val="00D43E37"/>
    <w:rsid w:val="00D43EEA"/>
    <w:rsid w:val="00D43EF0"/>
    <w:rsid w:val="00D43F37"/>
    <w:rsid w:val="00D43FB9"/>
    <w:rsid w:val="00D43FCF"/>
    <w:rsid w:val="00D44056"/>
    <w:rsid w:val="00D440A0"/>
    <w:rsid w:val="00D4415B"/>
    <w:rsid w:val="00D44184"/>
    <w:rsid w:val="00D441E2"/>
    <w:rsid w:val="00D44279"/>
    <w:rsid w:val="00D44289"/>
    <w:rsid w:val="00D442AC"/>
    <w:rsid w:val="00D442FD"/>
    <w:rsid w:val="00D44370"/>
    <w:rsid w:val="00D4437D"/>
    <w:rsid w:val="00D44383"/>
    <w:rsid w:val="00D4449A"/>
    <w:rsid w:val="00D4455F"/>
    <w:rsid w:val="00D44561"/>
    <w:rsid w:val="00D446E6"/>
    <w:rsid w:val="00D44754"/>
    <w:rsid w:val="00D447E8"/>
    <w:rsid w:val="00D4492D"/>
    <w:rsid w:val="00D44988"/>
    <w:rsid w:val="00D44989"/>
    <w:rsid w:val="00D4499F"/>
    <w:rsid w:val="00D449AD"/>
    <w:rsid w:val="00D449F5"/>
    <w:rsid w:val="00D44A62"/>
    <w:rsid w:val="00D44D53"/>
    <w:rsid w:val="00D44E22"/>
    <w:rsid w:val="00D44FB8"/>
    <w:rsid w:val="00D450B8"/>
    <w:rsid w:val="00D450BB"/>
    <w:rsid w:val="00D450E2"/>
    <w:rsid w:val="00D450E6"/>
    <w:rsid w:val="00D4514A"/>
    <w:rsid w:val="00D452AB"/>
    <w:rsid w:val="00D4530C"/>
    <w:rsid w:val="00D453A0"/>
    <w:rsid w:val="00D453FC"/>
    <w:rsid w:val="00D45431"/>
    <w:rsid w:val="00D454FE"/>
    <w:rsid w:val="00D45539"/>
    <w:rsid w:val="00D4559B"/>
    <w:rsid w:val="00D45676"/>
    <w:rsid w:val="00D4579D"/>
    <w:rsid w:val="00D457B3"/>
    <w:rsid w:val="00D457E7"/>
    <w:rsid w:val="00D45960"/>
    <w:rsid w:val="00D45993"/>
    <w:rsid w:val="00D459A1"/>
    <w:rsid w:val="00D45A01"/>
    <w:rsid w:val="00D45A0C"/>
    <w:rsid w:val="00D45A74"/>
    <w:rsid w:val="00D45A79"/>
    <w:rsid w:val="00D45AF2"/>
    <w:rsid w:val="00D45BB1"/>
    <w:rsid w:val="00D45D2D"/>
    <w:rsid w:val="00D45D34"/>
    <w:rsid w:val="00D45D7C"/>
    <w:rsid w:val="00D45EE4"/>
    <w:rsid w:val="00D45EEE"/>
    <w:rsid w:val="00D45F53"/>
    <w:rsid w:val="00D45F7F"/>
    <w:rsid w:val="00D45F8C"/>
    <w:rsid w:val="00D46013"/>
    <w:rsid w:val="00D4604A"/>
    <w:rsid w:val="00D4611B"/>
    <w:rsid w:val="00D462B7"/>
    <w:rsid w:val="00D46306"/>
    <w:rsid w:val="00D4636A"/>
    <w:rsid w:val="00D463E5"/>
    <w:rsid w:val="00D46421"/>
    <w:rsid w:val="00D46490"/>
    <w:rsid w:val="00D46544"/>
    <w:rsid w:val="00D46646"/>
    <w:rsid w:val="00D46783"/>
    <w:rsid w:val="00D467B6"/>
    <w:rsid w:val="00D46872"/>
    <w:rsid w:val="00D46889"/>
    <w:rsid w:val="00D46A1E"/>
    <w:rsid w:val="00D46A70"/>
    <w:rsid w:val="00D46BF8"/>
    <w:rsid w:val="00D46C1D"/>
    <w:rsid w:val="00D46CB0"/>
    <w:rsid w:val="00D46CB9"/>
    <w:rsid w:val="00D46CC7"/>
    <w:rsid w:val="00D46D6E"/>
    <w:rsid w:val="00D47051"/>
    <w:rsid w:val="00D47060"/>
    <w:rsid w:val="00D470B6"/>
    <w:rsid w:val="00D470D6"/>
    <w:rsid w:val="00D4710D"/>
    <w:rsid w:val="00D47136"/>
    <w:rsid w:val="00D4718D"/>
    <w:rsid w:val="00D47207"/>
    <w:rsid w:val="00D47226"/>
    <w:rsid w:val="00D47314"/>
    <w:rsid w:val="00D47441"/>
    <w:rsid w:val="00D474DF"/>
    <w:rsid w:val="00D47523"/>
    <w:rsid w:val="00D47545"/>
    <w:rsid w:val="00D47651"/>
    <w:rsid w:val="00D4767B"/>
    <w:rsid w:val="00D47691"/>
    <w:rsid w:val="00D476C9"/>
    <w:rsid w:val="00D47746"/>
    <w:rsid w:val="00D477A6"/>
    <w:rsid w:val="00D47805"/>
    <w:rsid w:val="00D4783A"/>
    <w:rsid w:val="00D478C7"/>
    <w:rsid w:val="00D47A20"/>
    <w:rsid w:val="00D47A4C"/>
    <w:rsid w:val="00D47AD3"/>
    <w:rsid w:val="00D47B68"/>
    <w:rsid w:val="00D47BA2"/>
    <w:rsid w:val="00D47BA7"/>
    <w:rsid w:val="00D47C0E"/>
    <w:rsid w:val="00D47C89"/>
    <w:rsid w:val="00D47CF1"/>
    <w:rsid w:val="00D47D0A"/>
    <w:rsid w:val="00D47D18"/>
    <w:rsid w:val="00D47D20"/>
    <w:rsid w:val="00D47E1F"/>
    <w:rsid w:val="00D47F4D"/>
    <w:rsid w:val="00D47FCE"/>
    <w:rsid w:val="00D47FF2"/>
    <w:rsid w:val="00D5006E"/>
    <w:rsid w:val="00D500F0"/>
    <w:rsid w:val="00D5022D"/>
    <w:rsid w:val="00D50339"/>
    <w:rsid w:val="00D5033F"/>
    <w:rsid w:val="00D50360"/>
    <w:rsid w:val="00D50372"/>
    <w:rsid w:val="00D503EA"/>
    <w:rsid w:val="00D5046C"/>
    <w:rsid w:val="00D504B2"/>
    <w:rsid w:val="00D504F9"/>
    <w:rsid w:val="00D50504"/>
    <w:rsid w:val="00D5055A"/>
    <w:rsid w:val="00D50640"/>
    <w:rsid w:val="00D50677"/>
    <w:rsid w:val="00D506A4"/>
    <w:rsid w:val="00D506B0"/>
    <w:rsid w:val="00D507A3"/>
    <w:rsid w:val="00D507BC"/>
    <w:rsid w:val="00D507CE"/>
    <w:rsid w:val="00D50892"/>
    <w:rsid w:val="00D50959"/>
    <w:rsid w:val="00D50B15"/>
    <w:rsid w:val="00D50B17"/>
    <w:rsid w:val="00D50B6B"/>
    <w:rsid w:val="00D50B98"/>
    <w:rsid w:val="00D50BAD"/>
    <w:rsid w:val="00D50C6D"/>
    <w:rsid w:val="00D50C8E"/>
    <w:rsid w:val="00D50D3E"/>
    <w:rsid w:val="00D50E02"/>
    <w:rsid w:val="00D50E2E"/>
    <w:rsid w:val="00D50E69"/>
    <w:rsid w:val="00D50EFF"/>
    <w:rsid w:val="00D50F14"/>
    <w:rsid w:val="00D50F54"/>
    <w:rsid w:val="00D50F6D"/>
    <w:rsid w:val="00D50FEF"/>
    <w:rsid w:val="00D510D6"/>
    <w:rsid w:val="00D51187"/>
    <w:rsid w:val="00D51197"/>
    <w:rsid w:val="00D511EC"/>
    <w:rsid w:val="00D511F8"/>
    <w:rsid w:val="00D5128F"/>
    <w:rsid w:val="00D512DB"/>
    <w:rsid w:val="00D512F5"/>
    <w:rsid w:val="00D51343"/>
    <w:rsid w:val="00D513E7"/>
    <w:rsid w:val="00D515A2"/>
    <w:rsid w:val="00D515A8"/>
    <w:rsid w:val="00D5164D"/>
    <w:rsid w:val="00D5172B"/>
    <w:rsid w:val="00D5176D"/>
    <w:rsid w:val="00D517B3"/>
    <w:rsid w:val="00D517D2"/>
    <w:rsid w:val="00D51871"/>
    <w:rsid w:val="00D51A98"/>
    <w:rsid w:val="00D51B3E"/>
    <w:rsid w:val="00D51B70"/>
    <w:rsid w:val="00D51BCD"/>
    <w:rsid w:val="00D51BD2"/>
    <w:rsid w:val="00D51C17"/>
    <w:rsid w:val="00D51C32"/>
    <w:rsid w:val="00D51C54"/>
    <w:rsid w:val="00D51C81"/>
    <w:rsid w:val="00D51CF6"/>
    <w:rsid w:val="00D51D0E"/>
    <w:rsid w:val="00D51E26"/>
    <w:rsid w:val="00D51E48"/>
    <w:rsid w:val="00D51E53"/>
    <w:rsid w:val="00D51E86"/>
    <w:rsid w:val="00D51EA4"/>
    <w:rsid w:val="00D51EC8"/>
    <w:rsid w:val="00D51F20"/>
    <w:rsid w:val="00D51F37"/>
    <w:rsid w:val="00D5200B"/>
    <w:rsid w:val="00D52023"/>
    <w:rsid w:val="00D52072"/>
    <w:rsid w:val="00D5210C"/>
    <w:rsid w:val="00D5230C"/>
    <w:rsid w:val="00D52434"/>
    <w:rsid w:val="00D52486"/>
    <w:rsid w:val="00D524B6"/>
    <w:rsid w:val="00D525F5"/>
    <w:rsid w:val="00D5263B"/>
    <w:rsid w:val="00D528A4"/>
    <w:rsid w:val="00D528D2"/>
    <w:rsid w:val="00D5290B"/>
    <w:rsid w:val="00D52928"/>
    <w:rsid w:val="00D52962"/>
    <w:rsid w:val="00D5299A"/>
    <w:rsid w:val="00D52A16"/>
    <w:rsid w:val="00D52A3D"/>
    <w:rsid w:val="00D52A9E"/>
    <w:rsid w:val="00D52BC0"/>
    <w:rsid w:val="00D52CB7"/>
    <w:rsid w:val="00D52D3C"/>
    <w:rsid w:val="00D52D3F"/>
    <w:rsid w:val="00D52D62"/>
    <w:rsid w:val="00D52D7D"/>
    <w:rsid w:val="00D52EA9"/>
    <w:rsid w:val="00D52EBC"/>
    <w:rsid w:val="00D52FB3"/>
    <w:rsid w:val="00D53042"/>
    <w:rsid w:val="00D5312F"/>
    <w:rsid w:val="00D53251"/>
    <w:rsid w:val="00D5326F"/>
    <w:rsid w:val="00D53273"/>
    <w:rsid w:val="00D53320"/>
    <w:rsid w:val="00D53460"/>
    <w:rsid w:val="00D534F7"/>
    <w:rsid w:val="00D53562"/>
    <w:rsid w:val="00D53615"/>
    <w:rsid w:val="00D53636"/>
    <w:rsid w:val="00D53723"/>
    <w:rsid w:val="00D5383C"/>
    <w:rsid w:val="00D538CE"/>
    <w:rsid w:val="00D538DF"/>
    <w:rsid w:val="00D53919"/>
    <w:rsid w:val="00D53961"/>
    <w:rsid w:val="00D5397F"/>
    <w:rsid w:val="00D5398D"/>
    <w:rsid w:val="00D539E6"/>
    <w:rsid w:val="00D53A3A"/>
    <w:rsid w:val="00D53B2E"/>
    <w:rsid w:val="00D53B59"/>
    <w:rsid w:val="00D53BD4"/>
    <w:rsid w:val="00D53BF5"/>
    <w:rsid w:val="00D53ED5"/>
    <w:rsid w:val="00D53FFF"/>
    <w:rsid w:val="00D540F7"/>
    <w:rsid w:val="00D5418B"/>
    <w:rsid w:val="00D5419E"/>
    <w:rsid w:val="00D541FB"/>
    <w:rsid w:val="00D54227"/>
    <w:rsid w:val="00D54341"/>
    <w:rsid w:val="00D543F1"/>
    <w:rsid w:val="00D54421"/>
    <w:rsid w:val="00D54442"/>
    <w:rsid w:val="00D544E9"/>
    <w:rsid w:val="00D54595"/>
    <w:rsid w:val="00D54627"/>
    <w:rsid w:val="00D54683"/>
    <w:rsid w:val="00D54775"/>
    <w:rsid w:val="00D54841"/>
    <w:rsid w:val="00D54905"/>
    <w:rsid w:val="00D54919"/>
    <w:rsid w:val="00D549D5"/>
    <w:rsid w:val="00D549E9"/>
    <w:rsid w:val="00D54A4D"/>
    <w:rsid w:val="00D54ACD"/>
    <w:rsid w:val="00D54BBC"/>
    <w:rsid w:val="00D54C07"/>
    <w:rsid w:val="00D54D34"/>
    <w:rsid w:val="00D54D71"/>
    <w:rsid w:val="00D54DB1"/>
    <w:rsid w:val="00D54DCA"/>
    <w:rsid w:val="00D54E60"/>
    <w:rsid w:val="00D54E64"/>
    <w:rsid w:val="00D54EC5"/>
    <w:rsid w:val="00D54EF8"/>
    <w:rsid w:val="00D55019"/>
    <w:rsid w:val="00D55026"/>
    <w:rsid w:val="00D550BA"/>
    <w:rsid w:val="00D55137"/>
    <w:rsid w:val="00D551D2"/>
    <w:rsid w:val="00D554A4"/>
    <w:rsid w:val="00D5553E"/>
    <w:rsid w:val="00D555AD"/>
    <w:rsid w:val="00D55627"/>
    <w:rsid w:val="00D55660"/>
    <w:rsid w:val="00D556C7"/>
    <w:rsid w:val="00D5570E"/>
    <w:rsid w:val="00D55756"/>
    <w:rsid w:val="00D557D9"/>
    <w:rsid w:val="00D558A0"/>
    <w:rsid w:val="00D558FB"/>
    <w:rsid w:val="00D55919"/>
    <w:rsid w:val="00D5597F"/>
    <w:rsid w:val="00D559BB"/>
    <w:rsid w:val="00D55BCC"/>
    <w:rsid w:val="00D55C02"/>
    <w:rsid w:val="00D55D40"/>
    <w:rsid w:val="00D55D98"/>
    <w:rsid w:val="00D55E27"/>
    <w:rsid w:val="00D55EC6"/>
    <w:rsid w:val="00D55FB5"/>
    <w:rsid w:val="00D56140"/>
    <w:rsid w:val="00D56215"/>
    <w:rsid w:val="00D5624A"/>
    <w:rsid w:val="00D5624E"/>
    <w:rsid w:val="00D5632A"/>
    <w:rsid w:val="00D563BD"/>
    <w:rsid w:val="00D5640B"/>
    <w:rsid w:val="00D5649E"/>
    <w:rsid w:val="00D5651E"/>
    <w:rsid w:val="00D5655B"/>
    <w:rsid w:val="00D5659B"/>
    <w:rsid w:val="00D565A6"/>
    <w:rsid w:val="00D565B1"/>
    <w:rsid w:val="00D5666B"/>
    <w:rsid w:val="00D56725"/>
    <w:rsid w:val="00D567C4"/>
    <w:rsid w:val="00D5682C"/>
    <w:rsid w:val="00D56967"/>
    <w:rsid w:val="00D56990"/>
    <w:rsid w:val="00D569BD"/>
    <w:rsid w:val="00D569CC"/>
    <w:rsid w:val="00D569D9"/>
    <w:rsid w:val="00D569F1"/>
    <w:rsid w:val="00D56AC6"/>
    <w:rsid w:val="00D56B0D"/>
    <w:rsid w:val="00D56BCF"/>
    <w:rsid w:val="00D56BFD"/>
    <w:rsid w:val="00D56C01"/>
    <w:rsid w:val="00D56CBE"/>
    <w:rsid w:val="00D56DFF"/>
    <w:rsid w:val="00D56E22"/>
    <w:rsid w:val="00D56EEE"/>
    <w:rsid w:val="00D56F42"/>
    <w:rsid w:val="00D56F9A"/>
    <w:rsid w:val="00D56FC8"/>
    <w:rsid w:val="00D57027"/>
    <w:rsid w:val="00D57145"/>
    <w:rsid w:val="00D5719E"/>
    <w:rsid w:val="00D5720E"/>
    <w:rsid w:val="00D5731C"/>
    <w:rsid w:val="00D5734E"/>
    <w:rsid w:val="00D57364"/>
    <w:rsid w:val="00D5745A"/>
    <w:rsid w:val="00D574A3"/>
    <w:rsid w:val="00D574A5"/>
    <w:rsid w:val="00D574C3"/>
    <w:rsid w:val="00D576C5"/>
    <w:rsid w:val="00D576EB"/>
    <w:rsid w:val="00D57771"/>
    <w:rsid w:val="00D5777E"/>
    <w:rsid w:val="00D5778C"/>
    <w:rsid w:val="00D5779D"/>
    <w:rsid w:val="00D577A2"/>
    <w:rsid w:val="00D57893"/>
    <w:rsid w:val="00D578EC"/>
    <w:rsid w:val="00D578EE"/>
    <w:rsid w:val="00D57921"/>
    <w:rsid w:val="00D57945"/>
    <w:rsid w:val="00D57982"/>
    <w:rsid w:val="00D579E9"/>
    <w:rsid w:val="00D57A81"/>
    <w:rsid w:val="00D57A8E"/>
    <w:rsid w:val="00D57B10"/>
    <w:rsid w:val="00D57B34"/>
    <w:rsid w:val="00D57B93"/>
    <w:rsid w:val="00D57BAE"/>
    <w:rsid w:val="00D57BC2"/>
    <w:rsid w:val="00D57BC6"/>
    <w:rsid w:val="00D57C16"/>
    <w:rsid w:val="00D57C1A"/>
    <w:rsid w:val="00D57C8E"/>
    <w:rsid w:val="00D57CE7"/>
    <w:rsid w:val="00D57EAD"/>
    <w:rsid w:val="00D57F05"/>
    <w:rsid w:val="00D57F2D"/>
    <w:rsid w:val="00D57F38"/>
    <w:rsid w:val="00D57F61"/>
    <w:rsid w:val="00D57F92"/>
    <w:rsid w:val="00D57FB5"/>
    <w:rsid w:val="00D6000D"/>
    <w:rsid w:val="00D600E3"/>
    <w:rsid w:val="00D6011B"/>
    <w:rsid w:val="00D60124"/>
    <w:rsid w:val="00D6012F"/>
    <w:rsid w:val="00D60135"/>
    <w:rsid w:val="00D6014E"/>
    <w:rsid w:val="00D601CE"/>
    <w:rsid w:val="00D602D4"/>
    <w:rsid w:val="00D602DD"/>
    <w:rsid w:val="00D60392"/>
    <w:rsid w:val="00D604DC"/>
    <w:rsid w:val="00D60524"/>
    <w:rsid w:val="00D60555"/>
    <w:rsid w:val="00D6055F"/>
    <w:rsid w:val="00D60580"/>
    <w:rsid w:val="00D6058E"/>
    <w:rsid w:val="00D60599"/>
    <w:rsid w:val="00D60709"/>
    <w:rsid w:val="00D60798"/>
    <w:rsid w:val="00D607DC"/>
    <w:rsid w:val="00D6086E"/>
    <w:rsid w:val="00D608CA"/>
    <w:rsid w:val="00D6097C"/>
    <w:rsid w:val="00D6098F"/>
    <w:rsid w:val="00D60A19"/>
    <w:rsid w:val="00D60A4D"/>
    <w:rsid w:val="00D60AE3"/>
    <w:rsid w:val="00D60AF6"/>
    <w:rsid w:val="00D60B24"/>
    <w:rsid w:val="00D60B91"/>
    <w:rsid w:val="00D60C33"/>
    <w:rsid w:val="00D60C55"/>
    <w:rsid w:val="00D60C63"/>
    <w:rsid w:val="00D60C7A"/>
    <w:rsid w:val="00D60CCE"/>
    <w:rsid w:val="00D60CDD"/>
    <w:rsid w:val="00D60D6C"/>
    <w:rsid w:val="00D60D8B"/>
    <w:rsid w:val="00D60E35"/>
    <w:rsid w:val="00D60E40"/>
    <w:rsid w:val="00D60F19"/>
    <w:rsid w:val="00D60F28"/>
    <w:rsid w:val="00D60F3D"/>
    <w:rsid w:val="00D60F3E"/>
    <w:rsid w:val="00D6100E"/>
    <w:rsid w:val="00D61046"/>
    <w:rsid w:val="00D6104C"/>
    <w:rsid w:val="00D61109"/>
    <w:rsid w:val="00D6110A"/>
    <w:rsid w:val="00D6117D"/>
    <w:rsid w:val="00D611CC"/>
    <w:rsid w:val="00D611CE"/>
    <w:rsid w:val="00D611D1"/>
    <w:rsid w:val="00D6123D"/>
    <w:rsid w:val="00D61250"/>
    <w:rsid w:val="00D61261"/>
    <w:rsid w:val="00D6126A"/>
    <w:rsid w:val="00D6135A"/>
    <w:rsid w:val="00D61367"/>
    <w:rsid w:val="00D61400"/>
    <w:rsid w:val="00D614A8"/>
    <w:rsid w:val="00D6151E"/>
    <w:rsid w:val="00D6157A"/>
    <w:rsid w:val="00D61749"/>
    <w:rsid w:val="00D61777"/>
    <w:rsid w:val="00D6181B"/>
    <w:rsid w:val="00D618DD"/>
    <w:rsid w:val="00D61913"/>
    <w:rsid w:val="00D6195A"/>
    <w:rsid w:val="00D619A5"/>
    <w:rsid w:val="00D61A02"/>
    <w:rsid w:val="00D61A8E"/>
    <w:rsid w:val="00D61BA5"/>
    <w:rsid w:val="00D61BF9"/>
    <w:rsid w:val="00D61C39"/>
    <w:rsid w:val="00D61C80"/>
    <w:rsid w:val="00D61E6A"/>
    <w:rsid w:val="00D61EF7"/>
    <w:rsid w:val="00D61F38"/>
    <w:rsid w:val="00D61F4C"/>
    <w:rsid w:val="00D61F71"/>
    <w:rsid w:val="00D61FA9"/>
    <w:rsid w:val="00D61FBC"/>
    <w:rsid w:val="00D61FBD"/>
    <w:rsid w:val="00D62014"/>
    <w:rsid w:val="00D6201A"/>
    <w:rsid w:val="00D62044"/>
    <w:rsid w:val="00D62100"/>
    <w:rsid w:val="00D62128"/>
    <w:rsid w:val="00D62173"/>
    <w:rsid w:val="00D62192"/>
    <w:rsid w:val="00D621EE"/>
    <w:rsid w:val="00D6221D"/>
    <w:rsid w:val="00D6232A"/>
    <w:rsid w:val="00D623EE"/>
    <w:rsid w:val="00D623F4"/>
    <w:rsid w:val="00D62409"/>
    <w:rsid w:val="00D62436"/>
    <w:rsid w:val="00D6247E"/>
    <w:rsid w:val="00D62484"/>
    <w:rsid w:val="00D62499"/>
    <w:rsid w:val="00D624AC"/>
    <w:rsid w:val="00D624F8"/>
    <w:rsid w:val="00D6251B"/>
    <w:rsid w:val="00D6256F"/>
    <w:rsid w:val="00D62599"/>
    <w:rsid w:val="00D62617"/>
    <w:rsid w:val="00D62629"/>
    <w:rsid w:val="00D6268A"/>
    <w:rsid w:val="00D62757"/>
    <w:rsid w:val="00D627A9"/>
    <w:rsid w:val="00D627CA"/>
    <w:rsid w:val="00D62827"/>
    <w:rsid w:val="00D62946"/>
    <w:rsid w:val="00D6295A"/>
    <w:rsid w:val="00D62960"/>
    <w:rsid w:val="00D62962"/>
    <w:rsid w:val="00D629FA"/>
    <w:rsid w:val="00D62A0E"/>
    <w:rsid w:val="00D62A5F"/>
    <w:rsid w:val="00D62AA1"/>
    <w:rsid w:val="00D62BA4"/>
    <w:rsid w:val="00D62C7E"/>
    <w:rsid w:val="00D62CB3"/>
    <w:rsid w:val="00D62CE0"/>
    <w:rsid w:val="00D62D7D"/>
    <w:rsid w:val="00D62F0C"/>
    <w:rsid w:val="00D62FFA"/>
    <w:rsid w:val="00D6308B"/>
    <w:rsid w:val="00D63111"/>
    <w:rsid w:val="00D6315E"/>
    <w:rsid w:val="00D6317B"/>
    <w:rsid w:val="00D6318F"/>
    <w:rsid w:val="00D6319D"/>
    <w:rsid w:val="00D631D9"/>
    <w:rsid w:val="00D63201"/>
    <w:rsid w:val="00D63267"/>
    <w:rsid w:val="00D632A8"/>
    <w:rsid w:val="00D6331B"/>
    <w:rsid w:val="00D633AE"/>
    <w:rsid w:val="00D634DB"/>
    <w:rsid w:val="00D63723"/>
    <w:rsid w:val="00D63758"/>
    <w:rsid w:val="00D6376D"/>
    <w:rsid w:val="00D637FF"/>
    <w:rsid w:val="00D63A12"/>
    <w:rsid w:val="00D63A19"/>
    <w:rsid w:val="00D63A29"/>
    <w:rsid w:val="00D63A49"/>
    <w:rsid w:val="00D63AA7"/>
    <w:rsid w:val="00D63B54"/>
    <w:rsid w:val="00D63BCA"/>
    <w:rsid w:val="00D63C35"/>
    <w:rsid w:val="00D63CFB"/>
    <w:rsid w:val="00D63D05"/>
    <w:rsid w:val="00D63D93"/>
    <w:rsid w:val="00D63E43"/>
    <w:rsid w:val="00D63F29"/>
    <w:rsid w:val="00D6403F"/>
    <w:rsid w:val="00D6408D"/>
    <w:rsid w:val="00D64223"/>
    <w:rsid w:val="00D642A7"/>
    <w:rsid w:val="00D642E8"/>
    <w:rsid w:val="00D643B0"/>
    <w:rsid w:val="00D643BA"/>
    <w:rsid w:val="00D643D8"/>
    <w:rsid w:val="00D643DC"/>
    <w:rsid w:val="00D644AA"/>
    <w:rsid w:val="00D644BD"/>
    <w:rsid w:val="00D644D4"/>
    <w:rsid w:val="00D644DB"/>
    <w:rsid w:val="00D645CE"/>
    <w:rsid w:val="00D6464C"/>
    <w:rsid w:val="00D646DE"/>
    <w:rsid w:val="00D64750"/>
    <w:rsid w:val="00D64756"/>
    <w:rsid w:val="00D6487B"/>
    <w:rsid w:val="00D64918"/>
    <w:rsid w:val="00D649B6"/>
    <w:rsid w:val="00D649D2"/>
    <w:rsid w:val="00D649E7"/>
    <w:rsid w:val="00D64A8C"/>
    <w:rsid w:val="00D64AAB"/>
    <w:rsid w:val="00D64B39"/>
    <w:rsid w:val="00D64B50"/>
    <w:rsid w:val="00D64D1B"/>
    <w:rsid w:val="00D64D45"/>
    <w:rsid w:val="00D64D73"/>
    <w:rsid w:val="00D64D7B"/>
    <w:rsid w:val="00D64DA2"/>
    <w:rsid w:val="00D64DDA"/>
    <w:rsid w:val="00D64ED7"/>
    <w:rsid w:val="00D64F01"/>
    <w:rsid w:val="00D64F20"/>
    <w:rsid w:val="00D64F26"/>
    <w:rsid w:val="00D64F4D"/>
    <w:rsid w:val="00D6502A"/>
    <w:rsid w:val="00D6504C"/>
    <w:rsid w:val="00D65167"/>
    <w:rsid w:val="00D651A9"/>
    <w:rsid w:val="00D651B8"/>
    <w:rsid w:val="00D651DF"/>
    <w:rsid w:val="00D65224"/>
    <w:rsid w:val="00D652D3"/>
    <w:rsid w:val="00D652EE"/>
    <w:rsid w:val="00D65346"/>
    <w:rsid w:val="00D65347"/>
    <w:rsid w:val="00D653B0"/>
    <w:rsid w:val="00D653FB"/>
    <w:rsid w:val="00D6542D"/>
    <w:rsid w:val="00D65449"/>
    <w:rsid w:val="00D6557A"/>
    <w:rsid w:val="00D655FD"/>
    <w:rsid w:val="00D65627"/>
    <w:rsid w:val="00D65634"/>
    <w:rsid w:val="00D656BE"/>
    <w:rsid w:val="00D656C1"/>
    <w:rsid w:val="00D65737"/>
    <w:rsid w:val="00D65769"/>
    <w:rsid w:val="00D6578B"/>
    <w:rsid w:val="00D657F5"/>
    <w:rsid w:val="00D65827"/>
    <w:rsid w:val="00D65871"/>
    <w:rsid w:val="00D65919"/>
    <w:rsid w:val="00D65958"/>
    <w:rsid w:val="00D659D9"/>
    <w:rsid w:val="00D65A3C"/>
    <w:rsid w:val="00D65AB7"/>
    <w:rsid w:val="00D65ADF"/>
    <w:rsid w:val="00D65AF8"/>
    <w:rsid w:val="00D65B3C"/>
    <w:rsid w:val="00D65C5D"/>
    <w:rsid w:val="00D65CEB"/>
    <w:rsid w:val="00D65D72"/>
    <w:rsid w:val="00D65D96"/>
    <w:rsid w:val="00D65E64"/>
    <w:rsid w:val="00D65F01"/>
    <w:rsid w:val="00D65FA1"/>
    <w:rsid w:val="00D66020"/>
    <w:rsid w:val="00D660A2"/>
    <w:rsid w:val="00D660B2"/>
    <w:rsid w:val="00D66109"/>
    <w:rsid w:val="00D6613B"/>
    <w:rsid w:val="00D6615D"/>
    <w:rsid w:val="00D661AF"/>
    <w:rsid w:val="00D661F6"/>
    <w:rsid w:val="00D6621A"/>
    <w:rsid w:val="00D66263"/>
    <w:rsid w:val="00D662E7"/>
    <w:rsid w:val="00D6630E"/>
    <w:rsid w:val="00D66396"/>
    <w:rsid w:val="00D663C0"/>
    <w:rsid w:val="00D6641B"/>
    <w:rsid w:val="00D665AE"/>
    <w:rsid w:val="00D66619"/>
    <w:rsid w:val="00D66639"/>
    <w:rsid w:val="00D666B5"/>
    <w:rsid w:val="00D666F7"/>
    <w:rsid w:val="00D66728"/>
    <w:rsid w:val="00D6678B"/>
    <w:rsid w:val="00D667A6"/>
    <w:rsid w:val="00D66822"/>
    <w:rsid w:val="00D6692A"/>
    <w:rsid w:val="00D669BE"/>
    <w:rsid w:val="00D669DD"/>
    <w:rsid w:val="00D669F2"/>
    <w:rsid w:val="00D66ADD"/>
    <w:rsid w:val="00D66B59"/>
    <w:rsid w:val="00D66C48"/>
    <w:rsid w:val="00D66C78"/>
    <w:rsid w:val="00D66CB0"/>
    <w:rsid w:val="00D66CFA"/>
    <w:rsid w:val="00D66F32"/>
    <w:rsid w:val="00D66FA7"/>
    <w:rsid w:val="00D67031"/>
    <w:rsid w:val="00D67082"/>
    <w:rsid w:val="00D67181"/>
    <w:rsid w:val="00D671D2"/>
    <w:rsid w:val="00D671FE"/>
    <w:rsid w:val="00D67235"/>
    <w:rsid w:val="00D6724F"/>
    <w:rsid w:val="00D67273"/>
    <w:rsid w:val="00D673DB"/>
    <w:rsid w:val="00D67411"/>
    <w:rsid w:val="00D674B4"/>
    <w:rsid w:val="00D674E7"/>
    <w:rsid w:val="00D675A8"/>
    <w:rsid w:val="00D675BE"/>
    <w:rsid w:val="00D676C5"/>
    <w:rsid w:val="00D676F6"/>
    <w:rsid w:val="00D677CC"/>
    <w:rsid w:val="00D677F1"/>
    <w:rsid w:val="00D679BC"/>
    <w:rsid w:val="00D67A2F"/>
    <w:rsid w:val="00D67A59"/>
    <w:rsid w:val="00D67A61"/>
    <w:rsid w:val="00D67B84"/>
    <w:rsid w:val="00D67BAB"/>
    <w:rsid w:val="00D67C51"/>
    <w:rsid w:val="00D67D8A"/>
    <w:rsid w:val="00D67DA8"/>
    <w:rsid w:val="00D67DB9"/>
    <w:rsid w:val="00D67DC2"/>
    <w:rsid w:val="00D67E4A"/>
    <w:rsid w:val="00D67ECF"/>
    <w:rsid w:val="00D67ED0"/>
    <w:rsid w:val="00D70055"/>
    <w:rsid w:val="00D70069"/>
    <w:rsid w:val="00D7009A"/>
    <w:rsid w:val="00D702D7"/>
    <w:rsid w:val="00D70380"/>
    <w:rsid w:val="00D70448"/>
    <w:rsid w:val="00D70548"/>
    <w:rsid w:val="00D7064D"/>
    <w:rsid w:val="00D70708"/>
    <w:rsid w:val="00D7070C"/>
    <w:rsid w:val="00D7073B"/>
    <w:rsid w:val="00D70760"/>
    <w:rsid w:val="00D707B1"/>
    <w:rsid w:val="00D707B9"/>
    <w:rsid w:val="00D70803"/>
    <w:rsid w:val="00D70823"/>
    <w:rsid w:val="00D70859"/>
    <w:rsid w:val="00D70A25"/>
    <w:rsid w:val="00D70A3A"/>
    <w:rsid w:val="00D70A5B"/>
    <w:rsid w:val="00D70BED"/>
    <w:rsid w:val="00D70C05"/>
    <w:rsid w:val="00D70D44"/>
    <w:rsid w:val="00D70DF7"/>
    <w:rsid w:val="00D70E03"/>
    <w:rsid w:val="00D70E51"/>
    <w:rsid w:val="00D70F36"/>
    <w:rsid w:val="00D70FB6"/>
    <w:rsid w:val="00D71177"/>
    <w:rsid w:val="00D7120E"/>
    <w:rsid w:val="00D7122A"/>
    <w:rsid w:val="00D712A0"/>
    <w:rsid w:val="00D713F8"/>
    <w:rsid w:val="00D713FB"/>
    <w:rsid w:val="00D7142D"/>
    <w:rsid w:val="00D7149C"/>
    <w:rsid w:val="00D714C2"/>
    <w:rsid w:val="00D71505"/>
    <w:rsid w:val="00D7152F"/>
    <w:rsid w:val="00D7154F"/>
    <w:rsid w:val="00D7161B"/>
    <w:rsid w:val="00D716F5"/>
    <w:rsid w:val="00D71709"/>
    <w:rsid w:val="00D7177A"/>
    <w:rsid w:val="00D717B0"/>
    <w:rsid w:val="00D717F2"/>
    <w:rsid w:val="00D71803"/>
    <w:rsid w:val="00D718DD"/>
    <w:rsid w:val="00D718F6"/>
    <w:rsid w:val="00D71A8E"/>
    <w:rsid w:val="00D71AB7"/>
    <w:rsid w:val="00D71B2B"/>
    <w:rsid w:val="00D71B64"/>
    <w:rsid w:val="00D71C12"/>
    <w:rsid w:val="00D71C87"/>
    <w:rsid w:val="00D71CC8"/>
    <w:rsid w:val="00D71CCD"/>
    <w:rsid w:val="00D71D78"/>
    <w:rsid w:val="00D71D88"/>
    <w:rsid w:val="00D71E21"/>
    <w:rsid w:val="00D71E54"/>
    <w:rsid w:val="00D71E61"/>
    <w:rsid w:val="00D71EA5"/>
    <w:rsid w:val="00D71EDC"/>
    <w:rsid w:val="00D71F05"/>
    <w:rsid w:val="00D72005"/>
    <w:rsid w:val="00D72161"/>
    <w:rsid w:val="00D7216A"/>
    <w:rsid w:val="00D7216B"/>
    <w:rsid w:val="00D721C0"/>
    <w:rsid w:val="00D722CF"/>
    <w:rsid w:val="00D7233E"/>
    <w:rsid w:val="00D7238D"/>
    <w:rsid w:val="00D724F9"/>
    <w:rsid w:val="00D725A1"/>
    <w:rsid w:val="00D726AE"/>
    <w:rsid w:val="00D72709"/>
    <w:rsid w:val="00D72755"/>
    <w:rsid w:val="00D72845"/>
    <w:rsid w:val="00D72854"/>
    <w:rsid w:val="00D7288A"/>
    <w:rsid w:val="00D72901"/>
    <w:rsid w:val="00D7290E"/>
    <w:rsid w:val="00D72928"/>
    <w:rsid w:val="00D72960"/>
    <w:rsid w:val="00D7296C"/>
    <w:rsid w:val="00D729BD"/>
    <w:rsid w:val="00D72A1D"/>
    <w:rsid w:val="00D72A46"/>
    <w:rsid w:val="00D72B97"/>
    <w:rsid w:val="00D72BDA"/>
    <w:rsid w:val="00D72BE3"/>
    <w:rsid w:val="00D72C16"/>
    <w:rsid w:val="00D72D3A"/>
    <w:rsid w:val="00D72DEF"/>
    <w:rsid w:val="00D72E09"/>
    <w:rsid w:val="00D72E37"/>
    <w:rsid w:val="00D72EA8"/>
    <w:rsid w:val="00D72FE8"/>
    <w:rsid w:val="00D73023"/>
    <w:rsid w:val="00D7302F"/>
    <w:rsid w:val="00D7305A"/>
    <w:rsid w:val="00D730C5"/>
    <w:rsid w:val="00D73129"/>
    <w:rsid w:val="00D7316E"/>
    <w:rsid w:val="00D7319D"/>
    <w:rsid w:val="00D731EE"/>
    <w:rsid w:val="00D73205"/>
    <w:rsid w:val="00D732FA"/>
    <w:rsid w:val="00D73460"/>
    <w:rsid w:val="00D73488"/>
    <w:rsid w:val="00D7359E"/>
    <w:rsid w:val="00D73683"/>
    <w:rsid w:val="00D737F6"/>
    <w:rsid w:val="00D7382C"/>
    <w:rsid w:val="00D73939"/>
    <w:rsid w:val="00D7396E"/>
    <w:rsid w:val="00D73993"/>
    <w:rsid w:val="00D73A09"/>
    <w:rsid w:val="00D73B38"/>
    <w:rsid w:val="00D73B41"/>
    <w:rsid w:val="00D73B4D"/>
    <w:rsid w:val="00D73B9B"/>
    <w:rsid w:val="00D73B9E"/>
    <w:rsid w:val="00D73BCF"/>
    <w:rsid w:val="00D73BDF"/>
    <w:rsid w:val="00D73C61"/>
    <w:rsid w:val="00D73D00"/>
    <w:rsid w:val="00D73D32"/>
    <w:rsid w:val="00D73D98"/>
    <w:rsid w:val="00D73DC8"/>
    <w:rsid w:val="00D73EEB"/>
    <w:rsid w:val="00D73F0D"/>
    <w:rsid w:val="00D73F61"/>
    <w:rsid w:val="00D73F68"/>
    <w:rsid w:val="00D73FB7"/>
    <w:rsid w:val="00D73FB9"/>
    <w:rsid w:val="00D74010"/>
    <w:rsid w:val="00D7409F"/>
    <w:rsid w:val="00D7411C"/>
    <w:rsid w:val="00D741A2"/>
    <w:rsid w:val="00D74251"/>
    <w:rsid w:val="00D742CF"/>
    <w:rsid w:val="00D74385"/>
    <w:rsid w:val="00D743FE"/>
    <w:rsid w:val="00D7447C"/>
    <w:rsid w:val="00D744B7"/>
    <w:rsid w:val="00D744C3"/>
    <w:rsid w:val="00D74500"/>
    <w:rsid w:val="00D74557"/>
    <w:rsid w:val="00D7457A"/>
    <w:rsid w:val="00D745D2"/>
    <w:rsid w:val="00D745F8"/>
    <w:rsid w:val="00D74600"/>
    <w:rsid w:val="00D74626"/>
    <w:rsid w:val="00D7462F"/>
    <w:rsid w:val="00D74642"/>
    <w:rsid w:val="00D7467B"/>
    <w:rsid w:val="00D746AE"/>
    <w:rsid w:val="00D746C9"/>
    <w:rsid w:val="00D74764"/>
    <w:rsid w:val="00D747E5"/>
    <w:rsid w:val="00D747FF"/>
    <w:rsid w:val="00D74827"/>
    <w:rsid w:val="00D74881"/>
    <w:rsid w:val="00D7499B"/>
    <w:rsid w:val="00D74A60"/>
    <w:rsid w:val="00D74B83"/>
    <w:rsid w:val="00D74C36"/>
    <w:rsid w:val="00D74C9C"/>
    <w:rsid w:val="00D74CEF"/>
    <w:rsid w:val="00D74D11"/>
    <w:rsid w:val="00D74D12"/>
    <w:rsid w:val="00D74D74"/>
    <w:rsid w:val="00D74ED7"/>
    <w:rsid w:val="00D74FE6"/>
    <w:rsid w:val="00D75048"/>
    <w:rsid w:val="00D750AD"/>
    <w:rsid w:val="00D75164"/>
    <w:rsid w:val="00D751D1"/>
    <w:rsid w:val="00D752C2"/>
    <w:rsid w:val="00D75317"/>
    <w:rsid w:val="00D75458"/>
    <w:rsid w:val="00D754A7"/>
    <w:rsid w:val="00D754FB"/>
    <w:rsid w:val="00D755A8"/>
    <w:rsid w:val="00D75634"/>
    <w:rsid w:val="00D75708"/>
    <w:rsid w:val="00D7578F"/>
    <w:rsid w:val="00D758A5"/>
    <w:rsid w:val="00D75A73"/>
    <w:rsid w:val="00D75AC6"/>
    <w:rsid w:val="00D75B2A"/>
    <w:rsid w:val="00D75B4C"/>
    <w:rsid w:val="00D75B83"/>
    <w:rsid w:val="00D75BA6"/>
    <w:rsid w:val="00D75C4F"/>
    <w:rsid w:val="00D75C8D"/>
    <w:rsid w:val="00D75D6A"/>
    <w:rsid w:val="00D75DD5"/>
    <w:rsid w:val="00D75E0A"/>
    <w:rsid w:val="00D75F4A"/>
    <w:rsid w:val="00D75F5F"/>
    <w:rsid w:val="00D75FCB"/>
    <w:rsid w:val="00D75FFA"/>
    <w:rsid w:val="00D75FFB"/>
    <w:rsid w:val="00D7600A"/>
    <w:rsid w:val="00D7603D"/>
    <w:rsid w:val="00D76070"/>
    <w:rsid w:val="00D760A1"/>
    <w:rsid w:val="00D761B2"/>
    <w:rsid w:val="00D761ED"/>
    <w:rsid w:val="00D76295"/>
    <w:rsid w:val="00D762ED"/>
    <w:rsid w:val="00D763A7"/>
    <w:rsid w:val="00D763FC"/>
    <w:rsid w:val="00D7645A"/>
    <w:rsid w:val="00D764ED"/>
    <w:rsid w:val="00D7651F"/>
    <w:rsid w:val="00D76560"/>
    <w:rsid w:val="00D765A3"/>
    <w:rsid w:val="00D76704"/>
    <w:rsid w:val="00D767F3"/>
    <w:rsid w:val="00D76A4C"/>
    <w:rsid w:val="00D76B67"/>
    <w:rsid w:val="00D76B78"/>
    <w:rsid w:val="00D76BA6"/>
    <w:rsid w:val="00D76BDF"/>
    <w:rsid w:val="00D76BE0"/>
    <w:rsid w:val="00D76C12"/>
    <w:rsid w:val="00D76CDD"/>
    <w:rsid w:val="00D76DA0"/>
    <w:rsid w:val="00D76DA4"/>
    <w:rsid w:val="00D76E06"/>
    <w:rsid w:val="00D76E7F"/>
    <w:rsid w:val="00D76F68"/>
    <w:rsid w:val="00D77017"/>
    <w:rsid w:val="00D77133"/>
    <w:rsid w:val="00D771BF"/>
    <w:rsid w:val="00D771D2"/>
    <w:rsid w:val="00D771DC"/>
    <w:rsid w:val="00D771F8"/>
    <w:rsid w:val="00D7725B"/>
    <w:rsid w:val="00D7728F"/>
    <w:rsid w:val="00D77318"/>
    <w:rsid w:val="00D77362"/>
    <w:rsid w:val="00D773AB"/>
    <w:rsid w:val="00D77462"/>
    <w:rsid w:val="00D77555"/>
    <w:rsid w:val="00D7758C"/>
    <w:rsid w:val="00D775AA"/>
    <w:rsid w:val="00D775B2"/>
    <w:rsid w:val="00D775F4"/>
    <w:rsid w:val="00D7761C"/>
    <w:rsid w:val="00D77630"/>
    <w:rsid w:val="00D77944"/>
    <w:rsid w:val="00D77963"/>
    <w:rsid w:val="00D779DB"/>
    <w:rsid w:val="00D77AC1"/>
    <w:rsid w:val="00D77B14"/>
    <w:rsid w:val="00D77B9C"/>
    <w:rsid w:val="00D77BA5"/>
    <w:rsid w:val="00D77BF9"/>
    <w:rsid w:val="00D77C1F"/>
    <w:rsid w:val="00D77C2B"/>
    <w:rsid w:val="00D77CF7"/>
    <w:rsid w:val="00D77CFC"/>
    <w:rsid w:val="00D77D2B"/>
    <w:rsid w:val="00D77D31"/>
    <w:rsid w:val="00D77DC9"/>
    <w:rsid w:val="00D77E6C"/>
    <w:rsid w:val="00D77E89"/>
    <w:rsid w:val="00D77EA5"/>
    <w:rsid w:val="00D77FCB"/>
    <w:rsid w:val="00D80060"/>
    <w:rsid w:val="00D8006E"/>
    <w:rsid w:val="00D80095"/>
    <w:rsid w:val="00D800CE"/>
    <w:rsid w:val="00D800E3"/>
    <w:rsid w:val="00D800F7"/>
    <w:rsid w:val="00D8029D"/>
    <w:rsid w:val="00D80314"/>
    <w:rsid w:val="00D80318"/>
    <w:rsid w:val="00D803F9"/>
    <w:rsid w:val="00D804B5"/>
    <w:rsid w:val="00D804BA"/>
    <w:rsid w:val="00D80549"/>
    <w:rsid w:val="00D80568"/>
    <w:rsid w:val="00D80635"/>
    <w:rsid w:val="00D806C1"/>
    <w:rsid w:val="00D80718"/>
    <w:rsid w:val="00D8071A"/>
    <w:rsid w:val="00D80770"/>
    <w:rsid w:val="00D807C4"/>
    <w:rsid w:val="00D807E3"/>
    <w:rsid w:val="00D80831"/>
    <w:rsid w:val="00D8090B"/>
    <w:rsid w:val="00D80A88"/>
    <w:rsid w:val="00D80AB7"/>
    <w:rsid w:val="00D80B31"/>
    <w:rsid w:val="00D80B85"/>
    <w:rsid w:val="00D80B88"/>
    <w:rsid w:val="00D80C03"/>
    <w:rsid w:val="00D80C2C"/>
    <w:rsid w:val="00D80D46"/>
    <w:rsid w:val="00D80DA9"/>
    <w:rsid w:val="00D80DF2"/>
    <w:rsid w:val="00D80E07"/>
    <w:rsid w:val="00D80EF8"/>
    <w:rsid w:val="00D80FD6"/>
    <w:rsid w:val="00D81102"/>
    <w:rsid w:val="00D81141"/>
    <w:rsid w:val="00D811FF"/>
    <w:rsid w:val="00D81232"/>
    <w:rsid w:val="00D8127F"/>
    <w:rsid w:val="00D813CA"/>
    <w:rsid w:val="00D813D1"/>
    <w:rsid w:val="00D813F9"/>
    <w:rsid w:val="00D81410"/>
    <w:rsid w:val="00D81424"/>
    <w:rsid w:val="00D8153D"/>
    <w:rsid w:val="00D81554"/>
    <w:rsid w:val="00D815E7"/>
    <w:rsid w:val="00D815F9"/>
    <w:rsid w:val="00D816B1"/>
    <w:rsid w:val="00D816EF"/>
    <w:rsid w:val="00D817A5"/>
    <w:rsid w:val="00D8181E"/>
    <w:rsid w:val="00D81A4C"/>
    <w:rsid w:val="00D81BD2"/>
    <w:rsid w:val="00D81C77"/>
    <w:rsid w:val="00D81CA1"/>
    <w:rsid w:val="00D81D8F"/>
    <w:rsid w:val="00D81E11"/>
    <w:rsid w:val="00D81E2B"/>
    <w:rsid w:val="00D81E38"/>
    <w:rsid w:val="00D81E64"/>
    <w:rsid w:val="00D81F5F"/>
    <w:rsid w:val="00D81F60"/>
    <w:rsid w:val="00D81FB0"/>
    <w:rsid w:val="00D81FD0"/>
    <w:rsid w:val="00D81FED"/>
    <w:rsid w:val="00D81FF5"/>
    <w:rsid w:val="00D82032"/>
    <w:rsid w:val="00D82050"/>
    <w:rsid w:val="00D8207C"/>
    <w:rsid w:val="00D8207D"/>
    <w:rsid w:val="00D8231F"/>
    <w:rsid w:val="00D8238A"/>
    <w:rsid w:val="00D8245D"/>
    <w:rsid w:val="00D824F9"/>
    <w:rsid w:val="00D82535"/>
    <w:rsid w:val="00D8266F"/>
    <w:rsid w:val="00D8267D"/>
    <w:rsid w:val="00D82688"/>
    <w:rsid w:val="00D82737"/>
    <w:rsid w:val="00D827CD"/>
    <w:rsid w:val="00D8280E"/>
    <w:rsid w:val="00D8283A"/>
    <w:rsid w:val="00D829F2"/>
    <w:rsid w:val="00D82A50"/>
    <w:rsid w:val="00D82B0C"/>
    <w:rsid w:val="00D82B75"/>
    <w:rsid w:val="00D82C34"/>
    <w:rsid w:val="00D82C54"/>
    <w:rsid w:val="00D82D05"/>
    <w:rsid w:val="00D82D59"/>
    <w:rsid w:val="00D82D5A"/>
    <w:rsid w:val="00D82E39"/>
    <w:rsid w:val="00D82E4D"/>
    <w:rsid w:val="00D82F37"/>
    <w:rsid w:val="00D82FC3"/>
    <w:rsid w:val="00D83050"/>
    <w:rsid w:val="00D830E5"/>
    <w:rsid w:val="00D8312E"/>
    <w:rsid w:val="00D83134"/>
    <w:rsid w:val="00D8319A"/>
    <w:rsid w:val="00D8349B"/>
    <w:rsid w:val="00D8350C"/>
    <w:rsid w:val="00D8354F"/>
    <w:rsid w:val="00D83588"/>
    <w:rsid w:val="00D835F5"/>
    <w:rsid w:val="00D83672"/>
    <w:rsid w:val="00D836A1"/>
    <w:rsid w:val="00D83742"/>
    <w:rsid w:val="00D83744"/>
    <w:rsid w:val="00D837A7"/>
    <w:rsid w:val="00D837AA"/>
    <w:rsid w:val="00D83860"/>
    <w:rsid w:val="00D83882"/>
    <w:rsid w:val="00D8391E"/>
    <w:rsid w:val="00D8394C"/>
    <w:rsid w:val="00D83955"/>
    <w:rsid w:val="00D8396A"/>
    <w:rsid w:val="00D8397F"/>
    <w:rsid w:val="00D83A77"/>
    <w:rsid w:val="00D83ADA"/>
    <w:rsid w:val="00D83CAD"/>
    <w:rsid w:val="00D83D44"/>
    <w:rsid w:val="00D83E85"/>
    <w:rsid w:val="00D83EDE"/>
    <w:rsid w:val="00D83F81"/>
    <w:rsid w:val="00D83FA1"/>
    <w:rsid w:val="00D84028"/>
    <w:rsid w:val="00D8405E"/>
    <w:rsid w:val="00D840E0"/>
    <w:rsid w:val="00D8417C"/>
    <w:rsid w:val="00D842FE"/>
    <w:rsid w:val="00D8431D"/>
    <w:rsid w:val="00D8441F"/>
    <w:rsid w:val="00D844BA"/>
    <w:rsid w:val="00D844C3"/>
    <w:rsid w:val="00D84546"/>
    <w:rsid w:val="00D8469A"/>
    <w:rsid w:val="00D8469B"/>
    <w:rsid w:val="00D84737"/>
    <w:rsid w:val="00D8475B"/>
    <w:rsid w:val="00D84767"/>
    <w:rsid w:val="00D8477E"/>
    <w:rsid w:val="00D84810"/>
    <w:rsid w:val="00D848F8"/>
    <w:rsid w:val="00D84943"/>
    <w:rsid w:val="00D84961"/>
    <w:rsid w:val="00D84A19"/>
    <w:rsid w:val="00D84BBB"/>
    <w:rsid w:val="00D84BE5"/>
    <w:rsid w:val="00D84C06"/>
    <w:rsid w:val="00D84C2D"/>
    <w:rsid w:val="00D84C45"/>
    <w:rsid w:val="00D84C80"/>
    <w:rsid w:val="00D84CF9"/>
    <w:rsid w:val="00D84DC0"/>
    <w:rsid w:val="00D84DF6"/>
    <w:rsid w:val="00D84E1A"/>
    <w:rsid w:val="00D84E29"/>
    <w:rsid w:val="00D84E5B"/>
    <w:rsid w:val="00D84EE4"/>
    <w:rsid w:val="00D85030"/>
    <w:rsid w:val="00D85080"/>
    <w:rsid w:val="00D8516B"/>
    <w:rsid w:val="00D8516C"/>
    <w:rsid w:val="00D851D1"/>
    <w:rsid w:val="00D851D5"/>
    <w:rsid w:val="00D8533B"/>
    <w:rsid w:val="00D8533D"/>
    <w:rsid w:val="00D85343"/>
    <w:rsid w:val="00D85350"/>
    <w:rsid w:val="00D85382"/>
    <w:rsid w:val="00D8545F"/>
    <w:rsid w:val="00D854DB"/>
    <w:rsid w:val="00D85593"/>
    <w:rsid w:val="00D85644"/>
    <w:rsid w:val="00D85667"/>
    <w:rsid w:val="00D856F2"/>
    <w:rsid w:val="00D8582F"/>
    <w:rsid w:val="00D858E9"/>
    <w:rsid w:val="00D8592F"/>
    <w:rsid w:val="00D85986"/>
    <w:rsid w:val="00D859D0"/>
    <w:rsid w:val="00D859EF"/>
    <w:rsid w:val="00D85B53"/>
    <w:rsid w:val="00D85CA9"/>
    <w:rsid w:val="00D85CEF"/>
    <w:rsid w:val="00D85DD8"/>
    <w:rsid w:val="00D85DF6"/>
    <w:rsid w:val="00D85F3E"/>
    <w:rsid w:val="00D85FF5"/>
    <w:rsid w:val="00D8600A"/>
    <w:rsid w:val="00D8608F"/>
    <w:rsid w:val="00D862BE"/>
    <w:rsid w:val="00D8633C"/>
    <w:rsid w:val="00D8633E"/>
    <w:rsid w:val="00D8647F"/>
    <w:rsid w:val="00D864EA"/>
    <w:rsid w:val="00D8650B"/>
    <w:rsid w:val="00D8655D"/>
    <w:rsid w:val="00D86635"/>
    <w:rsid w:val="00D86643"/>
    <w:rsid w:val="00D866EA"/>
    <w:rsid w:val="00D8681C"/>
    <w:rsid w:val="00D86898"/>
    <w:rsid w:val="00D868B1"/>
    <w:rsid w:val="00D8693E"/>
    <w:rsid w:val="00D8696E"/>
    <w:rsid w:val="00D86988"/>
    <w:rsid w:val="00D869C0"/>
    <w:rsid w:val="00D869CE"/>
    <w:rsid w:val="00D869D7"/>
    <w:rsid w:val="00D86AB9"/>
    <w:rsid w:val="00D86AC1"/>
    <w:rsid w:val="00D86B2A"/>
    <w:rsid w:val="00D86C1D"/>
    <w:rsid w:val="00D86C75"/>
    <w:rsid w:val="00D86C90"/>
    <w:rsid w:val="00D86CDB"/>
    <w:rsid w:val="00D86D23"/>
    <w:rsid w:val="00D86D2A"/>
    <w:rsid w:val="00D86D74"/>
    <w:rsid w:val="00D86D91"/>
    <w:rsid w:val="00D86E0F"/>
    <w:rsid w:val="00D86FA2"/>
    <w:rsid w:val="00D86FA7"/>
    <w:rsid w:val="00D87074"/>
    <w:rsid w:val="00D87118"/>
    <w:rsid w:val="00D87182"/>
    <w:rsid w:val="00D87357"/>
    <w:rsid w:val="00D873C7"/>
    <w:rsid w:val="00D873E0"/>
    <w:rsid w:val="00D87417"/>
    <w:rsid w:val="00D874A4"/>
    <w:rsid w:val="00D8756E"/>
    <w:rsid w:val="00D87614"/>
    <w:rsid w:val="00D87618"/>
    <w:rsid w:val="00D8765E"/>
    <w:rsid w:val="00D876A6"/>
    <w:rsid w:val="00D87796"/>
    <w:rsid w:val="00D877D0"/>
    <w:rsid w:val="00D8783B"/>
    <w:rsid w:val="00D878B2"/>
    <w:rsid w:val="00D87984"/>
    <w:rsid w:val="00D879BE"/>
    <w:rsid w:val="00D879F4"/>
    <w:rsid w:val="00D87A8E"/>
    <w:rsid w:val="00D87ADE"/>
    <w:rsid w:val="00D87B4F"/>
    <w:rsid w:val="00D87B90"/>
    <w:rsid w:val="00D87B9E"/>
    <w:rsid w:val="00D87D4B"/>
    <w:rsid w:val="00D87DAC"/>
    <w:rsid w:val="00D87DB8"/>
    <w:rsid w:val="00D87DFE"/>
    <w:rsid w:val="00D87E36"/>
    <w:rsid w:val="00D87E91"/>
    <w:rsid w:val="00D87EE2"/>
    <w:rsid w:val="00D87F77"/>
    <w:rsid w:val="00D87FB7"/>
    <w:rsid w:val="00D87FE8"/>
    <w:rsid w:val="00D902C6"/>
    <w:rsid w:val="00D902ED"/>
    <w:rsid w:val="00D90388"/>
    <w:rsid w:val="00D903DF"/>
    <w:rsid w:val="00D90469"/>
    <w:rsid w:val="00D904AC"/>
    <w:rsid w:val="00D906B4"/>
    <w:rsid w:val="00D9077E"/>
    <w:rsid w:val="00D907B2"/>
    <w:rsid w:val="00D908C5"/>
    <w:rsid w:val="00D908F7"/>
    <w:rsid w:val="00D908FC"/>
    <w:rsid w:val="00D90952"/>
    <w:rsid w:val="00D9096D"/>
    <w:rsid w:val="00D909D4"/>
    <w:rsid w:val="00D90A2E"/>
    <w:rsid w:val="00D90A59"/>
    <w:rsid w:val="00D90A7A"/>
    <w:rsid w:val="00D90A8A"/>
    <w:rsid w:val="00D90AAC"/>
    <w:rsid w:val="00D90BAD"/>
    <w:rsid w:val="00D90BE8"/>
    <w:rsid w:val="00D90C7B"/>
    <w:rsid w:val="00D90C9E"/>
    <w:rsid w:val="00D90D86"/>
    <w:rsid w:val="00D90DF6"/>
    <w:rsid w:val="00D90E13"/>
    <w:rsid w:val="00D90ECE"/>
    <w:rsid w:val="00D90F76"/>
    <w:rsid w:val="00D90FD5"/>
    <w:rsid w:val="00D91076"/>
    <w:rsid w:val="00D91173"/>
    <w:rsid w:val="00D91266"/>
    <w:rsid w:val="00D912BF"/>
    <w:rsid w:val="00D9146C"/>
    <w:rsid w:val="00D914D5"/>
    <w:rsid w:val="00D91525"/>
    <w:rsid w:val="00D9160C"/>
    <w:rsid w:val="00D917A7"/>
    <w:rsid w:val="00D917BF"/>
    <w:rsid w:val="00D917F2"/>
    <w:rsid w:val="00D917F8"/>
    <w:rsid w:val="00D918A6"/>
    <w:rsid w:val="00D918F9"/>
    <w:rsid w:val="00D91A0B"/>
    <w:rsid w:val="00D91A49"/>
    <w:rsid w:val="00D91AAC"/>
    <w:rsid w:val="00D91AD4"/>
    <w:rsid w:val="00D91B31"/>
    <w:rsid w:val="00D91B5C"/>
    <w:rsid w:val="00D91C7A"/>
    <w:rsid w:val="00D91C8C"/>
    <w:rsid w:val="00D91CA7"/>
    <w:rsid w:val="00D91CB1"/>
    <w:rsid w:val="00D91E92"/>
    <w:rsid w:val="00D91F1F"/>
    <w:rsid w:val="00D91FB0"/>
    <w:rsid w:val="00D92053"/>
    <w:rsid w:val="00D920FA"/>
    <w:rsid w:val="00D9213D"/>
    <w:rsid w:val="00D92148"/>
    <w:rsid w:val="00D9217B"/>
    <w:rsid w:val="00D921B8"/>
    <w:rsid w:val="00D92248"/>
    <w:rsid w:val="00D9224E"/>
    <w:rsid w:val="00D922B2"/>
    <w:rsid w:val="00D9230D"/>
    <w:rsid w:val="00D92342"/>
    <w:rsid w:val="00D9238B"/>
    <w:rsid w:val="00D92399"/>
    <w:rsid w:val="00D92415"/>
    <w:rsid w:val="00D924E4"/>
    <w:rsid w:val="00D9253B"/>
    <w:rsid w:val="00D9254D"/>
    <w:rsid w:val="00D9258D"/>
    <w:rsid w:val="00D925C5"/>
    <w:rsid w:val="00D9265E"/>
    <w:rsid w:val="00D9274E"/>
    <w:rsid w:val="00D9277E"/>
    <w:rsid w:val="00D92783"/>
    <w:rsid w:val="00D927BF"/>
    <w:rsid w:val="00D92890"/>
    <w:rsid w:val="00D928C2"/>
    <w:rsid w:val="00D928CE"/>
    <w:rsid w:val="00D929CC"/>
    <w:rsid w:val="00D92A05"/>
    <w:rsid w:val="00D92B4B"/>
    <w:rsid w:val="00D92BE5"/>
    <w:rsid w:val="00D92C10"/>
    <w:rsid w:val="00D92CF6"/>
    <w:rsid w:val="00D92D37"/>
    <w:rsid w:val="00D92DD1"/>
    <w:rsid w:val="00D92DE6"/>
    <w:rsid w:val="00D92E5F"/>
    <w:rsid w:val="00D92E79"/>
    <w:rsid w:val="00D92F33"/>
    <w:rsid w:val="00D92FFE"/>
    <w:rsid w:val="00D93024"/>
    <w:rsid w:val="00D93063"/>
    <w:rsid w:val="00D930F2"/>
    <w:rsid w:val="00D9310C"/>
    <w:rsid w:val="00D93207"/>
    <w:rsid w:val="00D9322D"/>
    <w:rsid w:val="00D9322E"/>
    <w:rsid w:val="00D93230"/>
    <w:rsid w:val="00D932BF"/>
    <w:rsid w:val="00D932D3"/>
    <w:rsid w:val="00D932D9"/>
    <w:rsid w:val="00D9339B"/>
    <w:rsid w:val="00D933A5"/>
    <w:rsid w:val="00D93482"/>
    <w:rsid w:val="00D9359A"/>
    <w:rsid w:val="00D935EE"/>
    <w:rsid w:val="00D93663"/>
    <w:rsid w:val="00D936C7"/>
    <w:rsid w:val="00D9378F"/>
    <w:rsid w:val="00D9383C"/>
    <w:rsid w:val="00D93883"/>
    <w:rsid w:val="00D938EB"/>
    <w:rsid w:val="00D93936"/>
    <w:rsid w:val="00D939C5"/>
    <w:rsid w:val="00D93A6E"/>
    <w:rsid w:val="00D93AB6"/>
    <w:rsid w:val="00D93B71"/>
    <w:rsid w:val="00D93BC6"/>
    <w:rsid w:val="00D93BF5"/>
    <w:rsid w:val="00D93C40"/>
    <w:rsid w:val="00D93DAA"/>
    <w:rsid w:val="00D93DF0"/>
    <w:rsid w:val="00D93DFB"/>
    <w:rsid w:val="00D93E24"/>
    <w:rsid w:val="00D93E86"/>
    <w:rsid w:val="00D93EE3"/>
    <w:rsid w:val="00D93FD6"/>
    <w:rsid w:val="00D9408E"/>
    <w:rsid w:val="00D94114"/>
    <w:rsid w:val="00D9417F"/>
    <w:rsid w:val="00D94276"/>
    <w:rsid w:val="00D94281"/>
    <w:rsid w:val="00D94286"/>
    <w:rsid w:val="00D942B3"/>
    <w:rsid w:val="00D94338"/>
    <w:rsid w:val="00D9439C"/>
    <w:rsid w:val="00D943B6"/>
    <w:rsid w:val="00D94509"/>
    <w:rsid w:val="00D94526"/>
    <w:rsid w:val="00D946A6"/>
    <w:rsid w:val="00D946E7"/>
    <w:rsid w:val="00D94711"/>
    <w:rsid w:val="00D94776"/>
    <w:rsid w:val="00D9491E"/>
    <w:rsid w:val="00D94925"/>
    <w:rsid w:val="00D9493D"/>
    <w:rsid w:val="00D949BA"/>
    <w:rsid w:val="00D949ED"/>
    <w:rsid w:val="00D94B2F"/>
    <w:rsid w:val="00D94B3A"/>
    <w:rsid w:val="00D94B94"/>
    <w:rsid w:val="00D94BB0"/>
    <w:rsid w:val="00D94C59"/>
    <w:rsid w:val="00D94D1B"/>
    <w:rsid w:val="00D94F8B"/>
    <w:rsid w:val="00D95133"/>
    <w:rsid w:val="00D95171"/>
    <w:rsid w:val="00D95216"/>
    <w:rsid w:val="00D9523F"/>
    <w:rsid w:val="00D952B8"/>
    <w:rsid w:val="00D9531F"/>
    <w:rsid w:val="00D95335"/>
    <w:rsid w:val="00D953C2"/>
    <w:rsid w:val="00D9540A"/>
    <w:rsid w:val="00D95450"/>
    <w:rsid w:val="00D95507"/>
    <w:rsid w:val="00D95587"/>
    <w:rsid w:val="00D9571A"/>
    <w:rsid w:val="00D957D5"/>
    <w:rsid w:val="00D957FD"/>
    <w:rsid w:val="00D9580A"/>
    <w:rsid w:val="00D9583C"/>
    <w:rsid w:val="00D9584A"/>
    <w:rsid w:val="00D95B8C"/>
    <w:rsid w:val="00D95BF9"/>
    <w:rsid w:val="00D95BFB"/>
    <w:rsid w:val="00D95C3F"/>
    <w:rsid w:val="00D95D07"/>
    <w:rsid w:val="00D95D4D"/>
    <w:rsid w:val="00D95D88"/>
    <w:rsid w:val="00D95DFF"/>
    <w:rsid w:val="00D95F1D"/>
    <w:rsid w:val="00D95F7B"/>
    <w:rsid w:val="00D95FBB"/>
    <w:rsid w:val="00D95FD1"/>
    <w:rsid w:val="00D96012"/>
    <w:rsid w:val="00D96051"/>
    <w:rsid w:val="00D9605C"/>
    <w:rsid w:val="00D961A6"/>
    <w:rsid w:val="00D96218"/>
    <w:rsid w:val="00D9621D"/>
    <w:rsid w:val="00D96250"/>
    <w:rsid w:val="00D96251"/>
    <w:rsid w:val="00D9637B"/>
    <w:rsid w:val="00D9639B"/>
    <w:rsid w:val="00D963BF"/>
    <w:rsid w:val="00D963FF"/>
    <w:rsid w:val="00D9647E"/>
    <w:rsid w:val="00D964C7"/>
    <w:rsid w:val="00D964E3"/>
    <w:rsid w:val="00D96527"/>
    <w:rsid w:val="00D965CC"/>
    <w:rsid w:val="00D9660F"/>
    <w:rsid w:val="00D967EB"/>
    <w:rsid w:val="00D9682A"/>
    <w:rsid w:val="00D968CB"/>
    <w:rsid w:val="00D96943"/>
    <w:rsid w:val="00D96977"/>
    <w:rsid w:val="00D969C8"/>
    <w:rsid w:val="00D969EB"/>
    <w:rsid w:val="00D96A3F"/>
    <w:rsid w:val="00D96A9F"/>
    <w:rsid w:val="00D96AE0"/>
    <w:rsid w:val="00D96B34"/>
    <w:rsid w:val="00D96BC5"/>
    <w:rsid w:val="00D96D5A"/>
    <w:rsid w:val="00D96DDC"/>
    <w:rsid w:val="00D96DE1"/>
    <w:rsid w:val="00D96DF2"/>
    <w:rsid w:val="00D96E1B"/>
    <w:rsid w:val="00D96EB2"/>
    <w:rsid w:val="00D96EB5"/>
    <w:rsid w:val="00D96F01"/>
    <w:rsid w:val="00D96F1E"/>
    <w:rsid w:val="00D96F21"/>
    <w:rsid w:val="00D96F5D"/>
    <w:rsid w:val="00D96F60"/>
    <w:rsid w:val="00D96F89"/>
    <w:rsid w:val="00D97008"/>
    <w:rsid w:val="00D970DB"/>
    <w:rsid w:val="00D97109"/>
    <w:rsid w:val="00D972A5"/>
    <w:rsid w:val="00D97336"/>
    <w:rsid w:val="00D97353"/>
    <w:rsid w:val="00D9738C"/>
    <w:rsid w:val="00D97395"/>
    <w:rsid w:val="00D97487"/>
    <w:rsid w:val="00D974D9"/>
    <w:rsid w:val="00D97577"/>
    <w:rsid w:val="00D975CB"/>
    <w:rsid w:val="00D975D1"/>
    <w:rsid w:val="00D975F0"/>
    <w:rsid w:val="00D97620"/>
    <w:rsid w:val="00D97671"/>
    <w:rsid w:val="00D9769F"/>
    <w:rsid w:val="00D97785"/>
    <w:rsid w:val="00D97798"/>
    <w:rsid w:val="00D97A95"/>
    <w:rsid w:val="00D97B35"/>
    <w:rsid w:val="00D97B38"/>
    <w:rsid w:val="00D97B95"/>
    <w:rsid w:val="00D97C3A"/>
    <w:rsid w:val="00D97C46"/>
    <w:rsid w:val="00D97D0A"/>
    <w:rsid w:val="00D97D50"/>
    <w:rsid w:val="00D97DA8"/>
    <w:rsid w:val="00D97E14"/>
    <w:rsid w:val="00D97E18"/>
    <w:rsid w:val="00D97F24"/>
    <w:rsid w:val="00D97F9F"/>
    <w:rsid w:val="00D97FB7"/>
    <w:rsid w:val="00DA0127"/>
    <w:rsid w:val="00DA024F"/>
    <w:rsid w:val="00DA051E"/>
    <w:rsid w:val="00DA0549"/>
    <w:rsid w:val="00DA05E1"/>
    <w:rsid w:val="00DA0695"/>
    <w:rsid w:val="00DA0922"/>
    <w:rsid w:val="00DA0983"/>
    <w:rsid w:val="00DA0AE9"/>
    <w:rsid w:val="00DA0B23"/>
    <w:rsid w:val="00DA0B44"/>
    <w:rsid w:val="00DA0B91"/>
    <w:rsid w:val="00DA0C62"/>
    <w:rsid w:val="00DA0D1D"/>
    <w:rsid w:val="00DA0E34"/>
    <w:rsid w:val="00DA0E61"/>
    <w:rsid w:val="00DA0EB1"/>
    <w:rsid w:val="00DA0F17"/>
    <w:rsid w:val="00DA1028"/>
    <w:rsid w:val="00DA1093"/>
    <w:rsid w:val="00DA10C0"/>
    <w:rsid w:val="00DA10DE"/>
    <w:rsid w:val="00DA1138"/>
    <w:rsid w:val="00DA120C"/>
    <w:rsid w:val="00DA1265"/>
    <w:rsid w:val="00DA127B"/>
    <w:rsid w:val="00DA128A"/>
    <w:rsid w:val="00DA12D5"/>
    <w:rsid w:val="00DA138B"/>
    <w:rsid w:val="00DA14B3"/>
    <w:rsid w:val="00DA14C3"/>
    <w:rsid w:val="00DA1589"/>
    <w:rsid w:val="00DA15F7"/>
    <w:rsid w:val="00DA1707"/>
    <w:rsid w:val="00DA172A"/>
    <w:rsid w:val="00DA1822"/>
    <w:rsid w:val="00DA1829"/>
    <w:rsid w:val="00DA185C"/>
    <w:rsid w:val="00DA1A3D"/>
    <w:rsid w:val="00DA1B34"/>
    <w:rsid w:val="00DA1BF6"/>
    <w:rsid w:val="00DA1C12"/>
    <w:rsid w:val="00DA1CAF"/>
    <w:rsid w:val="00DA1CF0"/>
    <w:rsid w:val="00DA1D0E"/>
    <w:rsid w:val="00DA1D24"/>
    <w:rsid w:val="00DA1E14"/>
    <w:rsid w:val="00DA1E22"/>
    <w:rsid w:val="00DA1E6A"/>
    <w:rsid w:val="00DA1EE7"/>
    <w:rsid w:val="00DA1F99"/>
    <w:rsid w:val="00DA1FF9"/>
    <w:rsid w:val="00DA2139"/>
    <w:rsid w:val="00DA2234"/>
    <w:rsid w:val="00DA22D7"/>
    <w:rsid w:val="00DA22E4"/>
    <w:rsid w:val="00DA2338"/>
    <w:rsid w:val="00DA233B"/>
    <w:rsid w:val="00DA23A9"/>
    <w:rsid w:val="00DA2488"/>
    <w:rsid w:val="00DA24B2"/>
    <w:rsid w:val="00DA24BD"/>
    <w:rsid w:val="00DA2504"/>
    <w:rsid w:val="00DA250B"/>
    <w:rsid w:val="00DA25C4"/>
    <w:rsid w:val="00DA265D"/>
    <w:rsid w:val="00DA266A"/>
    <w:rsid w:val="00DA26BD"/>
    <w:rsid w:val="00DA27A7"/>
    <w:rsid w:val="00DA2852"/>
    <w:rsid w:val="00DA2860"/>
    <w:rsid w:val="00DA28B9"/>
    <w:rsid w:val="00DA28D0"/>
    <w:rsid w:val="00DA2926"/>
    <w:rsid w:val="00DA29D2"/>
    <w:rsid w:val="00DA2AB6"/>
    <w:rsid w:val="00DA2AE6"/>
    <w:rsid w:val="00DA2B2B"/>
    <w:rsid w:val="00DA2B8B"/>
    <w:rsid w:val="00DA2C22"/>
    <w:rsid w:val="00DA2C98"/>
    <w:rsid w:val="00DA2CBC"/>
    <w:rsid w:val="00DA2CC8"/>
    <w:rsid w:val="00DA2CFA"/>
    <w:rsid w:val="00DA2D04"/>
    <w:rsid w:val="00DA2D27"/>
    <w:rsid w:val="00DA2D44"/>
    <w:rsid w:val="00DA2DC7"/>
    <w:rsid w:val="00DA2DF5"/>
    <w:rsid w:val="00DA2F04"/>
    <w:rsid w:val="00DA2F3D"/>
    <w:rsid w:val="00DA2F75"/>
    <w:rsid w:val="00DA2F80"/>
    <w:rsid w:val="00DA2FAC"/>
    <w:rsid w:val="00DA2FC0"/>
    <w:rsid w:val="00DA2FF6"/>
    <w:rsid w:val="00DA300D"/>
    <w:rsid w:val="00DA302C"/>
    <w:rsid w:val="00DA305B"/>
    <w:rsid w:val="00DA3093"/>
    <w:rsid w:val="00DA31CD"/>
    <w:rsid w:val="00DA320B"/>
    <w:rsid w:val="00DA3214"/>
    <w:rsid w:val="00DA322A"/>
    <w:rsid w:val="00DA335A"/>
    <w:rsid w:val="00DA3538"/>
    <w:rsid w:val="00DA35D0"/>
    <w:rsid w:val="00DA362B"/>
    <w:rsid w:val="00DA363E"/>
    <w:rsid w:val="00DA370C"/>
    <w:rsid w:val="00DA371E"/>
    <w:rsid w:val="00DA3758"/>
    <w:rsid w:val="00DA3787"/>
    <w:rsid w:val="00DA3793"/>
    <w:rsid w:val="00DA38E3"/>
    <w:rsid w:val="00DA38E9"/>
    <w:rsid w:val="00DA38F4"/>
    <w:rsid w:val="00DA399D"/>
    <w:rsid w:val="00DA3A3C"/>
    <w:rsid w:val="00DA3AE2"/>
    <w:rsid w:val="00DA3AE9"/>
    <w:rsid w:val="00DA3B76"/>
    <w:rsid w:val="00DA3BA7"/>
    <w:rsid w:val="00DA3BBB"/>
    <w:rsid w:val="00DA3BE7"/>
    <w:rsid w:val="00DA3BF9"/>
    <w:rsid w:val="00DA3C32"/>
    <w:rsid w:val="00DA3D1A"/>
    <w:rsid w:val="00DA3D8E"/>
    <w:rsid w:val="00DA3E97"/>
    <w:rsid w:val="00DA3F49"/>
    <w:rsid w:val="00DA3F60"/>
    <w:rsid w:val="00DA3FA6"/>
    <w:rsid w:val="00DA3FBE"/>
    <w:rsid w:val="00DA400C"/>
    <w:rsid w:val="00DA403D"/>
    <w:rsid w:val="00DA408D"/>
    <w:rsid w:val="00DA40FA"/>
    <w:rsid w:val="00DA41D5"/>
    <w:rsid w:val="00DA41E5"/>
    <w:rsid w:val="00DA4263"/>
    <w:rsid w:val="00DA436F"/>
    <w:rsid w:val="00DA43C8"/>
    <w:rsid w:val="00DA4419"/>
    <w:rsid w:val="00DA4422"/>
    <w:rsid w:val="00DA44E3"/>
    <w:rsid w:val="00DA460C"/>
    <w:rsid w:val="00DA4627"/>
    <w:rsid w:val="00DA47B5"/>
    <w:rsid w:val="00DA4801"/>
    <w:rsid w:val="00DA4826"/>
    <w:rsid w:val="00DA4841"/>
    <w:rsid w:val="00DA487C"/>
    <w:rsid w:val="00DA48DF"/>
    <w:rsid w:val="00DA4A49"/>
    <w:rsid w:val="00DA4AE0"/>
    <w:rsid w:val="00DA4C4E"/>
    <w:rsid w:val="00DA4C98"/>
    <w:rsid w:val="00DA4C9B"/>
    <w:rsid w:val="00DA4D5B"/>
    <w:rsid w:val="00DA4DC8"/>
    <w:rsid w:val="00DA4EF6"/>
    <w:rsid w:val="00DA4EFA"/>
    <w:rsid w:val="00DA4F6D"/>
    <w:rsid w:val="00DA4FAD"/>
    <w:rsid w:val="00DA5005"/>
    <w:rsid w:val="00DA50D0"/>
    <w:rsid w:val="00DA5120"/>
    <w:rsid w:val="00DA518F"/>
    <w:rsid w:val="00DA51DD"/>
    <w:rsid w:val="00DA5230"/>
    <w:rsid w:val="00DA5268"/>
    <w:rsid w:val="00DA5276"/>
    <w:rsid w:val="00DA533C"/>
    <w:rsid w:val="00DA53AA"/>
    <w:rsid w:val="00DA53AE"/>
    <w:rsid w:val="00DA53E3"/>
    <w:rsid w:val="00DA5435"/>
    <w:rsid w:val="00DA550D"/>
    <w:rsid w:val="00DA56AB"/>
    <w:rsid w:val="00DA56D3"/>
    <w:rsid w:val="00DA56E1"/>
    <w:rsid w:val="00DA5783"/>
    <w:rsid w:val="00DA5806"/>
    <w:rsid w:val="00DA58B9"/>
    <w:rsid w:val="00DA58C8"/>
    <w:rsid w:val="00DA58E7"/>
    <w:rsid w:val="00DA5905"/>
    <w:rsid w:val="00DA5944"/>
    <w:rsid w:val="00DA5979"/>
    <w:rsid w:val="00DA598B"/>
    <w:rsid w:val="00DA59AB"/>
    <w:rsid w:val="00DA59D7"/>
    <w:rsid w:val="00DA5A27"/>
    <w:rsid w:val="00DA5B11"/>
    <w:rsid w:val="00DA5B74"/>
    <w:rsid w:val="00DA5BD5"/>
    <w:rsid w:val="00DA5C62"/>
    <w:rsid w:val="00DA5E03"/>
    <w:rsid w:val="00DA5E66"/>
    <w:rsid w:val="00DA5EEC"/>
    <w:rsid w:val="00DA5EF4"/>
    <w:rsid w:val="00DA5F17"/>
    <w:rsid w:val="00DA5F4F"/>
    <w:rsid w:val="00DA6003"/>
    <w:rsid w:val="00DA6048"/>
    <w:rsid w:val="00DA6060"/>
    <w:rsid w:val="00DA610A"/>
    <w:rsid w:val="00DA619B"/>
    <w:rsid w:val="00DA61C7"/>
    <w:rsid w:val="00DA61F0"/>
    <w:rsid w:val="00DA6215"/>
    <w:rsid w:val="00DA624C"/>
    <w:rsid w:val="00DA62C4"/>
    <w:rsid w:val="00DA62F7"/>
    <w:rsid w:val="00DA6321"/>
    <w:rsid w:val="00DA6337"/>
    <w:rsid w:val="00DA636E"/>
    <w:rsid w:val="00DA638A"/>
    <w:rsid w:val="00DA6397"/>
    <w:rsid w:val="00DA63CB"/>
    <w:rsid w:val="00DA6552"/>
    <w:rsid w:val="00DA668B"/>
    <w:rsid w:val="00DA6697"/>
    <w:rsid w:val="00DA66AF"/>
    <w:rsid w:val="00DA66D5"/>
    <w:rsid w:val="00DA670F"/>
    <w:rsid w:val="00DA67A1"/>
    <w:rsid w:val="00DA69D1"/>
    <w:rsid w:val="00DA6A4C"/>
    <w:rsid w:val="00DA6A5D"/>
    <w:rsid w:val="00DA6AE4"/>
    <w:rsid w:val="00DA6B34"/>
    <w:rsid w:val="00DA6BEC"/>
    <w:rsid w:val="00DA6D28"/>
    <w:rsid w:val="00DA6D44"/>
    <w:rsid w:val="00DA6E18"/>
    <w:rsid w:val="00DA6E98"/>
    <w:rsid w:val="00DA6EAC"/>
    <w:rsid w:val="00DA6F0A"/>
    <w:rsid w:val="00DA6F14"/>
    <w:rsid w:val="00DA6F41"/>
    <w:rsid w:val="00DA70A7"/>
    <w:rsid w:val="00DA70C9"/>
    <w:rsid w:val="00DA7152"/>
    <w:rsid w:val="00DA71B1"/>
    <w:rsid w:val="00DA71B3"/>
    <w:rsid w:val="00DA7255"/>
    <w:rsid w:val="00DA733E"/>
    <w:rsid w:val="00DA74D4"/>
    <w:rsid w:val="00DA74F1"/>
    <w:rsid w:val="00DA752F"/>
    <w:rsid w:val="00DA7625"/>
    <w:rsid w:val="00DA7738"/>
    <w:rsid w:val="00DA77BE"/>
    <w:rsid w:val="00DA77E3"/>
    <w:rsid w:val="00DA77FA"/>
    <w:rsid w:val="00DA7860"/>
    <w:rsid w:val="00DA78CD"/>
    <w:rsid w:val="00DA78E1"/>
    <w:rsid w:val="00DA7943"/>
    <w:rsid w:val="00DA79AF"/>
    <w:rsid w:val="00DA79F4"/>
    <w:rsid w:val="00DA7A09"/>
    <w:rsid w:val="00DA7B05"/>
    <w:rsid w:val="00DA7B26"/>
    <w:rsid w:val="00DA7B62"/>
    <w:rsid w:val="00DA7B84"/>
    <w:rsid w:val="00DA7BC6"/>
    <w:rsid w:val="00DA7C62"/>
    <w:rsid w:val="00DA7D65"/>
    <w:rsid w:val="00DA7DD4"/>
    <w:rsid w:val="00DA7DED"/>
    <w:rsid w:val="00DA7E2C"/>
    <w:rsid w:val="00DA7E83"/>
    <w:rsid w:val="00DA7F6A"/>
    <w:rsid w:val="00DA7F9E"/>
    <w:rsid w:val="00DA7FE3"/>
    <w:rsid w:val="00DB013C"/>
    <w:rsid w:val="00DB0166"/>
    <w:rsid w:val="00DB01EE"/>
    <w:rsid w:val="00DB021B"/>
    <w:rsid w:val="00DB0249"/>
    <w:rsid w:val="00DB0285"/>
    <w:rsid w:val="00DB032C"/>
    <w:rsid w:val="00DB0393"/>
    <w:rsid w:val="00DB039F"/>
    <w:rsid w:val="00DB03F3"/>
    <w:rsid w:val="00DB04A7"/>
    <w:rsid w:val="00DB05D8"/>
    <w:rsid w:val="00DB060B"/>
    <w:rsid w:val="00DB0611"/>
    <w:rsid w:val="00DB06B5"/>
    <w:rsid w:val="00DB06C3"/>
    <w:rsid w:val="00DB0726"/>
    <w:rsid w:val="00DB07ED"/>
    <w:rsid w:val="00DB07F9"/>
    <w:rsid w:val="00DB0831"/>
    <w:rsid w:val="00DB0849"/>
    <w:rsid w:val="00DB0852"/>
    <w:rsid w:val="00DB087A"/>
    <w:rsid w:val="00DB089F"/>
    <w:rsid w:val="00DB08E9"/>
    <w:rsid w:val="00DB0961"/>
    <w:rsid w:val="00DB09FA"/>
    <w:rsid w:val="00DB0A98"/>
    <w:rsid w:val="00DB0AA1"/>
    <w:rsid w:val="00DB0B17"/>
    <w:rsid w:val="00DB0B1C"/>
    <w:rsid w:val="00DB0B20"/>
    <w:rsid w:val="00DB0BC4"/>
    <w:rsid w:val="00DB0BF4"/>
    <w:rsid w:val="00DB0C20"/>
    <w:rsid w:val="00DB0C55"/>
    <w:rsid w:val="00DB0D5F"/>
    <w:rsid w:val="00DB0D70"/>
    <w:rsid w:val="00DB0D75"/>
    <w:rsid w:val="00DB0D8E"/>
    <w:rsid w:val="00DB0DBD"/>
    <w:rsid w:val="00DB0E20"/>
    <w:rsid w:val="00DB0E5C"/>
    <w:rsid w:val="00DB0ED6"/>
    <w:rsid w:val="00DB0EEC"/>
    <w:rsid w:val="00DB0F03"/>
    <w:rsid w:val="00DB0F7C"/>
    <w:rsid w:val="00DB0FF1"/>
    <w:rsid w:val="00DB10E1"/>
    <w:rsid w:val="00DB1162"/>
    <w:rsid w:val="00DB1297"/>
    <w:rsid w:val="00DB12AD"/>
    <w:rsid w:val="00DB12B9"/>
    <w:rsid w:val="00DB12CE"/>
    <w:rsid w:val="00DB1413"/>
    <w:rsid w:val="00DB1436"/>
    <w:rsid w:val="00DB1494"/>
    <w:rsid w:val="00DB1504"/>
    <w:rsid w:val="00DB15BD"/>
    <w:rsid w:val="00DB169D"/>
    <w:rsid w:val="00DB1744"/>
    <w:rsid w:val="00DB1758"/>
    <w:rsid w:val="00DB186B"/>
    <w:rsid w:val="00DB1877"/>
    <w:rsid w:val="00DB1A1C"/>
    <w:rsid w:val="00DB1A87"/>
    <w:rsid w:val="00DB1B12"/>
    <w:rsid w:val="00DB1B6D"/>
    <w:rsid w:val="00DB1B8F"/>
    <w:rsid w:val="00DB1BAA"/>
    <w:rsid w:val="00DB1BBE"/>
    <w:rsid w:val="00DB1C29"/>
    <w:rsid w:val="00DB1D15"/>
    <w:rsid w:val="00DB1D54"/>
    <w:rsid w:val="00DB1E07"/>
    <w:rsid w:val="00DB1F10"/>
    <w:rsid w:val="00DB2083"/>
    <w:rsid w:val="00DB20BB"/>
    <w:rsid w:val="00DB218E"/>
    <w:rsid w:val="00DB224D"/>
    <w:rsid w:val="00DB22D2"/>
    <w:rsid w:val="00DB240D"/>
    <w:rsid w:val="00DB240F"/>
    <w:rsid w:val="00DB2659"/>
    <w:rsid w:val="00DB26B6"/>
    <w:rsid w:val="00DB26FE"/>
    <w:rsid w:val="00DB277E"/>
    <w:rsid w:val="00DB278B"/>
    <w:rsid w:val="00DB27AC"/>
    <w:rsid w:val="00DB2970"/>
    <w:rsid w:val="00DB29EF"/>
    <w:rsid w:val="00DB2AD6"/>
    <w:rsid w:val="00DB2B20"/>
    <w:rsid w:val="00DB2B2A"/>
    <w:rsid w:val="00DB2BA3"/>
    <w:rsid w:val="00DB2BAC"/>
    <w:rsid w:val="00DB2BCA"/>
    <w:rsid w:val="00DB2C18"/>
    <w:rsid w:val="00DB2CBD"/>
    <w:rsid w:val="00DB2D7F"/>
    <w:rsid w:val="00DB2D8D"/>
    <w:rsid w:val="00DB2DCF"/>
    <w:rsid w:val="00DB2DE3"/>
    <w:rsid w:val="00DB2E0C"/>
    <w:rsid w:val="00DB2E61"/>
    <w:rsid w:val="00DB2EFE"/>
    <w:rsid w:val="00DB2F74"/>
    <w:rsid w:val="00DB2F86"/>
    <w:rsid w:val="00DB2FA2"/>
    <w:rsid w:val="00DB3044"/>
    <w:rsid w:val="00DB30AA"/>
    <w:rsid w:val="00DB30CB"/>
    <w:rsid w:val="00DB3112"/>
    <w:rsid w:val="00DB3237"/>
    <w:rsid w:val="00DB32D5"/>
    <w:rsid w:val="00DB32F5"/>
    <w:rsid w:val="00DB3336"/>
    <w:rsid w:val="00DB3344"/>
    <w:rsid w:val="00DB33AE"/>
    <w:rsid w:val="00DB34E2"/>
    <w:rsid w:val="00DB3552"/>
    <w:rsid w:val="00DB360B"/>
    <w:rsid w:val="00DB3647"/>
    <w:rsid w:val="00DB36A6"/>
    <w:rsid w:val="00DB3720"/>
    <w:rsid w:val="00DB37E7"/>
    <w:rsid w:val="00DB3881"/>
    <w:rsid w:val="00DB39AC"/>
    <w:rsid w:val="00DB39D9"/>
    <w:rsid w:val="00DB39EC"/>
    <w:rsid w:val="00DB3A06"/>
    <w:rsid w:val="00DB3A10"/>
    <w:rsid w:val="00DB3B02"/>
    <w:rsid w:val="00DB3B36"/>
    <w:rsid w:val="00DB3BC6"/>
    <w:rsid w:val="00DB3D4B"/>
    <w:rsid w:val="00DB3E5B"/>
    <w:rsid w:val="00DB4098"/>
    <w:rsid w:val="00DB4112"/>
    <w:rsid w:val="00DB4116"/>
    <w:rsid w:val="00DB412B"/>
    <w:rsid w:val="00DB41D6"/>
    <w:rsid w:val="00DB4202"/>
    <w:rsid w:val="00DB4219"/>
    <w:rsid w:val="00DB4380"/>
    <w:rsid w:val="00DB43B4"/>
    <w:rsid w:val="00DB441D"/>
    <w:rsid w:val="00DB450B"/>
    <w:rsid w:val="00DB450C"/>
    <w:rsid w:val="00DB4582"/>
    <w:rsid w:val="00DB4639"/>
    <w:rsid w:val="00DB467B"/>
    <w:rsid w:val="00DB4697"/>
    <w:rsid w:val="00DB47DF"/>
    <w:rsid w:val="00DB48A7"/>
    <w:rsid w:val="00DB48E1"/>
    <w:rsid w:val="00DB492F"/>
    <w:rsid w:val="00DB4949"/>
    <w:rsid w:val="00DB49EA"/>
    <w:rsid w:val="00DB4B1F"/>
    <w:rsid w:val="00DB4C29"/>
    <w:rsid w:val="00DB4CA2"/>
    <w:rsid w:val="00DB4D65"/>
    <w:rsid w:val="00DB4DD5"/>
    <w:rsid w:val="00DB4DE2"/>
    <w:rsid w:val="00DB4E02"/>
    <w:rsid w:val="00DB4E09"/>
    <w:rsid w:val="00DB4EDB"/>
    <w:rsid w:val="00DB4F54"/>
    <w:rsid w:val="00DB4F69"/>
    <w:rsid w:val="00DB5038"/>
    <w:rsid w:val="00DB504F"/>
    <w:rsid w:val="00DB5053"/>
    <w:rsid w:val="00DB50D9"/>
    <w:rsid w:val="00DB5112"/>
    <w:rsid w:val="00DB5200"/>
    <w:rsid w:val="00DB5263"/>
    <w:rsid w:val="00DB5499"/>
    <w:rsid w:val="00DB54B2"/>
    <w:rsid w:val="00DB5541"/>
    <w:rsid w:val="00DB565F"/>
    <w:rsid w:val="00DB5662"/>
    <w:rsid w:val="00DB56E7"/>
    <w:rsid w:val="00DB5717"/>
    <w:rsid w:val="00DB5758"/>
    <w:rsid w:val="00DB5769"/>
    <w:rsid w:val="00DB5776"/>
    <w:rsid w:val="00DB57FB"/>
    <w:rsid w:val="00DB5935"/>
    <w:rsid w:val="00DB5A02"/>
    <w:rsid w:val="00DB5BB3"/>
    <w:rsid w:val="00DB5BBE"/>
    <w:rsid w:val="00DB5BEE"/>
    <w:rsid w:val="00DB5C3C"/>
    <w:rsid w:val="00DB5C4A"/>
    <w:rsid w:val="00DB5CD9"/>
    <w:rsid w:val="00DB5DF0"/>
    <w:rsid w:val="00DB5ECD"/>
    <w:rsid w:val="00DB60C8"/>
    <w:rsid w:val="00DB60F4"/>
    <w:rsid w:val="00DB615F"/>
    <w:rsid w:val="00DB617D"/>
    <w:rsid w:val="00DB61B9"/>
    <w:rsid w:val="00DB61BC"/>
    <w:rsid w:val="00DB61CF"/>
    <w:rsid w:val="00DB61F6"/>
    <w:rsid w:val="00DB62F2"/>
    <w:rsid w:val="00DB6305"/>
    <w:rsid w:val="00DB6310"/>
    <w:rsid w:val="00DB6456"/>
    <w:rsid w:val="00DB64F2"/>
    <w:rsid w:val="00DB65B7"/>
    <w:rsid w:val="00DB65F6"/>
    <w:rsid w:val="00DB663C"/>
    <w:rsid w:val="00DB6671"/>
    <w:rsid w:val="00DB66F3"/>
    <w:rsid w:val="00DB6710"/>
    <w:rsid w:val="00DB6726"/>
    <w:rsid w:val="00DB6727"/>
    <w:rsid w:val="00DB67D5"/>
    <w:rsid w:val="00DB680A"/>
    <w:rsid w:val="00DB6834"/>
    <w:rsid w:val="00DB689A"/>
    <w:rsid w:val="00DB69A0"/>
    <w:rsid w:val="00DB69E0"/>
    <w:rsid w:val="00DB69EE"/>
    <w:rsid w:val="00DB6ADD"/>
    <w:rsid w:val="00DB6B43"/>
    <w:rsid w:val="00DB6B4E"/>
    <w:rsid w:val="00DB6B82"/>
    <w:rsid w:val="00DB6C2B"/>
    <w:rsid w:val="00DB6CFF"/>
    <w:rsid w:val="00DB6D48"/>
    <w:rsid w:val="00DB6D9B"/>
    <w:rsid w:val="00DB6DCD"/>
    <w:rsid w:val="00DB6F33"/>
    <w:rsid w:val="00DB6F90"/>
    <w:rsid w:val="00DB6F98"/>
    <w:rsid w:val="00DB705D"/>
    <w:rsid w:val="00DB708B"/>
    <w:rsid w:val="00DB7130"/>
    <w:rsid w:val="00DB7135"/>
    <w:rsid w:val="00DB7171"/>
    <w:rsid w:val="00DB7183"/>
    <w:rsid w:val="00DB71C5"/>
    <w:rsid w:val="00DB733B"/>
    <w:rsid w:val="00DB7507"/>
    <w:rsid w:val="00DB75A4"/>
    <w:rsid w:val="00DB76A2"/>
    <w:rsid w:val="00DB770F"/>
    <w:rsid w:val="00DB778A"/>
    <w:rsid w:val="00DB77FE"/>
    <w:rsid w:val="00DB7857"/>
    <w:rsid w:val="00DB7884"/>
    <w:rsid w:val="00DB78E8"/>
    <w:rsid w:val="00DB792F"/>
    <w:rsid w:val="00DB796F"/>
    <w:rsid w:val="00DB79F9"/>
    <w:rsid w:val="00DB79FF"/>
    <w:rsid w:val="00DB7A0B"/>
    <w:rsid w:val="00DB7A63"/>
    <w:rsid w:val="00DB7ACE"/>
    <w:rsid w:val="00DB7B66"/>
    <w:rsid w:val="00DB7C53"/>
    <w:rsid w:val="00DB7CB2"/>
    <w:rsid w:val="00DB7CB7"/>
    <w:rsid w:val="00DB7EC1"/>
    <w:rsid w:val="00DB7F02"/>
    <w:rsid w:val="00DB7F56"/>
    <w:rsid w:val="00DC0021"/>
    <w:rsid w:val="00DC003E"/>
    <w:rsid w:val="00DC004D"/>
    <w:rsid w:val="00DC012D"/>
    <w:rsid w:val="00DC01A7"/>
    <w:rsid w:val="00DC01D5"/>
    <w:rsid w:val="00DC0277"/>
    <w:rsid w:val="00DC027F"/>
    <w:rsid w:val="00DC0318"/>
    <w:rsid w:val="00DC0350"/>
    <w:rsid w:val="00DC03E5"/>
    <w:rsid w:val="00DC04A1"/>
    <w:rsid w:val="00DC04FB"/>
    <w:rsid w:val="00DC0635"/>
    <w:rsid w:val="00DC06D6"/>
    <w:rsid w:val="00DC077C"/>
    <w:rsid w:val="00DC07D4"/>
    <w:rsid w:val="00DC07D8"/>
    <w:rsid w:val="00DC07E1"/>
    <w:rsid w:val="00DC082E"/>
    <w:rsid w:val="00DC0871"/>
    <w:rsid w:val="00DC08F8"/>
    <w:rsid w:val="00DC090F"/>
    <w:rsid w:val="00DC091F"/>
    <w:rsid w:val="00DC0A16"/>
    <w:rsid w:val="00DC0A30"/>
    <w:rsid w:val="00DC0A97"/>
    <w:rsid w:val="00DC0AE9"/>
    <w:rsid w:val="00DC0B65"/>
    <w:rsid w:val="00DC0B9F"/>
    <w:rsid w:val="00DC0D5C"/>
    <w:rsid w:val="00DC0D5D"/>
    <w:rsid w:val="00DC0D7B"/>
    <w:rsid w:val="00DC0E22"/>
    <w:rsid w:val="00DC0E51"/>
    <w:rsid w:val="00DC0EAB"/>
    <w:rsid w:val="00DC0F28"/>
    <w:rsid w:val="00DC0F7D"/>
    <w:rsid w:val="00DC0FE5"/>
    <w:rsid w:val="00DC1050"/>
    <w:rsid w:val="00DC11EF"/>
    <w:rsid w:val="00DC13ED"/>
    <w:rsid w:val="00DC1426"/>
    <w:rsid w:val="00DC158E"/>
    <w:rsid w:val="00DC163E"/>
    <w:rsid w:val="00DC1663"/>
    <w:rsid w:val="00DC1670"/>
    <w:rsid w:val="00DC167E"/>
    <w:rsid w:val="00DC16C1"/>
    <w:rsid w:val="00DC1818"/>
    <w:rsid w:val="00DC1878"/>
    <w:rsid w:val="00DC1893"/>
    <w:rsid w:val="00DC190A"/>
    <w:rsid w:val="00DC1922"/>
    <w:rsid w:val="00DC19BF"/>
    <w:rsid w:val="00DC1A60"/>
    <w:rsid w:val="00DC1AD6"/>
    <w:rsid w:val="00DC1BD2"/>
    <w:rsid w:val="00DC1D49"/>
    <w:rsid w:val="00DC1D56"/>
    <w:rsid w:val="00DC1DE7"/>
    <w:rsid w:val="00DC1ECD"/>
    <w:rsid w:val="00DC1ED7"/>
    <w:rsid w:val="00DC1FA1"/>
    <w:rsid w:val="00DC1FE5"/>
    <w:rsid w:val="00DC2036"/>
    <w:rsid w:val="00DC2079"/>
    <w:rsid w:val="00DC20FF"/>
    <w:rsid w:val="00DC2105"/>
    <w:rsid w:val="00DC2234"/>
    <w:rsid w:val="00DC2260"/>
    <w:rsid w:val="00DC23C8"/>
    <w:rsid w:val="00DC23EE"/>
    <w:rsid w:val="00DC2492"/>
    <w:rsid w:val="00DC2561"/>
    <w:rsid w:val="00DC25B1"/>
    <w:rsid w:val="00DC265B"/>
    <w:rsid w:val="00DC2665"/>
    <w:rsid w:val="00DC26B7"/>
    <w:rsid w:val="00DC272D"/>
    <w:rsid w:val="00DC2775"/>
    <w:rsid w:val="00DC285A"/>
    <w:rsid w:val="00DC29C2"/>
    <w:rsid w:val="00DC2AE7"/>
    <w:rsid w:val="00DC2B35"/>
    <w:rsid w:val="00DC2B61"/>
    <w:rsid w:val="00DC2B78"/>
    <w:rsid w:val="00DC2C47"/>
    <w:rsid w:val="00DC2CA6"/>
    <w:rsid w:val="00DC2D7A"/>
    <w:rsid w:val="00DC2D91"/>
    <w:rsid w:val="00DC2DAB"/>
    <w:rsid w:val="00DC2DBE"/>
    <w:rsid w:val="00DC2DC3"/>
    <w:rsid w:val="00DC2E40"/>
    <w:rsid w:val="00DC2F53"/>
    <w:rsid w:val="00DC2F5C"/>
    <w:rsid w:val="00DC2FD1"/>
    <w:rsid w:val="00DC30CD"/>
    <w:rsid w:val="00DC3104"/>
    <w:rsid w:val="00DC3157"/>
    <w:rsid w:val="00DC31D1"/>
    <w:rsid w:val="00DC32A0"/>
    <w:rsid w:val="00DC32E6"/>
    <w:rsid w:val="00DC32FD"/>
    <w:rsid w:val="00DC336D"/>
    <w:rsid w:val="00DC33B1"/>
    <w:rsid w:val="00DC342F"/>
    <w:rsid w:val="00DC344A"/>
    <w:rsid w:val="00DC34CA"/>
    <w:rsid w:val="00DC3537"/>
    <w:rsid w:val="00DC3560"/>
    <w:rsid w:val="00DC3575"/>
    <w:rsid w:val="00DC360E"/>
    <w:rsid w:val="00DC3643"/>
    <w:rsid w:val="00DC369D"/>
    <w:rsid w:val="00DC36CC"/>
    <w:rsid w:val="00DC375D"/>
    <w:rsid w:val="00DC37E1"/>
    <w:rsid w:val="00DC3900"/>
    <w:rsid w:val="00DC398B"/>
    <w:rsid w:val="00DC39C2"/>
    <w:rsid w:val="00DC3A96"/>
    <w:rsid w:val="00DC3AD2"/>
    <w:rsid w:val="00DC3B72"/>
    <w:rsid w:val="00DC3D21"/>
    <w:rsid w:val="00DC3E91"/>
    <w:rsid w:val="00DC3F0B"/>
    <w:rsid w:val="00DC3F37"/>
    <w:rsid w:val="00DC3F72"/>
    <w:rsid w:val="00DC3F7C"/>
    <w:rsid w:val="00DC4085"/>
    <w:rsid w:val="00DC40E1"/>
    <w:rsid w:val="00DC4115"/>
    <w:rsid w:val="00DC41DD"/>
    <w:rsid w:val="00DC429C"/>
    <w:rsid w:val="00DC42B2"/>
    <w:rsid w:val="00DC42ED"/>
    <w:rsid w:val="00DC4559"/>
    <w:rsid w:val="00DC4584"/>
    <w:rsid w:val="00DC45FD"/>
    <w:rsid w:val="00DC4633"/>
    <w:rsid w:val="00DC4635"/>
    <w:rsid w:val="00DC46B2"/>
    <w:rsid w:val="00DC46BA"/>
    <w:rsid w:val="00DC4730"/>
    <w:rsid w:val="00DC47A4"/>
    <w:rsid w:val="00DC47A8"/>
    <w:rsid w:val="00DC47CB"/>
    <w:rsid w:val="00DC47E9"/>
    <w:rsid w:val="00DC4801"/>
    <w:rsid w:val="00DC4808"/>
    <w:rsid w:val="00DC4841"/>
    <w:rsid w:val="00DC4878"/>
    <w:rsid w:val="00DC48CE"/>
    <w:rsid w:val="00DC48FF"/>
    <w:rsid w:val="00DC4910"/>
    <w:rsid w:val="00DC4973"/>
    <w:rsid w:val="00DC4A02"/>
    <w:rsid w:val="00DC4A61"/>
    <w:rsid w:val="00DC4A93"/>
    <w:rsid w:val="00DC4B55"/>
    <w:rsid w:val="00DC4CCC"/>
    <w:rsid w:val="00DC4D8A"/>
    <w:rsid w:val="00DC4DAF"/>
    <w:rsid w:val="00DC4ECB"/>
    <w:rsid w:val="00DC4FA0"/>
    <w:rsid w:val="00DC4FBE"/>
    <w:rsid w:val="00DC502C"/>
    <w:rsid w:val="00DC5140"/>
    <w:rsid w:val="00DC525C"/>
    <w:rsid w:val="00DC5266"/>
    <w:rsid w:val="00DC5298"/>
    <w:rsid w:val="00DC53CF"/>
    <w:rsid w:val="00DC5554"/>
    <w:rsid w:val="00DC5582"/>
    <w:rsid w:val="00DC5596"/>
    <w:rsid w:val="00DC57BE"/>
    <w:rsid w:val="00DC588E"/>
    <w:rsid w:val="00DC597A"/>
    <w:rsid w:val="00DC59FB"/>
    <w:rsid w:val="00DC5A78"/>
    <w:rsid w:val="00DC5AEF"/>
    <w:rsid w:val="00DC5B50"/>
    <w:rsid w:val="00DC5B70"/>
    <w:rsid w:val="00DC5B9A"/>
    <w:rsid w:val="00DC5BA3"/>
    <w:rsid w:val="00DC5BC1"/>
    <w:rsid w:val="00DC5BE6"/>
    <w:rsid w:val="00DC5C5C"/>
    <w:rsid w:val="00DC5CF2"/>
    <w:rsid w:val="00DC5D19"/>
    <w:rsid w:val="00DC5D78"/>
    <w:rsid w:val="00DC5EB1"/>
    <w:rsid w:val="00DC5F61"/>
    <w:rsid w:val="00DC5FA4"/>
    <w:rsid w:val="00DC6039"/>
    <w:rsid w:val="00DC60E3"/>
    <w:rsid w:val="00DC62D0"/>
    <w:rsid w:val="00DC62E5"/>
    <w:rsid w:val="00DC6323"/>
    <w:rsid w:val="00DC634C"/>
    <w:rsid w:val="00DC6408"/>
    <w:rsid w:val="00DC643D"/>
    <w:rsid w:val="00DC64BE"/>
    <w:rsid w:val="00DC651C"/>
    <w:rsid w:val="00DC6528"/>
    <w:rsid w:val="00DC6601"/>
    <w:rsid w:val="00DC6606"/>
    <w:rsid w:val="00DC6615"/>
    <w:rsid w:val="00DC662F"/>
    <w:rsid w:val="00DC69AB"/>
    <w:rsid w:val="00DC69F0"/>
    <w:rsid w:val="00DC6A31"/>
    <w:rsid w:val="00DC6A78"/>
    <w:rsid w:val="00DC6AEC"/>
    <w:rsid w:val="00DC6B22"/>
    <w:rsid w:val="00DC6B6B"/>
    <w:rsid w:val="00DC6BA6"/>
    <w:rsid w:val="00DC6BEA"/>
    <w:rsid w:val="00DC6C03"/>
    <w:rsid w:val="00DC6D2D"/>
    <w:rsid w:val="00DC6DA1"/>
    <w:rsid w:val="00DC6DB3"/>
    <w:rsid w:val="00DC6EA2"/>
    <w:rsid w:val="00DC6EE0"/>
    <w:rsid w:val="00DC6EEA"/>
    <w:rsid w:val="00DC6EFB"/>
    <w:rsid w:val="00DC6F20"/>
    <w:rsid w:val="00DC6F90"/>
    <w:rsid w:val="00DC70D1"/>
    <w:rsid w:val="00DC718C"/>
    <w:rsid w:val="00DC7236"/>
    <w:rsid w:val="00DC72C9"/>
    <w:rsid w:val="00DC7336"/>
    <w:rsid w:val="00DC7374"/>
    <w:rsid w:val="00DC739B"/>
    <w:rsid w:val="00DC743F"/>
    <w:rsid w:val="00DC747A"/>
    <w:rsid w:val="00DC748A"/>
    <w:rsid w:val="00DC74A5"/>
    <w:rsid w:val="00DC7501"/>
    <w:rsid w:val="00DC750A"/>
    <w:rsid w:val="00DC768D"/>
    <w:rsid w:val="00DC768E"/>
    <w:rsid w:val="00DC76C0"/>
    <w:rsid w:val="00DC777E"/>
    <w:rsid w:val="00DC77C7"/>
    <w:rsid w:val="00DC785B"/>
    <w:rsid w:val="00DC7899"/>
    <w:rsid w:val="00DC7929"/>
    <w:rsid w:val="00DC79AB"/>
    <w:rsid w:val="00DC79B1"/>
    <w:rsid w:val="00DC79DD"/>
    <w:rsid w:val="00DC7A84"/>
    <w:rsid w:val="00DC7B86"/>
    <w:rsid w:val="00DC7B8C"/>
    <w:rsid w:val="00DC7BAE"/>
    <w:rsid w:val="00DC7D96"/>
    <w:rsid w:val="00DC7DA1"/>
    <w:rsid w:val="00DC7F35"/>
    <w:rsid w:val="00DC7F44"/>
    <w:rsid w:val="00DD0009"/>
    <w:rsid w:val="00DD0110"/>
    <w:rsid w:val="00DD0181"/>
    <w:rsid w:val="00DD01BD"/>
    <w:rsid w:val="00DD01E3"/>
    <w:rsid w:val="00DD0211"/>
    <w:rsid w:val="00DD024F"/>
    <w:rsid w:val="00DD0281"/>
    <w:rsid w:val="00DD028C"/>
    <w:rsid w:val="00DD0290"/>
    <w:rsid w:val="00DD02A8"/>
    <w:rsid w:val="00DD051C"/>
    <w:rsid w:val="00DD0526"/>
    <w:rsid w:val="00DD05AE"/>
    <w:rsid w:val="00DD0689"/>
    <w:rsid w:val="00DD068A"/>
    <w:rsid w:val="00DD06BE"/>
    <w:rsid w:val="00DD06CF"/>
    <w:rsid w:val="00DD0903"/>
    <w:rsid w:val="00DD0973"/>
    <w:rsid w:val="00DD0A1A"/>
    <w:rsid w:val="00DD0A8A"/>
    <w:rsid w:val="00DD0AFC"/>
    <w:rsid w:val="00DD0BB9"/>
    <w:rsid w:val="00DD0C80"/>
    <w:rsid w:val="00DD0D29"/>
    <w:rsid w:val="00DD0EDA"/>
    <w:rsid w:val="00DD0F04"/>
    <w:rsid w:val="00DD0F30"/>
    <w:rsid w:val="00DD0F46"/>
    <w:rsid w:val="00DD0F4C"/>
    <w:rsid w:val="00DD0FA1"/>
    <w:rsid w:val="00DD0FA6"/>
    <w:rsid w:val="00DD1043"/>
    <w:rsid w:val="00DD104D"/>
    <w:rsid w:val="00DD1115"/>
    <w:rsid w:val="00DD116A"/>
    <w:rsid w:val="00DD11D2"/>
    <w:rsid w:val="00DD11ED"/>
    <w:rsid w:val="00DD12C6"/>
    <w:rsid w:val="00DD132C"/>
    <w:rsid w:val="00DD13C7"/>
    <w:rsid w:val="00DD1411"/>
    <w:rsid w:val="00DD143F"/>
    <w:rsid w:val="00DD14F2"/>
    <w:rsid w:val="00DD1520"/>
    <w:rsid w:val="00DD153E"/>
    <w:rsid w:val="00DD1563"/>
    <w:rsid w:val="00DD156E"/>
    <w:rsid w:val="00DD1581"/>
    <w:rsid w:val="00DD15C6"/>
    <w:rsid w:val="00DD16B8"/>
    <w:rsid w:val="00DD170F"/>
    <w:rsid w:val="00DD1714"/>
    <w:rsid w:val="00DD172E"/>
    <w:rsid w:val="00DD1777"/>
    <w:rsid w:val="00DD17CE"/>
    <w:rsid w:val="00DD185F"/>
    <w:rsid w:val="00DD1887"/>
    <w:rsid w:val="00DD18A5"/>
    <w:rsid w:val="00DD19C0"/>
    <w:rsid w:val="00DD19C8"/>
    <w:rsid w:val="00DD19DA"/>
    <w:rsid w:val="00DD1B14"/>
    <w:rsid w:val="00DD1B39"/>
    <w:rsid w:val="00DD1B7A"/>
    <w:rsid w:val="00DD1BCF"/>
    <w:rsid w:val="00DD1C07"/>
    <w:rsid w:val="00DD1CED"/>
    <w:rsid w:val="00DD1DDB"/>
    <w:rsid w:val="00DD1EC5"/>
    <w:rsid w:val="00DD1F0D"/>
    <w:rsid w:val="00DD1F22"/>
    <w:rsid w:val="00DD1FB3"/>
    <w:rsid w:val="00DD2029"/>
    <w:rsid w:val="00DD20DE"/>
    <w:rsid w:val="00DD2104"/>
    <w:rsid w:val="00DD2110"/>
    <w:rsid w:val="00DD211E"/>
    <w:rsid w:val="00DD219F"/>
    <w:rsid w:val="00DD2265"/>
    <w:rsid w:val="00DD2349"/>
    <w:rsid w:val="00DD23C6"/>
    <w:rsid w:val="00DD23F1"/>
    <w:rsid w:val="00DD2434"/>
    <w:rsid w:val="00DD24ED"/>
    <w:rsid w:val="00DD256F"/>
    <w:rsid w:val="00DD2575"/>
    <w:rsid w:val="00DD2579"/>
    <w:rsid w:val="00DD266D"/>
    <w:rsid w:val="00DD2770"/>
    <w:rsid w:val="00DD29B6"/>
    <w:rsid w:val="00DD2A4E"/>
    <w:rsid w:val="00DD2AC3"/>
    <w:rsid w:val="00DD2ADF"/>
    <w:rsid w:val="00DD2B72"/>
    <w:rsid w:val="00DD2B73"/>
    <w:rsid w:val="00DD2C08"/>
    <w:rsid w:val="00DD2C44"/>
    <w:rsid w:val="00DD2CA5"/>
    <w:rsid w:val="00DD2D0E"/>
    <w:rsid w:val="00DD2DC2"/>
    <w:rsid w:val="00DD2E39"/>
    <w:rsid w:val="00DD2E46"/>
    <w:rsid w:val="00DD2EB9"/>
    <w:rsid w:val="00DD2F70"/>
    <w:rsid w:val="00DD2F7F"/>
    <w:rsid w:val="00DD2F80"/>
    <w:rsid w:val="00DD2FE3"/>
    <w:rsid w:val="00DD3025"/>
    <w:rsid w:val="00DD3092"/>
    <w:rsid w:val="00DD30DF"/>
    <w:rsid w:val="00DD3109"/>
    <w:rsid w:val="00DD3389"/>
    <w:rsid w:val="00DD3406"/>
    <w:rsid w:val="00DD343C"/>
    <w:rsid w:val="00DD34DE"/>
    <w:rsid w:val="00DD354A"/>
    <w:rsid w:val="00DD3588"/>
    <w:rsid w:val="00DD369D"/>
    <w:rsid w:val="00DD36AA"/>
    <w:rsid w:val="00DD36EF"/>
    <w:rsid w:val="00DD37D1"/>
    <w:rsid w:val="00DD38E9"/>
    <w:rsid w:val="00DD38FA"/>
    <w:rsid w:val="00DD3901"/>
    <w:rsid w:val="00DD3ACC"/>
    <w:rsid w:val="00DD3ACF"/>
    <w:rsid w:val="00DD3B4F"/>
    <w:rsid w:val="00DD3C39"/>
    <w:rsid w:val="00DD3D60"/>
    <w:rsid w:val="00DD3D79"/>
    <w:rsid w:val="00DD3DB0"/>
    <w:rsid w:val="00DD3E88"/>
    <w:rsid w:val="00DD3E98"/>
    <w:rsid w:val="00DD3FE1"/>
    <w:rsid w:val="00DD4024"/>
    <w:rsid w:val="00DD4074"/>
    <w:rsid w:val="00DD40C1"/>
    <w:rsid w:val="00DD412A"/>
    <w:rsid w:val="00DD4199"/>
    <w:rsid w:val="00DD41DE"/>
    <w:rsid w:val="00DD42B6"/>
    <w:rsid w:val="00DD4343"/>
    <w:rsid w:val="00DD43DC"/>
    <w:rsid w:val="00DD43EC"/>
    <w:rsid w:val="00DD4476"/>
    <w:rsid w:val="00DD4543"/>
    <w:rsid w:val="00DD463E"/>
    <w:rsid w:val="00DD46E0"/>
    <w:rsid w:val="00DD477C"/>
    <w:rsid w:val="00DD478A"/>
    <w:rsid w:val="00DD47F0"/>
    <w:rsid w:val="00DD481B"/>
    <w:rsid w:val="00DD4921"/>
    <w:rsid w:val="00DD4A27"/>
    <w:rsid w:val="00DD4A59"/>
    <w:rsid w:val="00DD4AA5"/>
    <w:rsid w:val="00DD4BF7"/>
    <w:rsid w:val="00DD4C2B"/>
    <w:rsid w:val="00DD4C49"/>
    <w:rsid w:val="00DD4C66"/>
    <w:rsid w:val="00DD4CB7"/>
    <w:rsid w:val="00DD4D11"/>
    <w:rsid w:val="00DD4D12"/>
    <w:rsid w:val="00DD4D63"/>
    <w:rsid w:val="00DD4D69"/>
    <w:rsid w:val="00DD4E43"/>
    <w:rsid w:val="00DD4E98"/>
    <w:rsid w:val="00DD4F90"/>
    <w:rsid w:val="00DD5027"/>
    <w:rsid w:val="00DD5050"/>
    <w:rsid w:val="00DD50DF"/>
    <w:rsid w:val="00DD5235"/>
    <w:rsid w:val="00DD5277"/>
    <w:rsid w:val="00DD52A9"/>
    <w:rsid w:val="00DD52DA"/>
    <w:rsid w:val="00DD5379"/>
    <w:rsid w:val="00DD5385"/>
    <w:rsid w:val="00DD54A4"/>
    <w:rsid w:val="00DD54D6"/>
    <w:rsid w:val="00DD55CC"/>
    <w:rsid w:val="00DD5635"/>
    <w:rsid w:val="00DD56ED"/>
    <w:rsid w:val="00DD56F4"/>
    <w:rsid w:val="00DD57BB"/>
    <w:rsid w:val="00DD57DB"/>
    <w:rsid w:val="00DD5969"/>
    <w:rsid w:val="00DD5A65"/>
    <w:rsid w:val="00DD5ABE"/>
    <w:rsid w:val="00DD5ACA"/>
    <w:rsid w:val="00DD5B20"/>
    <w:rsid w:val="00DD5B74"/>
    <w:rsid w:val="00DD5BD1"/>
    <w:rsid w:val="00DD5BD3"/>
    <w:rsid w:val="00DD5CA3"/>
    <w:rsid w:val="00DD5CFC"/>
    <w:rsid w:val="00DD5D39"/>
    <w:rsid w:val="00DD5E1B"/>
    <w:rsid w:val="00DD5E56"/>
    <w:rsid w:val="00DD5FB5"/>
    <w:rsid w:val="00DD6057"/>
    <w:rsid w:val="00DD60A7"/>
    <w:rsid w:val="00DD614D"/>
    <w:rsid w:val="00DD624A"/>
    <w:rsid w:val="00DD6269"/>
    <w:rsid w:val="00DD6324"/>
    <w:rsid w:val="00DD6406"/>
    <w:rsid w:val="00DD6575"/>
    <w:rsid w:val="00DD6657"/>
    <w:rsid w:val="00DD6705"/>
    <w:rsid w:val="00DD687D"/>
    <w:rsid w:val="00DD696A"/>
    <w:rsid w:val="00DD6976"/>
    <w:rsid w:val="00DD6994"/>
    <w:rsid w:val="00DD69A4"/>
    <w:rsid w:val="00DD69AB"/>
    <w:rsid w:val="00DD69CC"/>
    <w:rsid w:val="00DD69D2"/>
    <w:rsid w:val="00DD6A29"/>
    <w:rsid w:val="00DD6A6D"/>
    <w:rsid w:val="00DD6AED"/>
    <w:rsid w:val="00DD6C1A"/>
    <w:rsid w:val="00DD6C1C"/>
    <w:rsid w:val="00DD6C86"/>
    <w:rsid w:val="00DD6CCA"/>
    <w:rsid w:val="00DD6D6C"/>
    <w:rsid w:val="00DD6E4C"/>
    <w:rsid w:val="00DD6EEC"/>
    <w:rsid w:val="00DD6F01"/>
    <w:rsid w:val="00DD6F06"/>
    <w:rsid w:val="00DD6F43"/>
    <w:rsid w:val="00DD6FCF"/>
    <w:rsid w:val="00DD6FD5"/>
    <w:rsid w:val="00DD6FDC"/>
    <w:rsid w:val="00DD70E2"/>
    <w:rsid w:val="00DD716F"/>
    <w:rsid w:val="00DD733C"/>
    <w:rsid w:val="00DD7396"/>
    <w:rsid w:val="00DD7409"/>
    <w:rsid w:val="00DD7415"/>
    <w:rsid w:val="00DD7428"/>
    <w:rsid w:val="00DD74D9"/>
    <w:rsid w:val="00DD74FE"/>
    <w:rsid w:val="00DD753D"/>
    <w:rsid w:val="00DD7542"/>
    <w:rsid w:val="00DD7546"/>
    <w:rsid w:val="00DD75DA"/>
    <w:rsid w:val="00DD7676"/>
    <w:rsid w:val="00DD7722"/>
    <w:rsid w:val="00DD774B"/>
    <w:rsid w:val="00DD7756"/>
    <w:rsid w:val="00DD7773"/>
    <w:rsid w:val="00DD7774"/>
    <w:rsid w:val="00DD7782"/>
    <w:rsid w:val="00DD77B6"/>
    <w:rsid w:val="00DD77DA"/>
    <w:rsid w:val="00DD77DE"/>
    <w:rsid w:val="00DD77E5"/>
    <w:rsid w:val="00DD78A2"/>
    <w:rsid w:val="00DD7923"/>
    <w:rsid w:val="00DD7952"/>
    <w:rsid w:val="00DD796F"/>
    <w:rsid w:val="00DD79B6"/>
    <w:rsid w:val="00DD7A3F"/>
    <w:rsid w:val="00DD7A56"/>
    <w:rsid w:val="00DD7A5F"/>
    <w:rsid w:val="00DD7A60"/>
    <w:rsid w:val="00DD7BBE"/>
    <w:rsid w:val="00DD7BF2"/>
    <w:rsid w:val="00DD7C44"/>
    <w:rsid w:val="00DD7CE6"/>
    <w:rsid w:val="00DD7D19"/>
    <w:rsid w:val="00DD7D4C"/>
    <w:rsid w:val="00DD7D81"/>
    <w:rsid w:val="00DD7E14"/>
    <w:rsid w:val="00DD7E53"/>
    <w:rsid w:val="00DD7EBD"/>
    <w:rsid w:val="00DD7F46"/>
    <w:rsid w:val="00DD7F4F"/>
    <w:rsid w:val="00DD7F67"/>
    <w:rsid w:val="00DD7F70"/>
    <w:rsid w:val="00DD7FDF"/>
    <w:rsid w:val="00DE002E"/>
    <w:rsid w:val="00DE0072"/>
    <w:rsid w:val="00DE00C9"/>
    <w:rsid w:val="00DE012C"/>
    <w:rsid w:val="00DE01AD"/>
    <w:rsid w:val="00DE01F8"/>
    <w:rsid w:val="00DE0200"/>
    <w:rsid w:val="00DE0290"/>
    <w:rsid w:val="00DE0297"/>
    <w:rsid w:val="00DE02AA"/>
    <w:rsid w:val="00DE02B2"/>
    <w:rsid w:val="00DE031E"/>
    <w:rsid w:val="00DE03B3"/>
    <w:rsid w:val="00DE03E7"/>
    <w:rsid w:val="00DE0465"/>
    <w:rsid w:val="00DE0478"/>
    <w:rsid w:val="00DE04A4"/>
    <w:rsid w:val="00DE04F9"/>
    <w:rsid w:val="00DE059E"/>
    <w:rsid w:val="00DE05A2"/>
    <w:rsid w:val="00DE0681"/>
    <w:rsid w:val="00DE06DE"/>
    <w:rsid w:val="00DE0706"/>
    <w:rsid w:val="00DE08AF"/>
    <w:rsid w:val="00DE0928"/>
    <w:rsid w:val="00DE09BB"/>
    <w:rsid w:val="00DE09D0"/>
    <w:rsid w:val="00DE09D6"/>
    <w:rsid w:val="00DE0A19"/>
    <w:rsid w:val="00DE0B4B"/>
    <w:rsid w:val="00DE0C75"/>
    <w:rsid w:val="00DE0CA0"/>
    <w:rsid w:val="00DE0D31"/>
    <w:rsid w:val="00DE0D50"/>
    <w:rsid w:val="00DE0DC7"/>
    <w:rsid w:val="00DE0ECB"/>
    <w:rsid w:val="00DE0F81"/>
    <w:rsid w:val="00DE0F93"/>
    <w:rsid w:val="00DE0FD7"/>
    <w:rsid w:val="00DE1025"/>
    <w:rsid w:val="00DE10D0"/>
    <w:rsid w:val="00DE1142"/>
    <w:rsid w:val="00DE11EA"/>
    <w:rsid w:val="00DE1229"/>
    <w:rsid w:val="00DE127B"/>
    <w:rsid w:val="00DE1300"/>
    <w:rsid w:val="00DE13A4"/>
    <w:rsid w:val="00DE13BC"/>
    <w:rsid w:val="00DE14F6"/>
    <w:rsid w:val="00DE1512"/>
    <w:rsid w:val="00DE1514"/>
    <w:rsid w:val="00DE15A1"/>
    <w:rsid w:val="00DE15F0"/>
    <w:rsid w:val="00DE161B"/>
    <w:rsid w:val="00DE1652"/>
    <w:rsid w:val="00DE16BA"/>
    <w:rsid w:val="00DE16DE"/>
    <w:rsid w:val="00DE16EC"/>
    <w:rsid w:val="00DE184F"/>
    <w:rsid w:val="00DE1859"/>
    <w:rsid w:val="00DE197A"/>
    <w:rsid w:val="00DE1A78"/>
    <w:rsid w:val="00DE1AF0"/>
    <w:rsid w:val="00DE1B2F"/>
    <w:rsid w:val="00DE1BD1"/>
    <w:rsid w:val="00DE1C5D"/>
    <w:rsid w:val="00DE1C9A"/>
    <w:rsid w:val="00DE1D3B"/>
    <w:rsid w:val="00DE1D7C"/>
    <w:rsid w:val="00DE1DBB"/>
    <w:rsid w:val="00DE1DEB"/>
    <w:rsid w:val="00DE1EFD"/>
    <w:rsid w:val="00DE1F07"/>
    <w:rsid w:val="00DE1F32"/>
    <w:rsid w:val="00DE1F51"/>
    <w:rsid w:val="00DE1F5D"/>
    <w:rsid w:val="00DE2156"/>
    <w:rsid w:val="00DE215F"/>
    <w:rsid w:val="00DE2168"/>
    <w:rsid w:val="00DE21B2"/>
    <w:rsid w:val="00DE2363"/>
    <w:rsid w:val="00DE23FF"/>
    <w:rsid w:val="00DE248C"/>
    <w:rsid w:val="00DE24A3"/>
    <w:rsid w:val="00DE2518"/>
    <w:rsid w:val="00DE2815"/>
    <w:rsid w:val="00DE2866"/>
    <w:rsid w:val="00DE28A4"/>
    <w:rsid w:val="00DE2922"/>
    <w:rsid w:val="00DE2953"/>
    <w:rsid w:val="00DE2978"/>
    <w:rsid w:val="00DE298B"/>
    <w:rsid w:val="00DE2997"/>
    <w:rsid w:val="00DE29AC"/>
    <w:rsid w:val="00DE2A57"/>
    <w:rsid w:val="00DE2A8D"/>
    <w:rsid w:val="00DE2AA3"/>
    <w:rsid w:val="00DE2AAC"/>
    <w:rsid w:val="00DE2ADF"/>
    <w:rsid w:val="00DE2B20"/>
    <w:rsid w:val="00DE2BD1"/>
    <w:rsid w:val="00DE2BDD"/>
    <w:rsid w:val="00DE2BFA"/>
    <w:rsid w:val="00DE2C6C"/>
    <w:rsid w:val="00DE2E3D"/>
    <w:rsid w:val="00DE2EA9"/>
    <w:rsid w:val="00DE2F37"/>
    <w:rsid w:val="00DE2F3D"/>
    <w:rsid w:val="00DE2F55"/>
    <w:rsid w:val="00DE3067"/>
    <w:rsid w:val="00DE31B2"/>
    <w:rsid w:val="00DE31DE"/>
    <w:rsid w:val="00DE32A0"/>
    <w:rsid w:val="00DE3307"/>
    <w:rsid w:val="00DE3372"/>
    <w:rsid w:val="00DE33CB"/>
    <w:rsid w:val="00DE33FA"/>
    <w:rsid w:val="00DE342B"/>
    <w:rsid w:val="00DE3502"/>
    <w:rsid w:val="00DE3512"/>
    <w:rsid w:val="00DE3576"/>
    <w:rsid w:val="00DE35BF"/>
    <w:rsid w:val="00DE3698"/>
    <w:rsid w:val="00DE36AA"/>
    <w:rsid w:val="00DE3710"/>
    <w:rsid w:val="00DE3757"/>
    <w:rsid w:val="00DE38EC"/>
    <w:rsid w:val="00DE3938"/>
    <w:rsid w:val="00DE39E2"/>
    <w:rsid w:val="00DE3A37"/>
    <w:rsid w:val="00DE3AC8"/>
    <w:rsid w:val="00DE3AEB"/>
    <w:rsid w:val="00DE3B23"/>
    <w:rsid w:val="00DE3BC0"/>
    <w:rsid w:val="00DE3CB9"/>
    <w:rsid w:val="00DE3D73"/>
    <w:rsid w:val="00DE3D9D"/>
    <w:rsid w:val="00DE3DD5"/>
    <w:rsid w:val="00DE3DD7"/>
    <w:rsid w:val="00DE3E80"/>
    <w:rsid w:val="00DE3F0E"/>
    <w:rsid w:val="00DE3F98"/>
    <w:rsid w:val="00DE402D"/>
    <w:rsid w:val="00DE41E0"/>
    <w:rsid w:val="00DE420F"/>
    <w:rsid w:val="00DE42C5"/>
    <w:rsid w:val="00DE439E"/>
    <w:rsid w:val="00DE43B4"/>
    <w:rsid w:val="00DE43F0"/>
    <w:rsid w:val="00DE4457"/>
    <w:rsid w:val="00DE44E2"/>
    <w:rsid w:val="00DE4539"/>
    <w:rsid w:val="00DE4592"/>
    <w:rsid w:val="00DE4650"/>
    <w:rsid w:val="00DE46D9"/>
    <w:rsid w:val="00DE4732"/>
    <w:rsid w:val="00DE4734"/>
    <w:rsid w:val="00DE4736"/>
    <w:rsid w:val="00DE4878"/>
    <w:rsid w:val="00DE490B"/>
    <w:rsid w:val="00DE493F"/>
    <w:rsid w:val="00DE4974"/>
    <w:rsid w:val="00DE49BE"/>
    <w:rsid w:val="00DE4B5E"/>
    <w:rsid w:val="00DE4B74"/>
    <w:rsid w:val="00DE4C08"/>
    <w:rsid w:val="00DE4EE4"/>
    <w:rsid w:val="00DE4F93"/>
    <w:rsid w:val="00DE506B"/>
    <w:rsid w:val="00DE509F"/>
    <w:rsid w:val="00DE5118"/>
    <w:rsid w:val="00DE5195"/>
    <w:rsid w:val="00DE525B"/>
    <w:rsid w:val="00DE52C1"/>
    <w:rsid w:val="00DE5317"/>
    <w:rsid w:val="00DE539D"/>
    <w:rsid w:val="00DE544B"/>
    <w:rsid w:val="00DE5462"/>
    <w:rsid w:val="00DE54CA"/>
    <w:rsid w:val="00DE55A8"/>
    <w:rsid w:val="00DE5630"/>
    <w:rsid w:val="00DE5690"/>
    <w:rsid w:val="00DE5786"/>
    <w:rsid w:val="00DE5787"/>
    <w:rsid w:val="00DE57D4"/>
    <w:rsid w:val="00DE581B"/>
    <w:rsid w:val="00DE584E"/>
    <w:rsid w:val="00DE5862"/>
    <w:rsid w:val="00DE590F"/>
    <w:rsid w:val="00DE591A"/>
    <w:rsid w:val="00DE59C5"/>
    <w:rsid w:val="00DE5A1E"/>
    <w:rsid w:val="00DE5A8A"/>
    <w:rsid w:val="00DE5B27"/>
    <w:rsid w:val="00DE5C16"/>
    <w:rsid w:val="00DE5C6B"/>
    <w:rsid w:val="00DE5CA4"/>
    <w:rsid w:val="00DE5CD8"/>
    <w:rsid w:val="00DE5D29"/>
    <w:rsid w:val="00DE5D35"/>
    <w:rsid w:val="00DE5D3A"/>
    <w:rsid w:val="00DE5D5F"/>
    <w:rsid w:val="00DE5EA4"/>
    <w:rsid w:val="00DE5EB0"/>
    <w:rsid w:val="00DE5F43"/>
    <w:rsid w:val="00DE5F5B"/>
    <w:rsid w:val="00DE5F84"/>
    <w:rsid w:val="00DE5F9D"/>
    <w:rsid w:val="00DE5FC1"/>
    <w:rsid w:val="00DE6058"/>
    <w:rsid w:val="00DE60A0"/>
    <w:rsid w:val="00DE612C"/>
    <w:rsid w:val="00DE6142"/>
    <w:rsid w:val="00DE61E4"/>
    <w:rsid w:val="00DE61F7"/>
    <w:rsid w:val="00DE6235"/>
    <w:rsid w:val="00DE6256"/>
    <w:rsid w:val="00DE62BA"/>
    <w:rsid w:val="00DE632A"/>
    <w:rsid w:val="00DE6476"/>
    <w:rsid w:val="00DE64B8"/>
    <w:rsid w:val="00DE65F8"/>
    <w:rsid w:val="00DE660E"/>
    <w:rsid w:val="00DE66BD"/>
    <w:rsid w:val="00DE66E2"/>
    <w:rsid w:val="00DE6826"/>
    <w:rsid w:val="00DE6851"/>
    <w:rsid w:val="00DE6888"/>
    <w:rsid w:val="00DE6AB5"/>
    <w:rsid w:val="00DE6B15"/>
    <w:rsid w:val="00DE6B4C"/>
    <w:rsid w:val="00DE6BC4"/>
    <w:rsid w:val="00DE6C26"/>
    <w:rsid w:val="00DE6C4A"/>
    <w:rsid w:val="00DE6CDA"/>
    <w:rsid w:val="00DE6D6A"/>
    <w:rsid w:val="00DE6E75"/>
    <w:rsid w:val="00DE6E83"/>
    <w:rsid w:val="00DE6F29"/>
    <w:rsid w:val="00DE6F91"/>
    <w:rsid w:val="00DE708B"/>
    <w:rsid w:val="00DE728B"/>
    <w:rsid w:val="00DE7385"/>
    <w:rsid w:val="00DE73A4"/>
    <w:rsid w:val="00DE740F"/>
    <w:rsid w:val="00DE744F"/>
    <w:rsid w:val="00DE7462"/>
    <w:rsid w:val="00DE7494"/>
    <w:rsid w:val="00DE7563"/>
    <w:rsid w:val="00DE75AC"/>
    <w:rsid w:val="00DE75CA"/>
    <w:rsid w:val="00DE760E"/>
    <w:rsid w:val="00DE76A2"/>
    <w:rsid w:val="00DE76E2"/>
    <w:rsid w:val="00DE7721"/>
    <w:rsid w:val="00DE78FA"/>
    <w:rsid w:val="00DE7A17"/>
    <w:rsid w:val="00DE7A5C"/>
    <w:rsid w:val="00DE7A94"/>
    <w:rsid w:val="00DE7A95"/>
    <w:rsid w:val="00DE7AD2"/>
    <w:rsid w:val="00DE7B35"/>
    <w:rsid w:val="00DE7B5A"/>
    <w:rsid w:val="00DE7B5B"/>
    <w:rsid w:val="00DE7C09"/>
    <w:rsid w:val="00DE7C1B"/>
    <w:rsid w:val="00DE7C2E"/>
    <w:rsid w:val="00DE7C43"/>
    <w:rsid w:val="00DE7CCE"/>
    <w:rsid w:val="00DE7D8B"/>
    <w:rsid w:val="00DE7D92"/>
    <w:rsid w:val="00DE7DC4"/>
    <w:rsid w:val="00DE7E81"/>
    <w:rsid w:val="00DE7E89"/>
    <w:rsid w:val="00DE7E9B"/>
    <w:rsid w:val="00DE7EBA"/>
    <w:rsid w:val="00DE7ED4"/>
    <w:rsid w:val="00DE7FE0"/>
    <w:rsid w:val="00DE7FE5"/>
    <w:rsid w:val="00DF0039"/>
    <w:rsid w:val="00DF00B5"/>
    <w:rsid w:val="00DF012A"/>
    <w:rsid w:val="00DF0164"/>
    <w:rsid w:val="00DF0202"/>
    <w:rsid w:val="00DF02A2"/>
    <w:rsid w:val="00DF02C2"/>
    <w:rsid w:val="00DF0313"/>
    <w:rsid w:val="00DF03C5"/>
    <w:rsid w:val="00DF03D0"/>
    <w:rsid w:val="00DF040B"/>
    <w:rsid w:val="00DF0539"/>
    <w:rsid w:val="00DF058D"/>
    <w:rsid w:val="00DF06A3"/>
    <w:rsid w:val="00DF06E2"/>
    <w:rsid w:val="00DF0726"/>
    <w:rsid w:val="00DF07E5"/>
    <w:rsid w:val="00DF081E"/>
    <w:rsid w:val="00DF08B6"/>
    <w:rsid w:val="00DF0961"/>
    <w:rsid w:val="00DF0A5C"/>
    <w:rsid w:val="00DF0A92"/>
    <w:rsid w:val="00DF0AA9"/>
    <w:rsid w:val="00DF0AEA"/>
    <w:rsid w:val="00DF0B60"/>
    <w:rsid w:val="00DF0B97"/>
    <w:rsid w:val="00DF0C36"/>
    <w:rsid w:val="00DF0C39"/>
    <w:rsid w:val="00DF0C4C"/>
    <w:rsid w:val="00DF0CD2"/>
    <w:rsid w:val="00DF0DC6"/>
    <w:rsid w:val="00DF0E36"/>
    <w:rsid w:val="00DF0E64"/>
    <w:rsid w:val="00DF0E6C"/>
    <w:rsid w:val="00DF0F84"/>
    <w:rsid w:val="00DF0F85"/>
    <w:rsid w:val="00DF0FCA"/>
    <w:rsid w:val="00DF0FEA"/>
    <w:rsid w:val="00DF106D"/>
    <w:rsid w:val="00DF1139"/>
    <w:rsid w:val="00DF11EA"/>
    <w:rsid w:val="00DF1235"/>
    <w:rsid w:val="00DF1237"/>
    <w:rsid w:val="00DF1242"/>
    <w:rsid w:val="00DF1248"/>
    <w:rsid w:val="00DF13C6"/>
    <w:rsid w:val="00DF144A"/>
    <w:rsid w:val="00DF144D"/>
    <w:rsid w:val="00DF1465"/>
    <w:rsid w:val="00DF1469"/>
    <w:rsid w:val="00DF147A"/>
    <w:rsid w:val="00DF1494"/>
    <w:rsid w:val="00DF150A"/>
    <w:rsid w:val="00DF158A"/>
    <w:rsid w:val="00DF162B"/>
    <w:rsid w:val="00DF167B"/>
    <w:rsid w:val="00DF17C4"/>
    <w:rsid w:val="00DF183D"/>
    <w:rsid w:val="00DF18C5"/>
    <w:rsid w:val="00DF18CD"/>
    <w:rsid w:val="00DF18CF"/>
    <w:rsid w:val="00DF1901"/>
    <w:rsid w:val="00DF193D"/>
    <w:rsid w:val="00DF19B5"/>
    <w:rsid w:val="00DF1A2B"/>
    <w:rsid w:val="00DF1A56"/>
    <w:rsid w:val="00DF1A73"/>
    <w:rsid w:val="00DF1AB9"/>
    <w:rsid w:val="00DF1C86"/>
    <w:rsid w:val="00DF1D2E"/>
    <w:rsid w:val="00DF1D78"/>
    <w:rsid w:val="00DF1DA5"/>
    <w:rsid w:val="00DF1DE6"/>
    <w:rsid w:val="00DF1F6E"/>
    <w:rsid w:val="00DF1FDD"/>
    <w:rsid w:val="00DF2024"/>
    <w:rsid w:val="00DF20EF"/>
    <w:rsid w:val="00DF2131"/>
    <w:rsid w:val="00DF215E"/>
    <w:rsid w:val="00DF219B"/>
    <w:rsid w:val="00DF21B8"/>
    <w:rsid w:val="00DF225D"/>
    <w:rsid w:val="00DF2316"/>
    <w:rsid w:val="00DF231B"/>
    <w:rsid w:val="00DF2388"/>
    <w:rsid w:val="00DF2462"/>
    <w:rsid w:val="00DF2500"/>
    <w:rsid w:val="00DF2580"/>
    <w:rsid w:val="00DF25CA"/>
    <w:rsid w:val="00DF25F1"/>
    <w:rsid w:val="00DF2629"/>
    <w:rsid w:val="00DF2633"/>
    <w:rsid w:val="00DF2677"/>
    <w:rsid w:val="00DF26DE"/>
    <w:rsid w:val="00DF2860"/>
    <w:rsid w:val="00DF2874"/>
    <w:rsid w:val="00DF297A"/>
    <w:rsid w:val="00DF2AA8"/>
    <w:rsid w:val="00DF2BF6"/>
    <w:rsid w:val="00DF2D21"/>
    <w:rsid w:val="00DF2DA5"/>
    <w:rsid w:val="00DF2DED"/>
    <w:rsid w:val="00DF2E10"/>
    <w:rsid w:val="00DF2E15"/>
    <w:rsid w:val="00DF2E7B"/>
    <w:rsid w:val="00DF2E91"/>
    <w:rsid w:val="00DF2F3B"/>
    <w:rsid w:val="00DF2F69"/>
    <w:rsid w:val="00DF2FF7"/>
    <w:rsid w:val="00DF307F"/>
    <w:rsid w:val="00DF30A2"/>
    <w:rsid w:val="00DF30B7"/>
    <w:rsid w:val="00DF30D0"/>
    <w:rsid w:val="00DF30E9"/>
    <w:rsid w:val="00DF3117"/>
    <w:rsid w:val="00DF3138"/>
    <w:rsid w:val="00DF3147"/>
    <w:rsid w:val="00DF314E"/>
    <w:rsid w:val="00DF3175"/>
    <w:rsid w:val="00DF319C"/>
    <w:rsid w:val="00DF3225"/>
    <w:rsid w:val="00DF3298"/>
    <w:rsid w:val="00DF32C1"/>
    <w:rsid w:val="00DF32E3"/>
    <w:rsid w:val="00DF32ED"/>
    <w:rsid w:val="00DF3591"/>
    <w:rsid w:val="00DF3716"/>
    <w:rsid w:val="00DF3755"/>
    <w:rsid w:val="00DF37F7"/>
    <w:rsid w:val="00DF382E"/>
    <w:rsid w:val="00DF38AD"/>
    <w:rsid w:val="00DF38D9"/>
    <w:rsid w:val="00DF3931"/>
    <w:rsid w:val="00DF396A"/>
    <w:rsid w:val="00DF3A75"/>
    <w:rsid w:val="00DF3B8E"/>
    <w:rsid w:val="00DF3B90"/>
    <w:rsid w:val="00DF3BE7"/>
    <w:rsid w:val="00DF3C15"/>
    <w:rsid w:val="00DF3C57"/>
    <w:rsid w:val="00DF3D11"/>
    <w:rsid w:val="00DF3D2B"/>
    <w:rsid w:val="00DF3D7F"/>
    <w:rsid w:val="00DF3DE2"/>
    <w:rsid w:val="00DF3E02"/>
    <w:rsid w:val="00DF3E0B"/>
    <w:rsid w:val="00DF3F3C"/>
    <w:rsid w:val="00DF3F3E"/>
    <w:rsid w:val="00DF3F5D"/>
    <w:rsid w:val="00DF3F68"/>
    <w:rsid w:val="00DF3FF3"/>
    <w:rsid w:val="00DF4046"/>
    <w:rsid w:val="00DF404D"/>
    <w:rsid w:val="00DF4058"/>
    <w:rsid w:val="00DF409B"/>
    <w:rsid w:val="00DF411D"/>
    <w:rsid w:val="00DF41C7"/>
    <w:rsid w:val="00DF4226"/>
    <w:rsid w:val="00DF4262"/>
    <w:rsid w:val="00DF42E7"/>
    <w:rsid w:val="00DF42FC"/>
    <w:rsid w:val="00DF4396"/>
    <w:rsid w:val="00DF43BE"/>
    <w:rsid w:val="00DF4404"/>
    <w:rsid w:val="00DF4415"/>
    <w:rsid w:val="00DF4445"/>
    <w:rsid w:val="00DF44AF"/>
    <w:rsid w:val="00DF4594"/>
    <w:rsid w:val="00DF466E"/>
    <w:rsid w:val="00DF4675"/>
    <w:rsid w:val="00DF467B"/>
    <w:rsid w:val="00DF46F0"/>
    <w:rsid w:val="00DF47E3"/>
    <w:rsid w:val="00DF4865"/>
    <w:rsid w:val="00DF4879"/>
    <w:rsid w:val="00DF4A1F"/>
    <w:rsid w:val="00DF4A4B"/>
    <w:rsid w:val="00DF4A79"/>
    <w:rsid w:val="00DF4B1A"/>
    <w:rsid w:val="00DF4B45"/>
    <w:rsid w:val="00DF4B54"/>
    <w:rsid w:val="00DF4C05"/>
    <w:rsid w:val="00DF4C60"/>
    <w:rsid w:val="00DF4E74"/>
    <w:rsid w:val="00DF4F17"/>
    <w:rsid w:val="00DF4F9F"/>
    <w:rsid w:val="00DF4FC6"/>
    <w:rsid w:val="00DF5032"/>
    <w:rsid w:val="00DF51F1"/>
    <w:rsid w:val="00DF5303"/>
    <w:rsid w:val="00DF5430"/>
    <w:rsid w:val="00DF55B4"/>
    <w:rsid w:val="00DF55B9"/>
    <w:rsid w:val="00DF5631"/>
    <w:rsid w:val="00DF566C"/>
    <w:rsid w:val="00DF57BD"/>
    <w:rsid w:val="00DF57DC"/>
    <w:rsid w:val="00DF58AD"/>
    <w:rsid w:val="00DF59A0"/>
    <w:rsid w:val="00DF5AA5"/>
    <w:rsid w:val="00DF5AE1"/>
    <w:rsid w:val="00DF5D52"/>
    <w:rsid w:val="00DF5D70"/>
    <w:rsid w:val="00DF5DC0"/>
    <w:rsid w:val="00DF5DE2"/>
    <w:rsid w:val="00DF5E04"/>
    <w:rsid w:val="00DF5E47"/>
    <w:rsid w:val="00DF5E4F"/>
    <w:rsid w:val="00DF5EF7"/>
    <w:rsid w:val="00DF5F0E"/>
    <w:rsid w:val="00DF5F0F"/>
    <w:rsid w:val="00DF5F13"/>
    <w:rsid w:val="00DF5F86"/>
    <w:rsid w:val="00DF601A"/>
    <w:rsid w:val="00DF6075"/>
    <w:rsid w:val="00DF6199"/>
    <w:rsid w:val="00DF61A9"/>
    <w:rsid w:val="00DF61D3"/>
    <w:rsid w:val="00DF6208"/>
    <w:rsid w:val="00DF63F4"/>
    <w:rsid w:val="00DF64A6"/>
    <w:rsid w:val="00DF6522"/>
    <w:rsid w:val="00DF67D5"/>
    <w:rsid w:val="00DF67D8"/>
    <w:rsid w:val="00DF67F0"/>
    <w:rsid w:val="00DF67F7"/>
    <w:rsid w:val="00DF680D"/>
    <w:rsid w:val="00DF6822"/>
    <w:rsid w:val="00DF6911"/>
    <w:rsid w:val="00DF695E"/>
    <w:rsid w:val="00DF6A64"/>
    <w:rsid w:val="00DF6A87"/>
    <w:rsid w:val="00DF6AC5"/>
    <w:rsid w:val="00DF6AFB"/>
    <w:rsid w:val="00DF6B44"/>
    <w:rsid w:val="00DF6B63"/>
    <w:rsid w:val="00DF6BA9"/>
    <w:rsid w:val="00DF6CEF"/>
    <w:rsid w:val="00DF6CFE"/>
    <w:rsid w:val="00DF6D98"/>
    <w:rsid w:val="00DF6DC1"/>
    <w:rsid w:val="00DF6E32"/>
    <w:rsid w:val="00DF6ED0"/>
    <w:rsid w:val="00DF6F43"/>
    <w:rsid w:val="00DF6F78"/>
    <w:rsid w:val="00DF6FB1"/>
    <w:rsid w:val="00DF6FF6"/>
    <w:rsid w:val="00DF70AC"/>
    <w:rsid w:val="00DF7121"/>
    <w:rsid w:val="00DF7123"/>
    <w:rsid w:val="00DF71DA"/>
    <w:rsid w:val="00DF71FC"/>
    <w:rsid w:val="00DF72A5"/>
    <w:rsid w:val="00DF72E7"/>
    <w:rsid w:val="00DF7437"/>
    <w:rsid w:val="00DF7471"/>
    <w:rsid w:val="00DF7482"/>
    <w:rsid w:val="00DF74F1"/>
    <w:rsid w:val="00DF7542"/>
    <w:rsid w:val="00DF7550"/>
    <w:rsid w:val="00DF7589"/>
    <w:rsid w:val="00DF75DE"/>
    <w:rsid w:val="00DF7664"/>
    <w:rsid w:val="00DF76F7"/>
    <w:rsid w:val="00DF7721"/>
    <w:rsid w:val="00DF773C"/>
    <w:rsid w:val="00DF7755"/>
    <w:rsid w:val="00DF778C"/>
    <w:rsid w:val="00DF77C8"/>
    <w:rsid w:val="00DF7867"/>
    <w:rsid w:val="00DF78CF"/>
    <w:rsid w:val="00DF7913"/>
    <w:rsid w:val="00DF798C"/>
    <w:rsid w:val="00DF7A27"/>
    <w:rsid w:val="00DF7AAB"/>
    <w:rsid w:val="00DF7B1E"/>
    <w:rsid w:val="00DF7B46"/>
    <w:rsid w:val="00DF7CA4"/>
    <w:rsid w:val="00DF7CB3"/>
    <w:rsid w:val="00DF7D41"/>
    <w:rsid w:val="00DF7D81"/>
    <w:rsid w:val="00DF7DAF"/>
    <w:rsid w:val="00DF7DFC"/>
    <w:rsid w:val="00DF7ED3"/>
    <w:rsid w:val="00DF7F3F"/>
    <w:rsid w:val="00DF7F43"/>
    <w:rsid w:val="00DF7F48"/>
    <w:rsid w:val="00DF7F76"/>
    <w:rsid w:val="00DF7FE7"/>
    <w:rsid w:val="00E00007"/>
    <w:rsid w:val="00E0000F"/>
    <w:rsid w:val="00E00059"/>
    <w:rsid w:val="00E001EA"/>
    <w:rsid w:val="00E0022E"/>
    <w:rsid w:val="00E00272"/>
    <w:rsid w:val="00E0029A"/>
    <w:rsid w:val="00E00384"/>
    <w:rsid w:val="00E003B7"/>
    <w:rsid w:val="00E00404"/>
    <w:rsid w:val="00E00410"/>
    <w:rsid w:val="00E00425"/>
    <w:rsid w:val="00E0048D"/>
    <w:rsid w:val="00E0049B"/>
    <w:rsid w:val="00E00505"/>
    <w:rsid w:val="00E00523"/>
    <w:rsid w:val="00E0055E"/>
    <w:rsid w:val="00E00585"/>
    <w:rsid w:val="00E00597"/>
    <w:rsid w:val="00E00599"/>
    <w:rsid w:val="00E00605"/>
    <w:rsid w:val="00E0078C"/>
    <w:rsid w:val="00E00794"/>
    <w:rsid w:val="00E007F7"/>
    <w:rsid w:val="00E00845"/>
    <w:rsid w:val="00E009A6"/>
    <w:rsid w:val="00E00A1C"/>
    <w:rsid w:val="00E00A6A"/>
    <w:rsid w:val="00E00AE4"/>
    <w:rsid w:val="00E00B03"/>
    <w:rsid w:val="00E00C79"/>
    <w:rsid w:val="00E00CBD"/>
    <w:rsid w:val="00E00D95"/>
    <w:rsid w:val="00E00EFE"/>
    <w:rsid w:val="00E00F16"/>
    <w:rsid w:val="00E00F88"/>
    <w:rsid w:val="00E00FA1"/>
    <w:rsid w:val="00E0104E"/>
    <w:rsid w:val="00E01058"/>
    <w:rsid w:val="00E010A8"/>
    <w:rsid w:val="00E010E4"/>
    <w:rsid w:val="00E012BB"/>
    <w:rsid w:val="00E012E3"/>
    <w:rsid w:val="00E01352"/>
    <w:rsid w:val="00E0139F"/>
    <w:rsid w:val="00E01457"/>
    <w:rsid w:val="00E01472"/>
    <w:rsid w:val="00E01484"/>
    <w:rsid w:val="00E0152B"/>
    <w:rsid w:val="00E0152F"/>
    <w:rsid w:val="00E015F4"/>
    <w:rsid w:val="00E01630"/>
    <w:rsid w:val="00E01653"/>
    <w:rsid w:val="00E01704"/>
    <w:rsid w:val="00E01745"/>
    <w:rsid w:val="00E01819"/>
    <w:rsid w:val="00E0184F"/>
    <w:rsid w:val="00E0192C"/>
    <w:rsid w:val="00E01934"/>
    <w:rsid w:val="00E01977"/>
    <w:rsid w:val="00E01985"/>
    <w:rsid w:val="00E019E6"/>
    <w:rsid w:val="00E019F8"/>
    <w:rsid w:val="00E01B7B"/>
    <w:rsid w:val="00E01B89"/>
    <w:rsid w:val="00E01BA7"/>
    <w:rsid w:val="00E01D20"/>
    <w:rsid w:val="00E01D36"/>
    <w:rsid w:val="00E01D3A"/>
    <w:rsid w:val="00E01D41"/>
    <w:rsid w:val="00E01E41"/>
    <w:rsid w:val="00E01E50"/>
    <w:rsid w:val="00E01E9F"/>
    <w:rsid w:val="00E01EED"/>
    <w:rsid w:val="00E01F3A"/>
    <w:rsid w:val="00E01F70"/>
    <w:rsid w:val="00E01FC8"/>
    <w:rsid w:val="00E01FCD"/>
    <w:rsid w:val="00E01FEE"/>
    <w:rsid w:val="00E02015"/>
    <w:rsid w:val="00E0207C"/>
    <w:rsid w:val="00E020ED"/>
    <w:rsid w:val="00E0214F"/>
    <w:rsid w:val="00E02195"/>
    <w:rsid w:val="00E02247"/>
    <w:rsid w:val="00E02294"/>
    <w:rsid w:val="00E022BA"/>
    <w:rsid w:val="00E022DF"/>
    <w:rsid w:val="00E022E4"/>
    <w:rsid w:val="00E02376"/>
    <w:rsid w:val="00E02468"/>
    <w:rsid w:val="00E0246B"/>
    <w:rsid w:val="00E02649"/>
    <w:rsid w:val="00E0267D"/>
    <w:rsid w:val="00E02693"/>
    <w:rsid w:val="00E0273E"/>
    <w:rsid w:val="00E027B8"/>
    <w:rsid w:val="00E027E7"/>
    <w:rsid w:val="00E02802"/>
    <w:rsid w:val="00E02824"/>
    <w:rsid w:val="00E02897"/>
    <w:rsid w:val="00E028DC"/>
    <w:rsid w:val="00E02949"/>
    <w:rsid w:val="00E029C9"/>
    <w:rsid w:val="00E02A13"/>
    <w:rsid w:val="00E02A74"/>
    <w:rsid w:val="00E02AE2"/>
    <w:rsid w:val="00E02AFC"/>
    <w:rsid w:val="00E02B0D"/>
    <w:rsid w:val="00E02B39"/>
    <w:rsid w:val="00E02B3C"/>
    <w:rsid w:val="00E02BE4"/>
    <w:rsid w:val="00E02D5A"/>
    <w:rsid w:val="00E02D97"/>
    <w:rsid w:val="00E02E92"/>
    <w:rsid w:val="00E02EED"/>
    <w:rsid w:val="00E02F0B"/>
    <w:rsid w:val="00E02F59"/>
    <w:rsid w:val="00E02FFA"/>
    <w:rsid w:val="00E03074"/>
    <w:rsid w:val="00E030D1"/>
    <w:rsid w:val="00E03144"/>
    <w:rsid w:val="00E03146"/>
    <w:rsid w:val="00E03148"/>
    <w:rsid w:val="00E031AA"/>
    <w:rsid w:val="00E031AC"/>
    <w:rsid w:val="00E0322E"/>
    <w:rsid w:val="00E03234"/>
    <w:rsid w:val="00E032A2"/>
    <w:rsid w:val="00E032C3"/>
    <w:rsid w:val="00E032CA"/>
    <w:rsid w:val="00E032F3"/>
    <w:rsid w:val="00E03321"/>
    <w:rsid w:val="00E0333B"/>
    <w:rsid w:val="00E03357"/>
    <w:rsid w:val="00E0340F"/>
    <w:rsid w:val="00E03415"/>
    <w:rsid w:val="00E034E3"/>
    <w:rsid w:val="00E0354D"/>
    <w:rsid w:val="00E03554"/>
    <w:rsid w:val="00E0356A"/>
    <w:rsid w:val="00E0359C"/>
    <w:rsid w:val="00E035A7"/>
    <w:rsid w:val="00E035D6"/>
    <w:rsid w:val="00E035D7"/>
    <w:rsid w:val="00E03662"/>
    <w:rsid w:val="00E03694"/>
    <w:rsid w:val="00E036C1"/>
    <w:rsid w:val="00E0379E"/>
    <w:rsid w:val="00E038CD"/>
    <w:rsid w:val="00E03993"/>
    <w:rsid w:val="00E03A5E"/>
    <w:rsid w:val="00E03AB6"/>
    <w:rsid w:val="00E03B5F"/>
    <w:rsid w:val="00E03BEB"/>
    <w:rsid w:val="00E03C97"/>
    <w:rsid w:val="00E03D4B"/>
    <w:rsid w:val="00E03DBC"/>
    <w:rsid w:val="00E03DCA"/>
    <w:rsid w:val="00E03DD1"/>
    <w:rsid w:val="00E03E65"/>
    <w:rsid w:val="00E03EC3"/>
    <w:rsid w:val="00E03EC6"/>
    <w:rsid w:val="00E03ED3"/>
    <w:rsid w:val="00E03EF7"/>
    <w:rsid w:val="00E03F6B"/>
    <w:rsid w:val="00E0405B"/>
    <w:rsid w:val="00E04108"/>
    <w:rsid w:val="00E04135"/>
    <w:rsid w:val="00E0414E"/>
    <w:rsid w:val="00E0422E"/>
    <w:rsid w:val="00E04270"/>
    <w:rsid w:val="00E04280"/>
    <w:rsid w:val="00E04448"/>
    <w:rsid w:val="00E04483"/>
    <w:rsid w:val="00E0455E"/>
    <w:rsid w:val="00E0468C"/>
    <w:rsid w:val="00E046E1"/>
    <w:rsid w:val="00E046F1"/>
    <w:rsid w:val="00E04880"/>
    <w:rsid w:val="00E048C5"/>
    <w:rsid w:val="00E048E7"/>
    <w:rsid w:val="00E0494A"/>
    <w:rsid w:val="00E0499E"/>
    <w:rsid w:val="00E049C1"/>
    <w:rsid w:val="00E049E4"/>
    <w:rsid w:val="00E04AA5"/>
    <w:rsid w:val="00E04AE8"/>
    <w:rsid w:val="00E04B75"/>
    <w:rsid w:val="00E04B89"/>
    <w:rsid w:val="00E04BA8"/>
    <w:rsid w:val="00E04BB3"/>
    <w:rsid w:val="00E04BE2"/>
    <w:rsid w:val="00E04C29"/>
    <w:rsid w:val="00E04D09"/>
    <w:rsid w:val="00E04DF4"/>
    <w:rsid w:val="00E04E39"/>
    <w:rsid w:val="00E04E80"/>
    <w:rsid w:val="00E04EF6"/>
    <w:rsid w:val="00E04FA9"/>
    <w:rsid w:val="00E05126"/>
    <w:rsid w:val="00E0514F"/>
    <w:rsid w:val="00E05183"/>
    <w:rsid w:val="00E051C3"/>
    <w:rsid w:val="00E051D2"/>
    <w:rsid w:val="00E053C9"/>
    <w:rsid w:val="00E0546F"/>
    <w:rsid w:val="00E05492"/>
    <w:rsid w:val="00E054C6"/>
    <w:rsid w:val="00E054DB"/>
    <w:rsid w:val="00E0550D"/>
    <w:rsid w:val="00E0552B"/>
    <w:rsid w:val="00E055BB"/>
    <w:rsid w:val="00E056CD"/>
    <w:rsid w:val="00E056D8"/>
    <w:rsid w:val="00E05716"/>
    <w:rsid w:val="00E05754"/>
    <w:rsid w:val="00E0580A"/>
    <w:rsid w:val="00E0581E"/>
    <w:rsid w:val="00E05868"/>
    <w:rsid w:val="00E0587F"/>
    <w:rsid w:val="00E0599F"/>
    <w:rsid w:val="00E05A3D"/>
    <w:rsid w:val="00E05A57"/>
    <w:rsid w:val="00E05AED"/>
    <w:rsid w:val="00E05C47"/>
    <w:rsid w:val="00E05C6B"/>
    <w:rsid w:val="00E05CA6"/>
    <w:rsid w:val="00E05D85"/>
    <w:rsid w:val="00E05F37"/>
    <w:rsid w:val="00E06011"/>
    <w:rsid w:val="00E0617A"/>
    <w:rsid w:val="00E06217"/>
    <w:rsid w:val="00E06294"/>
    <w:rsid w:val="00E062E6"/>
    <w:rsid w:val="00E062F3"/>
    <w:rsid w:val="00E06374"/>
    <w:rsid w:val="00E0640A"/>
    <w:rsid w:val="00E064A7"/>
    <w:rsid w:val="00E064CE"/>
    <w:rsid w:val="00E06509"/>
    <w:rsid w:val="00E06559"/>
    <w:rsid w:val="00E065E6"/>
    <w:rsid w:val="00E066AF"/>
    <w:rsid w:val="00E0672E"/>
    <w:rsid w:val="00E0674D"/>
    <w:rsid w:val="00E06779"/>
    <w:rsid w:val="00E067B6"/>
    <w:rsid w:val="00E068EF"/>
    <w:rsid w:val="00E06A1E"/>
    <w:rsid w:val="00E06A1F"/>
    <w:rsid w:val="00E06A4B"/>
    <w:rsid w:val="00E06AAF"/>
    <w:rsid w:val="00E06B61"/>
    <w:rsid w:val="00E06B67"/>
    <w:rsid w:val="00E06BB0"/>
    <w:rsid w:val="00E06BF9"/>
    <w:rsid w:val="00E06C20"/>
    <w:rsid w:val="00E06C67"/>
    <w:rsid w:val="00E06CDA"/>
    <w:rsid w:val="00E06D30"/>
    <w:rsid w:val="00E06D48"/>
    <w:rsid w:val="00E06D5A"/>
    <w:rsid w:val="00E06D75"/>
    <w:rsid w:val="00E06DB7"/>
    <w:rsid w:val="00E06E51"/>
    <w:rsid w:val="00E06F01"/>
    <w:rsid w:val="00E06FD8"/>
    <w:rsid w:val="00E071A2"/>
    <w:rsid w:val="00E07221"/>
    <w:rsid w:val="00E0726C"/>
    <w:rsid w:val="00E072A8"/>
    <w:rsid w:val="00E072D5"/>
    <w:rsid w:val="00E072E1"/>
    <w:rsid w:val="00E072F8"/>
    <w:rsid w:val="00E07323"/>
    <w:rsid w:val="00E07468"/>
    <w:rsid w:val="00E074A4"/>
    <w:rsid w:val="00E07560"/>
    <w:rsid w:val="00E07580"/>
    <w:rsid w:val="00E07629"/>
    <w:rsid w:val="00E076A1"/>
    <w:rsid w:val="00E076BC"/>
    <w:rsid w:val="00E078E6"/>
    <w:rsid w:val="00E079F1"/>
    <w:rsid w:val="00E07BB3"/>
    <w:rsid w:val="00E07BD7"/>
    <w:rsid w:val="00E07BF5"/>
    <w:rsid w:val="00E07C15"/>
    <w:rsid w:val="00E07CA8"/>
    <w:rsid w:val="00E07CF6"/>
    <w:rsid w:val="00E07D4F"/>
    <w:rsid w:val="00E07E05"/>
    <w:rsid w:val="00E07E75"/>
    <w:rsid w:val="00E07E9C"/>
    <w:rsid w:val="00E07F5F"/>
    <w:rsid w:val="00E07F94"/>
    <w:rsid w:val="00E07FCA"/>
    <w:rsid w:val="00E10031"/>
    <w:rsid w:val="00E100F7"/>
    <w:rsid w:val="00E10104"/>
    <w:rsid w:val="00E101F2"/>
    <w:rsid w:val="00E1031B"/>
    <w:rsid w:val="00E10337"/>
    <w:rsid w:val="00E10377"/>
    <w:rsid w:val="00E103CF"/>
    <w:rsid w:val="00E103D0"/>
    <w:rsid w:val="00E10470"/>
    <w:rsid w:val="00E1047C"/>
    <w:rsid w:val="00E1047F"/>
    <w:rsid w:val="00E104E1"/>
    <w:rsid w:val="00E106A4"/>
    <w:rsid w:val="00E106D3"/>
    <w:rsid w:val="00E1070B"/>
    <w:rsid w:val="00E10877"/>
    <w:rsid w:val="00E1090F"/>
    <w:rsid w:val="00E1093E"/>
    <w:rsid w:val="00E109FE"/>
    <w:rsid w:val="00E10A0A"/>
    <w:rsid w:val="00E10B7B"/>
    <w:rsid w:val="00E10BF8"/>
    <w:rsid w:val="00E10C68"/>
    <w:rsid w:val="00E10C6F"/>
    <w:rsid w:val="00E10CF5"/>
    <w:rsid w:val="00E10D45"/>
    <w:rsid w:val="00E10DE6"/>
    <w:rsid w:val="00E10F24"/>
    <w:rsid w:val="00E10F56"/>
    <w:rsid w:val="00E10FB7"/>
    <w:rsid w:val="00E11005"/>
    <w:rsid w:val="00E110D6"/>
    <w:rsid w:val="00E11175"/>
    <w:rsid w:val="00E111C9"/>
    <w:rsid w:val="00E11201"/>
    <w:rsid w:val="00E1121A"/>
    <w:rsid w:val="00E112CA"/>
    <w:rsid w:val="00E112D3"/>
    <w:rsid w:val="00E11326"/>
    <w:rsid w:val="00E11388"/>
    <w:rsid w:val="00E113F0"/>
    <w:rsid w:val="00E11444"/>
    <w:rsid w:val="00E11503"/>
    <w:rsid w:val="00E115B0"/>
    <w:rsid w:val="00E115C8"/>
    <w:rsid w:val="00E11721"/>
    <w:rsid w:val="00E11871"/>
    <w:rsid w:val="00E11961"/>
    <w:rsid w:val="00E11976"/>
    <w:rsid w:val="00E11991"/>
    <w:rsid w:val="00E119A8"/>
    <w:rsid w:val="00E11A43"/>
    <w:rsid w:val="00E11A81"/>
    <w:rsid w:val="00E11ACD"/>
    <w:rsid w:val="00E11AD9"/>
    <w:rsid w:val="00E11BCD"/>
    <w:rsid w:val="00E11D34"/>
    <w:rsid w:val="00E11DEE"/>
    <w:rsid w:val="00E11FD0"/>
    <w:rsid w:val="00E1202F"/>
    <w:rsid w:val="00E1204D"/>
    <w:rsid w:val="00E120A3"/>
    <w:rsid w:val="00E12108"/>
    <w:rsid w:val="00E12193"/>
    <w:rsid w:val="00E121B9"/>
    <w:rsid w:val="00E121EF"/>
    <w:rsid w:val="00E1220C"/>
    <w:rsid w:val="00E12243"/>
    <w:rsid w:val="00E122DC"/>
    <w:rsid w:val="00E1236B"/>
    <w:rsid w:val="00E123D7"/>
    <w:rsid w:val="00E1241C"/>
    <w:rsid w:val="00E12424"/>
    <w:rsid w:val="00E1247D"/>
    <w:rsid w:val="00E125C8"/>
    <w:rsid w:val="00E126D7"/>
    <w:rsid w:val="00E12728"/>
    <w:rsid w:val="00E12754"/>
    <w:rsid w:val="00E12774"/>
    <w:rsid w:val="00E1279A"/>
    <w:rsid w:val="00E127F9"/>
    <w:rsid w:val="00E1283F"/>
    <w:rsid w:val="00E1286F"/>
    <w:rsid w:val="00E128C3"/>
    <w:rsid w:val="00E12908"/>
    <w:rsid w:val="00E1291D"/>
    <w:rsid w:val="00E12920"/>
    <w:rsid w:val="00E12AC6"/>
    <w:rsid w:val="00E12AD2"/>
    <w:rsid w:val="00E12AD8"/>
    <w:rsid w:val="00E12DEF"/>
    <w:rsid w:val="00E12DF4"/>
    <w:rsid w:val="00E12E27"/>
    <w:rsid w:val="00E12FAF"/>
    <w:rsid w:val="00E12FB1"/>
    <w:rsid w:val="00E1303D"/>
    <w:rsid w:val="00E13054"/>
    <w:rsid w:val="00E1307E"/>
    <w:rsid w:val="00E1310F"/>
    <w:rsid w:val="00E131F9"/>
    <w:rsid w:val="00E13212"/>
    <w:rsid w:val="00E1322D"/>
    <w:rsid w:val="00E13424"/>
    <w:rsid w:val="00E1343E"/>
    <w:rsid w:val="00E134A3"/>
    <w:rsid w:val="00E134BF"/>
    <w:rsid w:val="00E13546"/>
    <w:rsid w:val="00E1361F"/>
    <w:rsid w:val="00E136A7"/>
    <w:rsid w:val="00E136C5"/>
    <w:rsid w:val="00E137DE"/>
    <w:rsid w:val="00E13807"/>
    <w:rsid w:val="00E1381D"/>
    <w:rsid w:val="00E1384F"/>
    <w:rsid w:val="00E13A1F"/>
    <w:rsid w:val="00E13A61"/>
    <w:rsid w:val="00E13B79"/>
    <w:rsid w:val="00E13B80"/>
    <w:rsid w:val="00E13B82"/>
    <w:rsid w:val="00E13BD3"/>
    <w:rsid w:val="00E13CC2"/>
    <w:rsid w:val="00E13CEC"/>
    <w:rsid w:val="00E13D12"/>
    <w:rsid w:val="00E13DB9"/>
    <w:rsid w:val="00E13DD7"/>
    <w:rsid w:val="00E13E5D"/>
    <w:rsid w:val="00E13F33"/>
    <w:rsid w:val="00E14030"/>
    <w:rsid w:val="00E14043"/>
    <w:rsid w:val="00E14079"/>
    <w:rsid w:val="00E140C3"/>
    <w:rsid w:val="00E14107"/>
    <w:rsid w:val="00E14135"/>
    <w:rsid w:val="00E1417A"/>
    <w:rsid w:val="00E141D8"/>
    <w:rsid w:val="00E1421D"/>
    <w:rsid w:val="00E14222"/>
    <w:rsid w:val="00E14275"/>
    <w:rsid w:val="00E14346"/>
    <w:rsid w:val="00E1436B"/>
    <w:rsid w:val="00E1439E"/>
    <w:rsid w:val="00E14406"/>
    <w:rsid w:val="00E14408"/>
    <w:rsid w:val="00E14447"/>
    <w:rsid w:val="00E14451"/>
    <w:rsid w:val="00E144B7"/>
    <w:rsid w:val="00E144D9"/>
    <w:rsid w:val="00E1457B"/>
    <w:rsid w:val="00E145EE"/>
    <w:rsid w:val="00E1466F"/>
    <w:rsid w:val="00E14731"/>
    <w:rsid w:val="00E1473D"/>
    <w:rsid w:val="00E148E0"/>
    <w:rsid w:val="00E14913"/>
    <w:rsid w:val="00E14A3A"/>
    <w:rsid w:val="00E14AC9"/>
    <w:rsid w:val="00E14AE5"/>
    <w:rsid w:val="00E14AF1"/>
    <w:rsid w:val="00E14B0E"/>
    <w:rsid w:val="00E14B6F"/>
    <w:rsid w:val="00E14BD4"/>
    <w:rsid w:val="00E14C21"/>
    <w:rsid w:val="00E14C64"/>
    <w:rsid w:val="00E14CC7"/>
    <w:rsid w:val="00E14D6A"/>
    <w:rsid w:val="00E14D82"/>
    <w:rsid w:val="00E14DB2"/>
    <w:rsid w:val="00E14DD0"/>
    <w:rsid w:val="00E14DFB"/>
    <w:rsid w:val="00E14E9A"/>
    <w:rsid w:val="00E14F1E"/>
    <w:rsid w:val="00E14FA2"/>
    <w:rsid w:val="00E1503C"/>
    <w:rsid w:val="00E15077"/>
    <w:rsid w:val="00E150DB"/>
    <w:rsid w:val="00E1514C"/>
    <w:rsid w:val="00E151A1"/>
    <w:rsid w:val="00E151EC"/>
    <w:rsid w:val="00E15216"/>
    <w:rsid w:val="00E15282"/>
    <w:rsid w:val="00E15287"/>
    <w:rsid w:val="00E15361"/>
    <w:rsid w:val="00E153BC"/>
    <w:rsid w:val="00E153D6"/>
    <w:rsid w:val="00E15422"/>
    <w:rsid w:val="00E15432"/>
    <w:rsid w:val="00E1554E"/>
    <w:rsid w:val="00E15584"/>
    <w:rsid w:val="00E155A3"/>
    <w:rsid w:val="00E15702"/>
    <w:rsid w:val="00E15762"/>
    <w:rsid w:val="00E1578C"/>
    <w:rsid w:val="00E157CF"/>
    <w:rsid w:val="00E15803"/>
    <w:rsid w:val="00E15821"/>
    <w:rsid w:val="00E158D3"/>
    <w:rsid w:val="00E15A64"/>
    <w:rsid w:val="00E15A80"/>
    <w:rsid w:val="00E15AEC"/>
    <w:rsid w:val="00E15C35"/>
    <w:rsid w:val="00E15C8B"/>
    <w:rsid w:val="00E15C93"/>
    <w:rsid w:val="00E15CD9"/>
    <w:rsid w:val="00E15D42"/>
    <w:rsid w:val="00E15E19"/>
    <w:rsid w:val="00E15E9F"/>
    <w:rsid w:val="00E15FAD"/>
    <w:rsid w:val="00E15FB9"/>
    <w:rsid w:val="00E15FD3"/>
    <w:rsid w:val="00E15FD5"/>
    <w:rsid w:val="00E1602D"/>
    <w:rsid w:val="00E1608E"/>
    <w:rsid w:val="00E160E6"/>
    <w:rsid w:val="00E1610B"/>
    <w:rsid w:val="00E1612F"/>
    <w:rsid w:val="00E16181"/>
    <w:rsid w:val="00E161A4"/>
    <w:rsid w:val="00E161C1"/>
    <w:rsid w:val="00E1623A"/>
    <w:rsid w:val="00E16352"/>
    <w:rsid w:val="00E16408"/>
    <w:rsid w:val="00E16426"/>
    <w:rsid w:val="00E16443"/>
    <w:rsid w:val="00E16461"/>
    <w:rsid w:val="00E164BA"/>
    <w:rsid w:val="00E1651A"/>
    <w:rsid w:val="00E1654F"/>
    <w:rsid w:val="00E16695"/>
    <w:rsid w:val="00E1687C"/>
    <w:rsid w:val="00E168D1"/>
    <w:rsid w:val="00E169A2"/>
    <w:rsid w:val="00E16A5D"/>
    <w:rsid w:val="00E16B59"/>
    <w:rsid w:val="00E16BAA"/>
    <w:rsid w:val="00E16BDF"/>
    <w:rsid w:val="00E16BE0"/>
    <w:rsid w:val="00E16C1A"/>
    <w:rsid w:val="00E16D2E"/>
    <w:rsid w:val="00E16D47"/>
    <w:rsid w:val="00E16E09"/>
    <w:rsid w:val="00E16E45"/>
    <w:rsid w:val="00E16EBD"/>
    <w:rsid w:val="00E16F77"/>
    <w:rsid w:val="00E17039"/>
    <w:rsid w:val="00E17071"/>
    <w:rsid w:val="00E17074"/>
    <w:rsid w:val="00E17109"/>
    <w:rsid w:val="00E1715C"/>
    <w:rsid w:val="00E171ED"/>
    <w:rsid w:val="00E1721F"/>
    <w:rsid w:val="00E1729B"/>
    <w:rsid w:val="00E17397"/>
    <w:rsid w:val="00E17446"/>
    <w:rsid w:val="00E17464"/>
    <w:rsid w:val="00E174CE"/>
    <w:rsid w:val="00E17512"/>
    <w:rsid w:val="00E17555"/>
    <w:rsid w:val="00E175EA"/>
    <w:rsid w:val="00E17632"/>
    <w:rsid w:val="00E17678"/>
    <w:rsid w:val="00E17681"/>
    <w:rsid w:val="00E176E8"/>
    <w:rsid w:val="00E1773C"/>
    <w:rsid w:val="00E17743"/>
    <w:rsid w:val="00E177D1"/>
    <w:rsid w:val="00E177EC"/>
    <w:rsid w:val="00E17837"/>
    <w:rsid w:val="00E179A6"/>
    <w:rsid w:val="00E17AEB"/>
    <w:rsid w:val="00E17B25"/>
    <w:rsid w:val="00E17BDC"/>
    <w:rsid w:val="00E17C64"/>
    <w:rsid w:val="00E17D42"/>
    <w:rsid w:val="00E17D92"/>
    <w:rsid w:val="00E17E1C"/>
    <w:rsid w:val="00E17E4B"/>
    <w:rsid w:val="00E17F34"/>
    <w:rsid w:val="00E17FAC"/>
    <w:rsid w:val="00E17FD0"/>
    <w:rsid w:val="00E20100"/>
    <w:rsid w:val="00E2012A"/>
    <w:rsid w:val="00E2029A"/>
    <w:rsid w:val="00E202A4"/>
    <w:rsid w:val="00E202F3"/>
    <w:rsid w:val="00E2033F"/>
    <w:rsid w:val="00E20388"/>
    <w:rsid w:val="00E203BD"/>
    <w:rsid w:val="00E203E3"/>
    <w:rsid w:val="00E20446"/>
    <w:rsid w:val="00E204E0"/>
    <w:rsid w:val="00E20512"/>
    <w:rsid w:val="00E20560"/>
    <w:rsid w:val="00E20610"/>
    <w:rsid w:val="00E2064E"/>
    <w:rsid w:val="00E206BD"/>
    <w:rsid w:val="00E20754"/>
    <w:rsid w:val="00E207BF"/>
    <w:rsid w:val="00E207EF"/>
    <w:rsid w:val="00E207F0"/>
    <w:rsid w:val="00E2080C"/>
    <w:rsid w:val="00E20817"/>
    <w:rsid w:val="00E2092E"/>
    <w:rsid w:val="00E2093E"/>
    <w:rsid w:val="00E20A32"/>
    <w:rsid w:val="00E20A43"/>
    <w:rsid w:val="00E20AAB"/>
    <w:rsid w:val="00E20B26"/>
    <w:rsid w:val="00E20B99"/>
    <w:rsid w:val="00E20BEE"/>
    <w:rsid w:val="00E20C6A"/>
    <w:rsid w:val="00E20CA9"/>
    <w:rsid w:val="00E20D9C"/>
    <w:rsid w:val="00E20E21"/>
    <w:rsid w:val="00E2106C"/>
    <w:rsid w:val="00E2106F"/>
    <w:rsid w:val="00E210AF"/>
    <w:rsid w:val="00E210BD"/>
    <w:rsid w:val="00E210CC"/>
    <w:rsid w:val="00E210D5"/>
    <w:rsid w:val="00E21147"/>
    <w:rsid w:val="00E2116C"/>
    <w:rsid w:val="00E211A2"/>
    <w:rsid w:val="00E211BC"/>
    <w:rsid w:val="00E211E6"/>
    <w:rsid w:val="00E2129C"/>
    <w:rsid w:val="00E212B4"/>
    <w:rsid w:val="00E212E7"/>
    <w:rsid w:val="00E213D2"/>
    <w:rsid w:val="00E214AB"/>
    <w:rsid w:val="00E214F1"/>
    <w:rsid w:val="00E215D0"/>
    <w:rsid w:val="00E21604"/>
    <w:rsid w:val="00E2161B"/>
    <w:rsid w:val="00E2162F"/>
    <w:rsid w:val="00E21655"/>
    <w:rsid w:val="00E217AD"/>
    <w:rsid w:val="00E21823"/>
    <w:rsid w:val="00E21985"/>
    <w:rsid w:val="00E21990"/>
    <w:rsid w:val="00E21A22"/>
    <w:rsid w:val="00E21AA9"/>
    <w:rsid w:val="00E21B32"/>
    <w:rsid w:val="00E21B37"/>
    <w:rsid w:val="00E21BCE"/>
    <w:rsid w:val="00E21C64"/>
    <w:rsid w:val="00E21E0D"/>
    <w:rsid w:val="00E21FA4"/>
    <w:rsid w:val="00E2200E"/>
    <w:rsid w:val="00E22033"/>
    <w:rsid w:val="00E22096"/>
    <w:rsid w:val="00E22136"/>
    <w:rsid w:val="00E22189"/>
    <w:rsid w:val="00E221FC"/>
    <w:rsid w:val="00E22287"/>
    <w:rsid w:val="00E223A5"/>
    <w:rsid w:val="00E22459"/>
    <w:rsid w:val="00E2246B"/>
    <w:rsid w:val="00E224BA"/>
    <w:rsid w:val="00E224FD"/>
    <w:rsid w:val="00E224FE"/>
    <w:rsid w:val="00E22510"/>
    <w:rsid w:val="00E22558"/>
    <w:rsid w:val="00E22562"/>
    <w:rsid w:val="00E225AB"/>
    <w:rsid w:val="00E2266E"/>
    <w:rsid w:val="00E226B0"/>
    <w:rsid w:val="00E226D7"/>
    <w:rsid w:val="00E226F7"/>
    <w:rsid w:val="00E227CC"/>
    <w:rsid w:val="00E228E6"/>
    <w:rsid w:val="00E2297A"/>
    <w:rsid w:val="00E22A54"/>
    <w:rsid w:val="00E22A84"/>
    <w:rsid w:val="00E22C66"/>
    <w:rsid w:val="00E22CE9"/>
    <w:rsid w:val="00E22CF8"/>
    <w:rsid w:val="00E22D25"/>
    <w:rsid w:val="00E22D7F"/>
    <w:rsid w:val="00E22EC5"/>
    <w:rsid w:val="00E22F91"/>
    <w:rsid w:val="00E23114"/>
    <w:rsid w:val="00E2311C"/>
    <w:rsid w:val="00E23196"/>
    <w:rsid w:val="00E23276"/>
    <w:rsid w:val="00E232E2"/>
    <w:rsid w:val="00E233EB"/>
    <w:rsid w:val="00E234E5"/>
    <w:rsid w:val="00E234F0"/>
    <w:rsid w:val="00E23511"/>
    <w:rsid w:val="00E23525"/>
    <w:rsid w:val="00E235F1"/>
    <w:rsid w:val="00E235F5"/>
    <w:rsid w:val="00E235F8"/>
    <w:rsid w:val="00E236BC"/>
    <w:rsid w:val="00E236FC"/>
    <w:rsid w:val="00E2371A"/>
    <w:rsid w:val="00E23802"/>
    <w:rsid w:val="00E2381C"/>
    <w:rsid w:val="00E23907"/>
    <w:rsid w:val="00E2390E"/>
    <w:rsid w:val="00E2392D"/>
    <w:rsid w:val="00E23A4F"/>
    <w:rsid w:val="00E23A6E"/>
    <w:rsid w:val="00E23AB4"/>
    <w:rsid w:val="00E23B02"/>
    <w:rsid w:val="00E23C40"/>
    <w:rsid w:val="00E23D68"/>
    <w:rsid w:val="00E23E1F"/>
    <w:rsid w:val="00E23E21"/>
    <w:rsid w:val="00E23E24"/>
    <w:rsid w:val="00E23EB6"/>
    <w:rsid w:val="00E24113"/>
    <w:rsid w:val="00E24142"/>
    <w:rsid w:val="00E24245"/>
    <w:rsid w:val="00E242CE"/>
    <w:rsid w:val="00E242D0"/>
    <w:rsid w:val="00E2430C"/>
    <w:rsid w:val="00E2431C"/>
    <w:rsid w:val="00E243E9"/>
    <w:rsid w:val="00E243EC"/>
    <w:rsid w:val="00E24400"/>
    <w:rsid w:val="00E2441A"/>
    <w:rsid w:val="00E24424"/>
    <w:rsid w:val="00E24453"/>
    <w:rsid w:val="00E24461"/>
    <w:rsid w:val="00E244AF"/>
    <w:rsid w:val="00E244FB"/>
    <w:rsid w:val="00E2457A"/>
    <w:rsid w:val="00E2459B"/>
    <w:rsid w:val="00E2460E"/>
    <w:rsid w:val="00E24775"/>
    <w:rsid w:val="00E24795"/>
    <w:rsid w:val="00E247E8"/>
    <w:rsid w:val="00E247F5"/>
    <w:rsid w:val="00E24847"/>
    <w:rsid w:val="00E2484A"/>
    <w:rsid w:val="00E24875"/>
    <w:rsid w:val="00E248A3"/>
    <w:rsid w:val="00E248FD"/>
    <w:rsid w:val="00E24908"/>
    <w:rsid w:val="00E24965"/>
    <w:rsid w:val="00E24978"/>
    <w:rsid w:val="00E249B6"/>
    <w:rsid w:val="00E249E8"/>
    <w:rsid w:val="00E24A20"/>
    <w:rsid w:val="00E24A2F"/>
    <w:rsid w:val="00E24A54"/>
    <w:rsid w:val="00E24AB5"/>
    <w:rsid w:val="00E24ABE"/>
    <w:rsid w:val="00E24B1D"/>
    <w:rsid w:val="00E24B2C"/>
    <w:rsid w:val="00E24BA2"/>
    <w:rsid w:val="00E24CBA"/>
    <w:rsid w:val="00E24CFC"/>
    <w:rsid w:val="00E24D4A"/>
    <w:rsid w:val="00E24DEF"/>
    <w:rsid w:val="00E24E3F"/>
    <w:rsid w:val="00E24F20"/>
    <w:rsid w:val="00E25029"/>
    <w:rsid w:val="00E250A8"/>
    <w:rsid w:val="00E251DF"/>
    <w:rsid w:val="00E251EF"/>
    <w:rsid w:val="00E2528B"/>
    <w:rsid w:val="00E2539E"/>
    <w:rsid w:val="00E255DC"/>
    <w:rsid w:val="00E255FD"/>
    <w:rsid w:val="00E25609"/>
    <w:rsid w:val="00E25674"/>
    <w:rsid w:val="00E256C4"/>
    <w:rsid w:val="00E25701"/>
    <w:rsid w:val="00E25741"/>
    <w:rsid w:val="00E257D3"/>
    <w:rsid w:val="00E2586A"/>
    <w:rsid w:val="00E2589C"/>
    <w:rsid w:val="00E25A49"/>
    <w:rsid w:val="00E25AB2"/>
    <w:rsid w:val="00E25B29"/>
    <w:rsid w:val="00E25B32"/>
    <w:rsid w:val="00E25B89"/>
    <w:rsid w:val="00E25C12"/>
    <w:rsid w:val="00E25CC6"/>
    <w:rsid w:val="00E25D29"/>
    <w:rsid w:val="00E25D9C"/>
    <w:rsid w:val="00E25DE0"/>
    <w:rsid w:val="00E25E15"/>
    <w:rsid w:val="00E25E34"/>
    <w:rsid w:val="00E25E35"/>
    <w:rsid w:val="00E25E3E"/>
    <w:rsid w:val="00E25F83"/>
    <w:rsid w:val="00E26015"/>
    <w:rsid w:val="00E26020"/>
    <w:rsid w:val="00E2608E"/>
    <w:rsid w:val="00E260E5"/>
    <w:rsid w:val="00E260EC"/>
    <w:rsid w:val="00E26280"/>
    <w:rsid w:val="00E262BB"/>
    <w:rsid w:val="00E263C2"/>
    <w:rsid w:val="00E2648A"/>
    <w:rsid w:val="00E264F7"/>
    <w:rsid w:val="00E264FD"/>
    <w:rsid w:val="00E26512"/>
    <w:rsid w:val="00E2653C"/>
    <w:rsid w:val="00E265C7"/>
    <w:rsid w:val="00E2668D"/>
    <w:rsid w:val="00E26758"/>
    <w:rsid w:val="00E2681D"/>
    <w:rsid w:val="00E268E0"/>
    <w:rsid w:val="00E268FC"/>
    <w:rsid w:val="00E26963"/>
    <w:rsid w:val="00E2696C"/>
    <w:rsid w:val="00E2696E"/>
    <w:rsid w:val="00E26998"/>
    <w:rsid w:val="00E26A61"/>
    <w:rsid w:val="00E26C7F"/>
    <w:rsid w:val="00E26CCB"/>
    <w:rsid w:val="00E26D79"/>
    <w:rsid w:val="00E26D7A"/>
    <w:rsid w:val="00E26E9C"/>
    <w:rsid w:val="00E26EAC"/>
    <w:rsid w:val="00E26F69"/>
    <w:rsid w:val="00E26FBC"/>
    <w:rsid w:val="00E270CE"/>
    <w:rsid w:val="00E2710B"/>
    <w:rsid w:val="00E27187"/>
    <w:rsid w:val="00E271A6"/>
    <w:rsid w:val="00E271EF"/>
    <w:rsid w:val="00E27256"/>
    <w:rsid w:val="00E272F9"/>
    <w:rsid w:val="00E27349"/>
    <w:rsid w:val="00E27554"/>
    <w:rsid w:val="00E2756D"/>
    <w:rsid w:val="00E27606"/>
    <w:rsid w:val="00E2761A"/>
    <w:rsid w:val="00E27691"/>
    <w:rsid w:val="00E276E4"/>
    <w:rsid w:val="00E2773A"/>
    <w:rsid w:val="00E277CA"/>
    <w:rsid w:val="00E278A5"/>
    <w:rsid w:val="00E27917"/>
    <w:rsid w:val="00E27B22"/>
    <w:rsid w:val="00E27C67"/>
    <w:rsid w:val="00E27CAE"/>
    <w:rsid w:val="00E27D0B"/>
    <w:rsid w:val="00E27D5C"/>
    <w:rsid w:val="00E27DB0"/>
    <w:rsid w:val="00E27DB2"/>
    <w:rsid w:val="00E27DB4"/>
    <w:rsid w:val="00E27F47"/>
    <w:rsid w:val="00E30021"/>
    <w:rsid w:val="00E300B2"/>
    <w:rsid w:val="00E300BD"/>
    <w:rsid w:val="00E30181"/>
    <w:rsid w:val="00E301AA"/>
    <w:rsid w:val="00E301F0"/>
    <w:rsid w:val="00E302DD"/>
    <w:rsid w:val="00E30313"/>
    <w:rsid w:val="00E3032D"/>
    <w:rsid w:val="00E30417"/>
    <w:rsid w:val="00E3044D"/>
    <w:rsid w:val="00E304E4"/>
    <w:rsid w:val="00E3058C"/>
    <w:rsid w:val="00E305A7"/>
    <w:rsid w:val="00E305AC"/>
    <w:rsid w:val="00E30633"/>
    <w:rsid w:val="00E3074F"/>
    <w:rsid w:val="00E30786"/>
    <w:rsid w:val="00E307BF"/>
    <w:rsid w:val="00E3081A"/>
    <w:rsid w:val="00E30980"/>
    <w:rsid w:val="00E309A0"/>
    <w:rsid w:val="00E309EF"/>
    <w:rsid w:val="00E309F5"/>
    <w:rsid w:val="00E30B24"/>
    <w:rsid w:val="00E30BA1"/>
    <w:rsid w:val="00E30BAE"/>
    <w:rsid w:val="00E30C08"/>
    <w:rsid w:val="00E30CCB"/>
    <w:rsid w:val="00E30D0A"/>
    <w:rsid w:val="00E30D7C"/>
    <w:rsid w:val="00E30D82"/>
    <w:rsid w:val="00E30D83"/>
    <w:rsid w:val="00E30E20"/>
    <w:rsid w:val="00E30E37"/>
    <w:rsid w:val="00E30E82"/>
    <w:rsid w:val="00E30FE1"/>
    <w:rsid w:val="00E31009"/>
    <w:rsid w:val="00E3100C"/>
    <w:rsid w:val="00E3102A"/>
    <w:rsid w:val="00E31054"/>
    <w:rsid w:val="00E3109E"/>
    <w:rsid w:val="00E310A0"/>
    <w:rsid w:val="00E3111D"/>
    <w:rsid w:val="00E3125C"/>
    <w:rsid w:val="00E31275"/>
    <w:rsid w:val="00E313A1"/>
    <w:rsid w:val="00E3148B"/>
    <w:rsid w:val="00E314A0"/>
    <w:rsid w:val="00E314EF"/>
    <w:rsid w:val="00E314FF"/>
    <w:rsid w:val="00E31548"/>
    <w:rsid w:val="00E316F5"/>
    <w:rsid w:val="00E3170D"/>
    <w:rsid w:val="00E31835"/>
    <w:rsid w:val="00E318FC"/>
    <w:rsid w:val="00E319AB"/>
    <w:rsid w:val="00E31AAC"/>
    <w:rsid w:val="00E31AD2"/>
    <w:rsid w:val="00E31B25"/>
    <w:rsid w:val="00E31BF1"/>
    <w:rsid w:val="00E31C18"/>
    <w:rsid w:val="00E31C57"/>
    <w:rsid w:val="00E31C7D"/>
    <w:rsid w:val="00E31E8D"/>
    <w:rsid w:val="00E31F11"/>
    <w:rsid w:val="00E31F20"/>
    <w:rsid w:val="00E31F42"/>
    <w:rsid w:val="00E31F5B"/>
    <w:rsid w:val="00E31F9B"/>
    <w:rsid w:val="00E320DB"/>
    <w:rsid w:val="00E320FA"/>
    <w:rsid w:val="00E322C0"/>
    <w:rsid w:val="00E3238A"/>
    <w:rsid w:val="00E323B3"/>
    <w:rsid w:val="00E323E3"/>
    <w:rsid w:val="00E32448"/>
    <w:rsid w:val="00E32578"/>
    <w:rsid w:val="00E32579"/>
    <w:rsid w:val="00E325C3"/>
    <w:rsid w:val="00E326DD"/>
    <w:rsid w:val="00E32726"/>
    <w:rsid w:val="00E328CC"/>
    <w:rsid w:val="00E328EF"/>
    <w:rsid w:val="00E32927"/>
    <w:rsid w:val="00E32A48"/>
    <w:rsid w:val="00E32AA5"/>
    <w:rsid w:val="00E32B07"/>
    <w:rsid w:val="00E32B7F"/>
    <w:rsid w:val="00E32B83"/>
    <w:rsid w:val="00E32BCD"/>
    <w:rsid w:val="00E32C8D"/>
    <w:rsid w:val="00E32D0F"/>
    <w:rsid w:val="00E32D13"/>
    <w:rsid w:val="00E32D14"/>
    <w:rsid w:val="00E32D34"/>
    <w:rsid w:val="00E32D61"/>
    <w:rsid w:val="00E32EEF"/>
    <w:rsid w:val="00E32FF3"/>
    <w:rsid w:val="00E3302C"/>
    <w:rsid w:val="00E33080"/>
    <w:rsid w:val="00E330B1"/>
    <w:rsid w:val="00E33209"/>
    <w:rsid w:val="00E3322A"/>
    <w:rsid w:val="00E3346A"/>
    <w:rsid w:val="00E33489"/>
    <w:rsid w:val="00E3361B"/>
    <w:rsid w:val="00E33620"/>
    <w:rsid w:val="00E33650"/>
    <w:rsid w:val="00E33690"/>
    <w:rsid w:val="00E33697"/>
    <w:rsid w:val="00E336F8"/>
    <w:rsid w:val="00E33747"/>
    <w:rsid w:val="00E3377E"/>
    <w:rsid w:val="00E33829"/>
    <w:rsid w:val="00E33893"/>
    <w:rsid w:val="00E33993"/>
    <w:rsid w:val="00E339DA"/>
    <w:rsid w:val="00E339FA"/>
    <w:rsid w:val="00E33A06"/>
    <w:rsid w:val="00E33A1C"/>
    <w:rsid w:val="00E33A99"/>
    <w:rsid w:val="00E33AB4"/>
    <w:rsid w:val="00E33AE4"/>
    <w:rsid w:val="00E33B5A"/>
    <w:rsid w:val="00E33BF6"/>
    <w:rsid w:val="00E33D07"/>
    <w:rsid w:val="00E33E31"/>
    <w:rsid w:val="00E33E75"/>
    <w:rsid w:val="00E33E90"/>
    <w:rsid w:val="00E33EC9"/>
    <w:rsid w:val="00E33F46"/>
    <w:rsid w:val="00E33FB9"/>
    <w:rsid w:val="00E34054"/>
    <w:rsid w:val="00E34065"/>
    <w:rsid w:val="00E34089"/>
    <w:rsid w:val="00E3413A"/>
    <w:rsid w:val="00E34178"/>
    <w:rsid w:val="00E34212"/>
    <w:rsid w:val="00E3422C"/>
    <w:rsid w:val="00E34246"/>
    <w:rsid w:val="00E3433C"/>
    <w:rsid w:val="00E34362"/>
    <w:rsid w:val="00E3439B"/>
    <w:rsid w:val="00E343B3"/>
    <w:rsid w:val="00E343DE"/>
    <w:rsid w:val="00E343DF"/>
    <w:rsid w:val="00E344DF"/>
    <w:rsid w:val="00E34562"/>
    <w:rsid w:val="00E345B7"/>
    <w:rsid w:val="00E34669"/>
    <w:rsid w:val="00E346F8"/>
    <w:rsid w:val="00E347F9"/>
    <w:rsid w:val="00E34878"/>
    <w:rsid w:val="00E3494D"/>
    <w:rsid w:val="00E34988"/>
    <w:rsid w:val="00E34ADF"/>
    <w:rsid w:val="00E34AFD"/>
    <w:rsid w:val="00E34B5B"/>
    <w:rsid w:val="00E34B75"/>
    <w:rsid w:val="00E34BA4"/>
    <w:rsid w:val="00E34BCE"/>
    <w:rsid w:val="00E34BDE"/>
    <w:rsid w:val="00E34BFB"/>
    <w:rsid w:val="00E34C2C"/>
    <w:rsid w:val="00E34C61"/>
    <w:rsid w:val="00E34C72"/>
    <w:rsid w:val="00E34CE5"/>
    <w:rsid w:val="00E34D10"/>
    <w:rsid w:val="00E34D4C"/>
    <w:rsid w:val="00E34DB8"/>
    <w:rsid w:val="00E34DD2"/>
    <w:rsid w:val="00E34E59"/>
    <w:rsid w:val="00E34F05"/>
    <w:rsid w:val="00E35065"/>
    <w:rsid w:val="00E350DF"/>
    <w:rsid w:val="00E35142"/>
    <w:rsid w:val="00E3519A"/>
    <w:rsid w:val="00E351D1"/>
    <w:rsid w:val="00E35242"/>
    <w:rsid w:val="00E35262"/>
    <w:rsid w:val="00E35290"/>
    <w:rsid w:val="00E3534B"/>
    <w:rsid w:val="00E35417"/>
    <w:rsid w:val="00E35476"/>
    <w:rsid w:val="00E35673"/>
    <w:rsid w:val="00E35676"/>
    <w:rsid w:val="00E35715"/>
    <w:rsid w:val="00E35750"/>
    <w:rsid w:val="00E3576F"/>
    <w:rsid w:val="00E35825"/>
    <w:rsid w:val="00E358A4"/>
    <w:rsid w:val="00E358AF"/>
    <w:rsid w:val="00E358F4"/>
    <w:rsid w:val="00E35941"/>
    <w:rsid w:val="00E35A00"/>
    <w:rsid w:val="00E35A72"/>
    <w:rsid w:val="00E35AE1"/>
    <w:rsid w:val="00E35BFE"/>
    <w:rsid w:val="00E35C1A"/>
    <w:rsid w:val="00E35C2F"/>
    <w:rsid w:val="00E35C71"/>
    <w:rsid w:val="00E35CAD"/>
    <w:rsid w:val="00E35CE9"/>
    <w:rsid w:val="00E35D94"/>
    <w:rsid w:val="00E35E73"/>
    <w:rsid w:val="00E35EE9"/>
    <w:rsid w:val="00E35F6D"/>
    <w:rsid w:val="00E36087"/>
    <w:rsid w:val="00E36132"/>
    <w:rsid w:val="00E36195"/>
    <w:rsid w:val="00E3623C"/>
    <w:rsid w:val="00E36296"/>
    <w:rsid w:val="00E362D3"/>
    <w:rsid w:val="00E36324"/>
    <w:rsid w:val="00E36397"/>
    <w:rsid w:val="00E363A7"/>
    <w:rsid w:val="00E36412"/>
    <w:rsid w:val="00E36419"/>
    <w:rsid w:val="00E36638"/>
    <w:rsid w:val="00E36675"/>
    <w:rsid w:val="00E36701"/>
    <w:rsid w:val="00E36731"/>
    <w:rsid w:val="00E367CE"/>
    <w:rsid w:val="00E36817"/>
    <w:rsid w:val="00E36848"/>
    <w:rsid w:val="00E368E9"/>
    <w:rsid w:val="00E36937"/>
    <w:rsid w:val="00E3693A"/>
    <w:rsid w:val="00E369B4"/>
    <w:rsid w:val="00E36C0A"/>
    <w:rsid w:val="00E36CE9"/>
    <w:rsid w:val="00E36D2C"/>
    <w:rsid w:val="00E36D5F"/>
    <w:rsid w:val="00E36DE6"/>
    <w:rsid w:val="00E36E4F"/>
    <w:rsid w:val="00E36E7B"/>
    <w:rsid w:val="00E36E7F"/>
    <w:rsid w:val="00E36EF4"/>
    <w:rsid w:val="00E36EFB"/>
    <w:rsid w:val="00E36F0B"/>
    <w:rsid w:val="00E37050"/>
    <w:rsid w:val="00E37070"/>
    <w:rsid w:val="00E37122"/>
    <w:rsid w:val="00E3719D"/>
    <w:rsid w:val="00E371BA"/>
    <w:rsid w:val="00E37203"/>
    <w:rsid w:val="00E37265"/>
    <w:rsid w:val="00E372B5"/>
    <w:rsid w:val="00E372DC"/>
    <w:rsid w:val="00E372FB"/>
    <w:rsid w:val="00E37357"/>
    <w:rsid w:val="00E37363"/>
    <w:rsid w:val="00E3737E"/>
    <w:rsid w:val="00E375A0"/>
    <w:rsid w:val="00E37671"/>
    <w:rsid w:val="00E37674"/>
    <w:rsid w:val="00E37733"/>
    <w:rsid w:val="00E37881"/>
    <w:rsid w:val="00E37913"/>
    <w:rsid w:val="00E379C9"/>
    <w:rsid w:val="00E37ACE"/>
    <w:rsid w:val="00E37B0E"/>
    <w:rsid w:val="00E37B7E"/>
    <w:rsid w:val="00E37B9E"/>
    <w:rsid w:val="00E37C0E"/>
    <w:rsid w:val="00E37C5A"/>
    <w:rsid w:val="00E37C6E"/>
    <w:rsid w:val="00E37CEB"/>
    <w:rsid w:val="00E37D03"/>
    <w:rsid w:val="00E37D7F"/>
    <w:rsid w:val="00E37D91"/>
    <w:rsid w:val="00E37DE6"/>
    <w:rsid w:val="00E37EA9"/>
    <w:rsid w:val="00E37FC7"/>
    <w:rsid w:val="00E37FD3"/>
    <w:rsid w:val="00E4003D"/>
    <w:rsid w:val="00E40066"/>
    <w:rsid w:val="00E40262"/>
    <w:rsid w:val="00E4030E"/>
    <w:rsid w:val="00E4035A"/>
    <w:rsid w:val="00E4036F"/>
    <w:rsid w:val="00E403C4"/>
    <w:rsid w:val="00E404A1"/>
    <w:rsid w:val="00E404C5"/>
    <w:rsid w:val="00E404D6"/>
    <w:rsid w:val="00E404FC"/>
    <w:rsid w:val="00E405C9"/>
    <w:rsid w:val="00E405EA"/>
    <w:rsid w:val="00E4067D"/>
    <w:rsid w:val="00E4069B"/>
    <w:rsid w:val="00E40715"/>
    <w:rsid w:val="00E40719"/>
    <w:rsid w:val="00E40728"/>
    <w:rsid w:val="00E40796"/>
    <w:rsid w:val="00E40814"/>
    <w:rsid w:val="00E4082B"/>
    <w:rsid w:val="00E4084F"/>
    <w:rsid w:val="00E40942"/>
    <w:rsid w:val="00E40985"/>
    <w:rsid w:val="00E409DA"/>
    <w:rsid w:val="00E40A52"/>
    <w:rsid w:val="00E40AE7"/>
    <w:rsid w:val="00E40AF3"/>
    <w:rsid w:val="00E40BEB"/>
    <w:rsid w:val="00E40C6A"/>
    <w:rsid w:val="00E40D8C"/>
    <w:rsid w:val="00E40E91"/>
    <w:rsid w:val="00E40E9D"/>
    <w:rsid w:val="00E40EE8"/>
    <w:rsid w:val="00E40F13"/>
    <w:rsid w:val="00E40F5A"/>
    <w:rsid w:val="00E40F8A"/>
    <w:rsid w:val="00E40FCE"/>
    <w:rsid w:val="00E40FD7"/>
    <w:rsid w:val="00E40FE9"/>
    <w:rsid w:val="00E4111D"/>
    <w:rsid w:val="00E411AC"/>
    <w:rsid w:val="00E411E3"/>
    <w:rsid w:val="00E412DE"/>
    <w:rsid w:val="00E4130E"/>
    <w:rsid w:val="00E41383"/>
    <w:rsid w:val="00E4138C"/>
    <w:rsid w:val="00E414B8"/>
    <w:rsid w:val="00E414D8"/>
    <w:rsid w:val="00E4154E"/>
    <w:rsid w:val="00E4156C"/>
    <w:rsid w:val="00E41576"/>
    <w:rsid w:val="00E415BF"/>
    <w:rsid w:val="00E415D5"/>
    <w:rsid w:val="00E4171D"/>
    <w:rsid w:val="00E417C2"/>
    <w:rsid w:val="00E4184B"/>
    <w:rsid w:val="00E418CE"/>
    <w:rsid w:val="00E418F0"/>
    <w:rsid w:val="00E419D6"/>
    <w:rsid w:val="00E41A03"/>
    <w:rsid w:val="00E41A1D"/>
    <w:rsid w:val="00E41B11"/>
    <w:rsid w:val="00E41BDF"/>
    <w:rsid w:val="00E41BF1"/>
    <w:rsid w:val="00E41C77"/>
    <w:rsid w:val="00E41C84"/>
    <w:rsid w:val="00E41D5A"/>
    <w:rsid w:val="00E41D87"/>
    <w:rsid w:val="00E41D96"/>
    <w:rsid w:val="00E41E6A"/>
    <w:rsid w:val="00E41EA1"/>
    <w:rsid w:val="00E41EDD"/>
    <w:rsid w:val="00E41EEC"/>
    <w:rsid w:val="00E41F1F"/>
    <w:rsid w:val="00E41F3C"/>
    <w:rsid w:val="00E41F77"/>
    <w:rsid w:val="00E41F80"/>
    <w:rsid w:val="00E41F94"/>
    <w:rsid w:val="00E41FF8"/>
    <w:rsid w:val="00E4201F"/>
    <w:rsid w:val="00E42116"/>
    <w:rsid w:val="00E42137"/>
    <w:rsid w:val="00E42140"/>
    <w:rsid w:val="00E421DC"/>
    <w:rsid w:val="00E421FD"/>
    <w:rsid w:val="00E42222"/>
    <w:rsid w:val="00E42296"/>
    <w:rsid w:val="00E422E7"/>
    <w:rsid w:val="00E4244C"/>
    <w:rsid w:val="00E42581"/>
    <w:rsid w:val="00E42634"/>
    <w:rsid w:val="00E42670"/>
    <w:rsid w:val="00E42755"/>
    <w:rsid w:val="00E4288A"/>
    <w:rsid w:val="00E428C2"/>
    <w:rsid w:val="00E428FA"/>
    <w:rsid w:val="00E42998"/>
    <w:rsid w:val="00E42AB9"/>
    <w:rsid w:val="00E42C7F"/>
    <w:rsid w:val="00E42CC9"/>
    <w:rsid w:val="00E42CF5"/>
    <w:rsid w:val="00E42D00"/>
    <w:rsid w:val="00E42DCB"/>
    <w:rsid w:val="00E42E41"/>
    <w:rsid w:val="00E42E4A"/>
    <w:rsid w:val="00E42E4B"/>
    <w:rsid w:val="00E42E66"/>
    <w:rsid w:val="00E42E68"/>
    <w:rsid w:val="00E42E6C"/>
    <w:rsid w:val="00E42E98"/>
    <w:rsid w:val="00E42E9B"/>
    <w:rsid w:val="00E42F37"/>
    <w:rsid w:val="00E42F41"/>
    <w:rsid w:val="00E42F4C"/>
    <w:rsid w:val="00E42F89"/>
    <w:rsid w:val="00E42FCC"/>
    <w:rsid w:val="00E4305A"/>
    <w:rsid w:val="00E43081"/>
    <w:rsid w:val="00E4308B"/>
    <w:rsid w:val="00E430B8"/>
    <w:rsid w:val="00E4314C"/>
    <w:rsid w:val="00E431E0"/>
    <w:rsid w:val="00E432A5"/>
    <w:rsid w:val="00E432B3"/>
    <w:rsid w:val="00E432B8"/>
    <w:rsid w:val="00E432DD"/>
    <w:rsid w:val="00E432F5"/>
    <w:rsid w:val="00E433B7"/>
    <w:rsid w:val="00E433DE"/>
    <w:rsid w:val="00E4341A"/>
    <w:rsid w:val="00E43449"/>
    <w:rsid w:val="00E43488"/>
    <w:rsid w:val="00E43528"/>
    <w:rsid w:val="00E435BC"/>
    <w:rsid w:val="00E43683"/>
    <w:rsid w:val="00E436A2"/>
    <w:rsid w:val="00E436B9"/>
    <w:rsid w:val="00E436E6"/>
    <w:rsid w:val="00E43733"/>
    <w:rsid w:val="00E437A9"/>
    <w:rsid w:val="00E43883"/>
    <w:rsid w:val="00E438C7"/>
    <w:rsid w:val="00E439BC"/>
    <w:rsid w:val="00E43A62"/>
    <w:rsid w:val="00E43ABF"/>
    <w:rsid w:val="00E43B88"/>
    <w:rsid w:val="00E43BBF"/>
    <w:rsid w:val="00E43CD6"/>
    <w:rsid w:val="00E43D45"/>
    <w:rsid w:val="00E43DB1"/>
    <w:rsid w:val="00E44095"/>
    <w:rsid w:val="00E44177"/>
    <w:rsid w:val="00E44188"/>
    <w:rsid w:val="00E441FE"/>
    <w:rsid w:val="00E44240"/>
    <w:rsid w:val="00E44252"/>
    <w:rsid w:val="00E443F2"/>
    <w:rsid w:val="00E44417"/>
    <w:rsid w:val="00E44425"/>
    <w:rsid w:val="00E44427"/>
    <w:rsid w:val="00E444B2"/>
    <w:rsid w:val="00E444E9"/>
    <w:rsid w:val="00E444FC"/>
    <w:rsid w:val="00E44508"/>
    <w:rsid w:val="00E4453F"/>
    <w:rsid w:val="00E44541"/>
    <w:rsid w:val="00E445A6"/>
    <w:rsid w:val="00E44600"/>
    <w:rsid w:val="00E44670"/>
    <w:rsid w:val="00E446A5"/>
    <w:rsid w:val="00E447AC"/>
    <w:rsid w:val="00E447FE"/>
    <w:rsid w:val="00E44804"/>
    <w:rsid w:val="00E44924"/>
    <w:rsid w:val="00E44992"/>
    <w:rsid w:val="00E449F6"/>
    <w:rsid w:val="00E44A1A"/>
    <w:rsid w:val="00E44A80"/>
    <w:rsid w:val="00E44AB4"/>
    <w:rsid w:val="00E44B16"/>
    <w:rsid w:val="00E44BE5"/>
    <w:rsid w:val="00E44C03"/>
    <w:rsid w:val="00E44D06"/>
    <w:rsid w:val="00E44DF5"/>
    <w:rsid w:val="00E44E87"/>
    <w:rsid w:val="00E44F8D"/>
    <w:rsid w:val="00E44FEA"/>
    <w:rsid w:val="00E45024"/>
    <w:rsid w:val="00E4504C"/>
    <w:rsid w:val="00E450AF"/>
    <w:rsid w:val="00E4510E"/>
    <w:rsid w:val="00E45119"/>
    <w:rsid w:val="00E451F2"/>
    <w:rsid w:val="00E45210"/>
    <w:rsid w:val="00E4527A"/>
    <w:rsid w:val="00E452D8"/>
    <w:rsid w:val="00E4536A"/>
    <w:rsid w:val="00E453A4"/>
    <w:rsid w:val="00E453F9"/>
    <w:rsid w:val="00E454B5"/>
    <w:rsid w:val="00E454DE"/>
    <w:rsid w:val="00E45611"/>
    <w:rsid w:val="00E456C0"/>
    <w:rsid w:val="00E4572E"/>
    <w:rsid w:val="00E45871"/>
    <w:rsid w:val="00E458E8"/>
    <w:rsid w:val="00E458FE"/>
    <w:rsid w:val="00E459AB"/>
    <w:rsid w:val="00E459EA"/>
    <w:rsid w:val="00E45A88"/>
    <w:rsid w:val="00E45AB3"/>
    <w:rsid w:val="00E45ACC"/>
    <w:rsid w:val="00E45AF2"/>
    <w:rsid w:val="00E45B25"/>
    <w:rsid w:val="00E45B74"/>
    <w:rsid w:val="00E45BEB"/>
    <w:rsid w:val="00E45C2D"/>
    <w:rsid w:val="00E45D48"/>
    <w:rsid w:val="00E45D74"/>
    <w:rsid w:val="00E45DE2"/>
    <w:rsid w:val="00E45DF1"/>
    <w:rsid w:val="00E45EF2"/>
    <w:rsid w:val="00E45F22"/>
    <w:rsid w:val="00E45FF4"/>
    <w:rsid w:val="00E4609A"/>
    <w:rsid w:val="00E460A6"/>
    <w:rsid w:val="00E46166"/>
    <w:rsid w:val="00E46172"/>
    <w:rsid w:val="00E46188"/>
    <w:rsid w:val="00E46229"/>
    <w:rsid w:val="00E4630C"/>
    <w:rsid w:val="00E46346"/>
    <w:rsid w:val="00E46366"/>
    <w:rsid w:val="00E463B8"/>
    <w:rsid w:val="00E463EB"/>
    <w:rsid w:val="00E46454"/>
    <w:rsid w:val="00E4648F"/>
    <w:rsid w:val="00E464B1"/>
    <w:rsid w:val="00E46553"/>
    <w:rsid w:val="00E46571"/>
    <w:rsid w:val="00E465B7"/>
    <w:rsid w:val="00E465D0"/>
    <w:rsid w:val="00E4667C"/>
    <w:rsid w:val="00E4668A"/>
    <w:rsid w:val="00E466CF"/>
    <w:rsid w:val="00E467C2"/>
    <w:rsid w:val="00E46815"/>
    <w:rsid w:val="00E4690C"/>
    <w:rsid w:val="00E4695B"/>
    <w:rsid w:val="00E46B51"/>
    <w:rsid w:val="00E46B8C"/>
    <w:rsid w:val="00E46B92"/>
    <w:rsid w:val="00E46BD7"/>
    <w:rsid w:val="00E46BD9"/>
    <w:rsid w:val="00E46C16"/>
    <w:rsid w:val="00E46CB7"/>
    <w:rsid w:val="00E46D82"/>
    <w:rsid w:val="00E46F1B"/>
    <w:rsid w:val="00E46F52"/>
    <w:rsid w:val="00E46FAF"/>
    <w:rsid w:val="00E47069"/>
    <w:rsid w:val="00E47154"/>
    <w:rsid w:val="00E47220"/>
    <w:rsid w:val="00E47281"/>
    <w:rsid w:val="00E472D3"/>
    <w:rsid w:val="00E473B3"/>
    <w:rsid w:val="00E4748B"/>
    <w:rsid w:val="00E4749C"/>
    <w:rsid w:val="00E4749F"/>
    <w:rsid w:val="00E474A4"/>
    <w:rsid w:val="00E474A5"/>
    <w:rsid w:val="00E474B8"/>
    <w:rsid w:val="00E47542"/>
    <w:rsid w:val="00E4755A"/>
    <w:rsid w:val="00E4759B"/>
    <w:rsid w:val="00E4774D"/>
    <w:rsid w:val="00E477C3"/>
    <w:rsid w:val="00E47830"/>
    <w:rsid w:val="00E4783D"/>
    <w:rsid w:val="00E478CE"/>
    <w:rsid w:val="00E47904"/>
    <w:rsid w:val="00E47949"/>
    <w:rsid w:val="00E47961"/>
    <w:rsid w:val="00E479D9"/>
    <w:rsid w:val="00E47A87"/>
    <w:rsid w:val="00E47B3C"/>
    <w:rsid w:val="00E47B67"/>
    <w:rsid w:val="00E47C99"/>
    <w:rsid w:val="00E47CD6"/>
    <w:rsid w:val="00E47D78"/>
    <w:rsid w:val="00E47E0D"/>
    <w:rsid w:val="00E47FFE"/>
    <w:rsid w:val="00E50055"/>
    <w:rsid w:val="00E500BB"/>
    <w:rsid w:val="00E500E8"/>
    <w:rsid w:val="00E50136"/>
    <w:rsid w:val="00E50138"/>
    <w:rsid w:val="00E50213"/>
    <w:rsid w:val="00E502DE"/>
    <w:rsid w:val="00E50370"/>
    <w:rsid w:val="00E503C8"/>
    <w:rsid w:val="00E503FC"/>
    <w:rsid w:val="00E5045F"/>
    <w:rsid w:val="00E504B4"/>
    <w:rsid w:val="00E505A0"/>
    <w:rsid w:val="00E506A0"/>
    <w:rsid w:val="00E506AE"/>
    <w:rsid w:val="00E506DC"/>
    <w:rsid w:val="00E50756"/>
    <w:rsid w:val="00E507A0"/>
    <w:rsid w:val="00E507B4"/>
    <w:rsid w:val="00E50826"/>
    <w:rsid w:val="00E50882"/>
    <w:rsid w:val="00E50919"/>
    <w:rsid w:val="00E509A9"/>
    <w:rsid w:val="00E509CD"/>
    <w:rsid w:val="00E50A55"/>
    <w:rsid w:val="00E50AB3"/>
    <w:rsid w:val="00E50AC0"/>
    <w:rsid w:val="00E50AC7"/>
    <w:rsid w:val="00E50B9E"/>
    <w:rsid w:val="00E50BA5"/>
    <w:rsid w:val="00E50BFB"/>
    <w:rsid w:val="00E50D18"/>
    <w:rsid w:val="00E50D6B"/>
    <w:rsid w:val="00E50E55"/>
    <w:rsid w:val="00E50EC6"/>
    <w:rsid w:val="00E50EFA"/>
    <w:rsid w:val="00E50FCC"/>
    <w:rsid w:val="00E5104E"/>
    <w:rsid w:val="00E5105F"/>
    <w:rsid w:val="00E510E7"/>
    <w:rsid w:val="00E512E3"/>
    <w:rsid w:val="00E51472"/>
    <w:rsid w:val="00E514C5"/>
    <w:rsid w:val="00E5169F"/>
    <w:rsid w:val="00E516F4"/>
    <w:rsid w:val="00E516F9"/>
    <w:rsid w:val="00E5174C"/>
    <w:rsid w:val="00E517BC"/>
    <w:rsid w:val="00E517C3"/>
    <w:rsid w:val="00E5186A"/>
    <w:rsid w:val="00E518AA"/>
    <w:rsid w:val="00E518C0"/>
    <w:rsid w:val="00E51958"/>
    <w:rsid w:val="00E519F2"/>
    <w:rsid w:val="00E51A03"/>
    <w:rsid w:val="00E51A8D"/>
    <w:rsid w:val="00E51A9C"/>
    <w:rsid w:val="00E51AC6"/>
    <w:rsid w:val="00E51AD9"/>
    <w:rsid w:val="00E51B39"/>
    <w:rsid w:val="00E51BBA"/>
    <w:rsid w:val="00E51C09"/>
    <w:rsid w:val="00E51C80"/>
    <w:rsid w:val="00E51DB6"/>
    <w:rsid w:val="00E51E08"/>
    <w:rsid w:val="00E51E3C"/>
    <w:rsid w:val="00E51F28"/>
    <w:rsid w:val="00E51F62"/>
    <w:rsid w:val="00E51FC3"/>
    <w:rsid w:val="00E52014"/>
    <w:rsid w:val="00E521FF"/>
    <w:rsid w:val="00E52249"/>
    <w:rsid w:val="00E522B7"/>
    <w:rsid w:val="00E522BE"/>
    <w:rsid w:val="00E52384"/>
    <w:rsid w:val="00E523EF"/>
    <w:rsid w:val="00E523F0"/>
    <w:rsid w:val="00E52473"/>
    <w:rsid w:val="00E524E1"/>
    <w:rsid w:val="00E524EE"/>
    <w:rsid w:val="00E52601"/>
    <w:rsid w:val="00E52672"/>
    <w:rsid w:val="00E52707"/>
    <w:rsid w:val="00E527D3"/>
    <w:rsid w:val="00E52838"/>
    <w:rsid w:val="00E5284E"/>
    <w:rsid w:val="00E528BF"/>
    <w:rsid w:val="00E528DC"/>
    <w:rsid w:val="00E528E1"/>
    <w:rsid w:val="00E5298A"/>
    <w:rsid w:val="00E52A37"/>
    <w:rsid w:val="00E52AAF"/>
    <w:rsid w:val="00E52AB9"/>
    <w:rsid w:val="00E52BAF"/>
    <w:rsid w:val="00E52BE2"/>
    <w:rsid w:val="00E52C3B"/>
    <w:rsid w:val="00E52C93"/>
    <w:rsid w:val="00E52DC2"/>
    <w:rsid w:val="00E52E79"/>
    <w:rsid w:val="00E52F4A"/>
    <w:rsid w:val="00E52F57"/>
    <w:rsid w:val="00E52F74"/>
    <w:rsid w:val="00E52F75"/>
    <w:rsid w:val="00E5310E"/>
    <w:rsid w:val="00E5315B"/>
    <w:rsid w:val="00E531EB"/>
    <w:rsid w:val="00E5320F"/>
    <w:rsid w:val="00E5326E"/>
    <w:rsid w:val="00E5327F"/>
    <w:rsid w:val="00E532C1"/>
    <w:rsid w:val="00E53301"/>
    <w:rsid w:val="00E53304"/>
    <w:rsid w:val="00E53355"/>
    <w:rsid w:val="00E53365"/>
    <w:rsid w:val="00E533F4"/>
    <w:rsid w:val="00E53476"/>
    <w:rsid w:val="00E534C8"/>
    <w:rsid w:val="00E53508"/>
    <w:rsid w:val="00E53561"/>
    <w:rsid w:val="00E53566"/>
    <w:rsid w:val="00E535E4"/>
    <w:rsid w:val="00E53606"/>
    <w:rsid w:val="00E53637"/>
    <w:rsid w:val="00E53639"/>
    <w:rsid w:val="00E53649"/>
    <w:rsid w:val="00E5367D"/>
    <w:rsid w:val="00E53688"/>
    <w:rsid w:val="00E536B0"/>
    <w:rsid w:val="00E53755"/>
    <w:rsid w:val="00E53935"/>
    <w:rsid w:val="00E53996"/>
    <w:rsid w:val="00E53A07"/>
    <w:rsid w:val="00E53A34"/>
    <w:rsid w:val="00E53A46"/>
    <w:rsid w:val="00E53B4D"/>
    <w:rsid w:val="00E53B98"/>
    <w:rsid w:val="00E53C7D"/>
    <w:rsid w:val="00E53CB3"/>
    <w:rsid w:val="00E53CC5"/>
    <w:rsid w:val="00E53D2A"/>
    <w:rsid w:val="00E53DE8"/>
    <w:rsid w:val="00E53DF2"/>
    <w:rsid w:val="00E53DF7"/>
    <w:rsid w:val="00E53E2B"/>
    <w:rsid w:val="00E53E5B"/>
    <w:rsid w:val="00E53EA1"/>
    <w:rsid w:val="00E53FF5"/>
    <w:rsid w:val="00E54030"/>
    <w:rsid w:val="00E54074"/>
    <w:rsid w:val="00E540BC"/>
    <w:rsid w:val="00E5418C"/>
    <w:rsid w:val="00E541C3"/>
    <w:rsid w:val="00E541E0"/>
    <w:rsid w:val="00E541E1"/>
    <w:rsid w:val="00E541E2"/>
    <w:rsid w:val="00E54213"/>
    <w:rsid w:val="00E5422C"/>
    <w:rsid w:val="00E542C4"/>
    <w:rsid w:val="00E542D4"/>
    <w:rsid w:val="00E54307"/>
    <w:rsid w:val="00E5433D"/>
    <w:rsid w:val="00E54396"/>
    <w:rsid w:val="00E54458"/>
    <w:rsid w:val="00E5446B"/>
    <w:rsid w:val="00E5450E"/>
    <w:rsid w:val="00E54576"/>
    <w:rsid w:val="00E54632"/>
    <w:rsid w:val="00E54634"/>
    <w:rsid w:val="00E54711"/>
    <w:rsid w:val="00E54745"/>
    <w:rsid w:val="00E5474B"/>
    <w:rsid w:val="00E547B8"/>
    <w:rsid w:val="00E547DF"/>
    <w:rsid w:val="00E54808"/>
    <w:rsid w:val="00E5481A"/>
    <w:rsid w:val="00E5495B"/>
    <w:rsid w:val="00E549EE"/>
    <w:rsid w:val="00E54A0E"/>
    <w:rsid w:val="00E54A40"/>
    <w:rsid w:val="00E54A6C"/>
    <w:rsid w:val="00E54A7F"/>
    <w:rsid w:val="00E54AF7"/>
    <w:rsid w:val="00E54B01"/>
    <w:rsid w:val="00E54CA7"/>
    <w:rsid w:val="00E54D04"/>
    <w:rsid w:val="00E54D3D"/>
    <w:rsid w:val="00E54D4F"/>
    <w:rsid w:val="00E54D63"/>
    <w:rsid w:val="00E54DCE"/>
    <w:rsid w:val="00E54E01"/>
    <w:rsid w:val="00E55023"/>
    <w:rsid w:val="00E55214"/>
    <w:rsid w:val="00E552A2"/>
    <w:rsid w:val="00E55344"/>
    <w:rsid w:val="00E55392"/>
    <w:rsid w:val="00E5539B"/>
    <w:rsid w:val="00E5541C"/>
    <w:rsid w:val="00E554BA"/>
    <w:rsid w:val="00E5554F"/>
    <w:rsid w:val="00E55679"/>
    <w:rsid w:val="00E5567A"/>
    <w:rsid w:val="00E556E5"/>
    <w:rsid w:val="00E5570F"/>
    <w:rsid w:val="00E5578D"/>
    <w:rsid w:val="00E55802"/>
    <w:rsid w:val="00E55826"/>
    <w:rsid w:val="00E55830"/>
    <w:rsid w:val="00E55873"/>
    <w:rsid w:val="00E558A9"/>
    <w:rsid w:val="00E558EC"/>
    <w:rsid w:val="00E55920"/>
    <w:rsid w:val="00E55927"/>
    <w:rsid w:val="00E559B4"/>
    <w:rsid w:val="00E559DF"/>
    <w:rsid w:val="00E559E1"/>
    <w:rsid w:val="00E55A0B"/>
    <w:rsid w:val="00E55A1C"/>
    <w:rsid w:val="00E55C1F"/>
    <w:rsid w:val="00E55D0B"/>
    <w:rsid w:val="00E55D6C"/>
    <w:rsid w:val="00E55D6D"/>
    <w:rsid w:val="00E55D7B"/>
    <w:rsid w:val="00E55D9A"/>
    <w:rsid w:val="00E55F20"/>
    <w:rsid w:val="00E55F97"/>
    <w:rsid w:val="00E56065"/>
    <w:rsid w:val="00E560A8"/>
    <w:rsid w:val="00E560BD"/>
    <w:rsid w:val="00E56246"/>
    <w:rsid w:val="00E56272"/>
    <w:rsid w:val="00E562BD"/>
    <w:rsid w:val="00E56370"/>
    <w:rsid w:val="00E56385"/>
    <w:rsid w:val="00E563FC"/>
    <w:rsid w:val="00E5648B"/>
    <w:rsid w:val="00E56510"/>
    <w:rsid w:val="00E56659"/>
    <w:rsid w:val="00E56677"/>
    <w:rsid w:val="00E5667F"/>
    <w:rsid w:val="00E56698"/>
    <w:rsid w:val="00E56736"/>
    <w:rsid w:val="00E56774"/>
    <w:rsid w:val="00E567B4"/>
    <w:rsid w:val="00E567B9"/>
    <w:rsid w:val="00E567DA"/>
    <w:rsid w:val="00E567DE"/>
    <w:rsid w:val="00E56887"/>
    <w:rsid w:val="00E568A4"/>
    <w:rsid w:val="00E568F9"/>
    <w:rsid w:val="00E569C6"/>
    <w:rsid w:val="00E569C9"/>
    <w:rsid w:val="00E56A3F"/>
    <w:rsid w:val="00E56A42"/>
    <w:rsid w:val="00E56A83"/>
    <w:rsid w:val="00E56AD7"/>
    <w:rsid w:val="00E56CD7"/>
    <w:rsid w:val="00E56D50"/>
    <w:rsid w:val="00E56D71"/>
    <w:rsid w:val="00E56E61"/>
    <w:rsid w:val="00E56EB4"/>
    <w:rsid w:val="00E57098"/>
    <w:rsid w:val="00E57119"/>
    <w:rsid w:val="00E5715A"/>
    <w:rsid w:val="00E57164"/>
    <w:rsid w:val="00E5716F"/>
    <w:rsid w:val="00E57202"/>
    <w:rsid w:val="00E57206"/>
    <w:rsid w:val="00E5727F"/>
    <w:rsid w:val="00E57285"/>
    <w:rsid w:val="00E573C1"/>
    <w:rsid w:val="00E57438"/>
    <w:rsid w:val="00E57482"/>
    <w:rsid w:val="00E575B9"/>
    <w:rsid w:val="00E57642"/>
    <w:rsid w:val="00E5764F"/>
    <w:rsid w:val="00E57679"/>
    <w:rsid w:val="00E57793"/>
    <w:rsid w:val="00E577A7"/>
    <w:rsid w:val="00E577AC"/>
    <w:rsid w:val="00E577B0"/>
    <w:rsid w:val="00E5782B"/>
    <w:rsid w:val="00E5783D"/>
    <w:rsid w:val="00E578A5"/>
    <w:rsid w:val="00E57998"/>
    <w:rsid w:val="00E5799A"/>
    <w:rsid w:val="00E57A61"/>
    <w:rsid w:val="00E57BD3"/>
    <w:rsid w:val="00E57BE0"/>
    <w:rsid w:val="00E57C88"/>
    <w:rsid w:val="00E57D76"/>
    <w:rsid w:val="00E57D88"/>
    <w:rsid w:val="00E57F7A"/>
    <w:rsid w:val="00E57FDD"/>
    <w:rsid w:val="00E57FE7"/>
    <w:rsid w:val="00E600B9"/>
    <w:rsid w:val="00E6017C"/>
    <w:rsid w:val="00E601F5"/>
    <w:rsid w:val="00E60214"/>
    <w:rsid w:val="00E60232"/>
    <w:rsid w:val="00E60306"/>
    <w:rsid w:val="00E6045A"/>
    <w:rsid w:val="00E6045F"/>
    <w:rsid w:val="00E60494"/>
    <w:rsid w:val="00E604D4"/>
    <w:rsid w:val="00E60548"/>
    <w:rsid w:val="00E6056F"/>
    <w:rsid w:val="00E605E5"/>
    <w:rsid w:val="00E6060C"/>
    <w:rsid w:val="00E606D0"/>
    <w:rsid w:val="00E6074D"/>
    <w:rsid w:val="00E60814"/>
    <w:rsid w:val="00E608CF"/>
    <w:rsid w:val="00E6092B"/>
    <w:rsid w:val="00E609A9"/>
    <w:rsid w:val="00E609AF"/>
    <w:rsid w:val="00E60AA7"/>
    <w:rsid w:val="00E60AF1"/>
    <w:rsid w:val="00E60AF9"/>
    <w:rsid w:val="00E60C57"/>
    <w:rsid w:val="00E60C8B"/>
    <w:rsid w:val="00E60D02"/>
    <w:rsid w:val="00E60DAD"/>
    <w:rsid w:val="00E60ED8"/>
    <w:rsid w:val="00E6101B"/>
    <w:rsid w:val="00E61074"/>
    <w:rsid w:val="00E61111"/>
    <w:rsid w:val="00E61196"/>
    <w:rsid w:val="00E6128F"/>
    <w:rsid w:val="00E61302"/>
    <w:rsid w:val="00E6139A"/>
    <w:rsid w:val="00E613B9"/>
    <w:rsid w:val="00E61454"/>
    <w:rsid w:val="00E6145D"/>
    <w:rsid w:val="00E614BC"/>
    <w:rsid w:val="00E614BE"/>
    <w:rsid w:val="00E614C9"/>
    <w:rsid w:val="00E614E8"/>
    <w:rsid w:val="00E61587"/>
    <w:rsid w:val="00E61594"/>
    <w:rsid w:val="00E615C5"/>
    <w:rsid w:val="00E615DA"/>
    <w:rsid w:val="00E61662"/>
    <w:rsid w:val="00E6180D"/>
    <w:rsid w:val="00E61864"/>
    <w:rsid w:val="00E61878"/>
    <w:rsid w:val="00E61886"/>
    <w:rsid w:val="00E61888"/>
    <w:rsid w:val="00E61969"/>
    <w:rsid w:val="00E61ADD"/>
    <w:rsid w:val="00E61B91"/>
    <w:rsid w:val="00E61BBD"/>
    <w:rsid w:val="00E61C07"/>
    <w:rsid w:val="00E61C5B"/>
    <w:rsid w:val="00E61C9A"/>
    <w:rsid w:val="00E61D87"/>
    <w:rsid w:val="00E61DF1"/>
    <w:rsid w:val="00E61EAF"/>
    <w:rsid w:val="00E61F02"/>
    <w:rsid w:val="00E61F05"/>
    <w:rsid w:val="00E61F41"/>
    <w:rsid w:val="00E61F52"/>
    <w:rsid w:val="00E61F61"/>
    <w:rsid w:val="00E6200F"/>
    <w:rsid w:val="00E6201C"/>
    <w:rsid w:val="00E6203A"/>
    <w:rsid w:val="00E621F6"/>
    <w:rsid w:val="00E6225D"/>
    <w:rsid w:val="00E622CC"/>
    <w:rsid w:val="00E62366"/>
    <w:rsid w:val="00E62468"/>
    <w:rsid w:val="00E6248D"/>
    <w:rsid w:val="00E62575"/>
    <w:rsid w:val="00E62642"/>
    <w:rsid w:val="00E62666"/>
    <w:rsid w:val="00E6282D"/>
    <w:rsid w:val="00E629C5"/>
    <w:rsid w:val="00E62A0D"/>
    <w:rsid w:val="00E62A1A"/>
    <w:rsid w:val="00E62ADE"/>
    <w:rsid w:val="00E62B0E"/>
    <w:rsid w:val="00E62B19"/>
    <w:rsid w:val="00E62B29"/>
    <w:rsid w:val="00E62B33"/>
    <w:rsid w:val="00E62CB6"/>
    <w:rsid w:val="00E62DE4"/>
    <w:rsid w:val="00E62E5C"/>
    <w:rsid w:val="00E62F0B"/>
    <w:rsid w:val="00E62F25"/>
    <w:rsid w:val="00E62F6A"/>
    <w:rsid w:val="00E62FF5"/>
    <w:rsid w:val="00E6304D"/>
    <w:rsid w:val="00E63057"/>
    <w:rsid w:val="00E6309C"/>
    <w:rsid w:val="00E630F5"/>
    <w:rsid w:val="00E6315E"/>
    <w:rsid w:val="00E6315F"/>
    <w:rsid w:val="00E6330D"/>
    <w:rsid w:val="00E63606"/>
    <w:rsid w:val="00E6365C"/>
    <w:rsid w:val="00E6367D"/>
    <w:rsid w:val="00E636AB"/>
    <w:rsid w:val="00E637B4"/>
    <w:rsid w:val="00E637EC"/>
    <w:rsid w:val="00E63826"/>
    <w:rsid w:val="00E638A8"/>
    <w:rsid w:val="00E638C0"/>
    <w:rsid w:val="00E63932"/>
    <w:rsid w:val="00E63A48"/>
    <w:rsid w:val="00E63A72"/>
    <w:rsid w:val="00E63AC0"/>
    <w:rsid w:val="00E63B39"/>
    <w:rsid w:val="00E63B41"/>
    <w:rsid w:val="00E63B69"/>
    <w:rsid w:val="00E63BF2"/>
    <w:rsid w:val="00E63C02"/>
    <w:rsid w:val="00E63C7B"/>
    <w:rsid w:val="00E63F12"/>
    <w:rsid w:val="00E6403C"/>
    <w:rsid w:val="00E640D0"/>
    <w:rsid w:val="00E6410D"/>
    <w:rsid w:val="00E6419B"/>
    <w:rsid w:val="00E641C1"/>
    <w:rsid w:val="00E64235"/>
    <w:rsid w:val="00E64284"/>
    <w:rsid w:val="00E642AB"/>
    <w:rsid w:val="00E642D3"/>
    <w:rsid w:val="00E64405"/>
    <w:rsid w:val="00E6444A"/>
    <w:rsid w:val="00E6444F"/>
    <w:rsid w:val="00E64466"/>
    <w:rsid w:val="00E645F0"/>
    <w:rsid w:val="00E64670"/>
    <w:rsid w:val="00E6472A"/>
    <w:rsid w:val="00E6475E"/>
    <w:rsid w:val="00E647C3"/>
    <w:rsid w:val="00E6486E"/>
    <w:rsid w:val="00E6489E"/>
    <w:rsid w:val="00E64BF6"/>
    <w:rsid w:val="00E64C2B"/>
    <w:rsid w:val="00E64C62"/>
    <w:rsid w:val="00E64DDB"/>
    <w:rsid w:val="00E64DE7"/>
    <w:rsid w:val="00E64F96"/>
    <w:rsid w:val="00E65015"/>
    <w:rsid w:val="00E651F0"/>
    <w:rsid w:val="00E65220"/>
    <w:rsid w:val="00E652A7"/>
    <w:rsid w:val="00E652FE"/>
    <w:rsid w:val="00E6530B"/>
    <w:rsid w:val="00E65370"/>
    <w:rsid w:val="00E65371"/>
    <w:rsid w:val="00E653A0"/>
    <w:rsid w:val="00E653D2"/>
    <w:rsid w:val="00E6542D"/>
    <w:rsid w:val="00E65434"/>
    <w:rsid w:val="00E65584"/>
    <w:rsid w:val="00E6560C"/>
    <w:rsid w:val="00E6571D"/>
    <w:rsid w:val="00E659DC"/>
    <w:rsid w:val="00E65A26"/>
    <w:rsid w:val="00E65A89"/>
    <w:rsid w:val="00E65AD1"/>
    <w:rsid w:val="00E65B8A"/>
    <w:rsid w:val="00E65BE4"/>
    <w:rsid w:val="00E65CCD"/>
    <w:rsid w:val="00E65F9D"/>
    <w:rsid w:val="00E65FFA"/>
    <w:rsid w:val="00E66058"/>
    <w:rsid w:val="00E6645F"/>
    <w:rsid w:val="00E66482"/>
    <w:rsid w:val="00E6649C"/>
    <w:rsid w:val="00E665D8"/>
    <w:rsid w:val="00E666DD"/>
    <w:rsid w:val="00E6671F"/>
    <w:rsid w:val="00E6680A"/>
    <w:rsid w:val="00E66834"/>
    <w:rsid w:val="00E6684C"/>
    <w:rsid w:val="00E668BD"/>
    <w:rsid w:val="00E668D9"/>
    <w:rsid w:val="00E66916"/>
    <w:rsid w:val="00E6691E"/>
    <w:rsid w:val="00E66970"/>
    <w:rsid w:val="00E669A5"/>
    <w:rsid w:val="00E669B7"/>
    <w:rsid w:val="00E669CB"/>
    <w:rsid w:val="00E66AD5"/>
    <w:rsid w:val="00E66AF9"/>
    <w:rsid w:val="00E66BD3"/>
    <w:rsid w:val="00E66BD9"/>
    <w:rsid w:val="00E66C72"/>
    <w:rsid w:val="00E66CB7"/>
    <w:rsid w:val="00E66D4F"/>
    <w:rsid w:val="00E66D7B"/>
    <w:rsid w:val="00E66DE2"/>
    <w:rsid w:val="00E66E5A"/>
    <w:rsid w:val="00E66EA6"/>
    <w:rsid w:val="00E66ED8"/>
    <w:rsid w:val="00E66EE6"/>
    <w:rsid w:val="00E66F28"/>
    <w:rsid w:val="00E66F29"/>
    <w:rsid w:val="00E66F91"/>
    <w:rsid w:val="00E66FC6"/>
    <w:rsid w:val="00E670B8"/>
    <w:rsid w:val="00E6710F"/>
    <w:rsid w:val="00E671B7"/>
    <w:rsid w:val="00E671E5"/>
    <w:rsid w:val="00E67229"/>
    <w:rsid w:val="00E6723A"/>
    <w:rsid w:val="00E6749C"/>
    <w:rsid w:val="00E67527"/>
    <w:rsid w:val="00E67568"/>
    <w:rsid w:val="00E675D9"/>
    <w:rsid w:val="00E6761F"/>
    <w:rsid w:val="00E67625"/>
    <w:rsid w:val="00E6766E"/>
    <w:rsid w:val="00E676D4"/>
    <w:rsid w:val="00E676EC"/>
    <w:rsid w:val="00E67752"/>
    <w:rsid w:val="00E67795"/>
    <w:rsid w:val="00E677E7"/>
    <w:rsid w:val="00E67807"/>
    <w:rsid w:val="00E6785E"/>
    <w:rsid w:val="00E678BB"/>
    <w:rsid w:val="00E679EA"/>
    <w:rsid w:val="00E67A09"/>
    <w:rsid w:val="00E67A31"/>
    <w:rsid w:val="00E67AAF"/>
    <w:rsid w:val="00E67B13"/>
    <w:rsid w:val="00E67C6C"/>
    <w:rsid w:val="00E67CC6"/>
    <w:rsid w:val="00E67CE0"/>
    <w:rsid w:val="00E67D95"/>
    <w:rsid w:val="00E67DF0"/>
    <w:rsid w:val="00E67E09"/>
    <w:rsid w:val="00E67E40"/>
    <w:rsid w:val="00E67E81"/>
    <w:rsid w:val="00E67F43"/>
    <w:rsid w:val="00E6C233"/>
    <w:rsid w:val="00E700B6"/>
    <w:rsid w:val="00E700C3"/>
    <w:rsid w:val="00E700FF"/>
    <w:rsid w:val="00E701E5"/>
    <w:rsid w:val="00E7029F"/>
    <w:rsid w:val="00E7030F"/>
    <w:rsid w:val="00E7031C"/>
    <w:rsid w:val="00E70348"/>
    <w:rsid w:val="00E70395"/>
    <w:rsid w:val="00E7039F"/>
    <w:rsid w:val="00E703DA"/>
    <w:rsid w:val="00E70415"/>
    <w:rsid w:val="00E704C2"/>
    <w:rsid w:val="00E704CB"/>
    <w:rsid w:val="00E705D2"/>
    <w:rsid w:val="00E7060C"/>
    <w:rsid w:val="00E70619"/>
    <w:rsid w:val="00E706D3"/>
    <w:rsid w:val="00E70728"/>
    <w:rsid w:val="00E7072E"/>
    <w:rsid w:val="00E70752"/>
    <w:rsid w:val="00E70760"/>
    <w:rsid w:val="00E70842"/>
    <w:rsid w:val="00E70889"/>
    <w:rsid w:val="00E708F7"/>
    <w:rsid w:val="00E709B3"/>
    <w:rsid w:val="00E709EA"/>
    <w:rsid w:val="00E70A0F"/>
    <w:rsid w:val="00E70A34"/>
    <w:rsid w:val="00E70A38"/>
    <w:rsid w:val="00E70A81"/>
    <w:rsid w:val="00E70ADC"/>
    <w:rsid w:val="00E70B0A"/>
    <w:rsid w:val="00E70B26"/>
    <w:rsid w:val="00E70B4A"/>
    <w:rsid w:val="00E70C19"/>
    <w:rsid w:val="00E70C6C"/>
    <w:rsid w:val="00E70C7F"/>
    <w:rsid w:val="00E70D0A"/>
    <w:rsid w:val="00E70D4C"/>
    <w:rsid w:val="00E70DBD"/>
    <w:rsid w:val="00E70E02"/>
    <w:rsid w:val="00E70F48"/>
    <w:rsid w:val="00E70FF7"/>
    <w:rsid w:val="00E71089"/>
    <w:rsid w:val="00E71098"/>
    <w:rsid w:val="00E71121"/>
    <w:rsid w:val="00E7118F"/>
    <w:rsid w:val="00E71272"/>
    <w:rsid w:val="00E712FE"/>
    <w:rsid w:val="00E71333"/>
    <w:rsid w:val="00E714DC"/>
    <w:rsid w:val="00E7164E"/>
    <w:rsid w:val="00E71666"/>
    <w:rsid w:val="00E716C0"/>
    <w:rsid w:val="00E716E7"/>
    <w:rsid w:val="00E71720"/>
    <w:rsid w:val="00E71759"/>
    <w:rsid w:val="00E717B1"/>
    <w:rsid w:val="00E7187B"/>
    <w:rsid w:val="00E718F7"/>
    <w:rsid w:val="00E71900"/>
    <w:rsid w:val="00E7192D"/>
    <w:rsid w:val="00E71953"/>
    <w:rsid w:val="00E71AE6"/>
    <w:rsid w:val="00E71B0E"/>
    <w:rsid w:val="00E71B4D"/>
    <w:rsid w:val="00E71BE0"/>
    <w:rsid w:val="00E71C11"/>
    <w:rsid w:val="00E71C84"/>
    <w:rsid w:val="00E71D6F"/>
    <w:rsid w:val="00E71DB4"/>
    <w:rsid w:val="00E71E9A"/>
    <w:rsid w:val="00E720F4"/>
    <w:rsid w:val="00E7213A"/>
    <w:rsid w:val="00E72157"/>
    <w:rsid w:val="00E7219E"/>
    <w:rsid w:val="00E722BF"/>
    <w:rsid w:val="00E72323"/>
    <w:rsid w:val="00E72380"/>
    <w:rsid w:val="00E72383"/>
    <w:rsid w:val="00E72484"/>
    <w:rsid w:val="00E724F7"/>
    <w:rsid w:val="00E72512"/>
    <w:rsid w:val="00E725E9"/>
    <w:rsid w:val="00E726B8"/>
    <w:rsid w:val="00E726EF"/>
    <w:rsid w:val="00E7281C"/>
    <w:rsid w:val="00E72852"/>
    <w:rsid w:val="00E728BB"/>
    <w:rsid w:val="00E728C5"/>
    <w:rsid w:val="00E728EA"/>
    <w:rsid w:val="00E7298B"/>
    <w:rsid w:val="00E729FA"/>
    <w:rsid w:val="00E72A4E"/>
    <w:rsid w:val="00E72A65"/>
    <w:rsid w:val="00E72A67"/>
    <w:rsid w:val="00E72A8D"/>
    <w:rsid w:val="00E72B2F"/>
    <w:rsid w:val="00E72B8C"/>
    <w:rsid w:val="00E72C65"/>
    <w:rsid w:val="00E72C6D"/>
    <w:rsid w:val="00E72C9B"/>
    <w:rsid w:val="00E72CFB"/>
    <w:rsid w:val="00E72D3D"/>
    <w:rsid w:val="00E72E34"/>
    <w:rsid w:val="00E72E77"/>
    <w:rsid w:val="00E72E9B"/>
    <w:rsid w:val="00E72EE0"/>
    <w:rsid w:val="00E72EF4"/>
    <w:rsid w:val="00E72F81"/>
    <w:rsid w:val="00E7304A"/>
    <w:rsid w:val="00E7307D"/>
    <w:rsid w:val="00E73194"/>
    <w:rsid w:val="00E731F0"/>
    <w:rsid w:val="00E7327E"/>
    <w:rsid w:val="00E732E3"/>
    <w:rsid w:val="00E7334F"/>
    <w:rsid w:val="00E733BC"/>
    <w:rsid w:val="00E733D3"/>
    <w:rsid w:val="00E73424"/>
    <w:rsid w:val="00E7348E"/>
    <w:rsid w:val="00E734C9"/>
    <w:rsid w:val="00E734DE"/>
    <w:rsid w:val="00E7351E"/>
    <w:rsid w:val="00E735A4"/>
    <w:rsid w:val="00E735AF"/>
    <w:rsid w:val="00E73680"/>
    <w:rsid w:val="00E736DF"/>
    <w:rsid w:val="00E7371E"/>
    <w:rsid w:val="00E73743"/>
    <w:rsid w:val="00E73763"/>
    <w:rsid w:val="00E7385F"/>
    <w:rsid w:val="00E73AF4"/>
    <w:rsid w:val="00E73B75"/>
    <w:rsid w:val="00E73B7B"/>
    <w:rsid w:val="00E73BC1"/>
    <w:rsid w:val="00E73C01"/>
    <w:rsid w:val="00E73D3C"/>
    <w:rsid w:val="00E73DC0"/>
    <w:rsid w:val="00E73E03"/>
    <w:rsid w:val="00E73E35"/>
    <w:rsid w:val="00E73E4C"/>
    <w:rsid w:val="00E73F51"/>
    <w:rsid w:val="00E73F69"/>
    <w:rsid w:val="00E7403B"/>
    <w:rsid w:val="00E7403D"/>
    <w:rsid w:val="00E740C7"/>
    <w:rsid w:val="00E7411C"/>
    <w:rsid w:val="00E74189"/>
    <w:rsid w:val="00E741BC"/>
    <w:rsid w:val="00E74338"/>
    <w:rsid w:val="00E7444F"/>
    <w:rsid w:val="00E744C5"/>
    <w:rsid w:val="00E746A4"/>
    <w:rsid w:val="00E74722"/>
    <w:rsid w:val="00E74762"/>
    <w:rsid w:val="00E74787"/>
    <w:rsid w:val="00E74899"/>
    <w:rsid w:val="00E748BF"/>
    <w:rsid w:val="00E748F2"/>
    <w:rsid w:val="00E74974"/>
    <w:rsid w:val="00E74A4E"/>
    <w:rsid w:val="00E74BD3"/>
    <w:rsid w:val="00E74BD4"/>
    <w:rsid w:val="00E74C9A"/>
    <w:rsid w:val="00E74CC0"/>
    <w:rsid w:val="00E74CE1"/>
    <w:rsid w:val="00E74E32"/>
    <w:rsid w:val="00E74E4E"/>
    <w:rsid w:val="00E74E8D"/>
    <w:rsid w:val="00E75057"/>
    <w:rsid w:val="00E752AC"/>
    <w:rsid w:val="00E75416"/>
    <w:rsid w:val="00E7547F"/>
    <w:rsid w:val="00E754BE"/>
    <w:rsid w:val="00E75594"/>
    <w:rsid w:val="00E75630"/>
    <w:rsid w:val="00E756A9"/>
    <w:rsid w:val="00E756B5"/>
    <w:rsid w:val="00E756D4"/>
    <w:rsid w:val="00E756EC"/>
    <w:rsid w:val="00E75724"/>
    <w:rsid w:val="00E75919"/>
    <w:rsid w:val="00E7592C"/>
    <w:rsid w:val="00E75930"/>
    <w:rsid w:val="00E75959"/>
    <w:rsid w:val="00E75A8E"/>
    <w:rsid w:val="00E75AA4"/>
    <w:rsid w:val="00E75AB8"/>
    <w:rsid w:val="00E75B6B"/>
    <w:rsid w:val="00E75BAC"/>
    <w:rsid w:val="00E75C09"/>
    <w:rsid w:val="00E75C8E"/>
    <w:rsid w:val="00E75CBA"/>
    <w:rsid w:val="00E75D06"/>
    <w:rsid w:val="00E75D30"/>
    <w:rsid w:val="00E75D6E"/>
    <w:rsid w:val="00E75DF8"/>
    <w:rsid w:val="00E75F9B"/>
    <w:rsid w:val="00E75FDC"/>
    <w:rsid w:val="00E76064"/>
    <w:rsid w:val="00E760C3"/>
    <w:rsid w:val="00E760CD"/>
    <w:rsid w:val="00E76108"/>
    <w:rsid w:val="00E761C9"/>
    <w:rsid w:val="00E7621B"/>
    <w:rsid w:val="00E7625A"/>
    <w:rsid w:val="00E76292"/>
    <w:rsid w:val="00E763BD"/>
    <w:rsid w:val="00E7647F"/>
    <w:rsid w:val="00E764D1"/>
    <w:rsid w:val="00E76502"/>
    <w:rsid w:val="00E765DC"/>
    <w:rsid w:val="00E76764"/>
    <w:rsid w:val="00E76776"/>
    <w:rsid w:val="00E767E1"/>
    <w:rsid w:val="00E76843"/>
    <w:rsid w:val="00E76844"/>
    <w:rsid w:val="00E7685F"/>
    <w:rsid w:val="00E768DA"/>
    <w:rsid w:val="00E76944"/>
    <w:rsid w:val="00E76946"/>
    <w:rsid w:val="00E76958"/>
    <w:rsid w:val="00E769B8"/>
    <w:rsid w:val="00E76A39"/>
    <w:rsid w:val="00E76AAC"/>
    <w:rsid w:val="00E76AFB"/>
    <w:rsid w:val="00E76B26"/>
    <w:rsid w:val="00E76B3E"/>
    <w:rsid w:val="00E76CC8"/>
    <w:rsid w:val="00E76E13"/>
    <w:rsid w:val="00E76E22"/>
    <w:rsid w:val="00E76E6C"/>
    <w:rsid w:val="00E76F1C"/>
    <w:rsid w:val="00E76F33"/>
    <w:rsid w:val="00E76FBA"/>
    <w:rsid w:val="00E77063"/>
    <w:rsid w:val="00E770A4"/>
    <w:rsid w:val="00E7714E"/>
    <w:rsid w:val="00E771C7"/>
    <w:rsid w:val="00E7722C"/>
    <w:rsid w:val="00E77258"/>
    <w:rsid w:val="00E772EE"/>
    <w:rsid w:val="00E7733A"/>
    <w:rsid w:val="00E7736B"/>
    <w:rsid w:val="00E7737F"/>
    <w:rsid w:val="00E773D9"/>
    <w:rsid w:val="00E77435"/>
    <w:rsid w:val="00E77447"/>
    <w:rsid w:val="00E77497"/>
    <w:rsid w:val="00E774E6"/>
    <w:rsid w:val="00E7756C"/>
    <w:rsid w:val="00E77611"/>
    <w:rsid w:val="00E77677"/>
    <w:rsid w:val="00E776DC"/>
    <w:rsid w:val="00E77710"/>
    <w:rsid w:val="00E77753"/>
    <w:rsid w:val="00E777E0"/>
    <w:rsid w:val="00E77836"/>
    <w:rsid w:val="00E77906"/>
    <w:rsid w:val="00E7794A"/>
    <w:rsid w:val="00E779FD"/>
    <w:rsid w:val="00E77B8A"/>
    <w:rsid w:val="00E77BAD"/>
    <w:rsid w:val="00E77C0C"/>
    <w:rsid w:val="00E77CCD"/>
    <w:rsid w:val="00E77D63"/>
    <w:rsid w:val="00E77DC6"/>
    <w:rsid w:val="00E77E80"/>
    <w:rsid w:val="00E77EF2"/>
    <w:rsid w:val="00E77FD8"/>
    <w:rsid w:val="00E80009"/>
    <w:rsid w:val="00E8000C"/>
    <w:rsid w:val="00E80070"/>
    <w:rsid w:val="00E800F4"/>
    <w:rsid w:val="00E80139"/>
    <w:rsid w:val="00E801C9"/>
    <w:rsid w:val="00E8029E"/>
    <w:rsid w:val="00E8031D"/>
    <w:rsid w:val="00E803A6"/>
    <w:rsid w:val="00E803E3"/>
    <w:rsid w:val="00E80464"/>
    <w:rsid w:val="00E804FC"/>
    <w:rsid w:val="00E80603"/>
    <w:rsid w:val="00E8060E"/>
    <w:rsid w:val="00E80617"/>
    <w:rsid w:val="00E80690"/>
    <w:rsid w:val="00E806F6"/>
    <w:rsid w:val="00E8078B"/>
    <w:rsid w:val="00E807A4"/>
    <w:rsid w:val="00E8081D"/>
    <w:rsid w:val="00E809DA"/>
    <w:rsid w:val="00E809E8"/>
    <w:rsid w:val="00E80A97"/>
    <w:rsid w:val="00E80AF1"/>
    <w:rsid w:val="00E80C13"/>
    <w:rsid w:val="00E80C4F"/>
    <w:rsid w:val="00E80CB9"/>
    <w:rsid w:val="00E80D14"/>
    <w:rsid w:val="00E80D9D"/>
    <w:rsid w:val="00E80E92"/>
    <w:rsid w:val="00E80E9F"/>
    <w:rsid w:val="00E80FD1"/>
    <w:rsid w:val="00E81070"/>
    <w:rsid w:val="00E81122"/>
    <w:rsid w:val="00E81180"/>
    <w:rsid w:val="00E811B6"/>
    <w:rsid w:val="00E81291"/>
    <w:rsid w:val="00E812A1"/>
    <w:rsid w:val="00E812B3"/>
    <w:rsid w:val="00E81400"/>
    <w:rsid w:val="00E81507"/>
    <w:rsid w:val="00E8151A"/>
    <w:rsid w:val="00E81560"/>
    <w:rsid w:val="00E81623"/>
    <w:rsid w:val="00E81695"/>
    <w:rsid w:val="00E816D4"/>
    <w:rsid w:val="00E81717"/>
    <w:rsid w:val="00E817DC"/>
    <w:rsid w:val="00E81809"/>
    <w:rsid w:val="00E8186E"/>
    <w:rsid w:val="00E81899"/>
    <w:rsid w:val="00E818E9"/>
    <w:rsid w:val="00E81925"/>
    <w:rsid w:val="00E81A2C"/>
    <w:rsid w:val="00E81A3C"/>
    <w:rsid w:val="00E81A45"/>
    <w:rsid w:val="00E81AA0"/>
    <w:rsid w:val="00E81B53"/>
    <w:rsid w:val="00E81B7E"/>
    <w:rsid w:val="00E81BC4"/>
    <w:rsid w:val="00E81D0E"/>
    <w:rsid w:val="00E81D3F"/>
    <w:rsid w:val="00E81DC2"/>
    <w:rsid w:val="00E81DFF"/>
    <w:rsid w:val="00E81E3F"/>
    <w:rsid w:val="00E81ED2"/>
    <w:rsid w:val="00E81F9C"/>
    <w:rsid w:val="00E820E4"/>
    <w:rsid w:val="00E82136"/>
    <w:rsid w:val="00E821DA"/>
    <w:rsid w:val="00E821F0"/>
    <w:rsid w:val="00E82203"/>
    <w:rsid w:val="00E823ED"/>
    <w:rsid w:val="00E823F1"/>
    <w:rsid w:val="00E82453"/>
    <w:rsid w:val="00E8245F"/>
    <w:rsid w:val="00E8246A"/>
    <w:rsid w:val="00E8246B"/>
    <w:rsid w:val="00E8256E"/>
    <w:rsid w:val="00E82654"/>
    <w:rsid w:val="00E827C3"/>
    <w:rsid w:val="00E82927"/>
    <w:rsid w:val="00E8292D"/>
    <w:rsid w:val="00E829C0"/>
    <w:rsid w:val="00E829F9"/>
    <w:rsid w:val="00E82A88"/>
    <w:rsid w:val="00E82BCD"/>
    <w:rsid w:val="00E82C03"/>
    <w:rsid w:val="00E82C06"/>
    <w:rsid w:val="00E82C4F"/>
    <w:rsid w:val="00E82C9F"/>
    <w:rsid w:val="00E82CB7"/>
    <w:rsid w:val="00E82EAD"/>
    <w:rsid w:val="00E82FB1"/>
    <w:rsid w:val="00E83043"/>
    <w:rsid w:val="00E83092"/>
    <w:rsid w:val="00E830DD"/>
    <w:rsid w:val="00E8314D"/>
    <w:rsid w:val="00E83174"/>
    <w:rsid w:val="00E831BB"/>
    <w:rsid w:val="00E831EE"/>
    <w:rsid w:val="00E8320F"/>
    <w:rsid w:val="00E832EB"/>
    <w:rsid w:val="00E83331"/>
    <w:rsid w:val="00E8336E"/>
    <w:rsid w:val="00E83372"/>
    <w:rsid w:val="00E8337E"/>
    <w:rsid w:val="00E83384"/>
    <w:rsid w:val="00E8361E"/>
    <w:rsid w:val="00E83681"/>
    <w:rsid w:val="00E83758"/>
    <w:rsid w:val="00E83771"/>
    <w:rsid w:val="00E8378E"/>
    <w:rsid w:val="00E837A4"/>
    <w:rsid w:val="00E837FB"/>
    <w:rsid w:val="00E83824"/>
    <w:rsid w:val="00E8387E"/>
    <w:rsid w:val="00E838FA"/>
    <w:rsid w:val="00E83953"/>
    <w:rsid w:val="00E839AA"/>
    <w:rsid w:val="00E839D8"/>
    <w:rsid w:val="00E83A16"/>
    <w:rsid w:val="00E83B0C"/>
    <w:rsid w:val="00E83B24"/>
    <w:rsid w:val="00E83C2C"/>
    <w:rsid w:val="00E83D2B"/>
    <w:rsid w:val="00E83D2E"/>
    <w:rsid w:val="00E83D4D"/>
    <w:rsid w:val="00E83D7B"/>
    <w:rsid w:val="00E83DF1"/>
    <w:rsid w:val="00E83E27"/>
    <w:rsid w:val="00E83E63"/>
    <w:rsid w:val="00E83E6D"/>
    <w:rsid w:val="00E83E98"/>
    <w:rsid w:val="00E83F07"/>
    <w:rsid w:val="00E83F53"/>
    <w:rsid w:val="00E83F77"/>
    <w:rsid w:val="00E83FB6"/>
    <w:rsid w:val="00E83FFA"/>
    <w:rsid w:val="00E8403D"/>
    <w:rsid w:val="00E8409E"/>
    <w:rsid w:val="00E840BA"/>
    <w:rsid w:val="00E8413B"/>
    <w:rsid w:val="00E8416D"/>
    <w:rsid w:val="00E84171"/>
    <w:rsid w:val="00E841F2"/>
    <w:rsid w:val="00E84235"/>
    <w:rsid w:val="00E842AD"/>
    <w:rsid w:val="00E842CE"/>
    <w:rsid w:val="00E843A9"/>
    <w:rsid w:val="00E843E9"/>
    <w:rsid w:val="00E84487"/>
    <w:rsid w:val="00E84488"/>
    <w:rsid w:val="00E8458E"/>
    <w:rsid w:val="00E84590"/>
    <w:rsid w:val="00E845BE"/>
    <w:rsid w:val="00E845F1"/>
    <w:rsid w:val="00E84602"/>
    <w:rsid w:val="00E84655"/>
    <w:rsid w:val="00E84739"/>
    <w:rsid w:val="00E847A0"/>
    <w:rsid w:val="00E847B2"/>
    <w:rsid w:val="00E8488C"/>
    <w:rsid w:val="00E84892"/>
    <w:rsid w:val="00E848BF"/>
    <w:rsid w:val="00E848EC"/>
    <w:rsid w:val="00E84931"/>
    <w:rsid w:val="00E84933"/>
    <w:rsid w:val="00E8496D"/>
    <w:rsid w:val="00E84A07"/>
    <w:rsid w:val="00E84A0F"/>
    <w:rsid w:val="00E84A64"/>
    <w:rsid w:val="00E84B06"/>
    <w:rsid w:val="00E84C73"/>
    <w:rsid w:val="00E84CB2"/>
    <w:rsid w:val="00E84CBE"/>
    <w:rsid w:val="00E84DD4"/>
    <w:rsid w:val="00E84E2A"/>
    <w:rsid w:val="00E84ECD"/>
    <w:rsid w:val="00E84EF2"/>
    <w:rsid w:val="00E84F51"/>
    <w:rsid w:val="00E85061"/>
    <w:rsid w:val="00E85090"/>
    <w:rsid w:val="00E850C8"/>
    <w:rsid w:val="00E850ED"/>
    <w:rsid w:val="00E8518C"/>
    <w:rsid w:val="00E85214"/>
    <w:rsid w:val="00E852A5"/>
    <w:rsid w:val="00E852EC"/>
    <w:rsid w:val="00E85319"/>
    <w:rsid w:val="00E85341"/>
    <w:rsid w:val="00E8554E"/>
    <w:rsid w:val="00E85651"/>
    <w:rsid w:val="00E85671"/>
    <w:rsid w:val="00E8569D"/>
    <w:rsid w:val="00E858AF"/>
    <w:rsid w:val="00E858D2"/>
    <w:rsid w:val="00E85908"/>
    <w:rsid w:val="00E85918"/>
    <w:rsid w:val="00E859D2"/>
    <w:rsid w:val="00E85A36"/>
    <w:rsid w:val="00E85A8D"/>
    <w:rsid w:val="00E85AC8"/>
    <w:rsid w:val="00E85B44"/>
    <w:rsid w:val="00E85B49"/>
    <w:rsid w:val="00E85B4D"/>
    <w:rsid w:val="00E85B5D"/>
    <w:rsid w:val="00E85BFC"/>
    <w:rsid w:val="00E85C23"/>
    <w:rsid w:val="00E85DAE"/>
    <w:rsid w:val="00E85E92"/>
    <w:rsid w:val="00E85EFD"/>
    <w:rsid w:val="00E85F10"/>
    <w:rsid w:val="00E85F24"/>
    <w:rsid w:val="00E85F99"/>
    <w:rsid w:val="00E85FEF"/>
    <w:rsid w:val="00E86084"/>
    <w:rsid w:val="00E860F2"/>
    <w:rsid w:val="00E860F9"/>
    <w:rsid w:val="00E86129"/>
    <w:rsid w:val="00E86194"/>
    <w:rsid w:val="00E861E8"/>
    <w:rsid w:val="00E86245"/>
    <w:rsid w:val="00E8628C"/>
    <w:rsid w:val="00E864A1"/>
    <w:rsid w:val="00E8650A"/>
    <w:rsid w:val="00E86604"/>
    <w:rsid w:val="00E866E8"/>
    <w:rsid w:val="00E8670A"/>
    <w:rsid w:val="00E8677F"/>
    <w:rsid w:val="00E8679B"/>
    <w:rsid w:val="00E867BA"/>
    <w:rsid w:val="00E867CE"/>
    <w:rsid w:val="00E867F5"/>
    <w:rsid w:val="00E86965"/>
    <w:rsid w:val="00E869B6"/>
    <w:rsid w:val="00E869CE"/>
    <w:rsid w:val="00E86A28"/>
    <w:rsid w:val="00E86A4D"/>
    <w:rsid w:val="00E86A54"/>
    <w:rsid w:val="00E86B8F"/>
    <w:rsid w:val="00E86E9D"/>
    <w:rsid w:val="00E86EED"/>
    <w:rsid w:val="00E86FE7"/>
    <w:rsid w:val="00E870E4"/>
    <w:rsid w:val="00E87151"/>
    <w:rsid w:val="00E871A8"/>
    <w:rsid w:val="00E871CC"/>
    <w:rsid w:val="00E87206"/>
    <w:rsid w:val="00E8722B"/>
    <w:rsid w:val="00E872BB"/>
    <w:rsid w:val="00E8735D"/>
    <w:rsid w:val="00E873A3"/>
    <w:rsid w:val="00E874B5"/>
    <w:rsid w:val="00E874C9"/>
    <w:rsid w:val="00E8753C"/>
    <w:rsid w:val="00E87587"/>
    <w:rsid w:val="00E8759E"/>
    <w:rsid w:val="00E875A3"/>
    <w:rsid w:val="00E875A9"/>
    <w:rsid w:val="00E8760F"/>
    <w:rsid w:val="00E87664"/>
    <w:rsid w:val="00E8767D"/>
    <w:rsid w:val="00E878B3"/>
    <w:rsid w:val="00E87932"/>
    <w:rsid w:val="00E87C26"/>
    <w:rsid w:val="00E87C70"/>
    <w:rsid w:val="00E87CF0"/>
    <w:rsid w:val="00E87DDC"/>
    <w:rsid w:val="00E87DF6"/>
    <w:rsid w:val="00E87E87"/>
    <w:rsid w:val="00E87E8B"/>
    <w:rsid w:val="00E87FEB"/>
    <w:rsid w:val="00E90023"/>
    <w:rsid w:val="00E900A0"/>
    <w:rsid w:val="00E90158"/>
    <w:rsid w:val="00E9026E"/>
    <w:rsid w:val="00E902D5"/>
    <w:rsid w:val="00E9037D"/>
    <w:rsid w:val="00E9039F"/>
    <w:rsid w:val="00E9045F"/>
    <w:rsid w:val="00E90464"/>
    <w:rsid w:val="00E904C5"/>
    <w:rsid w:val="00E905E0"/>
    <w:rsid w:val="00E9069A"/>
    <w:rsid w:val="00E907FE"/>
    <w:rsid w:val="00E908ED"/>
    <w:rsid w:val="00E908F6"/>
    <w:rsid w:val="00E9090D"/>
    <w:rsid w:val="00E90939"/>
    <w:rsid w:val="00E90949"/>
    <w:rsid w:val="00E90A21"/>
    <w:rsid w:val="00E90A9E"/>
    <w:rsid w:val="00E90B43"/>
    <w:rsid w:val="00E90BFE"/>
    <w:rsid w:val="00E90C5C"/>
    <w:rsid w:val="00E90CD1"/>
    <w:rsid w:val="00E90D0D"/>
    <w:rsid w:val="00E90D65"/>
    <w:rsid w:val="00E90DBF"/>
    <w:rsid w:val="00E90EC4"/>
    <w:rsid w:val="00E90F92"/>
    <w:rsid w:val="00E91042"/>
    <w:rsid w:val="00E9106A"/>
    <w:rsid w:val="00E9108D"/>
    <w:rsid w:val="00E910BF"/>
    <w:rsid w:val="00E910F1"/>
    <w:rsid w:val="00E910FC"/>
    <w:rsid w:val="00E91125"/>
    <w:rsid w:val="00E9112C"/>
    <w:rsid w:val="00E9115F"/>
    <w:rsid w:val="00E912BC"/>
    <w:rsid w:val="00E9130F"/>
    <w:rsid w:val="00E9132D"/>
    <w:rsid w:val="00E9136C"/>
    <w:rsid w:val="00E91573"/>
    <w:rsid w:val="00E915B8"/>
    <w:rsid w:val="00E916D4"/>
    <w:rsid w:val="00E9171A"/>
    <w:rsid w:val="00E91761"/>
    <w:rsid w:val="00E91776"/>
    <w:rsid w:val="00E91786"/>
    <w:rsid w:val="00E917F0"/>
    <w:rsid w:val="00E91810"/>
    <w:rsid w:val="00E91826"/>
    <w:rsid w:val="00E91859"/>
    <w:rsid w:val="00E918B1"/>
    <w:rsid w:val="00E91930"/>
    <w:rsid w:val="00E91971"/>
    <w:rsid w:val="00E9199C"/>
    <w:rsid w:val="00E919A2"/>
    <w:rsid w:val="00E91ABC"/>
    <w:rsid w:val="00E91B88"/>
    <w:rsid w:val="00E91BB6"/>
    <w:rsid w:val="00E91D1C"/>
    <w:rsid w:val="00E91DBB"/>
    <w:rsid w:val="00E91DCD"/>
    <w:rsid w:val="00E91DF5"/>
    <w:rsid w:val="00E91E58"/>
    <w:rsid w:val="00E91EA2"/>
    <w:rsid w:val="00E91EC2"/>
    <w:rsid w:val="00E91EED"/>
    <w:rsid w:val="00E91EF3"/>
    <w:rsid w:val="00E91F37"/>
    <w:rsid w:val="00E92023"/>
    <w:rsid w:val="00E920AB"/>
    <w:rsid w:val="00E920CC"/>
    <w:rsid w:val="00E92125"/>
    <w:rsid w:val="00E92133"/>
    <w:rsid w:val="00E921C4"/>
    <w:rsid w:val="00E92202"/>
    <w:rsid w:val="00E92297"/>
    <w:rsid w:val="00E922F8"/>
    <w:rsid w:val="00E92357"/>
    <w:rsid w:val="00E9238F"/>
    <w:rsid w:val="00E923AE"/>
    <w:rsid w:val="00E9242D"/>
    <w:rsid w:val="00E924BC"/>
    <w:rsid w:val="00E92500"/>
    <w:rsid w:val="00E9258D"/>
    <w:rsid w:val="00E925B7"/>
    <w:rsid w:val="00E9260F"/>
    <w:rsid w:val="00E9269F"/>
    <w:rsid w:val="00E926B8"/>
    <w:rsid w:val="00E927EB"/>
    <w:rsid w:val="00E92998"/>
    <w:rsid w:val="00E929EF"/>
    <w:rsid w:val="00E92A40"/>
    <w:rsid w:val="00E92A79"/>
    <w:rsid w:val="00E92AD6"/>
    <w:rsid w:val="00E92B55"/>
    <w:rsid w:val="00E92C5A"/>
    <w:rsid w:val="00E92CE9"/>
    <w:rsid w:val="00E92CED"/>
    <w:rsid w:val="00E92DFC"/>
    <w:rsid w:val="00E92E0D"/>
    <w:rsid w:val="00E92F84"/>
    <w:rsid w:val="00E93143"/>
    <w:rsid w:val="00E93179"/>
    <w:rsid w:val="00E931B2"/>
    <w:rsid w:val="00E931B6"/>
    <w:rsid w:val="00E931CC"/>
    <w:rsid w:val="00E931E3"/>
    <w:rsid w:val="00E932C2"/>
    <w:rsid w:val="00E93461"/>
    <w:rsid w:val="00E934E7"/>
    <w:rsid w:val="00E934E9"/>
    <w:rsid w:val="00E935AD"/>
    <w:rsid w:val="00E935D0"/>
    <w:rsid w:val="00E935F0"/>
    <w:rsid w:val="00E935F9"/>
    <w:rsid w:val="00E93677"/>
    <w:rsid w:val="00E9367E"/>
    <w:rsid w:val="00E9367F"/>
    <w:rsid w:val="00E93689"/>
    <w:rsid w:val="00E936C4"/>
    <w:rsid w:val="00E93728"/>
    <w:rsid w:val="00E93796"/>
    <w:rsid w:val="00E937F7"/>
    <w:rsid w:val="00E9396D"/>
    <w:rsid w:val="00E93983"/>
    <w:rsid w:val="00E93A1D"/>
    <w:rsid w:val="00E93ACB"/>
    <w:rsid w:val="00E93B31"/>
    <w:rsid w:val="00E93C06"/>
    <w:rsid w:val="00E93C11"/>
    <w:rsid w:val="00E93C25"/>
    <w:rsid w:val="00E93D8E"/>
    <w:rsid w:val="00E93DB9"/>
    <w:rsid w:val="00E93DC3"/>
    <w:rsid w:val="00E93E2C"/>
    <w:rsid w:val="00E93E8E"/>
    <w:rsid w:val="00E93EAE"/>
    <w:rsid w:val="00E93ECB"/>
    <w:rsid w:val="00E93F0E"/>
    <w:rsid w:val="00E93F39"/>
    <w:rsid w:val="00E93F5E"/>
    <w:rsid w:val="00E93F81"/>
    <w:rsid w:val="00E9402F"/>
    <w:rsid w:val="00E94112"/>
    <w:rsid w:val="00E94148"/>
    <w:rsid w:val="00E94185"/>
    <w:rsid w:val="00E9419E"/>
    <w:rsid w:val="00E941A9"/>
    <w:rsid w:val="00E942BC"/>
    <w:rsid w:val="00E94301"/>
    <w:rsid w:val="00E9440A"/>
    <w:rsid w:val="00E944C9"/>
    <w:rsid w:val="00E944EA"/>
    <w:rsid w:val="00E945D4"/>
    <w:rsid w:val="00E945E8"/>
    <w:rsid w:val="00E945F4"/>
    <w:rsid w:val="00E9472A"/>
    <w:rsid w:val="00E9476C"/>
    <w:rsid w:val="00E9476D"/>
    <w:rsid w:val="00E947A9"/>
    <w:rsid w:val="00E9480C"/>
    <w:rsid w:val="00E9487F"/>
    <w:rsid w:val="00E948AB"/>
    <w:rsid w:val="00E94930"/>
    <w:rsid w:val="00E94968"/>
    <w:rsid w:val="00E94977"/>
    <w:rsid w:val="00E949FB"/>
    <w:rsid w:val="00E94A5F"/>
    <w:rsid w:val="00E94AA7"/>
    <w:rsid w:val="00E94AE5"/>
    <w:rsid w:val="00E94B4F"/>
    <w:rsid w:val="00E94B96"/>
    <w:rsid w:val="00E94BB6"/>
    <w:rsid w:val="00E94C4F"/>
    <w:rsid w:val="00E94C6A"/>
    <w:rsid w:val="00E94CBD"/>
    <w:rsid w:val="00E94D04"/>
    <w:rsid w:val="00E94DAE"/>
    <w:rsid w:val="00E94F41"/>
    <w:rsid w:val="00E94F4C"/>
    <w:rsid w:val="00E94FA3"/>
    <w:rsid w:val="00E94FA5"/>
    <w:rsid w:val="00E94FAC"/>
    <w:rsid w:val="00E94FF8"/>
    <w:rsid w:val="00E95032"/>
    <w:rsid w:val="00E95034"/>
    <w:rsid w:val="00E9507A"/>
    <w:rsid w:val="00E95233"/>
    <w:rsid w:val="00E95289"/>
    <w:rsid w:val="00E952A1"/>
    <w:rsid w:val="00E952DB"/>
    <w:rsid w:val="00E95331"/>
    <w:rsid w:val="00E9539B"/>
    <w:rsid w:val="00E953C7"/>
    <w:rsid w:val="00E9543F"/>
    <w:rsid w:val="00E9546E"/>
    <w:rsid w:val="00E955EF"/>
    <w:rsid w:val="00E9563F"/>
    <w:rsid w:val="00E9572C"/>
    <w:rsid w:val="00E95797"/>
    <w:rsid w:val="00E957E4"/>
    <w:rsid w:val="00E95878"/>
    <w:rsid w:val="00E958B8"/>
    <w:rsid w:val="00E958D6"/>
    <w:rsid w:val="00E9590A"/>
    <w:rsid w:val="00E9593B"/>
    <w:rsid w:val="00E9593D"/>
    <w:rsid w:val="00E9598D"/>
    <w:rsid w:val="00E95A02"/>
    <w:rsid w:val="00E95AFE"/>
    <w:rsid w:val="00E95B4E"/>
    <w:rsid w:val="00E95BC9"/>
    <w:rsid w:val="00E95BE9"/>
    <w:rsid w:val="00E95CDE"/>
    <w:rsid w:val="00E95D01"/>
    <w:rsid w:val="00E95DCE"/>
    <w:rsid w:val="00E95DF0"/>
    <w:rsid w:val="00E9601E"/>
    <w:rsid w:val="00E960CF"/>
    <w:rsid w:val="00E9616B"/>
    <w:rsid w:val="00E9624E"/>
    <w:rsid w:val="00E9625D"/>
    <w:rsid w:val="00E962F1"/>
    <w:rsid w:val="00E9630B"/>
    <w:rsid w:val="00E9656E"/>
    <w:rsid w:val="00E965D8"/>
    <w:rsid w:val="00E96718"/>
    <w:rsid w:val="00E968B3"/>
    <w:rsid w:val="00E96910"/>
    <w:rsid w:val="00E96973"/>
    <w:rsid w:val="00E96978"/>
    <w:rsid w:val="00E969B7"/>
    <w:rsid w:val="00E969DA"/>
    <w:rsid w:val="00E96BB8"/>
    <w:rsid w:val="00E96C18"/>
    <w:rsid w:val="00E96CB3"/>
    <w:rsid w:val="00E96CEE"/>
    <w:rsid w:val="00E96D38"/>
    <w:rsid w:val="00E96D7A"/>
    <w:rsid w:val="00E96D85"/>
    <w:rsid w:val="00E96DD6"/>
    <w:rsid w:val="00E96DE0"/>
    <w:rsid w:val="00E96E3F"/>
    <w:rsid w:val="00E96EF6"/>
    <w:rsid w:val="00E96F5C"/>
    <w:rsid w:val="00E96FA3"/>
    <w:rsid w:val="00E97057"/>
    <w:rsid w:val="00E9705A"/>
    <w:rsid w:val="00E970C5"/>
    <w:rsid w:val="00E97126"/>
    <w:rsid w:val="00E97246"/>
    <w:rsid w:val="00E972BB"/>
    <w:rsid w:val="00E972F3"/>
    <w:rsid w:val="00E9733E"/>
    <w:rsid w:val="00E97344"/>
    <w:rsid w:val="00E973D9"/>
    <w:rsid w:val="00E9742D"/>
    <w:rsid w:val="00E97474"/>
    <w:rsid w:val="00E974CA"/>
    <w:rsid w:val="00E974F5"/>
    <w:rsid w:val="00E97505"/>
    <w:rsid w:val="00E9754F"/>
    <w:rsid w:val="00E975FB"/>
    <w:rsid w:val="00E97638"/>
    <w:rsid w:val="00E976B1"/>
    <w:rsid w:val="00E97700"/>
    <w:rsid w:val="00E9777B"/>
    <w:rsid w:val="00E97782"/>
    <w:rsid w:val="00E97797"/>
    <w:rsid w:val="00E977F0"/>
    <w:rsid w:val="00E97820"/>
    <w:rsid w:val="00E97838"/>
    <w:rsid w:val="00E979B2"/>
    <w:rsid w:val="00E97A27"/>
    <w:rsid w:val="00E97AA8"/>
    <w:rsid w:val="00E97B90"/>
    <w:rsid w:val="00E97B9C"/>
    <w:rsid w:val="00E97C0E"/>
    <w:rsid w:val="00E97C6D"/>
    <w:rsid w:val="00E97C9D"/>
    <w:rsid w:val="00E97DF4"/>
    <w:rsid w:val="00E97E8A"/>
    <w:rsid w:val="00E97EBB"/>
    <w:rsid w:val="00E97ED5"/>
    <w:rsid w:val="00E97F9D"/>
    <w:rsid w:val="00E97FD6"/>
    <w:rsid w:val="00EA002C"/>
    <w:rsid w:val="00EA0047"/>
    <w:rsid w:val="00EA004F"/>
    <w:rsid w:val="00EA00C3"/>
    <w:rsid w:val="00EA015F"/>
    <w:rsid w:val="00EA01D8"/>
    <w:rsid w:val="00EA02A8"/>
    <w:rsid w:val="00EA02AC"/>
    <w:rsid w:val="00EA0317"/>
    <w:rsid w:val="00EA03CF"/>
    <w:rsid w:val="00EA0483"/>
    <w:rsid w:val="00EA04B6"/>
    <w:rsid w:val="00EA04BC"/>
    <w:rsid w:val="00EA0527"/>
    <w:rsid w:val="00EA05D0"/>
    <w:rsid w:val="00EA05D3"/>
    <w:rsid w:val="00EA05EA"/>
    <w:rsid w:val="00EA05EC"/>
    <w:rsid w:val="00EA0734"/>
    <w:rsid w:val="00EA07EB"/>
    <w:rsid w:val="00EA0834"/>
    <w:rsid w:val="00EA086B"/>
    <w:rsid w:val="00EA08A4"/>
    <w:rsid w:val="00EA08BF"/>
    <w:rsid w:val="00EA09FF"/>
    <w:rsid w:val="00EA0A13"/>
    <w:rsid w:val="00EA0A60"/>
    <w:rsid w:val="00EA0A62"/>
    <w:rsid w:val="00EA0B23"/>
    <w:rsid w:val="00EA0B2F"/>
    <w:rsid w:val="00EA0C39"/>
    <w:rsid w:val="00EA0CD9"/>
    <w:rsid w:val="00EA0CF2"/>
    <w:rsid w:val="00EA0CF4"/>
    <w:rsid w:val="00EA0D21"/>
    <w:rsid w:val="00EA0DA5"/>
    <w:rsid w:val="00EA0E53"/>
    <w:rsid w:val="00EA0ECC"/>
    <w:rsid w:val="00EA0F41"/>
    <w:rsid w:val="00EA0F6B"/>
    <w:rsid w:val="00EA0F86"/>
    <w:rsid w:val="00EA0FA2"/>
    <w:rsid w:val="00EA1063"/>
    <w:rsid w:val="00EA1128"/>
    <w:rsid w:val="00EA1135"/>
    <w:rsid w:val="00EA124A"/>
    <w:rsid w:val="00EA1300"/>
    <w:rsid w:val="00EA15D4"/>
    <w:rsid w:val="00EA15E4"/>
    <w:rsid w:val="00EA166A"/>
    <w:rsid w:val="00EA1696"/>
    <w:rsid w:val="00EA16C0"/>
    <w:rsid w:val="00EA16DC"/>
    <w:rsid w:val="00EA178A"/>
    <w:rsid w:val="00EA179F"/>
    <w:rsid w:val="00EA17FA"/>
    <w:rsid w:val="00EA1812"/>
    <w:rsid w:val="00EA18F9"/>
    <w:rsid w:val="00EA1903"/>
    <w:rsid w:val="00EA1937"/>
    <w:rsid w:val="00EA1B31"/>
    <w:rsid w:val="00EA1B8D"/>
    <w:rsid w:val="00EA1BA5"/>
    <w:rsid w:val="00EA1BB2"/>
    <w:rsid w:val="00EA1C75"/>
    <w:rsid w:val="00EA1C93"/>
    <w:rsid w:val="00EA1D74"/>
    <w:rsid w:val="00EA1DA3"/>
    <w:rsid w:val="00EA20C2"/>
    <w:rsid w:val="00EA20F9"/>
    <w:rsid w:val="00EA2102"/>
    <w:rsid w:val="00EA2377"/>
    <w:rsid w:val="00EA23BA"/>
    <w:rsid w:val="00EA24A3"/>
    <w:rsid w:val="00EA24F1"/>
    <w:rsid w:val="00EA2504"/>
    <w:rsid w:val="00EA252F"/>
    <w:rsid w:val="00EA25B1"/>
    <w:rsid w:val="00EA2676"/>
    <w:rsid w:val="00EA26B2"/>
    <w:rsid w:val="00EA26DF"/>
    <w:rsid w:val="00EA27F6"/>
    <w:rsid w:val="00EA27FC"/>
    <w:rsid w:val="00EA2854"/>
    <w:rsid w:val="00EA294F"/>
    <w:rsid w:val="00EA29DD"/>
    <w:rsid w:val="00EA2B8E"/>
    <w:rsid w:val="00EA2BC2"/>
    <w:rsid w:val="00EA2BE9"/>
    <w:rsid w:val="00EA2C0E"/>
    <w:rsid w:val="00EA2D88"/>
    <w:rsid w:val="00EA2D8E"/>
    <w:rsid w:val="00EA2D98"/>
    <w:rsid w:val="00EA2E89"/>
    <w:rsid w:val="00EA2EF4"/>
    <w:rsid w:val="00EA2F74"/>
    <w:rsid w:val="00EA2F80"/>
    <w:rsid w:val="00EA2F90"/>
    <w:rsid w:val="00EA2FFE"/>
    <w:rsid w:val="00EA3012"/>
    <w:rsid w:val="00EA30CF"/>
    <w:rsid w:val="00EA3128"/>
    <w:rsid w:val="00EA3167"/>
    <w:rsid w:val="00EA31A7"/>
    <w:rsid w:val="00EA33DB"/>
    <w:rsid w:val="00EA33E3"/>
    <w:rsid w:val="00EA33F9"/>
    <w:rsid w:val="00EA342B"/>
    <w:rsid w:val="00EA343E"/>
    <w:rsid w:val="00EA34C0"/>
    <w:rsid w:val="00EA34FA"/>
    <w:rsid w:val="00EA3515"/>
    <w:rsid w:val="00EA3545"/>
    <w:rsid w:val="00EA3559"/>
    <w:rsid w:val="00EA35F9"/>
    <w:rsid w:val="00EA3644"/>
    <w:rsid w:val="00EA36DD"/>
    <w:rsid w:val="00EA36F6"/>
    <w:rsid w:val="00EA37C8"/>
    <w:rsid w:val="00EA38FF"/>
    <w:rsid w:val="00EA3900"/>
    <w:rsid w:val="00EA3960"/>
    <w:rsid w:val="00EA3A03"/>
    <w:rsid w:val="00EA3AA8"/>
    <w:rsid w:val="00EA3B06"/>
    <w:rsid w:val="00EA3B2F"/>
    <w:rsid w:val="00EA3CDF"/>
    <w:rsid w:val="00EA3D9C"/>
    <w:rsid w:val="00EA3E76"/>
    <w:rsid w:val="00EA3EBE"/>
    <w:rsid w:val="00EA3F1D"/>
    <w:rsid w:val="00EA3FBD"/>
    <w:rsid w:val="00EA3FE9"/>
    <w:rsid w:val="00EA409A"/>
    <w:rsid w:val="00EA4122"/>
    <w:rsid w:val="00EA4129"/>
    <w:rsid w:val="00EA418C"/>
    <w:rsid w:val="00EA4300"/>
    <w:rsid w:val="00EA4376"/>
    <w:rsid w:val="00EA4387"/>
    <w:rsid w:val="00EA44A2"/>
    <w:rsid w:val="00EA4572"/>
    <w:rsid w:val="00EA478F"/>
    <w:rsid w:val="00EA47BB"/>
    <w:rsid w:val="00EA47C9"/>
    <w:rsid w:val="00EA4814"/>
    <w:rsid w:val="00EA484C"/>
    <w:rsid w:val="00EA4971"/>
    <w:rsid w:val="00EA4A80"/>
    <w:rsid w:val="00EA4A85"/>
    <w:rsid w:val="00EA4AB2"/>
    <w:rsid w:val="00EA4AF9"/>
    <w:rsid w:val="00EA4BC2"/>
    <w:rsid w:val="00EA4C68"/>
    <w:rsid w:val="00EA4CAB"/>
    <w:rsid w:val="00EA4D09"/>
    <w:rsid w:val="00EA4D39"/>
    <w:rsid w:val="00EA4E03"/>
    <w:rsid w:val="00EA4ED8"/>
    <w:rsid w:val="00EA4F0E"/>
    <w:rsid w:val="00EA5090"/>
    <w:rsid w:val="00EA50AC"/>
    <w:rsid w:val="00EA5191"/>
    <w:rsid w:val="00EA51AF"/>
    <w:rsid w:val="00EA51DA"/>
    <w:rsid w:val="00EA53B2"/>
    <w:rsid w:val="00EA53B6"/>
    <w:rsid w:val="00EA54F9"/>
    <w:rsid w:val="00EA54FB"/>
    <w:rsid w:val="00EA5614"/>
    <w:rsid w:val="00EA563F"/>
    <w:rsid w:val="00EA5644"/>
    <w:rsid w:val="00EA5654"/>
    <w:rsid w:val="00EA567A"/>
    <w:rsid w:val="00EA5768"/>
    <w:rsid w:val="00EA5790"/>
    <w:rsid w:val="00EA57C2"/>
    <w:rsid w:val="00EA580C"/>
    <w:rsid w:val="00EA5817"/>
    <w:rsid w:val="00EA58B2"/>
    <w:rsid w:val="00EA58B6"/>
    <w:rsid w:val="00EA58EC"/>
    <w:rsid w:val="00EA58F2"/>
    <w:rsid w:val="00EA5914"/>
    <w:rsid w:val="00EA5993"/>
    <w:rsid w:val="00EA59BB"/>
    <w:rsid w:val="00EA59D5"/>
    <w:rsid w:val="00EA5A2F"/>
    <w:rsid w:val="00EA5A4D"/>
    <w:rsid w:val="00EA5AAA"/>
    <w:rsid w:val="00EA5AB1"/>
    <w:rsid w:val="00EA5B00"/>
    <w:rsid w:val="00EA5B40"/>
    <w:rsid w:val="00EA5B42"/>
    <w:rsid w:val="00EA5C3B"/>
    <w:rsid w:val="00EA5C6A"/>
    <w:rsid w:val="00EA5C72"/>
    <w:rsid w:val="00EA5CC0"/>
    <w:rsid w:val="00EA5E31"/>
    <w:rsid w:val="00EA5E82"/>
    <w:rsid w:val="00EA5F7D"/>
    <w:rsid w:val="00EA60AB"/>
    <w:rsid w:val="00EA60BD"/>
    <w:rsid w:val="00EA6105"/>
    <w:rsid w:val="00EA6143"/>
    <w:rsid w:val="00EA616B"/>
    <w:rsid w:val="00EA616D"/>
    <w:rsid w:val="00EA6188"/>
    <w:rsid w:val="00EA61AD"/>
    <w:rsid w:val="00EA625E"/>
    <w:rsid w:val="00EA634B"/>
    <w:rsid w:val="00EA6427"/>
    <w:rsid w:val="00EA6490"/>
    <w:rsid w:val="00EA659D"/>
    <w:rsid w:val="00EA65AA"/>
    <w:rsid w:val="00EA6608"/>
    <w:rsid w:val="00EA667D"/>
    <w:rsid w:val="00EA6819"/>
    <w:rsid w:val="00EA6898"/>
    <w:rsid w:val="00EA6967"/>
    <w:rsid w:val="00EA6A2A"/>
    <w:rsid w:val="00EA6A35"/>
    <w:rsid w:val="00EA6A6F"/>
    <w:rsid w:val="00EA6B93"/>
    <w:rsid w:val="00EA6BAC"/>
    <w:rsid w:val="00EA6C67"/>
    <w:rsid w:val="00EA6C70"/>
    <w:rsid w:val="00EA6C7C"/>
    <w:rsid w:val="00EA6C8D"/>
    <w:rsid w:val="00EA6CC1"/>
    <w:rsid w:val="00EA6D70"/>
    <w:rsid w:val="00EA6DD8"/>
    <w:rsid w:val="00EA6E32"/>
    <w:rsid w:val="00EA6E51"/>
    <w:rsid w:val="00EA6EA9"/>
    <w:rsid w:val="00EA6F23"/>
    <w:rsid w:val="00EA6F45"/>
    <w:rsid w:val="00EA7081"/>
    <w:rsid w:val="00EA708A"/>
    <w:rsid w:val="00EA70D8"/>
    <w:rsid w:val="00EA7148"/>
    <w:rsid w:val="00EA7177"/>
    <w:rsid w:val="00EA71E8"/>
    <w:rsid w:val="00EA7338"/>
    <w:rsid w:val="00EA7381"/>
    <w:rsid w:val="00EA748E"/>
    <w:rsid w:val="00EA74B4"/>
    <w:rsid w:val="00EA751A"/>
    <w:rsid w:val="00EA7541"/>
    <w:rsid w:val="00EA754E"/>
    <w:rsid w:val="00EA7555"/>
    <w:rsid w:val="00EA759E"/>
    <w:rsid w:val="00EA75AF"/>
    <w:rsid w:val="00EA75D9"/>
    <w:rsid w:val="00EA75FF"/>
    <w:rsid w:val="00EA7649"/>
    <w:rsid w:val="00EA7691"/>
    <w:rsid w:val="00EA76D4"/>
    <w:rsid w:val="00EA76FA"/>
    <w:rsid w:val="00EA77AC"/>
    <w:rsid w:val="00EA77CE"/>
    <w:rsid w:val="00EA7868"/>
    <w:rsid w:val="00EA7920"/>
    <w:rsid w:val="00EA7A50"/>
    <w:rsid w:val="00EA7B24"/>
    <w:rsid w:val="00EA7B72"/>
    <w:rsid w:val="00EA7C36"/>
    <w:rsid w:val="00EA7CF8"/>
    <w:rsid w:val="00EA7DEF"/>
    <w:rsid w:val="00EA7E17"/>
    <w:rsid w:val="00EA7E4D"/>
    <w:rsid w:val="00EA7F44"/>
    <w:rsid w:val="00EA7F8A"/>
    <w:rsid w:val="00EA7FBB"/>
    <w:rsid w:val="00EB00A1"/>
    <w:rsid w:val="00EB011D"/>
    <w:rsid w:val="00EB0158"/>
    <w:rsid w:val="00EB029B"/>
    <w:rsid w:val="00EB02BC"/>
    <w:rsid w:val="00EB0321"/>
    <w:rsid w:val="00EB03B8"/>
    <w:rsid w:val="00EB03BB"/>
    <w:rsid w:val="00EB03BF"/>
    <w:rsid w:val="00EB03E0"/>
    <w:rsid w:val="00EB0462"/>
    <w:rsid w:val="00EB047C"/>
    <w:rsid w:val="00EB04E7"/>
    <w:rsid w:val="00EB061B"/>
    <w:rsid w:val="00EB0798"/>
    <w:rsid w:val="00EB07C9"/>
    <w:rsid w:val="00EB07D0"/>
    <w:rsid w:val="00EB0826"/>
    <w:rsid w:val="00EB0830"/>
    <w:rsid w:val="00EB0838"/>
    <w:rsid w:val="00EB089E"/>
    <w:rsid w:val="00EB08AD"/>
    <w:rsid w:val="00EB08C4"/>
    <w:rsid w:val="00EB0A1E"/>
    <w:rsid w:val="00EB0A9D"/>
    <w:rsid w:val="00EB0AF3"/>
    <w:rsid w:val="00EB0C0E"/>
    <w:rsid w:val="00EB0C34"/>
    <w:rsid w:val="00EB0DE2"/>
    <w:rsid w:val="00EB0E49"/>
    <w:rsid w:val="00EB0E55"/>
    <w:rsid w:val="00EB0EB0"/>
    <w:rsid w:val="00EB0FE4"/>
    <w:rsid w:val="00EB10D6"/>
    <w:rsid w:val="00EB115C"/>
    <w:rsid w:val="00EB1188"/>
    <w:rsid w:val="00EB1193"/>
    <w:rsid w:val="00EB11A3"/>
    <w:rsid w:val="00EB129A"/>
    <w:rsid w:val="00EB1392"/>
    <w:rsid w:val="00EB144F"/>
    <w:rsid w:val="00EB1467"/>
    <w:rsid w:val="00EB14B9"/>
    <w:rsid w:val="00EB14CD"/>
    <w:rsid w:val="00EB15A6"/>
    <w:rsid w:val="00EB15BC"/>
    <w:rsid w:val="00EB1631"/>
    <w:rsid w:val="00EB1632"/>
    <w:rsid w:val="00EB167C"/>
    <w:rsid w:val="00EB16CC"/>
    <w:rsid w:val="00EB1784"/>
    <w:rsid w:val="00EB179A"/>
    <w:rsid w:val="00EB17E7"/>
    <w:rsid w:val="00EB1849"/>
    <w:rsid w:val="00EB19DE"/>
    <w:rsid w:val="00EB1A29"/>
    <w:rsid w:val="00EB1AAA"/>
    <w:rsid w:val="00EB1AF7"/>
    <w:rsid w:val="00EB1BBB"/>
    <w:rsid w:val="00EB1BFD"/>
    <w:rsid w:val="00EB1CFD"/>
    <w:rsid w:val="00EB1D9B"/>
    <w:rsid w:val="00EB1E4F"/>
    <w:rsid w:val="00EB1ED0"/>
    <w:rsid w:val="00EB1F0C"/>
    <w:rsid w:val="00EB1F8E"/>
    <w:rsid w:val="00EB202A"/>
    <w:rsid w:val="00EB20F6"/>
    <w:rsid w:val="00EB2112"/>
    <w:rsid w:val="00EB2173"/>
    <w:rsid w:val="00EB2177"/>
    <w:rsid w:val="00EB2238"/>
    <w:rsid w:val="00EB2294"/>
    <w:rsid w:val="00EB233B"/>
    <w:rsid w:val="00EB23CB"/>
    <w:rsid w:val="00EB23CD"/>
    <w:rsid w:val="00EB247C"/>
    <w:rsid w:val="00EB24D8"/>
    <w:rsid w:val="00EB24F6"/>
    <w:rsid w:val="00EB2530"/>
    <w:rsid w:val="00EB2543"/>
    <w:rsid w:val="00EB2620"/>
    <w:rsid w:val="00EB2658"/>
    <w:rsid w:val="00EB26B3"/>
    <w:rsid w:val="00EB271E"/>
    <w:rsid w:val="00EB277D"/>
    <w:rsid w:val="00EB28A4"/>
    <w:rsid w:val="00EB2902"/>
    <w:rsid w:val="00EB2962"/>
    <w:rsid w:val="00EB29E9"/>
    <w:rsid w:val="00EB2A14"/>
    <w:rsid w:val="00EB2A58"/>
    <w:rsid w:val="00EB2A75"/>
    <w:rsid w:val="00EB2B08"/>
    <w:rsid w:val="00EB2B79"/>
    <w:rsid w:val="00EB2BA2"/>
    <w:rsid w:val="00EB2BF7"/>
    <w:rsid w:val="00EB2CB5"/>
    <w:rsid w:val="00EB2D1A"/>
    <w:rsid w:val="00EB2D30"/>
    <w:rsid w:val="00EB2D53"/>
    <w:rsid w:val="00EB2DCD"/>
    <w:rsid w:val="00EB2E0E"/>
    <w:rsid w:val="00EB2E13"/>
    <w:rsid w:val="00EB2E96"/>
    <w:rsid w:val="00EB2EB3"/>
    <w:rsid w:val="00EB2F6C"/>
    <w:rsid w:val="00EB309A"/>
    <w:rsid w:val="00EB31B3"/>
    <w:rsid w:val="00EB32AA"/>
    <w:rsid w:val="00EB333A"/>
    <w:rsid w:val="00EB3432"/>
    <w:rsid w:val="00EB3465"/>
    <w:rsid w:val="00EB3475"/>
    <w:rsid w:val="00EB34CB"/>
    <w:rsid w:val="00EB34CD"/>
    <w:rsid w:val="00EB34E2"/>
    <w:rsid w:val="00EB3503"/>
    <w:rsid w:val="00EB353B"/>
    <w:rsid w:val="00EB354F"/>
    <w:rsid w:val="00EB3582"/>
    <w:rsid w:val="00EB35A6"/>
    <w:rsid w:val="00EB362F"/>
    <w:rsid w:val="00EB3637"/>
    <w:rsid w:val="00EB3755"/>
    <w:rsid w:val="00EB3773"/>
    <w:rsid w:val="00EB37AC"/>
    <w:rsid w:val="00EB390B"/>
    <w:rsid w:val="00EB393C"/>
    <w:rsid w:val="00EB3A1A"/>
    <w:rsid w:val="00EB3BB8"/>
    <w:rsid w:val="00EB3C09"/>
    <w:rsid w:val="00EB3C5F"/>
    <w:rsid w:val="00EB3CDB"/>
    <w:rsid w:val="00EB3CE0"/>
    <w:rsid w:val="00EB3D49"/>
    <w:rsid w:val="00EB3D7E"/>
    <w:rsid w:val="00EB3E56"/>
    <w:rsid w:val="00EB3E82"/>
    <w:rsid w:val="00EB3EE9"/>
    <w:rsid w:val="00EB3F19"/>
    <w:rsid w:val="00EB3F3D"/>
    <w:rsid w:val="00EB3F76"/>
    <w:rsid w:val="00EB40BA"/>
    <w:rsid w:val="00EB41C9"/>
    <w:rsid w:val="00EB4222"/>
    <w:rsid w:val="00EB422D"/>
    <w:rsid w:val="00EB4365"/>
    <w:rsid w:val="00EB437D"/>
    <w:rsid w:val="00EB43E2"/>
    <w:rsid w:val="00EB4417"/>
    <w:rsid w:val="00EB4487"/>
    <w:rsid w:val="00EB44AC"/>
    <w:rsid w:val="00EB465C"/>
    <w:rsid w:val="00EB46BF"/>
    <w:rsid w:val="00EB4766"/>
    <w:rsid w:val="00EB4782"/>
    <w:rsid w:val="00EB47B5"/>
    <w:rsid w:val="00EB47F1"/>
    <w:rsid w:val="00EB48D2"/>
    <w:rsid w:val="00EB48F8"/>
    <w:rsid w:val="00EB4925"/>
    <w:rsid w:val="00EB49F8"/>
    <w:rsid w:val="00EB4A2E"/>
    <w:rsid w:val="00EB4A4A"/>
    <w:rsid w:val="00EB4ABB"/>
    <w:rsid w:val="00EB4BBE"/>
    <w:rsid w:val="00EB4C1A"/>
    <w:rsid w:val="00EB4CCB"/>
    <w:rsid w:val="00EB4D07"/>
    <w:rsid w:val="00EB4D1A"/>
    <w:rsid w:val="00EB4E1F"/>
    <w:rsid w:val="00EB4E7D"/>
    <w:rsid w:val="00EB4EB8"/>
    <w:rsid w:val="00EB4FAC"/>
    <w:rsid w:val="00EB4FFB"/>
    <w:rsid w:val="00EB5008"/>
    <w:rsid w:val="00EB50B1"/>
    <w:rsid w:val="00EB529D"/>
    <w:rsid w:val="00EB52B1"/>
    <w:rsid w:val="00EB52EC"/>
    <w:rsid w:val="00EB548D"/>
    <w:rsid w:val="00EB5496"/>
    <w:rsid w:val="00EB54BA"/>
    <w:rsid w:val="00EB56C1"/>
    <w:rsid w:val="00EB56FB"/>
    <w:rsid w:val="00EB5784"/>
    <w:rsid w:val="00EB57AF"/>
    <w:rsid w:val="00EB57B7"/>
    <w:rsid w:val="00EB5934"/>
    <w:rsid w:val="00EB5A3C"/>
    <w:rsid w:val="00EB5A95"/>
    <w:rsid w:val="00EB5ACE"/>
    <w:rsid w:val="00EB5AE4"/>
    <w:rsid w:val="00EB5AFA"/>
    <w:rsid w:val="00EB5B11"/>
    <w:rsid w:val="00EB5B1C"/>
    <w:rsid w:val="00EB5B23"/>
    <w:rsid w:val="00EB5B45"/>
    <w:rsid w:val="00EB5BA6"/>
    <w:rsid w:val="00EB5C1B"/>
    <w:rsid w:val="00EB5CEE"/>
    <w:rsid w:val="00EB5E60"/>
    <w:rsid w:val="00EB5ED1"/>
    <w:rsid w:val="00EB5F1B"/>
    <w:rsid w:val="00EB5F3B"/>
    <w:rsid w:val="00EB5F56"/>
    <w:rsid w:val="00EB5F5A"/>
    <w:rsid w:val="00EB5FF8"/>
    <w:rsid w:val="00EB6144"/>
    <w:rsid w:val="00EB61A0"/>
    <w:rsid w:val="00EB61B9"/>
    <w:rsid w:val="00EB621E"/>
    <w:rsid w:val="00EB6282"/>
    <w:rsid w:val="00EB6288"/>
    <w:rsid w:val="00EB62E8"/>
    <w:rsid w:val="00EB6346"/>
    <w:rsid w:val="00EB63DC"/>
    <w:rsid w:val="00EB63F6"/>
    <w:rsid w:val="00EB63F8"/>
    <w:rsid w:val="00EB6427"/>
    <w:rsid w:val="00EB64B7"/>
    <w:rsid w:val="00EB64C1"/>
    <w:rsid w:val="00EB64C4"/>
    <w:rsid w:val="00EB6502"/>
    <w:rsid w:val="00EB650D"/>
    <w:rsid w:val="00EB65DE"/>
    <w:rsid w:val="00EB660A"/>
    <w:rsid w:val="00EB6641"/>
    <w:rsid w:val="00EB66C8"/>
    <w:rsid w:val="00EB6740"/>
    <w:rsid w:val="00EB68B8"/>
    <w:rsid w:val="00EB69D5"/>
    <w:rsid w:val="00EB6B43"/>
    <w:rsid w:val="00EB6B53"/>
    <w:rsid w:val="00EB6BC5"/>
    <w:rsid w:val="00EB6C4E"/>
    <w:rsid w:val="00EB6C88"/>
    <w:rsid w:val="00EB6CDB"/>
    <w:rsid w:val="00EB6E9D"/>
    <w:rsid w:val="00EB6F33"/>
    <w:rsid w:val="00EB6FAD"/>
    <w:rsid w:val="00EB703D"/>
    <w:rsid w:val="00EB70E5"/>
    <w:rsid w:val="00EB7119"/>
    <w:rsid w:val="00EB728F"/>
    <w:rsid w:val="00EB72D8"/>
    <w:rsid w:val="00EB7303"/>
    <w:rsid w:val="00EB7317"/>
    <w:rsid w:val="00EB7421"/>
    <w:rsid w:val="00EB750F"/>
    <w:rsid w:val="00EB752A"/>
    <w:rsid w:val="00EB7622"/>
    <w:rsid w:val="00EB7624"/>
    <w:rsid w:val="00EB76F1"/>
    <w:rsid w:val="00EB77B8"/>
    <w:rsid w:val="00EB77D7"/>
    <w:rsid w:val="00EB77DB"/>
    <w:rsid w:val="00EB783B"/>
    <w:rsid w:val="00EB785C"/>
    <w:rsid w:val="00EB78A2"/>
    <w:rsid w:val="00EB78E4"/>
    <w:rsid w:val="00EB791C"/>
    <w:rsid w:val="00EB79A6"/>
    <w:rsid w:val="00EB79B8"/>
    <w:rsid w:val="00EB7A50"/>
    <w:rsid w:val="00EB7AE5"/>
    <w:rsid w:val="00EB7C67"/>
    <w:rsid w:val="00EB7C68"/>
    <w:rsid w:val="00EB7CD3"/>
    <w:rsid w:val="00EB7D3C"/>
    <w:rsid w:val="00EB7D3E"/>
    <w:rsid w:val="00EB7FC3"/>
    <w:rsid w:val="00EC0006"/>
    <w:rsid w:val="00EC005D"/>
    <w:rsid w:val="00EC00A4"/>
    <w:rsid w:val="00EC0100"/>
    <w:rsid w:val="00EC012B"/>
    <w:rsid w:val="00EC01DE"/>
    <w:rsid w:val="00EC023F"/>
    <w:rsid w:val="00EC02AD"/>
    <w:rsid w:val="00EC03DA"/>
    <w:rsid w:val="00EC046B"/>
    <w:rsid w:val="00EC048D"/>
    <w:rsid w:val="00EC049A"/>
    <w:rsid w:val="00EC04DE"/>
    <w:rsid w:val="00EC059E"/>
    <w:rsid w:val="00EC05D4"/>
    <w:rsid w:val="00EC0624"/>
    <w:rsid w:val="00EC062F"/>
    <w:rsid w:val="00EC0732"/>
    <w:rsid w:val="00EC079A"/>
    <w:rsid w:val="00EC07B4"/>
    <w:rsid w:val="00EC07DE"/>
    <w:rsid w:val="00EC0851"/>
    <w:rsid w:val="00EC0945"/>
    <w:rsid w:val="00EC0981"/>
    <w:rsid w:val="00EC0A9C"/>
    <w:rsid w:val="00EC0B4D"/>
    <w:rsid w:val="00EC0B59"/>
    <w:rsid w:val="00EC0C0A"/>
    <w:rsid w:val="00EC0C76"/>
    <w:rsid w:val="00EC0CC4"/>
    <w:rsid w:val="00EC0E81"/>
    <w:rsid w:val="00EC0F1F"/>
    <w:rsid w:val="00EC0F98"/>
    <w:rsid w:val="00EC108C"/>
    <w:rsid w:val="00EC10D3"/>
    <w:rsid w:val="00EC1253"/>
    <w:rsid w:val="00EC1283"/>
    <w:rsid w:val="00EC12AB"/>
    <w:rsid w:val="00EC12EC"/>
    <w:rsid w:val="00EC139E"/>
    <w:rsid w:val="00EC1697"/>
    <w:rsid w:val="00EC16E8"/>
    <w:rsid w:val="00EC16F8"/>
    <w:rsid w:val="00EC16F9"/>
    <w:rsid w:val="00EC1700"/>
    <w:rsid w:val="00EC17D4"/>
    <w:rsid w:val="00EC1802"/>
    <w:rsid w:val="00EC1825"/>
    <w:rsid w:val="00EC1888"/>
    <w:rsid w:val="00EC1940"/>
    <w:rsid w:val="00EC1951"/>
    <w:rsid w:val="00EC1959"/>
    <w:rsid w:val="00EC199A"/>
    <w:rsid w:val="00EC19CD"/>
    <w:rsid w:val="00EC1A82"/>
    <w:rsid w:val="00EC1AA0"/>
    <w:rsid w:val="00EC1ADE"/>
    <w:rsid w:val="00EC1B3C"/>
    <w:rsid w:val="00EC1B90"/>
    <w:rsid w:val="00EC1BDD"/>
    <w:rsid w:val="00EC1C7A"/>
    <w:rsid w:val="00EC1D25"/>
    <w:rsid w:val="00EC1D2D"/>
    <w:rsid w:val="00EC1DD4"/>
    <w:rsid w:val="00EC1DEB"/>
    <w:rsid w:val="00EC1E00"/>
    <w:rsid w:val="00EC1EE2"/>
    <w:rsid w:val="00EC1F0A"/>
    <w:rsid w:val="00EC1F6D"/>
    <w:rsid w:val="00EC1FE7"/>
    <w:rsid w:val="00EC20C8"/>
    <w:rsid w:val="00EC20F8"/>
    <w:rsid w:val="00EC2256"/>
    <w:rsid w:val="00EC2273"/>
    <w:rsid w:val="00EC234B"/>
    <w:rsid w:val="00EC25CB"/>
    <w:rsid w:val="00EC2696"/>
    <w:rsid w:val="00EC2725"/>
    <w:rsid w:val="00EC2793"/>
    <w:rsid w:val="00EC27EC"/>
    <w:rsid w:val="00EC2806"/>
    <w:rsid w:val="00EC280A"/>
    <w:rsid w:val="00EC283D"/>
    <w:rsid w:val="00EC2886"/>
    <w:rsid w:val="00EC288E"/>
    <w:rsid w:val="00EC2966"/>
    <w:rsid w:val="00EC296A"/>
    <w:rsid w:val="00EC2988"/>
    <w:rsid w:val="00EC2A35"/>
    <w:rsid w:val="00EC2AB6"/>
    <w:rsid w:val="00EC2BC1"/>
    <w:rsid w:val="00EC2C82"/>
    <w:rsid w:val="00EC2CAA"/>
    <w:rsid w:val="00EC2D75"/>
    <w:rsid w:val="00EC2D94"/>
    <w:rsid w:val="00EC2DC0"/>
    <w:rsid w:val="00EC2DC6"/>
    <w:rsid w:val="00EC2E4E"/>
    <w:rsid w:val="00EC2F61"/>
    <w:rsid w:val="00EC2F67"/>
    <w:rsid w:val="00EC2FA2"/>
    <w:rsid w:val="00EC2FB4"/>
    <w:rsid w:val="00EC30C7"/>
    <w:rsid w:val="00EC3148"/>
    <w:rsid w:val="00EC31B3"/>
    <w:rsid w:val="00EC31D5"/>
    <w:rsid w:val="00EC3247"/>
    <w:rsid w:val="00EC3298"/>
    <w:rsid w:val="00EC331C"/>
    <w:rsid w:val="00EC3339"/>
    <w:rsid w:val="00EC33A5"/>
    <w:rsid w:val="00EC33A8"/>
    <w:rsid w:val="00EC343A"/>
    <w:rsid w:val="00EC34CB"/>
    <w:rsid w:val="00EC34D6"/>
    <w:rsid w:val="00EC34DC"/>
    <w:rsid w:val="00EC3521"/>
    <w:rsid w:val="00EC3592"/>
    <w:rsid w:val="00EC3623"/>
    <w:rsid w:val="00EC3714"/>
    <w:rsid w:val="00EC37D5"/>
    <w:rsid w:val="00EC37FF"/>
    <w:rsid w:val="00EC3846"/>
    <w:rsid w:val="00EC38C9"/>
    <w:rsid w:val="00EC394D"/>
    <w:rsid w:val="00EC3A2C"/>
    <w:rsid w:val="00EC3A45"/>
    <w:rsid w:val="00EC3A9A"/>
    <w:rsid w:val="00EC3B2A"/>
    <w:rsid w:val="00EC3BF4"/>
    <w:rsid w:val="00EC3C07"/>
    <w:rsid w:val="00EC3C90"/>
    <w:rsid w:val="00EC3CBC"/>
    <w:rsid w:val="00EC3D00"/>
    <w:rsid w:val="00EC3D29"/>
    <w:rsid w:val="00EC3D59"/>
    <w:rsid w:val="00EC3D99"/>
    <w:rsid w:val="00EC3E3F"/>
    <w:rsid w:val="00EC3F60"/>
    <w:rsid w:val="00EC3F8F"/>
    <w:rsid w:val="00EC403F"/>
    <w:rsid w:val="00EC4044"/>
    <w:rsid w:val="00EC4101"/>
    <w:rsid w:val="00EC4113"/>
    <w:rsid w:val="00EC4190"/>
    <w:rsid w:val="00EC41F9"/>
    <w:rsid w:val="00EC426A"/>
    <w:rsid w:val="00EC4288"/>
    <w:rsid w:val="00EC42CF"/>
    <w:rsid w:val="00EC4300"/>
    <w:rsid w:val="00EC4320"/>
    <w:rsid w:val="00EC4365"/>
    <w:rsid w:val="00EC43E4"/>
    <w:rsid w:val="00EC44D2"/>
    <w:rsid w:val="00EC4607"/>
    <w:rsid w:val="00EC46AA"/>
    <w:rsid w:val="00EC47D2"/>
    <w:rsid w:val="00EC4869"/>
    <w:rsid w:val="00EC489B"/>
    <w:rsid w:val="00EC48A8"/>
    <w:rsid w:val="00EC48BE"/>
    <w:rsid w:val="00EC4970"/>
    <w:rsid w:val="00EC4A39"/>
    <w:rsid w:val="00EC4A6A"/>
    <w:rsid w:val="00EC4AD5"/>
    <w:rsid w:val="00EC4B13"/>
    <w:rsid w:val="00EC4B37"/>
    <w:rsid w:val="00EC4B6A"/>
    <w:rsid w:val="00EC4BB8"/>
    <w:rsid w:val="00EC4BC0"/>
    <w:rsid w:val="00EC4BC9"/>
    <w:rsid w:val="00EC4C53"/>
    <w:rsid w:val="00EC4CE0"/>
    <w:rsid w:val="00EC4CE8"/>
    <w:rsid w:val="00EC4DF6"/>
    <w:rsid w:val="00EC4E58"/>
    <w:rsid w:val="00EC4EBC"/>
    <w:rsid w:val="00EC4ED7"/>
    <w:rsid w:val="00EC4F32"/>
    <w:rsid w:val="00EC5036"/>
    <w:rsid w:val="00EC50DA"/>
    <w:rsid w:val="00EC5140"/>
    <w:rsid w:val="00EC5145"/>
    <w:rsid w:val="00EC51A7"/>
    <w:rsid w:val="00EC5252"/>
    <w:rsid w:val="00EC5259"/>
    <w:rsid w:val="00EC52FD"/>
    <w:rsid w:val="00EC5336"/>
    <w:rsid w:val="00EC541B"/>
    <w:rsid w:val="00EC5490"/>
    <w:rsid w:val="00EC550F"/>
    <w:rsid w:val="00EC55A3"/>
    <w:rsid w:val="00EC55D6"/>
    <w:rsid w:val="00EC55E6"/>
    <w:rsid w:val="00EC562B"/>
    <w:rsid w:val="00EC5647"/>
    <w:rsid w:val="00EC5681"/>
    <w:rsid w:val="00EC57BB"/>
    <w:rsid w:val="00EC58AE"/>
    <w:rsid w:val="00EC591F"/>
    <w:rsid w:val="00EC59DE"/>
    <w:rsid w:val="00EC5A83"/>
    <w:rsid w:val="00EC5B59"/>
    <w:rsid w:val="00EC5BDF"/>
    <w:rsid w:val="00EC5CA3"/>
    <w:rsid w:val="00EC5D92"/>
    <w:rsid w:val="00EC5EA8"/>
    <w:rsid w:val="00EC5F26"/>
    <w:rsid w:val="00EC61FB"/>
    <w:rsid w:val="00EC620C"/>
    <w:rsid w:val="00EC629F"/>
    <w:rsid w:val="00EC62A8"/>
    <w:rsid w:val="00EC62BE"/>
    <w:rsid w:val="00EC6312"/>
    <w:rsid w:val="00EC63A5"/>
    <w:rsid w:val="00EC658A"/>
    <w:rsid w:val="00EC65C4"/>
    <w:rsid w:val="00EC6689"/>
    <w:rsid w:val="00EC668E"/>
    <w:rsid w:val="00EC66DA"/>
    <w:rsid w:val="00EC66ED"/>
    <w:rsid w:val="00EC673A"/>
    <w:rsid w:val="00EC67D1"/>
    <w:rsid w:val="00EC67D9"/>
    <w:rsid w:val="00EC6946"/>
    <w:rsid w:val="00EC694E"/>
    <w:rsid w:val="00EC6983"/>
    <w:rsid w:val="00EC6990"/>
    <w:rsid w:val="00EC69D0"/>
    <w:rsid w:val="00EC6A82"/>
    <w:rsid w:val="00EC6B5A"/>
    <w:rsid w:val="00EC6B66"/>
    <w:rsid w:val="00EC6B8F"/>
    <w:rsid w:val="00EC6BDD"/>
    <w:rsid w:val="00EC6BF0"/>
    <w:rsid w:val="00EC6BF1"/>
    <w:rsid w:val="00EC6C91"/>
    <w:rsid w:val="00EC6CA6"/>
    <w:rsid w:val="00EC6CBD"/>
    <w:rsid w:val="00EC6CCF"/>
    <w:rsid w:val="00EC6D81"/>
    <w:rsid w:val="00EC6DDE"/>
    <w:rsid w:val="00EC6DE9"/>
    <w:rsid w:val="00EC6E3E"/>
    <w:rsid w:val="00EC6E9D"/>
    <w:rsid w:val="00EC6F06"/>
    <w:rsid w:val="00EC7041"/>
    <w:rsid w:val="00EC7048"/>
    <w:rsid w:val="00EC70B9"/>
    <w:rsid w:val="00EC70CC"/>
    <w:rsid w:val="00EC72CC"/>
    <w:rsid w:val="00EC731A"/>
    <w:rsid w:val="00EC756D"/>
    <w:rsid w:val="00EC7629"/>
    <w:rsid w:val="00EC7668"/>
    <w:rsid w:val="00EC766F"/>
    <w:rsid w:val="00EC7670"/>
    <w:rsid w:val="00EC772F"/>
    <w:rsid w:val="00EC781E"/>
    <w:rsid w:val="00EC7833"/>
    <w:rsid w:val="00EC7882"/>
    <w:rsid w:val="00EC79EC"/>
    <w:rsid w:val="00EC7AB2"/>
    <w:rsid w:val="00EC7AB7"/>
    <w:rsid w:val="00EC7ACE"/>
    <w:rsid w:val="00EC7B24"/>
    <w:rsid w:val="00EC7BB2"/>
    <w:rsid w:val="00EC7D9F"/>
    <w:rsid w:val="00EC7DCC"/>
    <w:rsid w:val="00EC7E5C"/>
    <w:rsid w:val="00EC7ED7"/>
    <w:rsid w:val="00EC7F89"/>
    <w:rsid w:val="00ED0009"/>
    <w:rsid w:val="00ED0010"/>
    <w:rsid w:val="00ED0038"/>
    <w:rsid w:val="00ED024C"/>
    <w:rsid w:val="00ED02B6"/>
    <w:rsid w:val="00ED0330"/>
    <w:rsid w:val="00ED0486"/>
    <w:rsid w:val="00ED0529"/>
    <w:rsid w:val="00ED0588"/>
    <w:rsid w:val="00ED05DB"/>
    <w:rsid w:val="00ED0705"/>
    <w:rsid w:val="00ED074C"/>
    <w:rsid w:val="00ED078C"/>
    <w:rsid w:val="00ED084B"/>
    <w:rsid w:val="00ED08E7"/>
    <w:rsid w:val="00ED092B"/>
    <w:rsid w:val="00ED0A60"/>
    <w:rsid w:val="00ED0B22"/>
    <w:rsid w:val="00ED0B47"/>
    <w:rsid w:val="00ED0CDB"/>
    <w:rsid w:val="00ED0D47"/>
    <w:rsid w:val="00ED0D7D"/>
    <w:rsid w:val="00ED0D96"/>
    <w:rsid w:val="00ED0DB5"/>
    <w:rsid w:val="00ED0DE6"/>
    <w:rsid w:val="00ED0FC1"/>
    <w:rsid w:val="00ED1026"/>
    <w:rsid w:val="00ED103A"/>
    <w:rsid w:val="00ED1062"/>
    <w:rsid w:val="00ED10C9"/>
    <w:rsid w:val="00ED10E2"/>
    <w:rsid w:val="00ED1215"/>
    <w:rsid w:val="00ED123D"/>
    <w:rsid w:val="00ED12AC"/>
    <w:rsid w:val="00ED12B4"/>
    <w:rsid w:val="00ED139F"/>
    <w:rsid w:val="00ED14D6"/>
    <w:rsid w:val="00ED14F8"/>
    <w:rsid w:val="00ED14F9"/>
    <w:rsid w:val="00ED163D"/>
    <w:rsid w:val="00ED1673"/>
    <w:rsid w:val="00ED1787"/>
    <w:rsid w:val="00ED1819"/>
    <w:rsid w:val="00ED1872"/>
    <w:rsid w:val="00ED195B"/>
    <w:rsid w:val="00ED19DF"/>
    <w:rsid w:val="00ED1A8E"/>
    <w:rsid w:val="00ED1B2B"/>
    <w:rsid w:val="00ED1B7A"/>
    <w:rsid w:val="00ED1C11"/>
    <w:rsid w:val="00ED1C44"/>
    <w:rsid w:val="00ED1C64"/>
    <w:rsid w:val="00ED1D53"/>
    <w:rsid w:val="00ED1D95"/>
    <w:rsid w:val="00ED1EA2"/>
    <w:rsid w:val="00ED1F15"/>
    <w:rsid w:val="00ED1F38"/>
    <w:rsid w:val="00ED1F3E"/>
    <w:rsid w:val="00ED1F4C"/>
    <w:rsid w:val="00ED208B"/>
    <w:rsid w:val="00ED209A"/>
    <w:rsid w:val="00ED211F"/>
    <w:rsid w:val="00ED2141"/>
    <w:rsid w:val="00ED2192"/>
    <w:rsid w:val="00ED220C"/>
    <w:rsid w:val="00ED226D"/>
    <w:rsid w:val="00ED230F"/>
    <w:rsid w:val="00ED234E"/>
    <w:rsid w:val="00ED2427"/>
    <w:rsid w:val="00ED246A"/>
    <w:rsid w:val="00ED2471"/>
    <w:rsid w:val="00ED24AA"/>
    <w:rsid w:val="00ED24C6"/>
    <w:rsid w:val="00ED251A"/>
    <w:rsid w:val="00ED25AD"/>
    <w:rsid w:val="00ED25BD"/>
    <w:rsid w:val="00ED25CF"/>
    <w:rsid w:val="00ED26D2"/>
    <w:rsid w:val="00ED26DA"/>
    <w:rsid w:val="00ED2704"/>
    <w:rsid w:val="00ED2714"/>
    <w:rsid w:val="00ED2755"/>
    <w:rsid w:val="00ED2756"/>
    <w:rsid w:val="00ED2777"/>
    <w:rsid w:val="00ED279B"/>
    <w:rsid w:val="00ED2801"/>
    <w:rsid w:val="00ED2898"/>
    <w:rsid w:val="00ED289D"/>
    <w:rsid w:val="00ED289E"/>
    <w:rsid w:val="00ED28B0"/>
    <w:rsid w:val="00ED28B7"/>
    <w:rsid w:val="00ED28DD"/>
    <w:rsid w:val="00ED2911"/>
    <w:rsid w:val="00ED2A07"/>
    <w:rsid w:val="00ED2A5D"/>
    <w:rsid w:val="00ED2AA6"/>
    <w:rsid w:val="00ED2AC5"/>
    <w:rsid w:val="00ED2AC7"/>
    <w:rsid w:val="00ED2B57"/>
    <w:rsid w:val="00ED2C00"/>
    <w:rsid w:val="00ED2C41"/>
    <w:rsid w:val="00ED2CA0"/>
    <w:rsid w:val="00ED2D2D"/>
    <w:rsid w:val="00ED2D35"/>
    <w:rsid w:val="00ED2E70"/>
    <w:rsid w:val="00ED3053"/>
    <w:rsid w:val="00ED3069"/>
    <w:rsid w:val="00ED3094"/>
    <w:rsid w:val="00ED3218"/>
    <w:rsid w:val="00ED32A1"/>
    <w:rsid w:val="00ED332D"/>
    <w:rsid w:val="00ED337E"/>
    <w:rsid w:val="00ED33E5"/>
    <w:rsid w:val="00ED347D"/>
    <w:rsid w:val="00ED34A5"/>
    <w:rsid w:val="00ED350F"/>
    <w:rsid w:val="00ED354B"/>
    <w:rsid w:val="00ED35A2"/>
    <w:rsid w:val="00ED35AB"/>
    <w:rsid w:val="00ED366E"/>
    <w:rsid w:val="00ED3825"/>
    <w:rsid w:val="00ED3887"/>
    <w:rsid w:val="00ED3952"/>
    <w:rsid w:val="00ED3994"/>
    <w:rsid w:val="00ED39C7"/>
    <w:rsid w:val="00ED39F8"/>
    <w:rsid w:val="00ED39FE"/>
    <w:rsid w:val="00ED3AD8"/>
    <w:rsid w:val="00ED3BBA"/>
    <w:rsid w:val="00ED3C21"/>
    <w:rsid w:val="00ED3CBC"/>
    <w:rsid w:val="00ED3E2E"/>
    <w:rsid w:val="00ED3E76"/>
    <w:rsid w:val="00ED3F33"/>
    <w:rsid w:val="00ED3FCE"/>
    <w:rsid w:val="00ED3FEF"/>
    <w:rsid w:val="00ED4029"/>
    <w:rsid w:val="00ED4064"/>
    <w:rsid w:val="00ED409C"/>
    <w:rsid w:val="00ED40AE"/>
    <w:rsid w:val="00ED40F1"/>
    <w:rsid w:val="00ED4179"/>
    <w:rsid w:val="00ED433F"/>
    <w:rsid w:val="00ED4354"/>
    <w:rsid w:val="00ED4361"/>
    <w:rsid w:val="00ED4386"/>
    <w:rsid w:val="00ED440F"/>
    <w:rsid w:val="00ED44B7"/>
    <w:rsid w:val="00ED44DF"/>
    <w:rsid w:val="00ED452F"/>
    <w:rsid w:val="00ED45DD"/>
    <w:rsid w:val="00ED469B"/>
    <w:rsid w:val="00ED4734"/>
    <w:rsid w:val="00ED4779"/>
    <w:rsid w:val="00ED4801"/>
    <w:rsid w:val="00ED48F4"/>
    <w:rsid w:val="00ED4984"/>
    <w:rsid w:val="00ED4A1C"/>
    <w:rsid w:val="00ED4B5F"/>
    <w:rsid w:val="00ED4C09"/>
    <w:rsid w:val="00ED4CC1"/>
    <w:rsid w:val="00ED4CE4"/>
    <w:rsid w:val="00ED4CE7"/>
    <w:rsid w:val="00ED4CEA"/>
    <w:rsid w:val="00ED4E18"/>
    <w:rsid w:val="00ED4E32"/>
    <w:rsid w:val="00ED4E83"/>
    <w:rsid w:val="00ED4EB2"/>
    <w:rsid w:val="00ED4F01"/>
    <w:rsid w:val="00ED4F71"/>
    <w:rsid w:val="00ED4FE4"/>
    <w:rsid w:val="00ED5037"/>
    <w:rsid w:val="00ED5042"/>
    <w:rsid w:val="00ED50E9"/>
    <w:rsid w:val="00ED5160"/>
    <w:rsid w:val="00ED51CC"/>
    <w:rsid w:val="00ED5216"/>
    <w:rsid w:val="00ED524B"/>
    <w:rsid w:val="00ED5252"/>
    <w:rsid w:val="00ED53E6"/>
    <w:rsid w:val="00ED5467"/>
    <w:rsid w:val="00ED5694"/>
    <w:rsid w:val="00ED56F4"/>
    <w:rsid w:val="00ED5762"/>
    <w:rsid w:val="00ED578B"/>
    <w:rsid w:val="00ED582E"/>
    <w:rsid w:val="00ED58DB"/>
    <w:rsid w:val="00ED591F"/>
    <w:rsid w:val="00ED59B1"/>
    <w:rsid w:val="00ED59EA"/>
    <w:rsid w:val="00ED59F5"/>
    <w:rsid w:val="00ED5B2C"/>
    <w:rsid w:val="00ED5B6F"/>
    <w:rsid w:val="00ED5B8E"/>
    <w:rsid w:val="00ED5B91"/>
    <w:rsid w:val="00ED5BBC"/>
    <w:rsid w:val="00ED5BC4"/>
    <w:rsid w:val="00ED5C36"/>
    <w:rsid w:val="00ED5CB5"/>
    <w:rsid w:val="00ED5DE9"/>
    <w:rsid w:val="00ED5E24"/>
    <w:rsid w:val="00ED5F3E"/>
    <w:rsid w:val="00ED5FA9"/>
    <w:rsid w:val="00ED61DF"/>
    <w:rsid w:val="00ED6233"/>
    <w:rsid w:val="00ED6281"/>
    <w:rsid w:val="00ED635F"/>
    <w:rsid w:val="00ED6370"/>
    <w:rsid w:val="00ED6374"/>
    <w:rsid w:val="00ED63DD"/>
    <w:rsid w:val="00ED646D"/>
    <w:rsid w:val="00ED64DE"/>
    <w:rsid w:val="00ED64FB"/>
    <w:rsid w:val="00ED6556"/>
    <w:rsid w:val="00ED65C1"/>
    <w:rsid w:val="00ED6620"/>
    <w:rsid w:val="00ED6653"/>
    <w:rsid w:val="00ED66E8"/>
    <w:rsid w:val="00ED67EA"/>
    <w:rsid w:val="00ED690C"/>
    <w:rsid w:val="00ED6911"/>
    <w:rsid w:val="00ED69A2"/>
    <w:rsid w:val="00ED6ABC"/>
    <w:rsid w:val="00ED6AF1"/>
    <w:rsid w:val="00ED6B35"/>
    <w:rsid w:val="00ED6BCD"/>
    <w:rsid w:val="00ED6C21"/>
    <w:rsid w:val="00ED6C4C"/>
    <w:rsid w:val="00ED6E0E"/>
    <w:rsid w:val="00ED6E71"/>
    <w:rsid w:val="00ED6E98"/>
    <w:rsid w:val="00ED6EAF"/>
    <w:rsid w:val="00ED6EB0"/>
    <w:rsid w:val="00ED6EB2"/>
    <w:rsid w:val="00ED6F37"/>
    <w:rsid w:val="00ED6F94"/>
    <w:rsid w:val="00ED7035"/>
    <w:rsid w:val="00ED703C"/>
    <w:rsid w:val="00ED7076"/>
    <w:rsid w:val="00ED70A7"/>
    <w:rsid w:val="00ED70E7"/>
    <w:rsid w:val="00ED713C"/>
    <w:rsid w:val="00ED7146"/>
    <w:rsid w:val="00ED71AF"/>
    <w:rsid w:val="00ED71B5"/>
    <w:rsid w:val="00ED71C0"/>
    <w:rsid w:val="00ED7253"/>
    <w:rsid w:val="00ED7264"/>
    <w:rsid w:val="00ED731A"/>
    <w:rsid w:val="00ED7350"/>
    <w:rsid w:val="00ED73AC"/>
    <w:rsid w:val="00ED73D2"/>
    <w:rsid w:val="00ED73E4"/>
    <w:rsid w:val="00ED7406"/>
    <w:rsid w:val="00ED74A0"/>
    <w:rsid w:val="00ED74A9"/>
    <w:rsid w:val="00ED74DD"/>
    <w:rsid w:val="00ED74F8"/>
    <w:rsid w:val="00ED7509"/>
    <w:rsid w:val="00ED750F"/>
    <w:rsid w:val="00ED752F"/>
    <w:rsid w:val="00ED7651"/>
    <w:rsid w:val="00ED77F6"/>
    <w:rsid w:val="00ED780C"/>
    <w:rsid w:val="00ED7871"/>
    <w:rsid w:val="00ED7920"/>
    <w:rsid w:val="00ED792F"/>
    <w:rsid w:val="00ED7991"/>
    <w:rsid w:val="00ED79D8"/>
    <w:rsid w:val="00ED7A21"/>
    <w:rsid w:val="00ED7A51"/>
    <w:rsid w:val="00ED7A7B"/>
    <w:rsid w:val="00ED7B3F"/>
    <w:rsid w:val="00ED7BB9"/>
    <w:rsid w:val="00ED7C45"/>
    <w:rsid w:val="00ED7C77"/>
    <w:rsid w:val="00ED7CCB"/>
    <w:rsid w:val="00ED7D3B"/>
    <w:rsid w:val="00ED7DBD"/>
    <w:rsid w:val="00ED7E98"/>
    <w:rsid w:val="00ED7EC3"/>
    <w:rsid w:val="00ED7EC7"/>
    <w:rsid w:val="00ED7EE2"/>
    <w:rsid w:val="00EE00CD"/>
    <w:rsid w:val="00EE0111"/>
    <w:rsid w:val="00EE01A8"/>
    <w:rsid w:val="00EE02B6"/>
    <w:rsid w:val="00EE030F"/>
    <w:rsid w:val="00EE034C"/>
    <w:rsid w:val="00EE03F9"/>
    <w:rsid w:val="00EE041B"/>
    <w:rsid w:val="00EE05CA"/>
    <w:rsid w:val="00EE062B"/>
    <w:rsid w:val="00EE0684"/>
    <w:rsid w:val="00EE06AF"/>
    <w:rsid w:val="00EE0778"/>
    <w:rsid w:val="00EE0779"/>
    <w:rsid w:val="00EE08CF"/>
    <w:rsid w:val="00EE0940"/>
    <w:rsid w:val="00EE0A16"/>
    <w:rsid w:val="00EE0A3B"/>
    <w:rsid w:val="00EE0A3E"/>
    <w:rsid w:val="00EE0A83"/>
    <w:rsid w:val="00EE0AB6"/>
    <w:rsid w:val="00EE0B03"/>
    <w:rsid w:val="00EE0B07"/>
    <w:rsid w:val="00EE0B3C"/>
    <w:rsid w:val="00EE0B93"/>
    <w:rsid w:val="00EE0BDD"/>
    <w:rsid w:val="00EE0BFC"/>
    <w:rsid w:val="00EE0CF8"/>
    <w:rsid w:val="00EE0D9C"/>
    <w:rsid w:val="00EE0DB0"/>
    <w:rsid w:val="00EE0DF2"/>
    <w:rsid w:val="00EE0E54"/>
    <w:rsid w:val="00EE0EED"/>
    <w:rsid w:val="00EE0F4E"/>
    <w:rsid w:val="00EE0F8E"/>
    <w:rsid w:val="00EE10F1"/>
    <w:rsid w:val="00EE11E8"/>
    <w:rsid w:val="00EE12E4"/>
    <w:rsid w:val="00EE1300"/>
    <w:rsid w:val="00EE1318"/>
    <w:rsid w:val="00EE1491"/>
    <w:rsid w:val="00EE14F1"/>
    <w:rsid w:val="00EE1701"/>
    <w:rsid w:val="00EE1722"/>
    <w:rsid w:val="00EE1753"/>
    <w:rsid w:val="00EE1760"/>
    <w:rsid w:val="00EE17AD"/>
    <w:rsid w:val="00EE17DA"/>
    <w:rsid w:val="00EE1848"/>
    <w:rsid w:val="00EE18D9"/>
    <w:rsid w:val="00EE1908"/>
    <w:rsid w:val="00EE1919"/>
    <w:rsid w:val="00EE1930"/>
    <w:rsid w:val="00EE1931"/>
    <w:rsid w:val="00EE194E"/>
    <w:rsid w:val="00EE196A"/>
    <w:rsid w:val="00EE19A9"/>
    <w:rsid w:val="00EE1A36"/>
    <w:rsid w:val="00EE1B29"/>
    <w:rsid w:val="00EE1B42"/>
    <w:rsid w:val="00EE1B52"/>
    <w:rsid w:val="00EE1B8C"/>
    <w:rsid w:val="00EE1B91"/>
    <w:rsid w:val="00EE1BBE"/>
    <w:rsid w:val="00EE1C4B"/>
    <w:rsid w:val="00EE1C96"/>
    <w:rsid w:val="00EE1CAD"/>
    <w:rsid w:val="00EE1D04"/>
    <w:rsid w:val="00EE1D89"/>
    <w:rsid w:val="00EE1DBA"/>
    <w:rsid w:val="00EE1E69"/>
    <w:rsid w:val="00EE1E81"/>
    <w:rsid w:val="00EE1ECF"/>
    <w:rsid w:val="00EE1FF4"/>
    <w:rsid w:val="00EE2024"/>
    <w:rsid w:val="00EE20AE"/>
    <w:rsid w:val="00EE20C5"/>
    <w:rsid w:val="00EE20E1"/>
    <w:rsid w:val="00EE20EA"/>
    <w:rsid w:val="00EE22A5"/>
    <w:rsid w:val="00EE22D6"/>
    <w:rsid w:val="00EE2394"/>
    <w:rsid w:val="00EE242E"/>
    <w:rsid w:val="00EE2526"/>
    <w:rsid w:val="00EE2529"/>
    <w:rsid w:val="00EE259F"/>
    <w:rsid w:val="00EE25A9"/>
    <w:rsid w:val="00EE260D"/>
    <w:rsid w:val="00EE2743"/>
    <w:rsid w:val="00EE27BC"/>
    <w:rsid w:val="00EE2851"/>
    <w:rsid w:val="00EE2875"/>
    <w:rsid w:val="00EE287D"/>
    <w:rsid w:val="00EE28D0"/>
    <w:rsid w:val="00EE2995"/>
    <w:rsid w:val="00EE2998"/>
    <w:rsid w:val="00EE29DA"/>
    <w:rsid w:val="00EE2A09"/>
    <w:rsid w:val="00EE2AF9"/>
    <w:rsid w:val="00EE2BE1"/>
    <w:rsid w:val="00EE2C56"/>
    <w:rsid w:val="00EE2C92"/>
    <w:rsid w:val="00EE2CF7"/>
    <w:rsid w:val="00EE2D58"/>
    <w:rsid w:val="00EE2E18"/>
    <w:rsid w:val="00EE2E52"/>
    <w:rsid w:val="00EE3013"/>
    <w:rsid w:val="00EE30E9"/>
    <w:rsid w:val="00EE326D"/>
    <w:rsid w:val="00EE342E"/>
    <w:rsid w:val="00EE344B"/>
    <w:rsid w:val="00EE34A6"/>
    <w:rsid w:val="00EE34B5"/>
    <w:rsid w:val="00EE3524"/>
    <w:rsid w:val="00EE3537"/>
    <w:rsid w:val="00EE3573"/>
    <w:rsid w:val="00EE366E"/>
    <w:rsid w:val="00EE36AA"/>
    <w:rsid w:val="00EE36AF"/>
    <w:rsid w:val="00EE377B"/>
    <w:rsid w:val="00EE37A8"/>
    <w:rsid w:val="00EE37AA"/>
    <w:rsid w:val="00EE37D5"/>
    <w:rsid w:val="00EE3903"/>
    <w:rsid w:val="00EE395A"/>
    <w:rsid w:val="00EE3994"/>
    <w:rsid w:val="00EE3B54"/>
    <w:rsid w:val="00EE3BE2"/>
    <w:rsid w:val="00EE3C00"/>
    <w:rsid w:val="00EE3CBE"/>
    <w:rsid w:val="00EE3E5D"/>
    <w:rsid w:val="00EE3FBD"/>
    <w:rsid w:val="00EE4015"/>
    <w:rsid w:val="00EE40FC"/>
    <w:rsid w:val="00EE4101"/>
    <w:rsid w:val="00EE4261"/>
    <w:rsid w:val="00EE4287"/>
    <w:rsid w:val="00EE4338"/>
    <w:rsid w:val="00EE4351"/>
    <w:rsid w:val="00EE43DD"/>
    <w:rsid w:val="00EE4461"/>
    <w:rsid w:val="00EE4545"/>
    <w:rsid w:val="00EE455E"/>
    <w:rsid w:val="00EE45A3"/>
    <w:rsid w:val="00EE45AE"/>
    <w:rsid w:val="00EE4698"/>
    <w:rsid w:val="00EE46E4"/>
    <w:rsid w:val="00EE4931"/>
    <w:rsid w:val="00EE4A4D"/>
    <w:rsid w:val="00EE4A90"/>
    <w:rsid w:val="00EE4A98"/>
    <w:rsid w:val="00EE4AB6"/>
    <w:rsid w:val="00EE4AEE"/>
    <w:rsid w:val="00EE4AF4"/>
    <w:rsid w:val="00EE4B8F"/>
    <w:rsid w:val="00EE4BA7"/>
    <w:rsid w:val="00EE4BDB"/>
    <w:rsid w:val="00EE4CA7"/>
    <w:rsid w:val="00EE4D71"/>
    <w:rsid w:val="00EE4DB6"/>
    <w:rsid w:val="00EE4E84"/>
    <w:rsid w:val="00EE4E99"/>
    <w:rsid w:val="00EE4EE9"/>
    <w:rsid w:val="00EE4F09"/>
    <w:rsid w:val="00EE4F56"/>
    <w:rsid w:val="00EE4F70"/>
    <w:rsid w:val="00EE50C4"/>
    <w:rsid w:val="00EE50E2"/>
    <w:rsid w:val="00EE5186"/>
    <w:rsid w:val="00EE51EB"/>
    <w:rsid w:val="00EE5296"/>
    <w:rsid w:val="00EE52AB"/>
    <w:rsid w:val="00EE52C5"/>
    <w:rsid w:val="00EE52CC"/>
    <w:rsid w:val="00EE5473"/>
    <w:rsid w:val="00EE54B7"/>
    <w:rsid w:val="00EE54D5"/>
    <w:rsid w:val="00EE55D6"/>
    <w:rsid w:val="00EE55F4"/>
    <w:rsid w:val="00EE56D1"/>
    <w:rsid w:val="00EE5717"/>
    <w:rsid w:val="00EE5843"/>
    <w:rsid w:val="00EE5896"/>
    <w:rsid w:val="00EE589C"/>
    <w:rsid w:val="00EE58E4"/>
    <w:rsid w:val="00EE5932"/>
    <w:rsid w:val="00EE5A03"/>
    <w:rsid w:val="00EE5A1D"/>
    <w:rsid w:val="00EE5A57"/>
    <w:rsid w:val="00EE5AA3"/>
    <w:rsid w:val="00EE5B3E"/>
    <w:rsid w:val="00EE5CD4"/>
    <w:rsid w:val="00EE5D85"/>
    <w:rsid w:val="00EE5DA8"/>
    <w:rsid w:val="00EE5EB0"/>
    <w:rsid w:val="00EE5F78"/>
    <w:rsid w:val="00EE5FDE"/>
    <w:rsid w:val="00EE5FE1"/>
    <w:rsid w:val="00EE5FEF"/>
    <w:rsid w:val="00EE60DC"/>
    <w:rsid w:val="00EE6269"/>
    <w:rsid w:val="00EE63A6"/>
    <w:rsid w:val="00EE63EE"/>
    <w:rsid w:val="00EE647B"/>
    <w:rsid w:val="00EE648F"/>
    <w:rsid w:val="00EE65EC"/>
    <w:rsid w:val="00EE65F6"/>
    <w:rsid w:val="00EE662C"/>
    <w:rsid w:val="00EE6653"/>
    <w:rsid w:val="00EE665C"/>
    <w:rsid w:val="00EE66BD"/>
    <w:rsid w:val="00EE66E5"/>
    <w:rsid w:val="00EE6731"/>
    <w:rsid w:val="00EE67D4"/>
    <w:rsid w:val="00EE68DE"/>
    <w:rsid w:val="00EE6960"/>
    <w:rsid w:val="00EE6976"/>
    <w:rsid w:val="00EE6988"/>
    <w:rsid w:val="00EE6991"/>
    <w:rsid w:val="00EE69A6"/>
    <w:rsid w:val="00EE69E3"/>
    <w:rsid w:val="00EE6A10"/>
    <w:rsid w:val="00EE6A68"/>
    <w:rsid w:val="00EE6C1E"/>
    <w:rsid w:val="00EE6C4B"/>
    <w:rsid w:val="00EE6CA9"/>
    <w:rsid w:val="00EE6CAF"/>
    <w:rsid w:val="00EE6CF1"/>
    <w:rsid w:val="00EE6D05"/>
    <w:rsid w:val="00EE6D11"/>
    <w:rsid w:val="00EE6DA7"/>
    <w:rsid w:val="00EE6DBA"/>
    <w:rsid w:val="00EE6DF0"/>
    <w:rsid w:val="00EE6E32"/>
    <w:rsid w:val="00EE6E53"/>
    <w:rsid w:val="00EE6E7A"/>
    <w:rsid w:val="00EE6EE2"/>
    <w:rsid w:val="00EE6FF2"/>
    <w:rsid w:val="00EE7043"/>
    <w:rsid w:val="00EE7072"/>
    <w:rsid w:val="00EE7085"/>
    <w:rsid w:val="00EE710A"/>
    <w:rsid w:val="00EE71AF"/>
    <w:rsid w:val="00EE71E8"/>
    <w:rsid w:val="00EE7373"/>
    <w:rsid w:val="00EE74EB"/>
    <w:rsid w:val="00EE751F"/>
    <w:rsid w:val="00EE7547"/>
    <w:rsid w:val="00EE770E"/>
    <w:rsid w:val="00EE785D"/>
    <w:rsid w:val="00EE7884"/>
    <w:rsid w:val="00EE79C6"/>
    <w:rsid w:val="00EE7B83"/>
    <w:rsid w:val="00EE7C52"/>
    <w:rsid w:val="00EE7C6D"/>
    <w:rsid w:val="00EE7CE6"/>
    <w:rsid w:val="00EE7D1D"/>
    <w:rsid w:val="00EE7E73"/>
    <w:rsid w:val="00EE7EA7"/>
    <w:rsid w:val="00EEB989"/>
    <w:rsid w:val="00EEF599"/>
    <w:rsid w:val="00EF01ED"/>
    <w:rsid w:val="00EF023B"/>
    <w:rsid w:val="00EF028A"/>
    <w:rsid w:val="00EF030B"/>
    <w:rsid w:val="00EF0383"/>
    <w:rsid w:val="00EF0479"/>
    <w:rsid w:val="00EF04C3"/>
    <w:rsid w:val="00EF0554"/>
    <w:rsid w:val="00EF056A"/>
    <w:rsid w:val="00EF0588"/>
    <w:rsid w:val="00EF0590"/>
    <w:rsid w:val="00EF05FF"/>
    <w:rsid w:val="00EF0679"/>
    <w:rsid w:val="00EF06AF"/>
    <w:rsid w:val="00EF06BE"/>
    <w:rsid w:val="00EF06C8"/>
    <w:rsid w:val="00EF06E6"/>
    <w:rsid w:val="00EF073B"/>
    <w:rsid w:val="00EF0836"/>
    <w:rsid w:val="00EF0886"/>
    <w:rsid w:val="00EF08C8"/>
    <w:rsid w:val="00EF094E"/>
    <w:rsid w:val="00EF0963"/>
    <w:rsid w:val="00EF0988"/>
    <w:rsid w:val="00EF0A6B"/>
    <w:rsid w:val="00EF0A8A"/>
    <w:rsid w:val="00EF0A9E"/>
    <w:rsid w:val="00EF0B13"/>
    <w:rsid w:val="00EF0CBF"/>
    <w:rsid w:val="00EF0CCD"/>
    <w:rsid w:val="00EF0D0C"/>
    <w:rsid w:val="00EF0E11"/>
    <w:rsid w:val="00EF0E15"/>
    <w:rsid w:val="00EF0FD9"/>
    <w:rsid w:val="00EF1052"/>
    <w:rsid w:val="00EF1064"/>
    <w:rsid w:val="00EF107F"/>
    <w:rsid w:val="00EF1084"/>
    <w:rsid w:val="00EF10BD"/>
    <w:rsid w:val="00EF126A"/>
    <w:rsid w:val="00EF129B"/>
    <w:rsid w:val="00EF12DF"/>
    <w:rsid w:val="00EF13A1"/>
    <w:rsid w:val="00EF151B"/>
    <w:rsid w:val="00EF15DE"/>
    <w:rsid w:val="00EF16E7"/>
    <w:rsid w:val="00EF1702"/>
    <w:rsid w:val="00EF1756"/>
    <w:rsid w:val="00EF1762"/>
    <w:rsid w:val="00EF17A8"/>
    <w:rsid w:val="00EF1816"/>
    <w:rsid w:val="00EF1838"/>
    <w:rsid w:val="00EF1853"/>
    <w:rsid w:val="00EF1968"/>
    <w:rsid w:val="00EF196B"/>
    <w:rsid w:val="00EF1984"/>
    <w:rsid w:val="00EF198C"/>
    <w:rsid w:val="00EF19E4"/>
    <w:rsid w:val="00EF1A11"/>
    <w:rsid w:val="00EF1A2D"/>
    <w:rsid w:val="00EF1A97"/>
    <w:rsid w:val="00EF1B3E"/>
    <w:rsid w:val="00EF1BD1"/>
    <w:rsid w:val="00EF1C2B"/>
    <w:rsid w:val="00EF1C90"/>
    <w:rsid w:val="00EF1D3C"/>
    <w:rsid w:val="00EF1F92"/>
    <w:rsid w:val="00EF1FA6"/>
    <w:rsid w:val="00EF1FA9"/>
    <w:rsid w:val="00EF20A3"/>
    <w:rsid w:val="00EF20D0"/>
    <w:rsid w:val="00EF20E6"/>
    <w:rsid w:val="00EF20FF"/>
    <w:rsid w:val="00EF2181"/>
    <w:rsid w:val="00EF2298"/>
    <w:rsid w:val="00EF2354"/>
    <w:rsid w:val="00EF2363"/>
    <w:rsid w:val="00EF24A4"/>
    <w:rsid w:val="00EF24D1"/>
    <w:rsid w:val="00EF2516"/>
    <w:rsid w:val="00EF2552"/>
    <w:rsid w:val="00EF2614"/>
    <w:rsid w:val="00EF267C"/>
    <w:rsid w:val="00EF277F"/>
    <w:rsid w:val="00EF2823"/>
    <w:rsid w:val="00EF2858"/>
    <w:rsid w:val="00EF2890"/>
    <w:rsid w:val="00EF29BB"/>
    <w:rsid w:val="00EF2A08"/>
    <w:rsid w:val="00EF2A4C"/>
    <w:rsid w:val="00EF2B18"/>
    <w:rsid w:val="00EF2C30"/>
    <w:rsid w:val="00EF2C3C"/>
    <w:rsid w:val="00EF2D07"/>
    <w:rsid w:val="00EF2D90"/>
    <w:rsid w:val="00EF2E35"/>
    <w:rsid w:val="00EF2EDE"/>
    <w:rsid w:val="00EF2F47"/>
    <w:rsid w:val="00EF2F8A"/>
    <w:rsid w:val="00EF2FFA"/>
    <w:rsid w:val="00EF306F"/>
    <w:rsid w:val="00EF316D"/>
    <w:rsid w:val="00EF31C7"/>
    <w:rsid w:val="00EF3214"/>
    <w:rsid w:val="00EF327E"/>
    <w:rsid w:val="00EF32CE"/>
    <w:rsid w:val="00EF3373"/>
    <w:rsid w:val="00EF3399"/>
    <w:rsid w:val="00EF33C0"/>
    <w:rsid w:val="00EF33C7"/>
    <w:rsid w:val="00EF33D7"/>
    <w:rsid w:val="00EF34DE"/>
    <w:rsid w:val="00EF355C"/>
    <w:rsid w:val="00EF35E4"/>
    <w:rsid w:val="00EF3689"/>
    <w:rsid w:val="00EF36C3"/>
    <w:rsid w:val="00EF3713"/>
    <w:rsid w:val="00EF3728"/>
    <w:rsid w:val="00EF37A2"/>
    <w:rsid w:val="00EF37CE"/>
    <w:rsid w:val="00EF3823"/>
    <w:rsid w:val="00EF389C"/>
    <w:rsid w:val="00EF38F4"/>
    <w:rsid w:val="00EF393E"/>
    <w:rsid w:val="00EF395F"/>
    <w:rsid w:val="00EF396E"/>
    <w:rsid w:val="00EF3A0F"/>
    <w:rsid w:val="00EF3A40"/>
    <w:rsid w:val="00EF3BCD"/>
    <w:rsid w:val="00EF3BF3"/>
    <w:rsid w:val="00EF3BF7"/>
    <w:rsid w:val="00EF3C90"/>
    <w:rsid w:val="00EF3C9A"/>
    <w:rsid w:val="00EF3D73"/>
    <w:rsid w:val="00EF3D78"/>
    <w:rsid w:val="00EF3DAE"/>
    <w:rsid w:val="00EF3E23"/>
    <w:rsid w:val="00EF3F1A"/>
    <w:rsid w:val="00EF3F67"/>
    <w:rsid w:val="00EF3FC2"/>
    <w:rsid w:val="00EF40CC"/>
    <w:rsid w:val="00EF4219"/>
    <w:rsid w:val="00EF4251"/>
    <w:rsid w:val="00EF4275"/>
    <w:rsid w:val="00EF43E3"/>
    <w:rsid w:val="00EF43EC"/>
    <w:rsid w:val="00EF444B"/>
    <w:rsid w:val="00EF4476"/>
    <w:rsid w:val="00EF44AA"/>
    <w:rsid w:val="00EF44B9"/>
    <w:rsid w:val="00EF44CA"/>
    <w:rsid w:val="00EF44E5"/>
    <w:rsid w:val="00EF44F5"/>
    <w:rsid w:val="00EF4538"/>
    <w:rsid w:val="00EF45A7"/>
    <w:rsid w:val="00EF461E"/>
    <w:rsid w:val="00EF462A"/>
    <w:rsid w:val="00EF46A1"/>
    <w:rsid w:val="00EF46BE"/>
    <w:rsid w:val="00EF474B"/>
    <w:rsid w:val="00EF49EE"/>
    <w:rsid w:val="00EF4A44"/>
    <w:rsid w:val="00EF4A98"/>
    <w:rsid w:val="00EF4B52"/>
    <w:rsid w:val="00EF4B71"/>
    <w:rsid w:val="00EF4BC4"/>
    <w:rsid w:val="00EF4BF8"/>
    <w:rsid w:val="00EF4C57"/>
    <w:rsid w:val="00EF4C62"/>
    <w:rsid w:val="00EF4D42"/>
    <w:rsid w:val="00EF4ED7"/>
    <w:rsid w:val="00EF5148"/>
    <w:rsid w:val="00EF5169"/>
    <w:rsid w:val="00EF51AB"/>
    <w:rsid w:val="00EF520E"/>
    <w:rsid w:val="00EF524C"/>
    <w:rsid w:val="00EF5301"/>
    <w:rsid w:val="00EF5302"/>
    <w:rsid w:val="00EF538C"/>
    <w:rsid w:val="00EF539A"/>
    <w:rsid w:val="00EF53DB"/>
    <w:rsid w:val="00EF547D"/>
    <w:rsid w:val="00EF54CC"/>
    <w:rsid w:val="00EF55FB"/>
    <w:rsid w:val="00EF5612"/>
    <w:rsid w:val="00EF562B"/>
    <w:rsid w:val="00EF5630"/>
    <w:rsid w:val="00EF5690"/>
    <w:rsid w:val="00EF56BB"/>
    <w:rsid w:val="00EF573B"/>
    <w:rsid w:val="00EF5874"/>
    <w:rsid w:val="00EF587B"/>
    <w:rsid w:val="00EF5A8B"/>
    <w:rsid w:val="00EF5AB7"/>
    <w:rsid w:val="00EF5B0E"/>
    <w:rsid w:val="00EF5B40"/>
    <w:rsid w:val="00EF5B68"/>
    <w:rsid w:val="00EF5C1C"/>
    <w:rsid w:val="00EF5C33"/>
    <w:rsid w:val="00EF5C68"/>
    <w:rsid w:val="00EF5C69"/>
    <w:rsid w:val="00EF5CA2"/>
    <w:rsid w:val="00EF5D0E"/>
    <w:rsid w:val="00EF5D7B"/>
    <w:rsid w:val="00EF5DA4"/>
    <w:rsid w:val="00EF5E0E"/>
    <w:rsid w:val="00EF5E43"/>
    <w:rsid w:val="00EF60A6"/>
    <w:rsid w:val="00EF610E"/>
    <w:rsid w:val="00EF6122"/>
    <w:rsid w:val="00EF6147"/>
    <w:rsid w:val="00EF61AC"/>
    <w:rsid w:val="00EF6371"/>
    <w:rsid w:val="00EF6404"/>
    <w:rsid w:val="00EF6431"/>
    <w:rsid w:val="00EF64BD"/>
    <w:rsid w:val="00EF65DA"/>
    <w:rsid w:val="00EF673C"/>
    <w:rsid w:val="00EF679A"/>
    <w:rsid w:val="00EF6881"/>
    <w:rsid w:val="00EF68FE"/>
    <w:rsid w:val="00EF6940"/>
    <w:rsid w:val="00EF6959"/>
    <w:rsid w:val="00EF69ED"/>
    <w:rsid w:val="00EF69EE"/>
    <w:rsid w:val="00EF6A41"/>
    <w:rsid w:val="00EF6A7F"/>
    <w:rsid w:val="00EF6A84"/>
    <w:rsid w:val="00EF6A91"/>
    <w:rsid w:val="00EF6AAF"/>
    <w:rsid w:val="00EF6B23"/>
    <w:rsid w:val="00EF6B74"/>
    <w:rsid w:val="00EF6B77"/>
    <w:rsid w:val="00EF6B86"/>
    <w:rsid w:val="00EF6BE2"/>
    <w:rsid w:val="00EF6C43"/>
    <w:rsid w:val="00EF6D15"/>
    <w:rsid w:val="00EF6D6B"/>
    <w:rsid w:val="00EF6DAB"/>
    <w:rsid w:val="00EF6E75"/>
    <w:rsid w:val="00EF6F4D"/>
    <w:rsid w:val="00EF7043"/>
    <w:rsid w:val="00EF7089"/>
    <w:rsid w:val="00EF70B3"/>
    <w:rsid w:val="00EF71EA"/>
    <w:rsid w:val="00EF71F7"/>
    <w:rsid w:val="00EF7290"/>
    <w:rsid w:val="00EF72E7"/>
    <w:rsid w:val="00EF7315"/>
    <w:rsid w:val="00EF7378"/>
    <w:rsid w:val="00EF73CF"/>
    <w:rsid w:val="00EF7496"/>
    <w:rsid w:val="00EF75C6"/>
    <w:rsid w:val="00EF76AF"/>
    <w:rsid w:val="00EF7742"/>
    <w:rsid w:val="00EF774A"/>
    <w:rsid w:val="00EF7756"/>
    <w:rsid w:val="00EF77CC"/>
    <w:rsid w:val="00EF77E1"/>
    <w:rsid w:val="00EF7839"/>
    <w:rsid w:val="00EF78F7"/>
    <w:rsid w:val="00EF793C"/>
    <w:rsid w:val="00EF79B9"/>
    <w:rsid w:val="00EF7A38"/>
    <w:rsid w:val="00EF7A98"/>
    <w:rsid w:val="00EF7B43"/>
    <w:rsid w:val="00EF7B59"/>
    <w:rsid w:val="00EF7C76"/>
    <w:rsid w:val="00EF7C8E"/>
    <w:rsid w:val="00EF7D40"/>
    <w:rsid w:val="00EF7DB6"/>
    <w:rsid w:val="00EF7E32"/>
    <w:rsid w:val="00EF7E85"/>
    <w:rsid w:val="00EF7F29"/>
    <w:rsid w:val="00EF7F73"/>
    <w:rsid w:val="00EF7F9E"/>
    <w:rsid w:val="00F000C2"/>
    <w:rsid w:val="00F00112"/>
    <w:rsid w:val="00F001D9"/>
    <w:rsid w:val="00F001DD"/>
    <w:rsid w:val="00F001F6"/>
    <w:rsid w:val="00F00298"/>
    <w:rsid w:val="00F002C5"/>
    <w:rsid w:val="00F002CB"/>
    <w:rsid w:val="00F002F4"/>
    <w:rsid w:val="00F00310"/>
    <w:rsid w:val="00F00346"/>
    <w:rsid w:val="00F0038D"/>
    <w:rsid w:val="00F003B1"/>
    <w:rsid w:val="00F00406"/>
    <w:rsid w:val="00F0043C"/>
    <w:rsid w:val="00F004BC"/>
    <w:rsid w:val="00F004E9"/>
    <w:rsid w:val="00F0053C"/>
    <w:rsid w:val="00F00584"/>
    <w:rsid w:val="00F0061F"/>
    <w:rsid w:val="00F0077B"/>
    <w:rsid w:val="00F00799"/>
    <w:rsid w:val="00F00846"/>
    <w:rsid w:val="00F008C9"/>
    <w:rsid w:val="00F0091E"/>
    <w:rsid w:val="00F00A22"/>
    <w:rsid w:val="00F00A23"/>
    <w:rsid w:val="00F00A9A"/>
    <w:rsid w:val="00F00AA8"/>
    <w:rsid w:val="00F00AF6"/>
    <w:rsid w:val="00F00B01"/>
    <w:rsid w:val="00F00B14"/>
    <w:rsid w:val="00F00B50"/>
    <w:rsid w:val="00F00BB7"/>
    <w:rsid w:val="00F00CF8"/>
    <w:rsid w:val="00F00E12"/>
    <w:rsid w:val="00F00E6F"/>
    <w:rsid w:val="00F00F78"/>
    <w:rsid w:val="00F010C3"/>
    <w:rsid w:val="00F0118E"/>
    <w:rsid w:val="00F011AF"/>
    <w:rsid w:val="00F012CC"/>
    <w:rsid w:val="00F013C3"/>
    <w:rsid w:val="00F0142A"/>
    <w:rsid w:val="00F01452"/>
    <w:rsid w:val="00F01460"/>
    <w:rsid w:val="00F014AB"/>
    <w:rsid w:val="00F014AC"/>
    <w:rsid w:val="00F014B6"/>
    <w:rsid w:val="00F014E1"/>
    <w:rsid w:val="00F01592"/>
    <w:rsid w:val="00F015F8"/>
    <w:rsid w:val="00F015FC"/>
    <w:rsid w:val="00F01623"/>
    <w:rsid w:val="00F01674"/>
    <w:rsid w:val="00F01690"/>
    <w:rsid w:val="00F016A4"/>
    <w:rsid w:val="00F016A7"/>
    <w:rsid w:val="00F016CF"/>
    <w:rsid w:val="00F0175B"/>
    <w:rsid w:val="00F0175E"/>
    <w:rsid w:val="00F0185D"/>
    <w:rsid w:val="00F01899"/>
    <w:rsid w:val="00F018B7"/>
    <w:rsid w:val="00F018D1"/>
    <w:rsid w:val="00F0199E"/>
    <w:rsid w:val="00F019A3"/>
    <w:rsid w:val="00F019CE"/>
    <w:rsid w:val="00F019D4"/>
    <w:rsid w:val="00F019F4"/>
    <w:rsid w:val="00F01A4C"/>
    <w:rsid w:val="00F01A6C"/>
    <w:rsid w:val="00F01A75"/>
    <w:rsid w:val="00F01AD0"/>
    <w:rsid w:val="00F01BE9"/>
    <w:rsid w:val="00F01C97"/>
    <w:rsid w:val="00F01D25"/>
    <w:rsid w:val="00F01DF2"/>
    <w:rsid w:val="00F01E03"/>
    <w:rsid w:val="00F01E0C"/>
    <w:rsid w:val="00F01E78"/>
    <w:rsid w:val="00F01E8A"/>
    <w:rsid w:val="00F01EF4"/>
    <w:rsid w:val="00F01F34"/>
    <w:rsid w:val="00F01F3A"/>
    <w:rsid w:val="00F01F6A"/>
    <w:rsid w:val="00F01F7A"/>
    <w:rsid w:val="00F0202F"/>
    <w:rsid w:val="00F02044"/>
    <w:rsid w:val="00F020DB"/>
    <w:rsid w:val="00F020ED"/>
    <w:rsid w:val="00F020FC"/>
    <w:rsid w:val="00F02158"/>
    <w:rsid w:val="00F0231C"/>
    <w:rsid w:val="00F02328"/>
    <w:rsid w:val="00F02334"/>
    <w:rsid w:val="00F02363"/>
    <w:rsid w:val="00F023F1"/>
    <w:rsid w:val="00F0240E"/>
    <w:rsid w:val="00F0241D"/>
    <w:rsid w:val="00F02433"/>
    <w:rsid w:val="00F024D1"/>
    <w:rsid w:val="00F02515"/>
    <w:rsid w:val="00F0259C"/>
    <w:rsid w:val="00F02623"/>
    <w:rsid w:val="00F02624"/>
    <w:rsid w:val="00F02698"/>
    <w:rsid w:val="00F0271D"/>
    <w:rsid w:val="00F0272B"/>
    <w:rsid w:val="00F027CD"/>
    <w:rsid w:val="00F028CB"/>
    <w:rsid w:val="00F028DF"/>
    <w:rsid w:val="00F0292B"/>
    <w:rsid w:val="00F02968"/>
    <w:rsid w:val="00F029C1"/>
    <w:rsid w:val="00F029E8"/>
    <w:rsid w:val="00F02A42"/>
    <w:rsid w:val="00F02BA3"/>
    <w:rsid w:val="00F02C0D"/>
    <w:rsid w:val="00F02C61"/>
    <w:rsid w:val="00F02C6A"/>
    <w:rsid w:val="00F02D43"/>
    <w:rsid w:val="00F02DDA"/>
    <w:rsid w:val="00F02E33"/>
    <w:rsid w:val="00F02F06"/>
    <w:rsid w:val="00F02F86"/>
    <w:rsid w:val="00F03079"/>
    <w:rsid w:val="00F030C0"/>
    <w:rsid w:val="00F031BB"/>
    <w:rsid w:val="00F031D9"/>
    <w:rsid w:val="00F0336D"/>
    <w:rsid w:val="00F03375"/>
    <w:rsid w:val="00F0340C"/>
    <w:rsid w:val="00F0343D"/>
    <w:rsid w:val="00F0346A"/>
    <w:rsid w:val="00F0347F"/>
    <w:rsid w:val="00F034DF"/>
    <w:rsid w:val="00F03537"/>
    <w:rsid w:val="00F0360B"/>
    <w:rsid w:val="00F036DF"/>
    <w:rsid w:val="00F03725"/>
    <w:rsid w:val="00F03869"/>
    <w:rsid w:val="00F03894"/>
    <w:rsid w:val="00F0390B"/>
    <w:rsid w:val="00F03917"/>
    <w:rsid w:val="00F039C4"/>
    <w:rsid w:val="00F039C7"/>
    <w:rsid w:val="00F03BFC"/>
    <w:rsid w:val="00F03C06"/>
    <w:rsid w:val="00F03C70"/>
    <w:rsid w:val="00F03D7C"/>
    <w:rsid w:val="00F03D92"/>
    <w:rsid w:val="00F03DA7"/>
    <w:rsid w:val="00F03DB7"/>
    <w:rsid w:val="00F03DCC"/>
    <w:rsid w:val="00F03E2B"/>
    <w:rsid w:val="00F03E97"/>
    <w:rsid w:val="00F03EE9"/>
    <w:rsid w:val="00F03EEB"/>
    <w:rsid w:val="00F03FEC"/>
    <w:rsid w:val="00F0403C"/>
    <w:rsid w:val="00F0404C"/>
    <w:rsid w:val="00F04084"/>
    <w:rsid w:val="00F0409C"/>
    <w:rsid w:val="00F04204"/>
    <w:rsid w:val="00F04215"/>
    <w:rsid w:val="00F04222"/>
    <w:rsid w:val="00F0429B"/>
    <w:rsid w:val="00F0437E"/>
    <w:rsid w:val="00F04487"/>
    <w:rsid w:val="00F04501"/>
    <w:rsid w:val="00F04540"/>
    <w:rsid w:val="00F045CB"/>
    <w:rsid w:val="00F04638"/>
    <w:rsid w:val="00F0470A"/>
    <w:rsid w:val="00F0479C"/>
    <w:rsid w:val="00F047B6"/>
    <w:rsid w:val="00F047CE"/>
    <w:rsid w:val="00F0486B"/>
    <w:rsid w:val="00F04893"/>
    <w:rsid w:val="00F048D8"/>
    <w:rsid w:val="00F0494E"/>
    <w:rsid w:val="00F049B7"/>
    <w:rsid w:val="00F049D4"/>
    <w:rsid w:val="00F049E8"/>
    <w:rsid w:val="00F049EE"/>
    <w:rsid w:val="00F04A40"/>
    <w:rsid w:val="00F04AF8"/>
    <w:rsid w:val="00F04B36"/>
    <w:rsid w:val="00F04B73"/>
    <w:rsid w:val="00F04C64"/>
    <w:rsid w:val="00F04C78"/>
    <w:rsid w:val="00F04CA8"/>
    <w:rsid w:val="00F04D63"/>
    <w:rsid w:val="00F04DC0"/>
    <w:rsid w:val="00F04E06"/>
    <w:rsid w:val="00F04E22"/>
    <w:rsid w:val="00F04E38"/>
    <w:rsid w:val="00F04E9A"/>
    <w:rsid w:val="00F04F8C"/>
    <w:rsid w:val="00F04F94"/>
    <w:rsid w:val="00F04F9A"/>
    <w:rsid w:val="00F0504A"/>
    <w:rsid w:val="00F050AE"/>
    <w:rsid w:val="00F05294"/>
    <w:rsid w:val="00F052AC"/>
    <w:rsid w:val="00F052C5"/>
    <w:rsid w:val="00F05377"/>
    <w:rsid w:val="00F053D2"/>
    <w:rsid w:val="00F05424"/>
    <w:rsid w:val="00F0549A"/>
    <w:rsid w:val="00F055B7"/>
    <w:rsid w:val="00F055ED"/>
    <w:rsid w:val="00F0560F"/>
    <w:rsid w:val="00F056A7"/>
    <w:rsid w:val="00F057FC"/>
    <w:rsid w:val="00F058DE"/>
    <w:rsid w:val="00F05A4E"/>
    <w:rsid w:val="00F05B21"/>
    <w:rsid w:val="00F05B85"/>
    <w:rsid w:val="00F05DED"/>
    <w:rsid w:val="00F05E00"/>
    <w:rsid w:val="00F05E57"/>
    <w:rsid w:val="00F05E86"/>
    <w:rsid w:val="00F05EFD"/>
    <w:rsid w:val="00F05F4F"/>
    <w:rsid w:val="00F05F63"/>
    <w:rsid w:val="00F06002"/>
    <w:rsid w:val="00F06036"/>
    <w:rsid w:val="00F060C0"/>
    <w:rsid w:val="00F06301"/>
    <w:rsid w:val="00F0636F"/>
    <w:rsid w:val="00F063AF"/>
    <w:rsid w:val="00F064D5"/>
    <w:rsid w:val="00F064DD"/>
    <w:rsid w:val="00F064EF"/>
    <w:rsid w:val="00F065BE"/>
    <w:rsid w:val="00F06632"/>
    <w:rsid w:val="00F0665B"/>
    <w:rsid w:val="00F0666A"/>
    <w:rsid w:val="00F0669A"/>
    <w:rsid w:val="00F06712"/>
    <w:rsid w:val="00F0683C"/>
    <w:rsid w:val="00F068B1"/>
    <w:rsid w:val="00F06935"/>
    <w:rsid w:val="00F06AAB"/>
    <w:rsid w:val="00F06AC4"/>
    <w:rsid w:val="00F06B95"/>
    <w:rsid w:val="00F06BF7"/>
    <w:rsid w:val="00F06D67"/>
    <w:rsid w:val="00F06D7B"/>
    <w:rsid w:val="00F06DB8"/>
    <w:rsid w:val="00F06DE9"/>
    <w:rsid w:val="00F06E3F"/>
    <w:rsid w:val="00F06F14"/>
    <w:rsid w:val="00F07023"/>
    <w:rsid w:val="00F0710B"/>
    <w:rsid w:val="00F071EB"/>
    <w:rsid w:val="00F071F3"/>
    <w:rsid w:val="00F07317"/>
    <w:rsid w:val="00F07375"/>
    <w:rsid w:val="00F07387"/>
    <w:rsid w:val="00F073AD"/>
    <w:rsid w:val="00F073EE"/>
    <w:rsid w:val="00F073FC"/>
    <w:rsid w:val="00F07405"/>
    <w:rsid w:val="00F0740C"/>
    <w:rsid w:val="00F07503"/>
    <w:rsid w:val="00F075B3"/>
    <w:rsid w:val="00F075D7"/>
    <w:rsid w:val="00F07604"/>
    <w:rsid w:val="00F0763E"/>
    <w:rsid w:val="00F076C7"/>
    <w:rsid w:val="00F07702"/>
    <w:rsid w:val="00F0781A"/>
    <w:rsid w:val="00F07861"/>
    <w:rsid w:val="00F0786E"/>
    <w:rsid w:val="00F078CA"/>
    <w:rsid w:val="00F07962"/>
    <w:rsid w:val="00F079B6"/>
    <w:rsid w:val="00F079B8"/>
    <w:rsid w:val="00F07B5E"/>
    <w:rsid w:val="00F07B63"/>
    <w:rsid w:val="00F07B6E"/>
    <w:rsid w:val="00F07B94"/>
    <w:rsid w:val="00F07BDA"/>
    <w:rsid w:val="00F07BDB"/>
    <w:rsid w:val="00F07C58"/>
    <w:rsid w:val="00F07C97"/>
    <w:rsid w:val="00F07CC5"/>
    <w:rsid w:val="00F07DCE"/>
    <w:rsid w:val="00F07F64"/>
    <w:rsid w:val="00F10000"/>
    <w:rsid w:val="00F1002C"/>
    <w:rsid w:val="00F10050"/>
    <w:rsid w:val="00F101ED"/>
    <w:rsid w:val="00F10225"/>
    <w:rsid w:val="00F102B4"/>
    <w:rsid w:val="00F102C2"/>
    <w:rsid w:val="00F102E9"/>
    <w:rsid w:val="00F10375"/>
    <w:rsid w:val="00F1037A"/>
    <w:rsid w:val="00F10412"/>
    <w:rsid w:val="00F1048B"/>
    <w:rsid w:val="00F104D2"/>
    <w:rsid w:val="00F104F6"/>
    <w:rsid w:val="00F1050B"/>
    <w:rsid w:val="00F1051D"/>
    <w:rsid w:val="00F10566"/>
    <w:rsid w:val="00F1058F"/>
    <w:rsid w:val="00F105E5"/>
    <w:rsid w:val="00F105E9"/>
    <w:rsid w:val="00F10671"/>
    <w:rsid w:val="00F106BF"/>
    <w:rsid w:val="00F10768"/>
    <w:rsid w:val="00F1078D"/>
    <w:rsid w:val="00F107A3"/>
    <w:rsid w:val="00F1082F"/>
    <w:rsid w:val="00F1089D"/>
    <w:rsid w:val="00F10911"/>
    <w:rsid w:val="00F109A0"/>
    <w:rsid w:val="00F109BC"/>
    <w:rsid w:val="00F10A12"/>
    <w:rsid w:val="00F10B57"/>
    <w:rsid w:val="00F10B5C"/>
    <w:rsid w:val="00F10BA2"/>
    <w:rsid w:val="00F10C30"/>
    <w:rsid w:val="00F10C7F"/>
    <w:rsid w:val="00F10D24"/>
    <w:rsid w:val="00F10D94"/>
    <w:rsid w:val="00F10E10"/>
    <w:rsid w:val="00F10E27"/>
    <w:rsid w:val="00F10E75"/>
    <w:rsid w:val="00F112C6"/>
    <w:rsid w:val="00F113A1"/>
    <w:rsid w:val="00F113E3"/>
    <w:rsid w:val="00F114BE"/>
    <w:rsid w:val="00F114DB"/>
    <w:rsid w:val="00F11577"/>
    <w:rsid w:val="00F11718"/>
    <w:rsid w:val="00F1171A"/>
    <w:rsid w:val="00F11728"/>
    <w:rsid w:val="00F1175B"/>
    <w:rsid w:val="00F11784"/>
    <w:rsid w:val="00F117FE"/>
    <w:rsid w:val="00F1182F"/>
    <w:rsid w:val="00F1184B"/>
    <w:rsid w:val="00F118E4"/>
    <w:rsid w:val="00F11A0C"/>
    <w:rsid w:val="00F11AB1"/>
    <w:rsid w:val="00F11AF7"/>
    <w:rsid w:val="00F11B5C"/>
    <w:rsid w:val="00F11E26"/>
    <w:rsid w:val="00F11E79"/>
    <w:rsid w:val="00F11F17"/>
    <w:rsid w:val="00F11F2F"/>
    <w:rsid w:val="00F11F40"/>
    <w:rsid w:val="00F11F52"/>
    <w:rsid w:val="00F11F7B"/>
    <w:rsid w:val="00F11FB4"/>
    <w:rsid w:val="00F11FF2"/>
    <w:rsid w:val="00F1201F"/>
    <w:rsid w:val="00F120CC"/>
    <w:rsid w:val="00F1211D"/>
    <w:rsid w:val="00F121E8"/>
    <w:rsid w:val="00F12269"/>
    <w:rsid w:val="00F122A0"/>
    <w:rsid w:val="00F12344"/>
    <w:rsid w:val="00F12372"/>
    <w:rsid w:val="00F12387"/>
    <w:rsid w:val="00F1251F"/>
    <w:rsid w:val="00F1258B"/>
    <w:rsid w:val="00F125E2"/>
    <w:rsid w:val="00F12670"/>
    <w:rsid w:val="00F12685"/>
    <w:rsid w:val="00F12811"/>
    <w:rsid w:val="00F1284B"/>
    <w:rsid w:val="00F1288D"/>
    <w:rsid w:val="00F12909"/>
    <w:rsid w:val="00F12927"/>
    <w:rsid w:val="00F12944"/>
    <w:rsid w:val="00F12956"/>
    <w:rsid w:val="00F12A27"/>
    <w:rsid w:val="00F12ABC"/>
    <w:rsid w:val="00F12BC3"/>
    <w:rsid w:val="00F12C16"/>
    <w:rsid w:val="00F12C8A"/>
    <w:rsid w:val="00F12CA7"/>
    <w:rsid w:val="00F12CBC"/>
    <w:rsid w:val="00F12CC9"/>
    <w:rsid w:val="00F12CD3"/>
    <w:rsid w:val="00F12D4B"/>
    <w:rsid w:val="00F12D70"/>
    <w:rsid w:val="00F12D99"/>
    <w:rsid w:val="00F12DCE"/>
    <w:rsid w:val="00F12E2A"/>
    <w:rsid w:val="00F12E3C"/>
    <w:rsid w:val="00F12E5F"/>
    <w:rsid w:val="00F12E69"/>
    <w:rsid w:val="00F12ED8"/>
    <w:rsid w:val="00F12EE8"/>
    <w:rsid w:val="00F12F86"/>
    <w:rsid w:val="00F13082"/>
    <w:rsid w:val="00F1308E"/>
    <w:rsid w:val="00F13096"/>
    <w:rsid w:val="00F13103"/>
    <w:rsid w:val="00F13108"/>
    <w:rsid w:val="00F13161"/>
    <w:rsid w:val="00F13198"/>
    <w:rsid w:val="00F13228"/>
    <w:rsid w:val="00F132E8"/>
    <w:rsid w:val="00F1331F"/>
    <w:rsid w:val="00F1335B"/>
    <w:rsid w:val="00F13381"/>
    <w:rsid w:val="00F133C4"/>
    <w:rsid w:val="00F13436"/>
    <w:rsid w:val="00F13473"/>
    <w:rsid w:val="00F13476"/>
    <w:rsid w:val="00F13552"/>
    <w:rsid w:val="00F13555"/>
    <w:rsid w:val="00F1365A"/>
    <w:rsid w:val="00F136EA"/>
    <w:rsid w:val="00F13711"/>
    <w:rsid w:val="00F137A7"/>
    <w:rsid w:val="00F13828"/>
    <w:rsid w:val="00F1384F"/>
    <w:rsid w:val="00F1391D"/>
    <w:rsid w:val="00F1398A"/>
    <w:rsid w:val="00F13A86"/>
    <w:rsid w:val="00F13AB5"/>
    <w:rsid w:val="00F13AD3"/>
    <w:rsid w:val="00F13B6B"/>
    <w:rsid w:val="00F13B7B"/>
    <w:rsid w:val="00F13B9A"/>
    <w:rsid w:val="00F13BE0"/>
    <w:rsid w:val="00F13C21"/>
    <w:rsid w:val="00F13CE8"/>
    <w:rsid w:val="00F13DF9"/>
    <w:rsid w:val="00F13EF1"/>
    <w:rsid w:val="00F13F16"/>
    <w:rsid w:val="00F1403C"/>
    <w:rsid w:val="00F140E2"/>
    <w:rsid w:val="00F14355"/>
    <w:rsid w:val="00F1437D"/>
    <w:rsid w:val="00F143F5"/>
    <w:rsid w:val="00F144CF"/>
    <w:rsid w:val="00F144E4"/>
    <w:rsid w:val="00F144FA"/>
    <w:rsid w:val="00F14512"/>
    <w:rsid w:val="00F14560"/>
    <w:rsid w:val="00F145AB"/>
    <w:rsid w:val="00F145DA"/>
    <w:rsid w:val="00F1460D"/>
    <w:rsid w:val="00F1467D"/>
    <w:rsid w:val="00F146CC"/>
    <w:rsid w:val="00F1479A"/>
    <w:rsid w:val="00F147D9"/>
    <w:rsid w:val="00F147DB"/>
    <w:rsid w:val="00F14807"/>
    <w:rsid w:val="00F14875"/>
    <w:rsid w:val="00F14907"/>
    <w:rsid w:val="00F1493A"/>
    <w:rsid w:val="00F149F9"/>
    <w:rsid w:val="00F14A20"/>
    <w:rsid w:val="00F14A22"/>
    <w:rsid w:val="00F14BCA"/>
    <w:rsid w:val="00F14BDE"/>
    <w:rsid w:val="00F14CA5"/>
    <w:rsid w:val="00F14CD9"/>
    <w:rsid w:val="00F14CE9"/>
    <w:rsid w:val="00F14CEF"/>
    <w:rsid w:val="00F14CF9"/>
    <w:rsid w:val="00F14E39"/>
    <w:rsid w:val="00F14EDD"/>
    <w:rsid w:val="00F14F10"/>
    <w:rsid w:val="00F14F46"/>
    <w:rsid w:val="00F14F64"/>
    <w:rsid w:val="00F151BD"/>
    <w:rsid w:val="00F151E3"/>
    <w:rsid w:val="00F15249"/>
    <w:rsid w:val="00F15392"/>
    <w:rsid w:val="00F153A8"/>
    <w:rsid w:val="00F153C1"/>
    <w:rsid w:val="00F153D6"/>
    <w:rsid w:val="00F153EE"/>
    <w:rsid w:val="00F154E6"/>
    <w:rsid w:val="00F15569"/>
    <w:rsid w:val="00F15695"/>
    <w:rsid w:val="00F1576E"/>
    <w:rsid w:val="00F15793"/>
    <w:rsid w:val="00F15825"/>
    <w:rsid w:val="00F1588E"/>
    <w:rsid w:val="00F158DD"/>
    <w:rsid w:val="00F15908"/>
    <w:rsid w:val="00F15966"/>
    <w:rsid w:val="00F15A42"/>
    <w:rsid w:val="00F15B7D"/>
    <w:rsid w:val="00F15CE5"/>
    <w:rsid w:val="00F15D42"/>
    <w:rsid w:val="00F15D5A"/>
    <w:rsid w:val="00F15D82"/>
    <w:rsid w:val="00F15DDC"/>
    <w:rsid w:val="00F15E7E"/>
    <w:rsid w:val="00F15EAA"/>
    <w:rsid w:val="00F15EED"/>
    <w:rsid w:val="00F15F0D"/>
    <w:rsid w:val="00F15F59"/>
    <w:rsid w:val="00F15F5B"/>
    <w:rsid w:val="00F15F6E"/>
    <w:rsid w:val="00F160AB"/>
    <w:rsid w:val="00F16176"/>
    <w:rsid w:val="00F161A1"/>
    <w:rsid w:val="00F161CE"/>
    <w:rsid w:val="00F1628C"/>
    <w:rsid w:val="00F163CD"/>
    <w:rsid w:val="00F16464"/>
    <w:rsid w:val="00F164F2"/>
    <w:rsid w:val="00F165B6"/>
    <w:rsid w:val="00F166AB"/>
    <w:rsid w:val="00F166D6"/>
    <w:rsid w:val="00F16739"/>
    <w:rsid w:val="00F16844"/>
    <w:rsid w:val="00F1694A"/>
    <w:rsid w:val="00F16953"/>
    <w:rsid w:val="00F16AF8"/>
    <w:rsid w:val="00F16C02"/>
    <w:rsid w:val="00F16C28"/>
    <w:rsid w:val="00F16C33"/>
    <w:rsid w:val="00F16E43"/>
    <w:rsid w:val="00F16E90"/>
    <w:rsid w:val="00F16E9E"/>
    <w:rsid w:val="00F16FD6"/>
    <w:rsid w:val="00F1703C"/>
    <w:rsid w:val="00F17047"/>
    <w:rsid w:val="00F1704C"/>
    <w:rsid w:val="00F170DE"/>
    <w:rsid w:val="00F17113"/>
    <w:rsid w:val="00F17162"/>
    <w:rsid w:val="00F1725D"/>
    <w:rsid w:val="00F1730E"/>
    <w:rsid w:val="00F173E0"/>
    <w:rsid w:val="00F17476"/>
    <w:rsid w:val="00F17504"/>
    <w:rsid w:val="00F1752D"/>
    <w:rsid w:val="00F175DD"/>
    <w:rsid w:val="00F17697"/>
    <w:rsid w:val="00F17728"/>
    <w:rsid w:val="00F1773B"/>
    <w:rsid w:val="00F177D4"/>
    <w:rsid w:val="00F1783F"/>
    <w:rsid w:val="00F17878"/>
    <w:rsid w:val="00F178AD"/>
    <w:rsid w:val="00F1794C"/>
    <w:rsid w:val="00F17BD2"/>
    <w:rsid w:val="00F17BF3"/>
    <w:rsid w:val="00F17C31"/>
    <w:rsid w:val="00F17CE8"/>
    <w:rsid w:val="00F17D03"/>
    <w:rsid w:val="00F17D52"/>
    <w:rsid w:val="00F17D71"/>
    <w:rsid w:val="00F17DCF"/>
    <w:rsid w:val="00F17E8B"/>
    <w:rsid w:val="00F17F51"/>
    <w:rsid w:val="00F20098"/>
    <w:rsid w:val="00F200B8"/>
    <w:rsid w:val="00F20139"/>
    <w:rsid w:val="00F20304"/>
    <w:rsid w:val="00F203E3"/>
    <w:rsid w:val="00F204CD"/>
    <w:rsid w:val="00F204EA"/>
    <w:rsid w:val="00F204F2"/>
    <w:rsid w:val="00F20519"/>
    <w:rsid w:val="00F2063C"/>
    <w:rsid w:val="00F2067D"/>
    <w:rsid w:val="00F206A9"/>
    <w:rsid w:val="00F206C1"/>
    <w:rsid w:val="00F2072D"/>
    <w:rsid w:val="00F20736"/>
    <w:rsid w:val="00F2075D"/>
    <w:rsid w:val="00F2079A"/>
    <w:rsid w:val="00F207A3"/>
    <w:rsid w:val="00F207B0"/>
    <w:rsid w:val="00F207BF"/>
    <w:rsid w:val="00F20836"/>
    <w:rsid w:val="00F20844"/>
    <w:rsid w:val="00F20881"/>
    <w:rsid w:val="00F208A0"/>
    <w:rsid w:val="00F208B1"/>
    <w:rsid w:val="00F20901"/>
    <w:rsid w:val="00F20925"/>
    <w:rsid w:val="00F20A24"/>
    <w:rsid w:val="00F20A3E"/>
    <w:rsid w:val="00F20A8B"/>
    <w:rsid w:val="00F20B68"/>
    <w:rsid w:val="00F20BC3"/>
    <w:rsid w:val="00F20C24"/>
    <w:rsid w:val="00F20C5D"/>
    <w:rsid w:val="00F20C77"/>
    <w:rsid w:val="00F20D17"/>
    <w:rsid w:val="00F20E1B"/>
    <w:rsid w:val="00F20EE0"/>
    <w:rsid w:val="00F20EF3"/>
    <w:rsid w:val="00F20F53"/>
    <w:rsid w:val="00F20F63"/>
    <w:rsid w:val="00F20F6B"/>
    <w:rsid w:val="00F20F6F"/>
    <w:rsid w:val="00F20FB1"/>
    <w:rsid w:val="00F20FE2"/>
    <w:rsid w:val="00F21034"/>
    <w:rsid w:val="00F2105D"/>
    <w:rsid w:val="00F210F1"/>
    <w:rsid w:val="00F21132"/>
    <w:rsid w:val="00F211B7"/>
    <w:rsid w:val="00F21247"/>
    <w:rsid w:val="00F21266"/>
    <w:rsid w:val="00F2126F"/>
    <w:rsid w:val="00F21289"/>
    <w:rsid w:val="00F212A0"/>
    <w:rsid w:val="00F212A4"/>
    <w:rsid w:val="00F21367"/>
    <w:rsid w:val="00F2136B"/>
    <w:rsid w:val="00F213A2"/>
    <w:rsid w:val="00F21515"/>
    <w:rsid w:val="00F21521"/>
    <w:rsid w:val="00F215DF"/>
    <w:rsid w:val="00F21674"/>
    <w:rsid w:val="00F2168B"/>
    <w:rsid w:val="00F21696"/>
    <w:rsid w:val="00F2176E"/>
    <w:rsid w:val="00F21926"/>
    <w:rsid w:val="00F219CA"/>
    <w:rsid w:val="00F21B72"/>
    <w:rsid w:val="00F21BD6"/>
    <w:rsid w:val="00F21C2B"/>
    <w:rsid w:val="00F21C8E"/>
    <w:rsid w:val="00F21C9C"/>
    <w:rsid w:val="00F21CFA"/>
    <w:rsid w:val="00F21DB3"/>
    <w:rsid w:val="00F21DB8"/>
    <w:rsid w:val="00F21DEC"/>
    <w:rsid w:val="00F21EEF"/>
    <w:rsid w:val="00F21F0A"/>
    <w:rsid w:val="00F21F98"/>
    <w:rsid w:val="00F2205C"/>
    <w:rsid w:val="00F22085"/>
    <w:rsid w:val="00F2211E"/>
    <w:rsid w:val="00F22210"/>
    <w:rsid w:val="00F2222E"/>
    <w:rsid w:val="00F223AF"/>
    <w:rsid w:val="00F223C3"/>
    <w:rsid w:val="00F22829"/>
    <w:rsid w:val="00F22913"/>
    <w:rsid w:val="00F2292E"/>
    <w:rsid w:val="00F2295E"/>
    <w:rsid w:val="00F229BD"/>
    <w:rsid w:val="00F22A04"/>
    <w:rsid w:val="00F22A50"/>
    <w:rsid w:val="00F22A7E"/>
    <w:rsid w:val="00F22ABE"/>
    <w:rsid w:val="00F22AD5"/>
    <w:rsid w:val="00F22AF4"/>
    <w:rsid w:val="00F22B93"/>
    <w:rsid w:val="00F22BD9"/>
    <w:rsid w:val="00F22BDD"/>
    <w:rsid w:val="00F22CBC"/>
    <w:rsid w:val="00F22CC7"/>
    <w:rsid w:val="00F22CCC"/>
    <w:rsid w:val="00F22D4E"/>
    <w:rsid w:val="00F22DAB"/>
    <w:rsid w:val="00F22EC6"/>
    <w:rsid w:val="00F22F05"/>
    <w:rsid w:val="00F22F22"/>
    <w:rsid w:val="00F23034"/>
    <w:rsid w:val="00F231A2"/>
    <w:rsid w:val="00F23242"/>
    <w:rsid w:val="00F2325B"/>
    <w:rsid w:val="00F23263"/>
    <w:rsid w:val="00F23342"/>
    <w:rsid w:val="00F233C3"/>
    <w:rsid w:val="00F233DB"/>
    <w:rsid w:val="00F2340A"/>
    <w:rsid w:val="00F23416"/>
    <w:rsid w:val="00F23466"/>
    <w:rsid w:val="00F234AC"/>
    <w:rsid w:val="00F234C4"/>
    <w:rsid w:val="00F23512"/>
    <w:rsid w:val="00F23546"/>
    <w:rsid w:val="00F23607"/>
    <w:rsid w:val="00F2362B"/>
    <w:rsid w:val="00F23696"/>
    <w:rsid w:val="00F236AE"/>
    <w:rsid w:val="00F236B1"/>
    <w:rsid w:val="00F236FE"/>
    <w:rsid w:val="00F23763"/>
    <w:rsid w:val="00F2376B"/>
    <w:rsid w:val="00F23796"/>
    <w:rsid w:val="00F237DE"/>
    <w:rsid w:val="00F2389E"/>
    <w:rsid w:val="00F2396A"/>
    <w:rsid w:val="00F239C5"/>
    <w:rsid w:val="00F23AA7"/>
    <w:rsid w:val="00F23C19"/>
    <w:rsid w:val="00F23D9A"/>
    <w:rsid w:val="00F23E25"/>
    <w:rsid w:val="00F23EC3"/>
    <w:rsid w:val="00F23ED2"/>
    <w:rsid w:val="00F23F3B"/>
    <w:rsid w:val="00F23FB4"/>
    <w:rsid w:val="00F24059"/>
    <w:rsid w:val="00F240A6"/>
    <w:rsid w:val="00F24210"/>
    <w:rsid w:val="00F243B0"/>
    <w:rsid w:val="00F244CA"/>
    <w:rsid w:val="00F24640"/>
    <w:rsid w:val="00F246CC"/>
    <w:rsid w:val="00F246D4"/>
    <w:rsid w:val="00F2479A"/>
    <w:rsid w:val="00F247AC"/>
    <w:rsid w:val="00F247E3"/>
    <w:rsid w:val="00F247FE"/>
    <w:rsid w:val="00F24877"/>
    <w:rsid w:val="00F24899"/>
    <w:rsid w:val="00F248C1"/>
    <w:rsid w:val="00F248DF"/>
    <w:rsid w:val="00F24905"/>
    <w:rsid w:val="00F249CB"/>
    <w:rsid w:val="00F249FE"/>
    <w:rsid w:val="00F24A7B"/>
    <w:rsid w:val="00F24AC5"/>
    <w:rsid w:val="00F24BAA"/>
    <w:rsid w:val="00F24BCF"/>
    <w:rsid w:val="00F24C37"/>
    <w:rsid w:val="00F24CF1"/>
    <w:rsid w:val="00F24D34"/>
    <w:rsid w:val="00F24DD4"/>
    <w:rsid w:val="00F24DFC"/>
    <w:rsid w:val="00F24E3C"/>
    <w:rsid w:val="00F24E5B"/>
    <w:rsid w:val="00F24EB7"/>
    <w:rsid w:val="00F24EFD"/>
    <w:rsid w:val="00F25155"/>
    <w:rsid w:val="00F2519B"/>
    <w:rsid w:val="00F252C9"/>
    <w:rsid w:val="00F252D3"/>
    <w:rsid w:val="00F253C8"/>
    <w:rsid w:val="00F253D3"/>
    <w:rsid w:val="00F25576"/>
    <w:rsid w:val="00F25580"/>
    <w:rsid w:val="00F2558C"/>
    <w:rsid w:val="00F25590"/>
    <w:rsid w:val="00F25636"/>
    <w:rsid w:val="00F25711"/>
    <w:rsid w:val="00F25735"/>
    <w:rsid w:val="00F25743"/>
    <w:rsid w:val="00F2574D"/>
    <w:rsid w:val="00F2578E"/>
    <w:rsid w:val="00F257D7"/>
    <w:rsid w:val="00F258BE"/>
    <w:rsid w:val="00F25945"/>
    <w:rsid w:val="00F25ADF"/>
    <w:rsid w:val="00F25BBF"/>
    <w:rsid w:val="00F25BC8"/>
    <w:rsid w:val="00F25C2D"/>
    <w:rsid w:val="00F25C6D"/>
    <w:rsid w:val="00F25CBC"/>
    <w:rsid w:val="00F25CD9"/>
    <w:rsid w:val="00F25D02"/>
    <w:rsid w:val="00F25DB8"/>
    <w:rsid w:val="00F25EB7"/>
    <w:rsid w:val="00F25F43"/>
    <w:rsid w:val="00F25F80"/>
    <w:rsid w:val="00F25FF2"/>
    <w:rsid w:val="00F26025"/>
    <w:rsid w:val="00F2603F"/>
    <w:rsid w:val="00F2604B"/>
    <w:rsid w:val="00F26075"/>
    <w:rsid w:val="00F26082"/>
    <w:rsid w:val="00F26173"/>
    <w:rsid w:val="00F26191"/>
    <w:rsid w:val="00F26274"/>
    <w:rsid w:val="00F26300"/>
    <w:rsid w:val="00F26397"/>
    <w:rsid w:val="00F264E2"/>
    <w:rsid w:val="00F26524"/>
    <w:rsid w:val="00F26554"/>
    <w:rsid w:val="00F2655D"/>
    <w:rsid w:val="00F2662B"/>
    <w:rsid w:val="00F2666A"/>
    <w:rsid w:val="00F26673"/>
    <w:rsid w:val="00F2669E"/>
    <w:rsid w:val="00F266D0"/>
    <w:rsid w:val="00F26707"/>
    <w:rsid w:val="00F26815"/>
    <w:rsid w:val="00F26874"/>
    <w:rsid w:val="00F2689F"/>
    <w:rsid w:val="00F2690D"/>
    <w:rsid w:val="00F26980"/>
    <w:rsid w:val="00F269C2"/>
    <w:rsid w:val="00F26A01"/>
    <w:rsid w:val="00F26A1A"/>
    <w:rsid w:val="00F26A53"/>
    <w:rsid w:val="00F26B42"/>
    <w:rsid w:val="00F26B9A"/>
    <w:rsid w:val="00F26C1B"/>
    <w:rsid w:val="00F26D01"/>
    <w:rsid w:val="00F26D3A"/>
    <w:rsid w:val="00F26D82"/>
    <w:rsid w:val="00F26DC6"/>
    <w:rsid w:val="00F26E37"/>
    <w:rsid w:val="00F26E70"/>
    <w:rsid w:val="00F26EA7"/>
    <w:rsid w:val="00F26F47"/>
    <w:rsid w:val="00F26F7D"/>
    <w:rsid w:val="00F27004"/>
    <w:rsid w:val="00F27023"/>
    <w:rsid w:val="00F27040"/>
    <w:rsid w:val="00F27047"/>
    <w:rsid w:val="00F270A9"/>
    <w:rsid w:val="00F270DE"/>
    <w:rsid w:val="00F270F2"/>
    <w:rsid w:val="00F2718D"/>
    <w:rsid w:val="00F27273"/>
    <w:rsid w:val="00F272E8"/>
    <w:rsid w:val="00F27335"/>
    <w:rsid w:val="00F2734C"/>
    <w:rsid w:val="00F273A8"/>
    <w:rsid w:val="00F273C6"/>
    <w:rsid w:val="00F273E6"/>
    <w:rsid w:val="00F2742E"/>
    <w:rsid w:val="00F274C0"/>
    <w:rsid w:val="00F27532"/>
    <w:rsid w:val="00F27543"/>
    <w:rsid w:val="00F275EE"/>
    <w:rsid w:val="00F275F1"/>
    <w:rsid w:val="00F2766D"/>
    <w:rsid w:val="00F27690"/>
    <w:rsid w:val="00F2769E"/>
    <w:rsid w:val="00F2770F"/>
    <w:rsid w:val="00F2772D"/>
    <w:rsid w:val="00F27774"/>
    <w:rsid w:val="00F2777A"/>
    <w:rsid w:val="00F2777E"/>
    <w:rsid w:val="00F277CB"/>
    <w:rsid w:val="00F277D0"/>
    <w:rsid w:val="00F27848"/>
    <w:rsid w:val="00F278BC"/>
    <w:rsid w:val="00F27963"/>
    <w:rsid w:val="00F27979"/>
    <w:rsid w:val="00F279A8"/>
    <w:rsid w:val="00F27A9B"/>
    <w:rsid w:val="00F27AA0"/>
    <w:rsid w:val="00F27B0E"/>
    <w:rsid w:val="00F27B59"/>
    <w:rsid w:val="00F27BFB"/>
    <w:rsid w:val="00F27CE7"/>
    <w:rsid w:val="00F27DB1"/>
    <w:rsid w:val="00F27EDC"/>
    <w:rsid w:val="00F27FB1"/>
    <w:rsid w:val="00F27FD2"/>
    <w:rsid w:val="00F30051"/>
    <w:rsid w:val="00F30065"/>
    <w:rsid w:val="00F30118"/>
    <w:rsid w:val="00F3011D"/>
    <w:rsid w:val="00F30298"/>
    <w:rsid w:val="00F302B1"/>
    <w:rsid w:val="00F302BB"/>
    <w:rsid w:val="00F30356"/>
    <w:rsid w:val="00F303B9"/>
    <w:rsid w:val="00F303FA"/>
    <w:rsid w:val="00F3046F"/>
    <w:rsid w:val="00F30491"/>
    <w:rsid w:val="00F3053D"/>
    <w:rsid w:val="00F3055E"/>
    <w:rsid w:val="00F30602"/>
    <w:rsid w:val="00F30640"/>
    <w:rsid w:val="00F30671"/>
    <w:rsid w:val="00F306A8"/>
    <w:rsid w:val="00F306B9"/>
    <w:rsid w:val="00F306E1"/>
    <w:rsid w:val="00F30724"/>
    <w:rsid w:val="00F3079A"/>
    <w:rsid w:val="00F30836"/>
    <w:rsid w:val="00F308DF"/>
    <w:rsid w:val="00F30976"/>
    <w:rsid w:val="00F30983"/>
    <w:rsid w:val="00F309DE"/>
    <w:rsid w:val="00F30A4F"/>
    <w:rsid w:val="00F30B06"/>
    <w:rsid w:val="00F30C16"/>
    <w:rsid w:val="00F30C1E"/>
    <w:rsid w:val="00F30C64"/>
    <w:rsid w:val="00F30D4E"/>
    <w:rsid w:val="00F30D98"/>
    <w:rsid w:val="00F30DBB"/>
    <w:rsid w:val="00F30E46"/>
    <w:rsid w:val="00F30E4A"/>
    <w:rsid w:val="00F30E4E"/>
    <w:rsid w:val="00F30F6F"/>
    <w:rsid w:val="00F30F8A"/>
    <w:rsid w:val="00F30F9F"/>
    <w:rsid w:val="00F30FBC"/>
    <w:rsid w:val="00F31021"/>
    <w:rsid w:val="00F31064"/>
    <w:rsid w:val="00F3109A"/>
    <w:rsid w:val="00F311D5"/>
    <w:rsid w:val="00F31201"/>
    <w:rsid w:val="00F31248"/>
    <w:rsid w:val="00F31287"/>
    <w:rsid w:val="00F312CD"/>
    <w:rsid w:val="00F3133E"/>
    <w:rsid w:val="00F3135F"/>
    <w:rsid w:val="00F3140E"/>
    <w:rsid w:val="00F31452"/>
    <w:rsid w:val="00F3150F"/>
    <w:rsid w:val="00F315D5"/>
    <w:rsid w:val="00F316A1"/>
    <w:rsid w:val="00F316B7"/>
    <w:rsid w:val="00F316EF"/>
    <w:rsid w:val="00F316FB"/>
    <w:rsid w:val="00F317B6"/>
    <w:rsid w:val="00F317FF"/>
    <w:rsid w:val="00F31859"/>
    <w:rsid w:val="00F3194A"/>
    <w:rsid w:val="00F319A0"/>
    <w:rsid w:val="00F319E1"/>
    <w:rsid w:val="00F31A43"/>
    <w:rsid w:val="00F31A90"/>
    <w:rsid w:val="00F31AA2"/>
    <w:rsid w:val="00F31B04"/>
    <w:rsid w:val="00F31B6C"/>
    <w:rsid w:val="00F31BED"/>
    <w:rsid w:val="00F31CB9"/>
    <w:rsid w:val="00F31D5F"/>
    <w:rsid w:val="00F31F10"/>
    <w:rsid w:val="00F31F19"/>
    <w:rsid w:val="00F31FD1"/>
    <w:rsid w:val="00F32040"/>
    <w:rsid w:val="00F320C6"/>
    <w:rsid w:val="00F320E8"/>
    <w:rsid w:val="00F32168"/>
    <w:rsid w:val="00F32184"/>
    <w:rsid w:val="00F321B5"/>
    <w:rsid w:val="00F321C2"/>
    <w:rsid w:val="00F32243"/>
    <w:rsid w:val="00F3226C"/>
    <w:rsid w:val="00F32272"/>
    <w:rsid w:val="00F32385"/>
    <w:rsid w:val="00F32431"/>
    <w:rsid w:val="00F324CB"/>
    <w:rsid w:val="00F325D8"/>
    <w:rsid w:val="00F32793"/>
    <w:rsid w:val="00F327D1"/>
    <w:rsid w:val="00F327E3"/>
    <w:rsid w:val="00F328DD"/>
    <w:rsid w:val="00F3294C"/>
    <w:rsid w:val="00F32981"/>
    <w:rsid w:val="00F329AA"/>
    <w:rsid w:val="00F329CE"/>
    <w:rsid w:val="00F329EF"/>
    <w:rsid w:val="00F32A0A"/>
    <w:rsid w:val="00F32A75"/>
    <w:rsid w:val="00F32A9F"/>
    <w:rsid w:val="00F32AC6"/>
    <w:rsid w:val="00F32B55"/>
    <w:rsid w:val="00F32C0E"/>
    <w:rsid w:val="00F32C28"/>
    <w:rsid w:val="00F32C93"/>
    <w:rsid w:val="00F32CEB"/>
    <w:rsid w:val="00F32D3A"/>
    <w:rsid w:val="00F32D3D"/>
    <w:rsid w:val="00F32E2B"/>
    <w:rsid w:val="00F32E46"/>
    <w:rsid w:val="00F32E84"/>
    <w:rsid w:val="00F32F78"/>
    <w:rsid w:val="00F32FBB"/>
    <w:rsid w:val="00F32FC2"/>
    <w:rsid w:val="00F32FD4"/>
    <w:rsid w:val="00F3303D"/>
    <w:rsid w:val="00F330ED"/>
    <w:rsid w:val="00F33159"/>
    <w:rsid w:val="00F3315A"/>
    <w:rsid w:val="00F331CC"/>
    <w:rsid w:val="00F33245"/>
    <w:rsid w:val="00F332C0"/>
    <w:rsid w:val="00F3337B"/>
    <w:rsid w:val="00F334C3"/>
    <w:rsid w:val="00F334F0"/>
    <w:rsid w:val="00F335D6"/>
    <w:rsid w:val="00F335E8"/>
    <w:rsid w:val="00F337AA"/>
    <w:rsid w:val="00F33859"/>
    <w:rsid w:val="00F3397C"/>
    <w:rsid w:val="00F3397E"/>
    <w:rsid w:val="00F3399B"/>
    <w:rsid w:val="00F339DB"/>
    <w:rsid w:val="00F33AA1"/>
    <w:rsid w:val="00F33ACB"/>
    <w:rsid w:val="00F33C6E"/>
    <w:rsid w:val="00F33CB2"/>
    <w:rsid w:val="00F33CE9"/>
    <w:rsid w:val="00F33D2D"/>
    <w:rsid w:val="00F33D32"/>
    <w:rsid w:val="00F33D3C"/>
    <w:rsid w:val="00F33EC9"/>
    <w:rsid w:val="00F33FC4"/>
    <w:rsid w:val="00F340F9"/>
    <w:rsid w:val="00F3412B"/>
    <w:rsid w:val="00F34130"/>
    <w:rsid w:val="00F341CA"/>
    <w:rsid w:val="00F34239"/>
    <w:rsid w:val="00F3423F"/>
    <w:rsid w:val="00F3425F"/>
    <w:rsid w:val="00F34265"/>
    <w:rsid w:val="00F343E8"/>
    <w:rsid w:val="00F34504"/>
    <w:rsid w:val="00F3450A"/>
    <w:rsid w:val="00F3450C"/>
    <w:rsid w:val="00F34527"/>
    <w:rsid w:val="00F34528"/>
    <w:rsid w:val="00F345A4"/>
    <w:rsid w:val="00F34608"/>
    <w:rsid w:val="00F3464C"/>
    <w:rsid w:val="00F3465F"/>
    <w:rsid w:val="00F34773"/>
    <w:rsid w:val="00F347E5"/>
    <w:rsid w:val="00F347ED"/>
    <w:rsid w:val="00F3483D"/>
    <w:rsid w:val="00F34889"/>
    <w:rsid w:val="00F348E4"/>
    <w:rsid w:val="00F34916"/>
    <w:rsid w:val="00F34940"/>
    <w:rsid w:val="00F34997"/>
    <w:rsid w:val="00F349B5"/>
    <w:rsid w:val="00F349CC"/>
    <w:rsid w:val="00F34A2B"/>
    <w:rsid w:val="00F34A62"/>
    <w:rsid w:val="00F34B8D"/>
    <w:rsid w:val="00F34BBA"/>
    <w:rsid w:val="00F34BEE"/>
    <w:rsid w:val="00F34C9C"/>
    <w:rsid w:val="00F34E29"/>
    <w:rsid w:val="00F34E91"/>
    <w:rsid w:val="00F34EB7"/>
    <w:rsid w:val="00F34EC9"/>
    <w:rsid w:val="00F35075"/>
    <w:rsid w:val="00F3513B"/>
    <w:rsid w:val="00F351CA"/>
    <w:rsid w:val="00F3521D"/>
    <w:rsid w:val="00F35355"/>
    <w:rsid w:val="00F35386"/>
    <w:rsid w:val="00F353E3"/>
    <w:rsid w:val="00F3541B"/>
    <w:rsid w:val="00F35451"/>
    <w:rsid w:val="00F354FC"/>
    <w:rsid w:val="00F35556"/>
    <w:rsid w:val="00F3555B"/>
    <w:rsid w:val="00F35561"/>
    <w:rsid w:val="00F35590"/>
    <w:rsid w:val="00F3569F"/>
    <w:rsid w:val="00F3570D"/>
    <w:rsid w:val="00F3586B"/>
    <w:rsid w:val="00F35928"/>
    <w:rsid w:val="00F35956"/>
    <w:rsid w:val="00F35A27"/>
    <w:rsid w:val="00F35A65"/>
    <w:rsid w:val="00F35A7A"/>
    <w:rsid w:val="00F35AF9"/>
    <w:rsid w:val="00F35D70"/>
    <w:rsid w:val="00F35E42"/>
    <w:rsid w:val="00F35EC4"/>
    <w:rsid w:val="00F35F53"/>
    <w:rsid w:val="00F36044"/>
    <w:rsid w:val="00F360DA"/>
    <w:rsid w:val="00F36123"/>
    <w:rsid w:val="00F3613D"/>
    <w:rsid w:val="00F361AD"/>
    <w:rsid w:val="00F3625C"/>
    <w:rsid w:val="00F362CF"/>
    <w:rsid w:val="00F362DD"/>
    <w:rsid w:val="00F3632E"/>
    <w:rsid w:val="00F363AF"/>
    <w:rsid w:val="00F363D6"/>
    <w:rsid w:val="00F3647D"/>
    <w:rsid w:val="00F364C6"/>
    <w:rsid w:val="00F36503"/>
    <w:rsid w:val="00F3652B"/>
    <w:rsid w:val="00F366CF"/>
    <w:rsid w:val="00F36758"/>
    <w:rsid w:val="00F36798"/>
    <w:rsid w:val="00F367A9"/>
    <w:rsid w:val="00F36846"/>
    <w:rsid w:val="00F36873"/>
    <w:rsid w:val="00F368A1"/>
    <w:rsid w:val="00F368FA"/>
    <w:rsid w:val="00F3695F"/>
    <w:rsid w:val="00F369C2"/>
    <w:rsid w:val="00F369C9"/>
    <w:rsid w:val="00F36B28"/>
    <w:rsid w:val="00F36BB3"/>
    <w:rsid w:val="00F36CD8"/>
    <w:rsid w:val="00F36D48"/>
    <w:rsid w:val="00F36D55"/>
    <w:rsid w:val="00F36DE9"/>
    <w:rsid w:val="00F36F03"/>
    <w:rsid w:val="00F36F6F"/>
    <w:rsid w:val="00F36FE9"/>
    <w:rsid w:val="00F371C4"/>
    <w:rsid w:val="00F372D1"/>
    <w:rsid w:val="00F372F1"/>
    <w:rsid w:val="00F3736C"/>
    <w:rsid w:val="00F373AC"/>
    <w:rsid w:val="00F37442"/>
    <w:rsid w:val="00F374B7"/>
    <w:rsid w:val="00F376AC"/>
    <w:rsid w:val="00F37725"/>
    <w:rsid w:val="00F37844"/>
    <w:rsid w:val="00F378C0"/>
    <w:rsid w:val="00F378C3"/>
    <w:rsid w:val="00F37BCB"/>
    <w:rsid w:val="00F37CAE"/>
    <w:rsid w:val="00F37DAD"/>
    <w:rsid w:val="00F37DC3"/>
    <w:rsid w:val="00F37E26"/>
    <w:rsid w:val="00F37E3A"/>
    <w:rsid w:val="00F37E3F"/>
    <w:rsid w:val="00F37EDE"/>
    <w:rsid w:val="00F37FA0"/>
    <w:rsid w:val="00F37FE5"/>
    <w:rsid w:val="00F40093"/>
    <w:rsid w:val="00F400F5"/>
    <w:rsid w:val="00F401C6"/>
    <w:rsid w:val="00F401CE"/>
    <w:rsid w:val="00F40312"/>
    <w:rsid w:val="00F403E8"/>
    <w:rsid w:val="00F404BC"/>
    <w:rsid w:val="00F4052D"/>
    <w:rsid w:val="00F4058C"/>
    <w:rsid w:val="00F40592"/>
    <w:rsid w:val="00F4062C"/>
    <w:rsid w:val="00F4077B"/>
    <w:rsid w:val="00F40824"/>
    <w:rsid w:val="00F40838"/>
    <w:rsid w:val="00F408D6"/>
    <w:rsid w:val="00F40925"/>
    <w:rsid w:val="00F40933"/>
    <w:rsid w:val="00F40971"/>
    <w:rsid w:val="00F409BA"/>
    <w:rsid w:val="00F40A59"/>
    <w:rsid w:val="00F40A70"/>
    <w:rsid w:val="00F40AB9"/>
    <w:rsid w:val="00F40AEE"/>
    <w:rsid w:val="00F40B04"/>
    <w:rsid w:val="00F40BF2"/>
    <w:rsid w:val="00F40C06"/>
    <w:rsid w:val="00F40C74"/>
    <w:rsid w:val="00F40C98"/>
    <w:rsid w:val="00F40CC3"/>
    <w:rsid w:val="00F40D0B"/>
    <w:rsid w:val="00F40D97"/>
    <w:rsid w:val="00F40DB8"/>
    <w:rsid w:val="00F40DFC"/>
    <w:rsid w:val="00F40EAD"/>
    <w:rsid w:val="00F40EF1"/>
    <w:rsid w:val="00F4100B"/>
    <w:rsid w:val="00F4106B"/>
    <w:rsid w:val="00F410B5"/>
    <w:rsid w:val="00F4111C"/>
    <w:rsid w:val="00F41173"/>
    <w:rsid w:val="00F4117C"/>
    <w:rsid w:val="00F41304"/>
    <w:rsid w:val="00F41313"/>
    <w:rsid w:val="00F41341"/>
    <w:rsid w:val="00F4135C"/>
    <w:rsid w:val="00F41378"/>
    <w:rsid w:val="00F413D0"/>
    <w:rsid w:val="00F41432"/>
    <w:rsid w:val="00F41455"/>
    <w:rsid w:val="00F41479"/>
    <w:rsid w:val="00F41568"/>
    <w:rsid w:val="00F41610"/>
    <w:rsid w:val="00F41652"/>
    <w:rsid w:val="00F416C2"/>
    <w:rsid w:val="00F416FE"/>
    <w:rsid w:val="00F41760"/>
    <w:rsid w:val="00F417B8"/>
    <w:rsid w:val="00F41873"/>
    <w:rsid w:val="00F418BA"/>
    <w:rsid w:val="00F418C0"/>
    <w:rsid w:val="00F418C4"/>
    <w:rsid w:val="00F41918"/>
    <w:rsid w:val="00F41932"/>
    <w:rsid w:val="00F41971"/>
    <w:rsid w:val="00F419DE"/>
    <w:rsid w:val="00F41A13"/>
    <w:rsid w:val="00F41AC5"/>
    <w:rsid w:val="00F41BAE"/>
    <w:rsid w:val="00F41C4D"/>
    <w:rsid w:val="00F41C65"/>
    <w:rsid w:val="00F41CAE"/>
    <w:rsid w:val="00F41D1A"/>
    <w:rsid w:val="00F41DB4"/>
    <w:rsid w:val="00F41DE8"/>
    <w:rsid w:val="00F41E8B"/>
    <w:rsid w:val="00F41EC1"/>
    <w:rsid w:val="00F41F4C"/>
    <w:rsid w:val="00F41F5C"/>
    <w:rsid w:val="00F41FAF"/>
    <w:rsid w:val="00F4208F"/>
    <w:rsid w:val="00F42098"/>
    <w:rsid w:val="00F420A6"/>
    <w:rsid w:val="00F42230"/>
    <w:rsid w:val="00F4223E"/>
    <w:rsid w:val="00F4227A"/>
    <w:rsid w:val="00F422AF"/>
    <w:rsid w:val="00F42350"/>
    <w:rsid w:val="00F42376"/>
    <w:rsid w:val="00F42399"/>
    <w:rsid w:val="00F4239B"/>
    <w:rsid w:val="00F4239C"/>
    <w:rsid w:val="00F42591"/>
    <w:rsid w:val="00F4263E"/>
    <w:rsid w:val="00F4264B"/>
    <w:rsid w:val="00F426D9"/>
    <w:rsid w:val="00F426FD"/>
    <w:rsid w:val="00F4271B"/>
    <w:rsid w:val="00F42736"/>
    <w:rsid w:val="00F42784"/>
    <w:rsid w:val="00F427DD"/>
    <w:rsid w:val="00F42812"/>
    <w:rsid w:val="00F42818"/>
    <w:rsid w:val="00F42819"/>
    <w:rsid w:val="00F4283E"/>
    <w:rsid w:val="00F4290A"/>
    <w:rsid w:val="00F42B3E"/>
    <w:rsid w:val="00F42B44"/>
    <w:rsid w:val="00F42CB8"/>
    <w:rsid w:val="00F42D9E"/>
    <w:rsid w:val="00F42E81"/>
    <w:rsid w:val="00F42E89"/>
    <w:rsid w:val="00F42EB0"/>
    <w:rsid w:val="00F42F12"/>
    <w:rsid w:val="00F42F62"/>
    <w:rsid w:val="00F42F9A"/>
    <w:rsid w:val="00F43169"/>
    <w:rsid w:val="00F4323A"/>
    <w:rsid w:val="00F4326B"/>
    <w:rsid w:val="00F432ED"/>
    <w:rsid w:val="00F43374"/>
    <w:rsid w:val="00F433AA"/>
    <w:rsid w:val="00F433D1"/>
    <w:rsid w:val="00F43449"/>
    <w:rsid w:val="00F43469"/>
    <w:rsid w:val="00F4347D"/>
    <w:rsid w:val="00F4348A"/>
    <w:rsid w:val="00F434A4"/>
    <w:rsid w:val="00F43531"/>
    <w:rsid w:val="00F4353C"/>
    <w:rsid w:val="00F435AC"/>
    <w:rsid w:val="00F4361F"/>
    <w:rsid w:val="00F43656"/>
    <w:rsid w:val="00F4365A"/>
    <w:rsid w:val="00F43730"/>
    <w:rsid w:val="00F4376F"/>
    <w:rsid w:val="00F43861"/>
    <w:rsid w:val="00F4387F"/>
    <w:rsid w:val="00F438BC"/>
    <w:rsid w:val="00F438D6"/>
    <w:rsid w:val="00F43909"/>
    <w:rsid w:val="00F4390D"/>
    <w:rsid w:val="00F43958"/>
    <w:rsid w:val="00F43AF6"/>
    <w:rsid w:val="00F43B23"/>
    <w:rsid w:val="00F43BA3"/>
    <w:rsid w:val="00F43D2F"/>
    <w:rsid w:val="00F43DAE"/>
    <w:rsid w:val="00F43DEE"/>
    <w:rsid w:val="00F43E7E"/>
    <w:rsid w:val="00F43F22"/>
    <w:rsid w:val="00F43F24"/>
    <w:rsid w:val="00F43F35"/>
    <w:rsid w:val="00F43FBB"/>
    <w:rsid w:val="00F43FD0"/>
    <w:rsid w:val="00F44170"/>
    <w:rsid w:val="00F4421C"/>
    <w:rsid w:val="00F44325"/>
    <w:rsid w:val="00F443B8"/>
    <w:rsid w:val="00F443C4"/>
    <w:rsid w:val="00F44434"/>
    <w:rsid w:val="00F44744"/>
    <w:rsid w:val="00F44799"/>
    <w:rsid w:val="00F447F8"/>
    <w:rsid w:val="00F44810"/>
    <w:rsid w:val="00F44831"/>
    <w:rsid w:val="00F448A2"/>
    <w:rsid w:val="00F44906"/>
    <w:rsid w:val="00F4490E"/>
    <w:rsid w:val="00F449BD"/>
    <w:rsid w:val="00F449F9"/>
    <w:rsid w:val="00F44A36"/>
    <w:rsid w:val="00F44AF6"/>
    <w:rsid w:val="00F44B44"/>
    <w:rsid w:val="00F44B78"/>
    <w:rsid w:val="00F44BC2"/>
    <w:rsid w:val="00F44C0D"/>
    <w:rsid w:val="00F44C60"/>
    <w:rsid w:val="00F44CA0"/>
    <w:rsid w:val="00F44D95"/>
    <w:rsid w:val="00F44DDE"/>
    <w:rsid w:val="00F44F0D"/>
    <w:rsid w:val="00F44F20"/>
    <w:rsid w:val="00F45081"/>
    <w:rsid w:val="00F45109"/>
    <w:rsid w:val="00F451E4"/>
    <w:rsid w:val="00F452BE"/>
    <w:rsid w:val="00F452D9"/>
    <w:rsid w:val="00F45308"/>
    <w:rsid w:val="00F4533D"/>
    <w:rsid w:val="00F4536D"/>
    <w:rsid w:val="00F453C2"/>
    <w:rsid w:val="00F453D9"/>
    <w:rsid w:val="00F45403"/>
    <w:rsid w:val="00F4541A"/>
    <w:rsid w:val="00F4543E"/>
    <w:rsid w:val="00F4548A"/>
    <w:rsid w:val="00F45514"/>
    <w:rsid w:val="00F4558B"/>
    <w:rsid w:val="00F455F3"/>
    <w:rsid w:val="00F4566D"/>
    <w:rsid w:val="00F456B0"/>
    <w:rsid w:val="00F45705"/>
    <w:rsid w:val="00F457F0"/>
    <w:rsid w:val="00F45878"/>
    <w:rsid w:val="00F458B3"/>
    <w:rsid w:val="00F458C8"/>
    <w:rsid w:val="00F45910"/>
    <w:rsid w:val="00F4591F"/>
    <w:rsid w:val="00F45964"/>
    <w:rsid w:val="00F45A6B"/>
    <w:rsid w:val="00F45AAA"/>
    <w:rsid w:val="00F45B7D"/>
    <w:rsid w:val="00F45C0E"/>
    <w:rsid w:val="00F45C30"/>
    <w:rsid w:val="00F45CE4"/>
    <w:rsid w:val="00F45D08"/>
    <w:rsid w:val="00F46085"/>
    <w:rsid w:val="00F46142"/>
    <w:rsid w:val="00F461C8"/>
    <w:rsid w:val="00F46309"/>
    <w:rsid w:val="00F46322"/>
    <w:rsid w:val="00F46388"/>
    <w:rsid w:val="00F4659E"/>
    <w:rsid w:val="00F46688"/>
    <w:rsid w:val="00F466A6"/>
    <w:rsid w:val="00F46740"/>
    <w:rsid w:val="00F46793"/>
    <w:rsid w:val="00F467BA"/>
    <w:rsid w:val="00F467CC"/>
    <w:rsid w:val="00F468B8"/>
    <w:rsid w:val="00F46902"/>
    <w:rsid w:val="00F469FA"/>
    <w:rsid w:val="00F46A71"/>
    <w:rsid w:val="00F46AE0"/>
    <w:rsid w:val="00F46C19"/>
    <w:rsid w:val="00F46CA3"/>
    <w:rsid w:val="00F46CB7"/>
    <w:rsid w:val="00F46CB9"/>
    <w:rsid w:val="00F46CEF"/>
    <w:rsid w:val="00F46CFA"/>
    <w:rsid w:val="00F46D26"/>
    <w:rsid w:val="00F46DDD"/>
    <w:rsid w:val="00F46E4F"/>
    <w:rsid w:val="00F46E72"/>
    <w:rsid w:val="00F46E7B"/>
    <w:rsid w:val="00F46FA1"/>
    <w:rsid w:val="00F4706B"/>
    <w:rsid w:val="00F47081"/>
    <w:rsid w:val="00F470E5"/>
    <w:rsid w:val="00F47137"/>
    <w:rsid w:val="00F47240"/>
    <w:rsid w:val="00F47359"/>
    <w:rsid w:val="00F4735C"/>
    <w:rsid w:val="00F47382"/>
    <w:rsid w:val="00F47389"/>
    <w:rsid w:val="00F47450"/>
    <w:rsid w:val="00F474B8"/>
    <w:rsid w:val="00F47521"/>
    <w:rsid w:val="00F4752A"/>
    <w:rsid w:val="00F47535"/>
    <w:rsid w:val="00F47542"/>
    <w:rsid w:val="00F4774C"/>
    <w:rsid w:val="00F47773"/>
    <w:rsid w:val="00F4787C"/>
    <w:rsid w:val="00F47920"/>
    <w:rsid w:val="00F47959"/>
    <w:rsid w:val="00F479EF"/>
    <w:rsid w:val="00F47A96"/>
    <w:rsid w:val="00F47ADA"/>
    <w:rsid w:val="00F47ADD"/>
    <w:rsid w:val="00F47B42"/>
    <w:rsid w:val="00F47BFA"/>
    <w:rsid w:val="00F47C49"/>
    <w:rsid w:val="00F47C99"/>
    <w:rsid w:val="00F47D31"/>
    <w:rsid w:val="00F47D5F"/>
    <w:rsid w:val="00F47DA2"/>
    <w:rsid w:val="00F47DCC"/>
    <w:rsid w:val="00F47DF5"/>
    <w:rsid w:val="00F47E45"/>
    <w:rsid w:val="00F47E4B"/>
    <w:rsid w:val="00F47ED4"/>
    <w:rsid w:val="00F47EDA"/>
    <w:rsid w:val="00F47FBF"/>
    <w:rsid w:val="00F5006F"/>
    <w:rsid w:val="00F5028A"/>
    <w:rsid w:val="00F502DB"/>
    <w:rsid w:val="00F50353"/>
    <w:rsid w:val="00F503CA"/>
    <w:rsid w:val="00F5048D"/>
    <w:rsid w:val="00F504C8"/>
    <w:rsid w:val="00F50528"/>
    <w:rsid w:val="00F5056A"/>
    <w:rsid w:val="00F505F4"/>
    <w:rsid w:val="00F50630"/>
    <w:rsid w:val="00F50693"/>
    <w:rsid w:val="00F506F7"/>
    <w:rsid w:val="00F507D7"/>
    <w:rsid w:val="00F50849"/>
    <w:rsid w:val="00F5085D"/>
    <w:rsid w:val="00F50887"/>
    <w:rsid w:val="00F508E6"/>
    <w:rsid w:val="00F50929"/>
    <w:rsid w:val="00F50A27"/>
    <w:rsid w:val="00F50A5B"/>
    <w:rsid w:val="00F50B84"/>
    <w:rsid w:val="00F50BC0"/>
    <w:rsid w:val="00F50CE9"/>
    <w:rsid w:val="00F50D2C"/>
    <w:rsid w:val="00F50D5D"/>
    <w:rsid w:val="00F50DA7"/>
    <w:rsid w:val="00F50DD6"/>
    <w:rsid w:val="00F50E32"/>
    <w:rsid w:val="00F50F52"/>
    <w:rsid w:val="00F50F67"/>
    <w:rsid w:val="00F50FA5"/>
    <w:rsid w:val="00F50FCD"/>
    <w:rsid w:val="00F51064"/>
    <w:rsid w:val="00F51239"/>
    <w:rsid w:val="00F512F9"/>
    <w:rsid w:val="00F51384"/>
    <w:rsid w:val="00F513E9"/>
    <w:rsid w:val="00F51448"/>
    <w:rsid w:val="00F5144F"/>
    <w:rsid w:val="00F51450"/>
    <w:rsid w:val="00F514C9"/>
    <w:rsid w:val="00F5156D"/>
    <w:rsid w:val="00F51596"/>
    <w:rsid w:val="00F515D8"/>
    <w:rsid w:val="00F5162D"/>
    <w:rsid w:val="00F51631"/>
    <w:rsid w:val="00F5166D"/>
    <w:rsid w:val="00F51712"/>
    <w:rsid w:val="00F51750"/>
    <w:rsid w:val="00F51767"/>
    <w:rsid w:val="00F5179D"/>
    <w:rsid w:val="00F517AC"/>
    <w:rsid w:val="00F51835"/>
    <w:rsid w:val="00F5183D"/>
    <w:rsid w:val="00F5195E"/>
    <w:rsid w:val="00F51A4D"/>
    <w:rsid w:val="00F51A56"/>
    <w:rsid w:val="00F51AE1"/>
    <w:rsid w:val="00F51B1D"/>
    <w:rsid w:val="00F51CD9"/>
    <w:rsid w:val="00F51CF7"/>
    <w:rsid w:val="00F51D6C"/>
    <w:rsid w:val="00F51D73"/>
    <w:rsid w:val="00F51DAD"/>
    <w:rsid w:val="00F51E65"/>
    <w:rsid w:val="00F51EC8"/>
    <w:rsid w:val="00F51F5A"/>
    <w:rsid w:val="00F51FF8"/>
    <w:rsid w:val="00F52062"/>
    <w:rsid w:val="00F5215B"/>
    <w:rsid w:val="00F52182"/>
    <w:rsid w:val="00F521EC"/>
    <w:rsid w:val="00F5220B"/>
    <w:rsid w:val="00F52275"/>
    <w:rsid w:val="00F522EC"/>
    <w:rsid w:val="00F523DC"/>
    <w:rsid w:val="00F525A2"/>
    <w:rsid w:val="00F52608"/>
    <w:rsid w:val="00F52667"/>
    <w:rsid w:val="00F52692"/>
    <w:rsid w:val="00F52714"/>
    <w:rsid w:val="00F52750"/>
    <w:rsid w:val="00F5275A"/>
    <w:rsid w:val="00F52796"/>
    <w:rsid w:val="00F527D9"/>
    <w:rsid w:val="00F52877"/>
    <w:rsid w:val="00F52891"/>
    <w:rsid w:val="00F528C9"/>
    <w:rsid w:val="00F529A3"/>
    <w:rsid w:val="00F52A68"/>
    <w:rsid w:val="00F52A72"/>
    <w:rsid w:val="00F52ADA"/>
    <w:rsid w:val="00F52B04"/>
    <w:rsid w:val="00F52BEA"/>
    <w:rsid w:val="00F52C90"/>
    <w:rsid w:val="00F52CAF"/>
    <w:rsid w:val="00F52D58"/>
    <w:rsid w:val="00F52DCD"/>
    <w:rsid w:val="00F52E93"/>
    <w:rsid w:val="00F52EED"/>
    <w:rsid w:val="00F52EFA"/>
    <w:rsid w:val="00F52F0D"/>
    <w:rsid w:val="00F52F33"/>
    <w:rsid w:val="00F52FD8"/>
    <w:rsid w:val="00F5300D"/>
    <w:rsid w:val="00F530DD"/>
    <w:rsid w:val="00F531A6"/>
    <w:rsid w:val="00F53216"/>
    <w:rsid w:val="00F53311"/>
    <w:rsid w:val="00F533A1"/>
    <w:rsid w:val="00F534BE"/>
    <w:rsid w:val="00F534ED"/>
    <w:rsid w:val="00F5350B"/>
    <w:rsid w:val="00F535ED"/>
    <w:rsid w:val="00F536B2"/>
    <w:rsid w:val="00F53729"/>
    <w:rsid w:val="00F537B7"/>
    <w:rsid w:val="00F53871"/>
    <w:rsid w:val="00F539C8"/>
    <w:rsid w:val="00F539E7"/>
    <w:rsid w:val="00F53A0A"/>
    <w:rsid w:val="00F53A76"/>
    <w:rsid w:val="00F53A84"/>
    <w:rsid w:val="00F53A96"/>
    <w:rsid w:val="00F53AA6"/>
    <w:rsid w:val="00F53BCC"/>
    <w:rsid w:val="00F53BDC"/>
    <w:rsid w:val="00F53BE1"/>
    <w:rsid w:val="00F53C6A"/>
    <w:rsid w:val="00F53D3D"/>
    <w:rsid w:val="00F53D46"/>
    <w:rsid w:val="00F53E1A"/>
    <w:rsid w:val="00F53E1B"/>
    <w:rsid w:val="00F53E56"/>
    <w:rsid w:val="00F53F2B"/>
    <w:rsid w:val="00F5401D"/>
    <w:rsid w:val="00F5404D"/>
    <w:rsid w:val="00F540E3"/>
    <w:rsid w:val="00F540F6"/>
    <w:rsid w:val="00F540F9"/>
    <w:rsid w:val="00F54153"/>
    <w:rsid w:val="00F54196"/>
    <w:rsid w:val="00F541AA"/>
    <w:rsid w:val="00F541B0"/>
    <w:rsid w:val="00F541B4"/>
    <w:rsid w:val="00F541D7"/>
    <w:rsid w:val="00F5437D"/>
    <w:rsid w:val="00F54412"/>
    <w:rsid w:val="00F54449"/>
    <w:rsid w:val="00F5445E"/>
    <w:rsid w:val="00F54473"/>
    <w:rsid w:val="00F5453E"/>
    <w:rsid w:val="00F54579"/>
    <w:rsid w:val="00F54583"/>
    <w:rsid w:val="00F545C3"/>
    <w:rsid w:val="00F54647"/>
    <w:rsid w:val="00F546E0"/>
    <w:rsid w:val="00F5475B"/>
    <w:rsid w:val="00F548D6"/>
    <w:rsid w:val="00F54920"/>
    <w:rsid w:val="00F5492D"/>
    <w:rsid w:val="00F54956"/>
    <w:rsid w:val="00F54AD0"/>
    <w:rsid w:val="00F54AD4"/>
    <w:rsid w:val="00F54AFD"/>
    <w:rsid w:val="00F54B31"/>
    <w:rsid w:val="00F54B6A"/>
    <w:rsid w:val="00F54B97"/>
    <w:rsid w:val="00F54CDA"/>
    <w:rsid w:val="00F54CDB"/>
    <w:rsid w:val="00F54D95"/>
    <w:rsid w:val="00F54E04"/>
    <w:rsid w:val="00F54EFC"/>
    <w:rsid w:val="00F54F1A"/>
    <w:rsid w:val="00F54F90"/>
    <w:rsid w:val="00F55011"/>
    <w:rsid w:val="00F5504A"/>
    <w:rsid w:val="00F5509A"/>
    <w:rsid w:val="00F5509F"/>
    <w:rsid w:val="00F550C5"/>
    <w:rsid w:val="00F55223"/>
    <w:rsid w:val="00F55285"/>
    <w:rsid w:val="00F552FF"/>
    <w:rsid w:val="00F5535B"/>
    <w:rsid w:val="00F553B1"/>
    <w:rsid w:val="00F553C8"/>
    <w:rsid w:val="00F553F3"/>
    <w:rsid w:val="00F55453"/>
    <w:rsid w:val="00F55459"/>
    <w:rsid w:val="00F554C3"/>
    <w:rsid w:val="00F554C7"/>
    <w:rsid w:val="00F55559"/>
    <w:rsid w:val="00F5556B"/>
    <w:rsid w:val="00F555B3"/>
    <w:rsid w:val="00F5566D"/>
    <w:rsid w:val="00F556A6"/>
    <w:rsid w:val="00F556C0"/>
    <w:rsid w:val="00F5575F"/>
    <w:rsid w:val="00F55769"/>
    <w:rsid w:val="00F5576C"/>
    <w:rsid w:val="00F557EC"/>
    <w:rsid w:val="00F5580F"/>
    <w:rsid w:val="00F55829"/>
    <w:rsid w:val="00F55846"/>
    <w:rsid w:val="00F5589E"/>
    <w:rsid w:val="00F55965"/>
    <w:rsid w:val="00F559BA"/>
    <w:rsid w:val="00F55A05"/>
    <w:rsid w:val="00F55A91"/>
    <w:rsid w:val="00F55A93"/>
    <w:rsid w:val="00F55ADB"/>
    <w:rsid w:val="00F55B94"/>
    <w:rsid w:val="00F55C85"/>
    <w:rsid w:val="00F55E91"/>
    <w:rsid w:val="00F55EF3"/>
    <w:rsid w:val="00F55F47"/>
    <w:rsid w:val="00F55F98"/>
    <w:rsid w:val="00F55FCC"/>
    <w:rsid w:val="00F55FE2"/>
    <w:rsid w:val="00F5600E"/>
    <w:rsid w:val="00F561BB"/>
    <w:rsid w:val="00F561FF"/>
    <w:rsid w:val="00F56215"/>
    <w:rsid w:val="00F5627B"/>
    <w:rsid w:val="00F5646E"/>
    <w:rsid w:val="00F564E6"/>
    <w:rsid w:val="00F56542"/>
    <w:rsid w:val="00F565AA"/>
    <w:rsid w:val="00F565DA"/>
    <w:rsid w:val="00F5660F"/>
    <w:rsid w:val="00F56643"/>
    <w:rsid w:val="00F56658"/>
    <w:rsid w:val="00F5673D"/>
    <w:rsid w:val="00F5676B"/>
    <w:rsid w:val="00F567B7"/>
    <w:rsid w:val="00F56896"/>
    <w:rsid w:val="00F568AE"/>
    <w:rsid w:val="00F56939"/>
    <w:rsid w:val="00F56947"/>
    <w:rsid w:val="00F56971"/>
    <w:rsid w:val="00F56988"/>
    <w:rsid w:val="00F5699A"/>
    <w:rsid w:val="00F569C5"/>
    <w:rsid w:val="00F56A3D"/>
    <w:rsid w:val="00F56B96"/>
    <w:rsid w:val="00F56CBE"/>
    <w:rsid w:val="00F56D09"/>
    <w:rsid w:val="00F56D54"/>
    <w:rsid w:val="00F56DC4"/>
    <w:rsid w:val="00F56DC7"/>
    <w:rsid w:val="00F56DCE"/>
    <w:rsid w:val="00F56EA2"/>
    <w:rsid w:val="00F56ED7"/>
    <w:rsid w:val="00F56F3D"/>
    <w:rsid w:val="00F56F4C"/>
    <w:rsid w:val="00F57054"/>
    <w:rsid w:val="00F57093"/>
    <w:rsid w:val="00F570A7"/>
    <w:rsid w:val="00F57281"/>
    <w:rsid w:val="00F57292"/>
    <w:rsid w:val="00F57297"/>
    <w:rsid w:val="00F572C3"/>
    <w:rsid w:val="00F572EF"/>
    <w:rsid w:val="00F573B8"/>
    <w:rsid w:val="00F57551"/>
    <w:rsid w:val="00F5755D"/>
    <w:rsid w:val="00F575AB"/>
    <w:rsid w:val="00F575FE"/>
    <w:rsid w:val="00F57605"/>
    <w:rsid w:val="00F576C9"/>
    <w:rsid w:val="00F5771D"/>
    <w:rsid w:val="00F577A4"/>
    <w:rsid w:val="00F57A03"/>
    <w:rsid w:val="00F57ADB"/>
    <w:rsid w:val="00F57B2F"/>
    <w:rsid w:val="00F57C9E"/>
    <w:rsid w:val="00F57CC3"/>
    <w:rsid w:val="00F57D03"/>
    <w:rsid w:val="00F57D09"/>
    <w:rsid w:val="00F57DBC"/>
    <w:rsid w:val="00F57EE6"/>
    <w:rsid w:val="00F57F6D"/>
    <w:rsid w:val="00F57FC4"/>
    <w:rsid w:val="00F600B3"/>
    <w:rsid w:val="00F6017B"/>
    <w:rsid w:val="00F60189"/>
    <w:rsid w:val="00F601B3"/>
    <w:rsid w:val="00F60397"/>
    <w:rsid w:val="00F60455"/>
    <w:rsid w:val="00F60457"/>
    <w:rsid w:val="00F604C1"/>
    <w:rsid w:val="00F604FF"/>
    <w:rsid w:val="00F60568"/>
    <w:rsid w:val="00F605D4"/>
    <w:rsid w:val="00F606AB"/>
    <w:rsid w:val="00F606EA"/>
    <w:rsid w:val="00F606F3"/>
    <w:rsid w:val="00F60769"/>
    <w:rsid w:val="00F60819"/>
    <w:rsid w:val="00F6082D"/>
    <w:rsid w:val="00F6087A"/>
    <w:rsid w:val="00F608EF"/>
    <w:rsid w:val="00F60919"/>
    <w:rsid w:val="00F6095C"/>
    <w:rsid w:val="00F60B79"/>
    <w:rsid w:val="00F60B8D"/>
    <w:rsid w:val="00F60BC2"/>
    <w:rsid w:val="00F60C24"/>
    <w:rsid w:val="00F60DAE"/>
    <w:rsid w:val="00F60DB4"/>
    <w:rsid w:val="00F60E1D"/>
    <w:rsid w:val="00F60FA1"/>
    <w:rsid w:val="00F6105B"/>
    <w:rsid w:val="00F61090"/>
    <w:rsid w:val="00F61108"/>
    <w:rsid w:val="00F61112"/>
    <w:rsid w:val="00F61129"/>
    <w:rsid w:val="00F611D2"/>
    <w:rsid w:val="00F611FA"/>
    <w:rsid w:val="00F6127C"/>
    <w:rsid w:val="00F6134C"/>
    <w:rsid w:val="00F613B6"/>
    <w:rsid w:val="00F61404"/>
    <w:rsid w:val="00F61462"/>
    <w:rsid w:val="00F61465"/>
    <w:rsid w:val="00F61493"/>
    <w:rsid w:val="00F614BB"/>
    <w:rsid w:val="00F615DF"/>
    <w:rsid w:val="00F616A6"/>
    <w:rsid w:val="00F61708"/>
    <w:rsid w:val="00F61849"/>
    <w:rsid w:val="00F6187F"/>
    <w:rsid w:val="00F61957"/>
    <w:rsid w:val="00F61988"/>
    <w:rsid w:val="00F619CF"/>
    <w:rsid w:val="00F61A0F"/>
    <w:rsid w:val="00F61A6D"/>
    <w:rsid w:val="00F61A99"/>
    <w:rsid w:val="00F61ACE"/>
    <w:rsid w:val="00F61BAE"/>
    <w:rsid w:val="00F61BB2"/>
    <w:rsid w:val="00F61BBA"/>
    <w:rsid w:val="00F61C33"/>
    <w:rsid w:val="00F61C4D"/>
    <w:rsid w:val="00F61CA7"/>
    <w:rsid w:val="00F61CD3"/>
    <w:rsid w:val="00F61D52"/>
    <w:rsid w:val="00F61D72"/>
    <w:rsid w:val="00F61E0A"/>
    <w:rsid w:val="00F61E1D"/>
    <w:rsid w:val="00F61EBD"/>
    <w:rsid w:val="00F61F1F"/>
    <w:rsid w:val="00F61F2B"/>
    <w:rsid w:val="00F61FC4"/>
    <w:rsid w:val="00F62021"/>
    <w:rsid w:val="00F620B5"/>
    <w:rsid w:val="00F620FC"/>
    <w:rsid w:val="00F62122"/>
    <w:rsid w:val="00F62131"/>
    <w:rsid w:val="00F62133"/>
    <w:rsid w:val="00F621F6"/>
    <w:rsid w:val="00F621FC"/>
    <w:rsid w:val="00F62358"/>
    <w:rsid w:val="00F62361"/>
    <w:rsid w:val="00F6236C"/>
    <w:rsid w:val="00F623B9"/>
    <w:rsid w:val="00F623C5"/>
    <w:rsid w:val="00F6243B"/>
    <w:rsid w:val="00F62462"/>
    <w:rsid w:val="00F625F9"/>
    <w:rsid w:val="00F6261F"/>
    <w:rsid w:val="00F6268B"/>
    <w:rsid w:val="00F6269E"/>
    <w:rsid w:val="00F62734"/>
    <w:rsid w:val="00F627BD"/>
    <w:rsid w:val="00F627EA"/>
    <w:rsid w:val="00F629A6"/>
    <w:rsid w:val="00F629CF"/>
    <w:rsid w:val="00F629D8"/>
    <w:rsid w:val="00F62A20"/>
    <w:rsid w:val="00F62A60"/>
    <w:rsid w:val="00F62BC1"/>
    <w:rsid w:val="00F62BD8"/>
    <w:rsid w:val="00F62CDB"/>
    <w:rsid w:val="00F62D24"/>
    <w:rsid w:val="00F62D2C"/>
    <w:rsid w:val="00F62DE7"/>
    <w:rsid w:val="00F62DFA"/>
    <w:rsid w:val="00F62E36"/>
    <w:rsid w:val="00F62E59"/>
    <w:rsid w:val="00F62FDE"/>
    <w:rsid w:val="00F6306C"/>
    <w:rsid w:val="00F63070"/>
    <w:rsid w:val="00F6317E"/>
    <w:rsid w:val="00F631C2"/>
    <w:rsid w:val="00F631DD"/>
    <w:rsid w:val="00F63260"/>
    <w:rsid w:val="00F63279"/>
    <w:rsid w:val="00F633DA"/>
    <w:rsid w:val="00F63457"/>
    <w:rsid w:val="00F634C0"/>
    <w:rsid w:val="00F63558"/>
    <w:rsid w:val="00F6364A"/>
    <w:rsid w:val="00F63828"/>
    <w:rsid w:val="00F6383D"/>
    <w:rsid w:val="00F6384C"/>
    <w:rsid w:val="00F6385D"/>
    <w:rsid w:val="00F638EB"/>
    <w:rsid w:val="00F63911"/>
    <w:rsid w:val="00F63A70"/>
    <w:rsid w:val="00F63A78"/>
    <w:rsid w:val="00F63BF4"/>
    <w:rsid w:val="00F63C25"/>
    <w:rsid w:val="00F63C5E"/>
    <w:rsid w:val="00F63D55"/>
    <w:rsid w:val="00F63D5C"/>
    <w:rsid w:val="00F63EF8"/>
    <w:rsid w:val="00F63F32"/>
    <w:rsid w:val="00F63F91"/>
    <w:rsid w:val="00F63FA4"/>
    <w:rsid w:val="00F63FA5"/>
    <w:rsid w:val="00F63FAF"/>
    <w:rsid w:val="00F64001"/>
    <w:rsid w:val="00F6401F"/>
    <w:rsid w:val="00F6407D"/>
    <w:rsid w:val="00F640AE"/>
    <w:rsid w:val="00F640FB"/>
    <w:rsid w:val="00F64103"/>
    <w:rsid w:val="00F64121"/>
    <w:rsid w:val="00F64125"/>
    <w:rsid w:val="00F64179"/>
    <w:rsid w:val="00F6417C"/>
    <w:rsid w:val="00F641D8"/>
    <w:rsid w:val="00F641EC"/>
    <w:rsid w:val="00F6421A"/>
    <w:rsid w:val="00F6433D"/>
    <w:rsid w:val="00F643CC"/>
    <w:rsid w:val="00F643F8"/>
    <w:rsid w:val="00F6448B"/>
    <w:rsid w:val="00F644E2"/>
    <w:rsid w:val="00F64537"/>
    <w:rsid w:val="00F6456D"/>
    <w:rsid w:val="00F647B8"/>
    <w:rsid w:val="00F647BE"/>
    <w:rsid w:val="00F647FC"/>
    <w:rsid w:val="00F64812"/>
    <w:rsid w:val="00F6487D"/>
    <w:rsid w:val="00F6489A"/>
    <w:rsid w:val="00F648A3"/>
    <w:rsid w:val="00F6494D"/>
    <w:rsid w:val="00F649BA"/>
    <w:rsid w:val="00F64AB9"/>
    <w:rsid w:val="00F64AC8"/>
    <w:rsid w:val="00F64B8E"/>
    <w:rsid w:val="00F64C80"/>
    <w:rsid w:val="00F64CA1"/>
    <w:rsid w:val="00F64D97"/>
    <w:rsid w:val="00F64E1A"/>
    <w:rsid w:val="00F64E47"/>
    <w:rsid w:val="00F64E75"/>
    <w:rsid w:val="00F64F01"/>
    <w:rsid w:val="00F64F5B"/>
    <w:rsid w:val="00F64F78"/>
    <w:rsid w:val="00F64FE4"/>
    <w:rsid w:val="00F6502D"/>
    <w:rsid w:val="00F6505E"/>
    <w:rsid w:val="00F6514B"/>
    <w:rsid w:val="00F651E9"/>
    <w:rsid w:val="00F652C5"/>
    <w:rsid w:val="00F652E2"/>
    <w:rsid w:val="00F653AB"/>
    <w:rsid w:val="00F653EB"/>
    <w:rsid w:val="00F65442"/>
    <w:rsid w:val="00F65523"/>
    <w:rsid w:val="00F65696"/>
    <w:rsid w:val="00F656A0"/>
    <w:rsid w:val="00F656F3"/>
    <w:rsid w:val="00F656F9"/>
    <w:rsid w:val="00F65745"/>
    <w:rsid w:val="00F65757"/>
    <w:rsid w:val="00F657C1"/>
    <w:rsid w:val="00F657D1"/>
    <w:rsid w:val="00F65800"/>
    <w:rsid w:val="00F65811"/>
    <w:rsid w:val="00F6592C"/>
    <w:rsid w:val="00F6593F"/>
    <w:rsid w:val="00F6594D"/>
    <w:rsid w:val="00F659A8"/>
    <w:rsid w:val="00F659DD"/>
    <w:rsid w:val="00F659EC"/>
    <w:rsid w:val="00F65A38"/>
    <w:rsid w:val="00F65AA2"/>
    <w:rsid w:val="00F65AA5"/>
    <w:rsid w:val="00F65B67"/>
    <w:rsid w:val="00F65BDC"/>
    <w:rsid w:val="00F65C07"/>
    <w:rsid w:val="00F65C0F"/>
    <w:rsid w:val="00F65D32"/>
    <w:rsid w:val="00F65DD9"/>
    <w:rsid w:val="00F65DE2"/>
    <w:rsid w:val="00F65E2E"/>
    <w:rsid w:val="00F65F2A"/>
    <w:rsid w:val="00F65F71"/>
    <w:rsid w:val="00F65F84"/>
    <w:rsid w:val="00F66004"/>
    <w:rsid w:val="00F66092"/>
    <w:rsid w:val="00F6610D"/>
    <w:rsid w:val="00F66125"/>
    <w:rsid w:val="00F66145"/>
    <w:rsid w:val="00F66261"/>
    <w:rsid w:val="00F6631C"/>
    <w:rsid w:val="00F663D9"/>
    <w:rsid w:val="00F66408"/>
    <w:rsid w:val="00F66485"/>
    <w:rsid w:val="00F6653A"/>
    <w:rsid w:val="00F6654E"/>
    <w:rsid w:val="00F6655E"/>
    <w:rsid w:val="00F665DC"/>
    <w:rsid w:val="00F66649"/>
    <w:rsid w:val="00F66678"/>
    <w:rsid w:val="00F666C2"/>
    <w:rsid w:val="00F6670F"/>
    <w:rsid w:val="00F66734"/>
    <w:rsid w:val="00F667F6"/>
    <w:rsid w:val="00F6682C"/>
    <w:rsid w:val="00F66889"/>
    <w:rsid w:val="00F668B8"/>
    <w:rsid w:val="00F668F0"/>
    <w:rsid w:val="00F668FA"/>
    <w:rsid w:val="00F66929"/>
    <w:rsid w:val="00F66961"/>
    <w:rsid w:val="00F669B8"/>
    <w:rsid w:val="00F669CC"/>
    <w:rsid w:val="00F66ADE"/>
    <w:rsid w:val="00F66B70"/>
    <w:rsid w:val="00F66C2D"/>
    <w:rsid w:val="00F66C72"/>
    <w:rsid w:val="00F66CC0"/>
    <w:rsid w:val="00F66D10"/>
    <w:rsid w:val="00F66D46"/>
    <w:rsid w:val="00F66E28"/>
    <w:rsid w:val="00F66E38"/>
    <w:rsid w:val="00F66F30"/>
    <w:rsid w:val="00F67021"/>
    <w:rsid w:val="00F67096"/>
    <w:rsid w:val="00F670FF"/>
    <w:rsid w:val="00F6717A"/>
    <w:rsid w:val="00F67234"/>
    <w:rsid w:val="00F6726C"/>
    <w:rsid w:val="00F67298"/>
    <w:rsid w:val="00F672ED"/>
    <w:rsid w:val="00F672F7"/>
    <w:rsid w:val="00F6733F"/>
    <w:rsid w:val="00F6735E"/>
    <w:rsid w:val="00F6739C"/>
    <w:rsid w:val="00F673D2"/>
    <w:rsid w:val="00F673D5"/>
    <w:rsid w:val="00F674A6"/>
    <w:rsid w:val="00F67699"/>
    <w:rsid w:val="00F67720"/>
    <w:rsid w:val="00F6783D"/>
    <w:rsid w:val="00F6787E"/>
    <w:rsid w:val="00F678F8"/>
    <w:rsid w:val="00F67A97"/>
    <w:rsid w:val="00F67AA7"/>
    <w:rsid w:val="00F67AE2"/>
    <w:rsid w:val="00F67B4B"/>
    <w:rsid w:val="00F67C6B"/>
    <w:rsid w:val="00F67C8D"/>
    <w:rsid w:val="00F67CD5"/>
    <w:rsid w:val="00F67CF0"/>
    <w:rsid w:val="00F67DDF"/>
    <w:rsid w:val="00F67DEF"/>
    <w:rsid w:val="00F67E04"/>
    <w:rsid w:val="00F67E2D"/>
    <w:rsid w:val="00F67EB7"/>
    <w:rsid w:val="00F70031"/>
    <w:rsid w:val="00F70088"/>
    <w:rsid w:val="00F700D8"/>
    <w:rsid w:val="00F70191"/>
    <w:rsid w:val="00F70218"/>
    <w:rsid w:val="00F7028B"/>
    <w:rsid w:val="00F703FA"/>
    <w:rsid w:val="00F7043A"/>
    <w:rsid w:val="00F70466"/>
    <w:rsid w:val="00F70487"/>
    <w:rsid w:val="00F704C2"/>
    <w:rsid w:val="00F7052C"/>
    <w:rsid w:val="00F70560"/>
    <w:rsid w:val="00F7058E"/>
    <w:rsid w:val="00F7062F"/>
    <w:rsid w:val="00F706E6"/>
    <w:rsid w:val="00F70807"/>
    <w:rsid w:val="00F7090E"/>
    <w:rsid w:val="00F70918"/>
    <w:rsid w:val="00F70934"/>
    <w:rsid w:val="00F709AC"/>
    <w:rsid w:val="00F709AF"/>
    <w:rsid w:val="00F70B06"/>
    <w:rsid w:val="00F70B2E"/>
    <w:rsid w:val="00F70C21"/>
    <w:rsid w:val="00F70C2A"/>
    <w:rsid w:val="00F70C69"/>
    <w:rsid w:val="00F70C92"/>
    <w:rsid w:val="00F70D5D"/>
    <w:rsid w:val="00F70D5E"/>
    <w:rsid w:val="00F70D85"/>
    <w:rsid w:val="00F70E39"/>
    <w:rsid w:val="00F70E5C"/>
    <w:rsid w:val="00F70E93"/>
    <w:rsid w:val="00F70ED3"/>
    <w:rsid w:val="00F70EF8"/>
    <w:rsid w:val="00F70F18"/>
    <w:rsid w:val="00F70F3B"/>
    <w:rsid w:val="00F70F88"/>
    <w:rsid w:val="00F70FA6"/>
    <w:rsid w:val="00F710CB"/>
    <w:rsid w:val="00F71105"/>
    <w:rsid w:val="00F7119C"/>
    <w:rsid w:val="00F711FE"/>
    <w:rsid w:val="00F71259"/>
    <w:rsid w:val="00F71270"/>
    <w:rsid w:val="00F712AF"/>
    <w:rsid w:val="00F7138A"/>
    <w:rsid w:val="00F71475"/>
    <w:rsid w:val="00F71530"/>
    <w:rsid w:val="00F71551"/>
    <w:rsid w:val="00F715F3"/>
    <w:rsid w:val="00F716B6"/>
    <w:rsid w:val="00F718C1"/>
    <w:rsid w:val="00F71918"/>
    <w:rsid w:val="00F7193E"/>
    <w:rsid w:val="00F71946"/>
    <w:rsid w:val="00F719AA"/>
    <w:rsid w:val="00F719EA"/>
    <w:rsid w:val="00F71AB1"/>
    <w:rsid w:val="00F71B50"/>
    <w:rsid w:val="00F71BAB"/>
    <w:rsid w:val="00F71BAF"/>
    <w:rsid w:val="00F71C15"/>
    <w:rsid w:val="00F71C24"/>
    <w:rsid w:val="00F71C55"/>
    <w:rsid w:val="00F71C72"/>
    <w:rsid w:val="00F71C7B"/>
    <w:rsid w:val="00F71D0A"/>
    <w:rsid w:val="00F71D10"/>
    <w:rsid w:val="00F71D1B"/>
    <w:rsid w:val="00F71E1F"/>
    <w:rsid w:val="00F71E2D"/>
    <w:rsid w:val="00F71E6E"/>
    <w:rsid w:val="00F71EF1"/>
    <w:rsid w:val="00F71F10"/>
    <w:rsid w:val="00F71F7C"/>
    <w:rsid w:val="00F72101"/>
    <w:rsid w:val="00F72108"/>
    <w:rsid w:val="00F72115"/>
    <w:rsid w:val="00F7212D"/>
    <w:rsid w:val="00F72205"/>
    <w:rsid w:val="00F72402"/>
    <w:rsid w:val="00F7250A"/>
    <w:rsid w:val="00F72510"/>
    <w:rsid w:val="00F72530"/>
    <w:rsid w:val="00F726D1"/>
    <w:rsid w:val="00F72711"/>
    <w:rsid w:val="00F72848"/>
    <w:rsid w:val="00F72920"/>
    <w:rsid w:val="00F7299A"/>
    <w:rsid w:val="00F729E8"/>
    <w:rsid w:val="00F72A98"/>
    <w:rsid w:val="00F72AC5"/>
    <w:rsid w:val="00F72AE2"/>
    <w:rsid w:val="00F72AE5"/>
    <w:rsid w:val="00F72B72"/>
    <w:rsid w:val="00F72B9F"/>
    <w:rsid w:val="00F72BD2"/>
    <w:rsid w:val="00F72BEC"/>
    <w:rsid w:val="00F72C2F"/>
    <w:rsid w:val="00F72CE1"/>
    <w:rsid w:val="00F72D28"/>
    <w:rsid w:val="00F72E75"/>
    <w:rsid w:val="00F72F13"/>
    <w:rsid w:val="00F72FDE"/>
    <w:rsid w:val="00F730A1"/>
    <w:rsid w:val="00F73157"/>
    <w:rsid w:val="00F73166"/>
    <w:rsid w:val="00F73181"/>
    <w:rsid w:val="00F73248"/>
    <w:rsid w:val="00F733E0"/>
    <w:rsid w:val="00F734AD"/>
    <w:rsid w:val="00F73521"/>
    <w:rsid w:val="00F7356A"/>
    <w:rsid w:val="00F73683"/>
    <w:rsid w:val="00F73754"/>
    <w:rsid w:val="00F73756"/>
    <w:rsid w:val="00F738F5"/>
    <w:rsid w:val="00F739B3"/>
    <w:rsid w:val="00F739BD"/>
    <w:rsid w:val="00F73AF8"/>
    <w:rsid w:val="00F73B5D"/>
    <w:rsid w:val="00F73BEF"/>
    <w:rsid w:val="00F73CF6"/>
    <w:rsid w:val="00F73D0F"/>
    <w:rsid w:val="00F73D84"/>
    <w:rsid w:val="00F73DCB"/>
    <w:rsid w:val="00F73ED5"/>
    <w:rsid w:val="00F73FF7"/>
    <w:rsid w:val="00F7402A"/>
    <w:rsid w:val="00F741C3"/>
    <w:rsid w:val="00F741C5"/>
    <w:rsid w:val="00F74209"/>
    <w:rsid w:val="00F74255"/>
    <w:rsid w:val="00F7427C"/>
    <w:rsid w:val="00F74287"/>
    <w:rsid w:val="00F742F7"/>
    <w:rsid w:val="00F74355"/>
    <w:rsid w:val="00F7437B"/>
    <w:rsid w:val="00F7439A"/>
    <w:rsid w:val="00F743A1"/>
    <w:rsid w:val="00F743BA"/>
    <w:rsid w:val="00F7440F"/>
    <w:rsid w:val="00F7452A"/>
    <w:rsid w:val="00F74570"/>
    <w:rsid w:val="00F745E4"/>
    <w:rsid w:val="00F7464D"/>
    <w:rsid w:val="00F74655"/>
    <w:rsid w:val="00F746B4"/>
    <w:rsid w:val="00F7470B"/>
    <w:rsid w:val="00F74732"/>
    <w:rsid w:val="00F74831"/>
    <w:rsid w:val="00F74861"/>
    <w:rsid w:val="00F748B6"/>
    <w:rsid w:val="00F748FE"/>
    <w:rsid w:val="00F7494C"/>
    <w:rsid w:val="00F749AA"/>
    <w:rsid w:val="00F749E5"/>
    <w:rsid w:val="00F74BA9"/>
    <w:rsid w:val="00F74D04"/>
    <w:rsid w:val="00F74D2A"/>
    <w:rsid w:val="00F74D7B"/>
    <w:rsid w:val="00F74D80"/>
    <w:rsid w:val="00F74EB4"/>
    <w:rsid w:val="00F7507C"/>
    <w:rsid w:val="00F750C1"/>
    <w:rsid w:val="00F7518E"/>
    <w:rsid w:val="00F75197"/>
    <w:rsid w:val="00F751CC"/>
    <w:rsid w:val="00F7524F"/>
    <w:rsid w:val="00F752B3"/>
    <w:rsid w:val="00F752F5"/>
    <w:rsid w:val="00F752F8"/>
    <w:rsid w:val="00F752FD"/>
    <w:rsid w:val="00F75301"/>
    <w:rsid w:val="00F7532D"/>
    <w:rsid w:val="00F753EA"/>
    <w:rsid w:val="00F75430"/>
    <w:rsid w:val="00F7544C"/>
    <w:rsid w:val="00F754AB"/>
    <w:rsid w:val="00F75527"/>
    <w:rsid w:val="00F75556"/>
    <w:rsid w:val="00F7557D"/>
    <w:rsid w:val="00F7557F"/>
    <w:rsid w:val="00F75597"/>
    <w:rsid w:val="00F755D5"/>
    <w:rsid w:val="00F75623"/>
    <w:rsid w:val="00F756A0"/>
    <w:rsid w:val="00F756AD"/>
    <w:rsid w:val="00F756CF"/>
    <w:rsid w:val="00F75784"/>
    <w:rsid w:val="00F75796"/>
    <w:rsid w:val="00F757AE"/>
    <w:rsid w:val="00F757DC"/>
    <w:rsid w:val="00F757E8"/>
    <w:rsid w:val="00F75821"/>
    <w:rsid w:val="00F75842"/>
    <w:rsid w:val="00F758A3"/>
    <w:rsid w:val="00F75987"/>
    <w:rsid w:val="00F75A4B"/>
    <w:rsid w:val="00F75A55"/>
    <w:rsid w:val="00F75AC2"/>
    <w:rsid w:val="00F75AEB"/>
    <w:rsid w:val="00F75BC4"/>
    <w:rsid w:val="00F75BF6"/>
    <w:rsid w:val="00F75D9A"/>
    <w:rsid w:val="00F75EB9"/>
    <w:rsid w:val="00F75F07"/>
    <w:rsid w:val="00F75FD8"/>
    <w:rsid w:val="00F75FEC"/>
    <w:rsid w:val="00F7602D"/>
    <w:rsid w:val="00F76086"/>
    <w:rsid w:val="00F76102"/>
    <w:rsid w:val="00F761B5"/>
    <w:rsid w:val="00F7625A"/>
    <w:rsid w:val="00F762E4"/>
    <w:rsid w:val="00F76394"/>
    <w:rsid w:val="00F763BA"/>
    <w:rsid w:val="00F76479"/>
    <w:rsid w:val="00F765DC"/>
    <w:rsid w:val="00F765FE"/>
    <w:rsid w:val="00F76612"/>
    <w:rsid w:val="00F766BA"/>
    <w:rsid w:val="00F7670B"/>
    <w:rsid w:val="00F76768"/>
    <w:rsid w:val="00F7679C"/>
    <w:rsid w:val="00F767B6"/>
    <w:rsid w:val="00F769D5"/>
    <w:rsid w:val="00F76A58"/>
    <w:rsid w:val="00F76B66"/>
    <w:rsid w:val="00F76BB3"/>
    <w:rsid w:val="00F76BBD"/>
    <w:rsid w:val="00F76BDA"/>
    <w:rsid w:val="00F76C58"/>
    <w:rsid w:val="00F76CB8"/>
    <w:rsid w:val="00F76D15"/>
    <w:rsid w:val="00F76D53"/>
    <w:rsid w:val="00F76DE9"/>
    <w:rsid w:val="00F76E04"/>
    <w:rsid w:val="00F76E4F"/>
    <w:rsid w:val="00F76EBF"/>
    <w:rsid w:val="00F76F70"/>
    <w:rsid w:val="00F76F94"/>
    <w:rsid w:val="00F7709E"/>
    <w:rsid w:val="00F77296"/>
    <w:rsid w:val="00F772A8"/>
    <w:rsid w:val="00F77384"/>
    <w:rsid w:val="00F773A0"/>
    <w:rsid w:val="00F773DF"/>
    <w:rsid w:val="00F77538"/>
    <w:rsid w:val="00F775B0"/>
    <w:rsid w:val="00F77615"/>
    <w:rsid w:val="00F77645"/>
    <w:rsid w:val="00F7764D"/>
    <w:rsid w:val="00F77788"/>
    <w:rsid w:val="00F77807"/>
    <w:rsid w:val="00F77851"/>
    <w:rsid w:val="00F779B8"/>
    <w:rsid w:val="00F77A28"/>
    <w:rsid w:val="00F77AC0"/>
    <w:rsid w:val="00F77ACD"/>
    <w:rsid w:val="00F77B5A"/>
    <w:rsid w:val="00F77BCE"/>
    <w:rsid w:val="00F77BF1"/>
    <w:rsid w:val="00F77CB7"/>
    <w:rsid w:val="00F77CDD"/>
    <w:rsid w:val="00F77CF0"/>
    <w:rsid w:val="00F77D0A"/>
    <w:rsid w:val="00F77D0C"/>
    <w:rsid w:val="00F77D42"/>
    <w:rsid w:val="00F77DAC"/>
    <w:rsid w:val="00F77DB2"/>
    <w:rsid w:val="00F77DF0"/>
    <w:rsid w:val="00F77E0A"/>
    <w:rsid w:val="00F77EC4"/>
    <w:rsid w:val="00F77F7D"/>
    <w:rsid w:val="00F800F8"/>
    <w:rsid w:val="00F800FF"/>
    <w:rsid w:val="00F80114"/>
    <w:rsid w:val="00F80128"/>
    <w:rsid w:val="00F8023A"/>
    <w:rsid w:val="00F802A6"/>
    <w:rsid w:val="00F802C8"/>
    <w:rsid w:val="00F8033F"/>
    <w:rsid w:val="00F80341"/>
    <w:rsid w:val="00F8047B"/>
    <w:rsid w:val="00F80509"/>
    <w:rsid w:val="00F80537"/>
    <w:rsid w:val="00F80580"/>
    <w:rsid w:val="00F80590"/>
    <w:rsid w:val="00F80618"/>
    <w:rsid w:val="00F806E0"/>
    <w:rsid w:val="00F8079D"/>
    <w:rsid w:val="00F80803"/>
    <w:rsid w:val="00F808A1"/>
    <w:rsid w:val="00F80909"/>
    <w:rsid w:val="00F80945"/>
    <w:rsid w:val="00F80A4C"/>
    <w:rsid w:val="00F80AFA"/>
    <w:rsid w:val="00F80C07"/>
    <w:rsid w:val="00F80C99"/>
    <w:rsid w:val="00F80CB2"/>
    <w:rsid w:val="00F80CD7"/>
    <w:rsid w:val="00F80CEC"/>
    <w:rsid w:val="00F80CFB"/>
    <w:rsid w:val="00F80F68"/>
    <w:rsid w:val="00F80FFB"/>
    <w:rsid w:val="00F81052"/>
    <w:rsid w:val="00F81055"/>
    <w:rsid w:val="00F810F4"/>
    <w:rsid w:val="00F81121"/>
    <w:rsid w:val="00F81141"/>
    <w:rsid w:val="00F81164"/>
    <w:rsid w:val="00F812CD"/>
    <w:rsid w:val="00F8136D"/>
    <w:rsid w:val="00F81374"/>
    <w:rsid w:val="00F81398"/>
    <w:rsid w:val="00F81472"/>
    <w:rsid w:val="00F81495"/>
    <w:rsid w:val="00F814C9"/>
    <w:rsid w:val="00F814E1"/>
    <w:rsid w:val="00F81554"/>
    <w:rsid w:val="00F81589"/>
    <w:rsid w:val="00F815BB"/>
    <w:rsid w:val="00F8187A"/>
    <w:rsid w:val="00F81887"/>
    <w:rsid w:val="00F818C2"/>
    <w:rsid w:val="00F8190D"/>
    <w:rsid w:val="00F819A4"/>
    <w:rsid w:val="00F819EB"/>
    <w:rsid w:val="00F81B61"/>
    <w:rsid w:val="00F81C01"/>
    <w:rsid w:val="00F81CC4"/>
    <w:rsid w:val="00F81CF2"/>
    <w:rsid w:val="00F81D5D"/>
    <w:rsid w:val="00F81E86"/>
    <w:rsid w:val="00F81EBA"/>
    <w:rsid w:val="00F81EE4"/>
    <w:rsid w:val="00F81FF2"/>
    <w:rsid w:val="00F81FFC"/>
    <w:rsid w:val="00F82043"/>
    <w:rsid w:val="00F82055"/>
    <w:rsid w:val="00F82087"/>
    <w:rsid w:val="00F8209C"/>
    <w:rsid w:val="00F820AC"/>
    <w:rsid w:val="00F820E2"/>
    <w:rsid w:val="00F8211D"/>
    <w:rsid w:val="00F8218E"/>
    <w:rsid w:val="00F821BA"/>
    <w:rsid w:val="00F82420"/>
    <w:rsid w:val="00F82423"/>
    <w:rsid w:val="00F824A2"/>
    <w:rsid w:val="00F824C0"/>
    <w:rsid w:val="00F825CF"/>
    <w:rsid w:val="00F8261B"/>
    <w:rsid w:val="00F82673"/>
    <w:rsid w:val="00F826F1"/>
    <w:rsid w:val="00F827FE"/>
    <w:rsid w:val="00F82847"/>
    <w:rsid w:val="00F82853"/>
    <w:rsid w:val="00F828C6"/>
    <w:rsid w:val="00F82A3B"/>
    <w:rsid w:val="00F82A50"/>
    <w:rsid w:val="00F82A6F"/>
    <w:rsid w:val="00F82B08"/>
    <w:rsid w:val="00F82B94"/>
    <w:rsid w:val="00F82BDD"/>
    <w:rsid w:val="00F82BFB"/>
    <w:rsid w:val="00F82C14"/>
    <w:rsid w:val="00F82C81"/>
    <w:rsid w:val="00F82CC7"/>
    <w:rsid w:val="00F82CE8"/>
    <w:rsid w:val="00F82E9A"/>
    <w:rsid w:val="00F82F32"/>
    <w:rsid w:val="00F82F81"/>
    <w:rsid w:val="00F83088"/>
    <w:rsid w:val="00F8309A"/>
    <w:rsid w:val="00F830A7"/>
    <w:rsid w:val="00F83144"/>
    <w:rsid w:val="00F831A3"/>
    <w:rsid w:val="00F831CD"/>
    <w:rsid w:val="00F832EC"/>
    <w:rsid w:val="00F832F4"/>
    <w:rsid w:val="00F83363"/>
    <w:rsid w:val="00F83402"/>
    <w:rsid w:val="00F83415"/>
    <w:rsid w:val="00F835CF"/>
    <w:rsid w:val="00F836D6"/>
    <w:rsid w:val="00F837B1"/>
    <w:rsid w:val="00F83822"/>
    <w:rsid w:val="00F8395C"/>
    <w:rsid w:val="00F8398B"/>
    <w:rsid w:val="00F83995"/>
    <w:rsid w:val="00F83AA6"/>
    <w:rsid w:val="00F83AC9"/>
    <w:rsid w:val="00F83AFB"/>
    <w:rsid w:val="00F83B1E"/>
    <w:rsid w:val="00F83C01"/>
    <w:rsid w:val="00F83C0E"/>
    <w:rsid w:val="00F83C84"/>
    <w:rsid w:val="00F83C8F"/>
    <w:rsid w:val="00F83D46"/>
    <w:rsid w:val="00F83E6E"/>
    <w:rsid w:val="00F83E77"/>
    <w:rsid w:val="00F83E84"/>
    <w:rsid w:val="00F83E86"/>
    <w:rsid w:val="00F83F55"/>
    <w:rsid w:val="00F840BE"/>
    <w:rsid w:val="00F840CF"/>
    <w:rsid w:val="00F84174"/>
    <w:rsid w:val="00F841E3"/>
    <w:rsid w:val="00F84261"/>
    <w:rsid w:val="00F8426A"/>
    <w:rsid w:val="00F843C3"/>
    <w:rsid w:val="00F8451D"/>
    <w:rsid w:val="00F84569"/>
    <w:rsid w:val="00F8459C"/>
    <w:rsid w:val="00F845FC"/>
    <w:rsid w:val="00F84613"/>
    <w:rsid w:val="00F84634"/>
    <w:rsid w:val="00F84669"/>
    <w:rsid w:val="00F846E1"/>
    <w:rsid w:val="00F848A4"/>
    <w:rsid w:val="00F84917"/>
    <w:rsid w:val="00F84A29"/>
    <w:rsid w:val="00F84A4E"/>
    <w:rsid w:val="00F84B44"/>
    <w:rsid w:val="00F84B4F"/>
    <w:rsid w:val="00F84BFD"/>
    <w:rsid w:val="00F84D9D"/>
    <w:rsid w:val="00F84DAE"/>
    <w:rsid w:val="00F84DE1"/>
    <w:rsid w:val="00F84DF6"/>
    <w:rsid w:val="00F84DFE"/>
    <w:rsid w:val="00F84E0F"/>
    <w:rsid w:val="00F84EA4"/>
    <w:rsid w:val="00F84ED0"/>
    <w:rsid w:val="00F84F76"/>
    <w:rsid w:val="00F84FF8"/>
    <w:rsid w:val="00F85000"/>
    <w:rsid w:val="00F85166"/>
    <w:rsid w:val="00F8516B"/>
    <w:rsid w:val="00F851A4"/>
    <w:rsid w:val="00F851A9"/>
    <w:rsid w:val="00F851EA"/>
    <w:rsid w:val="00F852C5"/>
    <w:rsid w:val="00F852D7"/>
    <w:rsid w:val="00F85303"/>
    <w:rsid w:val="00F853F1"/>
    <w:rsid w:val="00F85406"/>
    <w:rsid w:val="00F85728"/>
    <w:rsid w:val="00F85755"/>
    <w:rsid w:val="00F857A8"/>
    <w:rsid w:val="00F857AA"/>
    <w:rsid w:val="00F857C0"/>
    <w:rsid w:val="00F85807"/>
    <w:rsid w:val="00F8585A"/>
    <w:rsid w:val="00F8586E"/>
    <w:rsid w:val="00F85875"/>
    <w:rsid w:val="00F8588D"/>
    <w:rsid w:val="00F85897"/>
    <w:rsid w:val="00F858FA"/>
    <w:rsid w:val="00F85912"/>
    <w:rsid w:val="00F859D2"/>
    <w:rsid w:val="00F85AB4"/>
    <w:rsid w:val="00F85DD8"/>
    <w:rsid w:val="00F85F0A"/>
    <w:rsid w:val="00F85F12"/>
    <w:rsid w:val="00F85F40"/>
    <w:rsid w:val="00F85F41"/>
    <w:rsid w:val="00F85F59"/>
    <w:rsid w:val="00F85F9E"/>
    <w:rsid w:val="00F85FBA"/>
    <w:rsid w:val="00F85FD3"/>
    <w:rsid w:val="00F86055"/>
    <w:rsid w:val="00F86071"/>
    <w:rsid w:val="00F861AE"/>
    <w:rsid w:val="00F861C0"/>
    <w:rsid w:val="00F86200"/>
    <w:rsid w:val="00F86295"/>
    <w:rsid w:val="00F8630B"/>
    <w:rsid w:val="00F863D1"/>
    <w:rsid w:val="00F864F1"/>
    <w:rsid w:val="00F8654B"/>
    <w:rsid w:val="00F8657D"/>
    <w:rsid w:val="00F86581"/>
    <w:rsid w:val="00F86596"/>
    <w:rsid w:val="00F86634"/>
    <w:rsid w:val="00F866E8"/>
    <w:rsid w:val="00F866EE"/>
    <w:rsid w:val="00F8670A"/>
    <w:rsid w:val="00F8671C"/>
    <w:rsid w:val="00F8675B"/>
    <w:rsid w:val="00F867BF"/>
    <w:rsid w:val="00F867C8"/>
    <w:rsid w:val="00F86897"/>
    <w:rsid w:val="00F868A7"/>
    <w:rsid w:val="00F868C8"/>
    <w:rsid w:val="00F868CE"/>
    <w:rsid w:val="00F8695C"/>
    <w:rsid w:val="00F8698E"/>
    <w:rsid w:val="00F869A3"/>
    <w:rsid w:val="00F86B41"/>
    <w:rsid w:val="00F86C10"/>
    <w:rsid w:val="00F86C45"/>
    <w:rsid w:val="00F86C60"/>
    <w:rsid w:val="00F86C68"/>
    <w:rsid w:val="00F86D78"/>
    <w:rsid w:val="00F86FDB"/>
    <w:rsid w:val="00F87062"/>
    <w:rsid w:val="00F87082"/>
    <w:rsid w:val="00F870A2"/>
    <w:rsid w:val="00F87116"/>
    <w:rsid w:val="00F8711F"/>
    <w:rsid w:val="00F8717B"/>
    <w:rsid w:val="00F871E7"/>
    <w:rsid w:val="00F871F1"/>
    <w:rsid w:val="00F87200"/>
    <w:rsid w:val="00F87204"/>
    <w:rsid w:val="00F8727E"/>
    <w:rsid w:val="00F87467"/>
    <w:rsid w:val="00F874BD"/>
    <w:rsid w:val="00F874CF"/>
    <w:rsid w:val="00F874F8"/>
    <w:rsid w:val="00F87543"/>
    <w:rsid w:val="00F87570"/>
    <w:rsid w:val="00F875B8"/>
    <w:rsid w:val="00F8765C"/>
    <w:rsid w:val="00F87725"/>
    <w:rsid w:val="00F87753"/>
    <w:rsid w:val="00F8779A"/>
    <w:rsid w:val="00F877C4"/>
    <w:rsid w:val="00F87882"/>
    <w:rsid w:val="00F87911"/>
    <w:rsid w:val="00F879B2"/>
    <w:rsid w:val="00F879EA"/>
    <w:rsid w:val="00F87A33"/>
    <w:rsid w:val="00F87A72"/>
    <w:rsid w:val="00F87BBA"/>
    <w:rsid w:val="00F87BBD"/>
    <w:rsid w:val="00F87BC6"/>
    <w:rsid w:val="00F87C73"/>
    <w:rsid w:val="00F87CA4"/>
    <w:rsid w:val="00F87DCB"/>
    <w:rsid w:val="00F87FE2"/>
    <w:rsid w:val="00F87FE8"/>
    <w:rsid w:val="00F9003A"/>
    <w:rsid w:val="00F9004D"/>
    <w:rsid w:val="00F900C6"/>
    <w:rsid w:val="00F90112"/>
    <w:rsid w:val="00F9019A"/>
    <w:rsid w:val="00F901A0"/>
    <w:rsid w:val="00F901D1"/>
    <w:rsid w:val="00F9038E"/>
    <w:rsid w:val="00F903DF"/>
    <w:rsid w:val="00F904C6"/>
    <w:rsid w:val="00F9061F"/>
    <w:rsid w:val="00F906F7"/>
    <w:rsid w:val="00F90758"/>
    <w:rsid w:val="00F907D9"/>
    <w:rsid w:val="00F9090A"/>
    <w:rsid w:val="00F9091A"/>
    <w:rsid w:val="00F90930"/>
    <w:rsid w:val="00F9098C"/>
    <w:rsid w:val="00F90A07"/>
    <w:rsid w:val="00F90A9A"/>
    <w:rsid w:val="00F90AB8"/>
    <w:rsid w:val="00F90B0E"/>
    <w:rsid w:val="00F90B6D"/>
    <w:rsid w:val="00F90B85"/>
    <w:rsid w:val="00F90C46"/>
    <w:rsid w:val="00F90CB6"/>
    <w:rsid w:val="00F90CEA"/>
    <w:rsid w:val="00F90EA5"/>
    <w:rsid w:val="00F90F4C"/>
    <w:rsid w:val="00F90FC5"/>
    <w:rsid w:val="00F91071"/>
    <w:rsid w:val="00F910BF"/>
    <w:rsid w:val="00F91162"/>
    <w:rsid w:val="00F911A5"/>
    <w:rsid w:val="00F911C3"/>
    <w:rsid w:val="00F911DE"/>
    <w:rsid w:val="00F911E3"/>
    <w:rsid w:val="00F911E6"/>
    <w:rsid w:val="00F91213"/>
    <w:rsid w:val="00F912BB"/>
    <w:rsid w:val="00F91306"/>
    <w:rsid w:val="00F91366"/>
    <w:rsid w:val="00F9137D"/>
    <w:rsid w:val="00F91388"/>
    <w:rsid w:val="00F91476"/>
    <w:rsid w:val="00F9148A"/>
    <w:rsid w:val="00F9152C"/>
    <w:rsid w:val="00F91618"/>
    <w:rsid w:val="00F9165D"/>
    <w:rsid w:val="00F91729"/>
    <w:rsid w:val="00F91759"/>
    <w:rsid w:val="00F917CD"/>
    <w:rsid w:val="00F91829"/>
    <w:rsid w:val="00F9182E"/>
    <w:rsid w:val="00F919AE"/>
    <w:rsid w:val="00F91A44"/>
    <w:rsid w:val="00F91A8C"/>
    <w:rsid w:val="00F91AB6"/>
    <w:rsid w:val="00F91AD4"/>
    <w:rsid w:val="00F91ADA"/>
    <w:rsid w:val="00F91B24"/>
    <w:rsid w:val="00F91B44"/>
    <w:rsid w:val="00F91BCC"/>
    <w:rsid w:val="00F91C48"/>
    <w:rsid w:val="00F91C66"/>
    <w:rsid w:val="00F91C8C"/>
    <w:rsid w:val="00F91D9D"/>
    <w:rsid w:val="00F91E64"/>
    <w:rsid w:val="00F91F3D"/>
    <w:rsid w:val="00F91F55"/>
    <w:rsid w:val="00F92032"/>
    <w:rsid w:val="00F92046"/>
    <w:rsid w:val="00F92092"/>
    <w:rsid w:val="00F921D9"/>
    <w:rsid w:val="00F92272"/>
    <w:rsid w:val="00F92284"/>
    <w:rsid w:val="00F92310"/>
    <w:rsid w:val="00F923F4"/>
    <w:rsid w:val="00F9240F"/>
    <w:rsid w:val="00F92417"/>
    <w:rsid w:val="00F9242F"/>
    <w:rsid w:val="00F92458"/>
    <w:rsid w:val="00F9247D"/>
    <w:rsid w:val="00F92508"/>
    <w:rsid w:val="00F9252D"/>
    <w:rsid w:val="00F92586"/>
    <w:rsid w:val="00F925C0"/>
    <w:rsid w:val="00F925C8"/>
    <w:rsid w:val="00F92683"/>
    <w:rsid w:val="00F926A1"/>
    <w:rsid w:val="00F92713"/>
    <w:rsid w:val="00F9276C"/>
    <w:rsid w:val="00F92826"/>
    <w:rsid w:val="00F92841"/>
    <w:rsid w:val="00F9284B"/>
    <w:rsid w:val="00F92866"/>
    <w:rsid w:val="00F928D3"/>
    <w:rsid w:val="00F92913"/>
    <w:rsid w:val="00F9291E"/>
    <w:rsid w:val="00F929C2"/>
    <w:rsid w:val="00F929D3"/>
    <w:rsid w:val="00F92A1B"/>
    <w:rsid w:val="00F92A40"/>
    <w:rsid w:val="00F92A68"/>
    <w:rsid w:val="00F92A80"/>
    <w:rsid w:val="00F92A92"/>
    <w:rsid w:val="00F92A9F"/>
    <w:rsid w:val="00F92ABE"/>
    <w:rsid w:val="00F92B66"/>
    <w:rsid w:val="00F92BD5"/>
    <w:rsid w:val="00F92C48"/>
    <w:rsid w:val="00F92C50"/>
    <w:rsid w:val="00F92C9D"/>
    <w:rsid w:val="00F92D50"/>
    <w:rsid w:val="00F92D87"/>
    <w:rsid w:val="00F92D8D"/>
    <w:rsid w:val="00F92E59"/>
    <w:rsid w:val="00F92E66"/>
    <w:rsid w:val="00F92EDD"/>
    <w:rsid w:val="00F92EFF"/>
    <w:rsid w:val="00F92F60"/>
    <w:rsid w:val="00F930F7"/>
    <w:rsid w:val="00F9317D"/>
    <w:rsid w:val="00F9327D"/>
    <w:rsid w:val="00F9347B"/>
    <w:rsid w:val="00F934E6"/>
    <w:rsid w:val="00F935EF"/>
    <w:rsid w:val="00F9364F"/>
    <w:rsid w:val="00F936AB"/>
    <w:rsid w:val="00F936E1"/>
    <w:rsid w:val="00F93774"/>
    <w:rsid w:val="00F937FD"/>
    <w:rsid w:val="00F93827"/>
    <w:rsid w:val="00F9385B"/>
    <w:rsid w:val="00F9388C"/>
    <w:rsid w:val="00F938C5"/>
    <w:rsid w:val="00F939FA"/>
    <w:rsid w:val="00F93B7D"/>
    <w:rsid w:val="00F93BEE"/>
    <w:rsid w:val="00F93C19"/>
    <w:rsid w:val="00F93C4C"/>
    <w:rsid w:val="00F93D03"/>
    <w:rsid w:val="00F93D31"/>
    <w:rsid w:val="00F93DB8"/>
    <w:rsid w:val="00F93DED"/>
    <w:rsid w:val="00F93E4D"/>
    <w:rsid w:val="00F93ED4"/>
    <w:rsid w:val="00F93EDC"/>
    <w:rsid w:val="00F93F54"/>
    <w:rsid w:val="00F93F87"/>
    <w:rsid w:val="00F93FD3"/>
    <w:rsid w:val="00F93FE1"/>
    <w:rsid w:val="00F94117"/>
    <w:rsid w:val="00F9414E"/>
    <w:rsid w:val="00F9420E"/>
    <w:rsid w:val="00F942EC"/>
    <w:rsid w:val="00F94393"/>
    <w:rsid w:val="00F943BB"/>
    <w:rsid w:val="00F943E9"/>
    <w:rsid w:val="00F9448B"/>
    <w:rsid w:val="00F94526"/>
    <w:rsid w:val="00F945A2"/>
    <w:rsid w:val="00F945DD"/>
    <w:rsid w:val="00F9468E"/>
    <w:rsid w:val="00F94713"/>
    <w:rsid w:val="00F94719"/>
    <w:rsid w:val="00F947FE"/>
    <w:rsid w:val="00F9484A"/>
    <w:rsid w:val="00F94937"/>
    <w:rsid w:val="00F949A7"/>
    <w:rsid w:val="00F94A92"/>
    <w:rsid w:val="00F94AD9"/>
    <w:rsid w:val="00F94C1A"/>
    <w:rsid w:val="00F94C6D"/>
    <w:rsid w:val="00F94CD8"/>
    <w:rsid w:val="00F94CED"/>
    <w:rsid w:val="00F94D84"/>
    <w:rsid w:val="00F94DDA"/>
    <w:rsid w:val="00F94E9F"/>
    <w:rsid w:val="00F94F74"/>
    <w:rsid w:val="00F94F77"/>
    <w:rsid w:val="00F94FAE"/>
    <w:rsid w:val="00F94FB3"/>
    <w:rsid w:val="00F94FFD"/>
    <w:rsid w:val="00F95141"/>
    <w:rsid w:val="00F95162"/>
    <w:rsid w:val="00F951DC"/>
    <w:rsid w:val="00F9529E"/>
    <w:rsid w:val="00F952D4"/>
    <w:rsid w:val="00F952F3"/>
    <w:rsid w:val="00F95329"/>
    <w:rsid w:val="00F95335"/>
    <w:rsid w:val="00F95425"/>
    <w:rsid w:val="00F954A7"/>
    <w:rsid w:val="00F955C3"/>
    <w:rsid w:val="00F955C7"/>
    <w:rsid w:val="00F9572E"/>
    <w:rsid w:val="00F95765"/>
    <w:rsid w:val="00F957A0"/>
    <w:rsid w:val="00F957F4"/>
    <w:rsid w:val="00F95813"/>
    <w:rsid w:val="00F9581F"/>
    <w:rsid w:val="00F95898"/>
    <w:rsid w:val="00F95964"/>
    <w:rsid w:val="00F959B0"/>
    <w:rsid w:val="00F95A65"/>
    <w:rsid w:val="00F95A9F"/>
    <w:rsid w:val="00F95B8E"/>
    <w:rsid w:val="00F95BC4"/>
    <w:rsid w:val="00F95C18"/>
    <w:rsid w:val="00F95C5B"/>
    <w:rsid w:val="00F95D78"/>
    <w:rsid w:val="00F95E07"/>
    <w:rsid w:val="00F95E8B"/>
    <w:rsid w:val="00F95EED"/>
    <w:rsid w:val="00F95FA5"/>
    <w:rsid w:val="00F9605E"/>
    <w:rsid w:val="00F96174"/>
    <w:rsid w:val="00F961DA"/>
    <w:rsid w:val="00F9627C"/>
    <w:rsid w:val="00F9628F"/>
    <w:rsid w:val="00F96330"/>
    <w:rsid w:val="00F963B3"/>
    <w:rsid w:val="00F963D5"/>
    <w:rsid w:val="00F9640D"/>
    <w:rsid w:val="00F964EA"/>
    <w:rsid w:val="00F965A5"/>
    <w:rsid w:val="00F965D1"/>
    <w:rsid w:val="00F965DF"/>
    <w:rsid w:val="00F96636"/>
    <w:rsid w:val="00F96645"/>
    <w:rsid w:val="00F966D9"/>
    <w:rsid w:val="00F966EF"/>
    <w:rsid w:val="00F96770"/>
    <w:rsid w:val="00F967EE"/>
    <w:rsid w:val="00F96812"/>
    <w:rsid w:val="00F96827"/>
    <w:rsid w:val="00F96855"/>
    <w:rsid w:val="00F968C5"/>
    <w:rsid w:val="00F968FA"/>
    <w:rsid w:val="00F9692E"/>
    <w:rsid w:val="00F96969"/>
    <w:rsid w:val="00F96A1E"/>
    <w:rsid w:val="00F96A53"/>
    <w:rsid w:val="00F96B30"/>
    <w:rsid w:val="00F96B77"/>
    <w:rsid w:val="00F96C14"/>
    <w:rsid w:val="00F96C2F"/>
    <w:rsid w:val="00F96C6E"/>
    <w:rsid w:val="00F96C88"/>
    <w:rsid w:val="00F96CCA"/>
    <w:rsid w:val="00F96CFA"/>
    <w:rsid w:val="00F96D7D"/>
    <w:rsid w:val="00F96DA2"/>
    <w:rsid w:val="00F96E56"/>
    <w:rsid w:val="00F96EB7"/>
    <w:rsid w:val="00F96ED4"/>
    <w:rsid w:val="00F96F30"/>
    <w:rsid w:val="00F96FB6"/>
    <w:rsid w:val="00F97034"/>
    <w:rsid w:val="00F9706F"/>
    <w:rsid w:val="00F97070"/>
    <w:rsid w:val="00F97144"/>
    <w:rsid w:val="00F971A4"/>
    <w:rsid w:val="00F97221"/>
    <w:rsid w:val="00F9733F"/>
    <w:rsid w:val="00F97491"/>
    <w:rsid w:val="00F97538"/>
    <w:rsid w:val="00F9754D"/>
    <w:rsid w:val="00F9755C"/>
    <w:rsid w:val="00F97571"/>
    <w:rsid w:val="00F97593"/>
    <w:rsid w:val="00F975CA"/>
    <w:rsid w:val="00F97613"/>
    <w:rsid w:val="00F9776E"/>
    <w:rsid w:val="00F9779F"/>
    <w:rsid w:val="00F97804"/>
    <w:rsid w:val="00F97833"/>
    <w:rsid w:val="00F978A4"/>
    <w:rsid w:val="00F978D0"/>
    <w:rsid w:val="00F978DC"/>
    <w:rsid w:val="00F97911"/>
    <w:rsid w:val="00F97977"/>
    <w:rsid w:val="00F97A7A"/>
    <w:rsid w:val="00F97ABC"/>
    <w:rsid w:val="00F97B17"/>
    <w:rsid w:val="00F97B99"/>
    <w:rsid w:val="00F97BE3"/>
    <w:rsid w:val="00F97C09"/>
    <w:rsid w:val="00F97C10"/>
    <w:rsid w:val="00F97CF3"/>
    <w:rsid w:val="00F97CF4"/>
    <w:rsid w:val="00F97DDC"/>
    <w:rsid w:val="00F97DFA"/>
    <w:rsid w:val="00F97E19"/>
    <w:rsid w:val="00F97E5F"/>
    <w:rsid w:val="00F97E78"/>
    <w:rsid w:val="00F97F33"/>
    <w:rsid w:val="00F97FFE"/>
    <w:rsid w:val="00FA00A6"/>
    <w:rsid w:val="00FA00AC"/>
    <w:rsid w:val="00FA00B2"/>
    <w:rsid w:val="00FA00C1"/>
    <w:rsid w:val="00FA00E8"/>
    <w:rsid w:val="00FA015F"/>
    <w:rsid w:val="00FA0188"/>
    <w:rsid w:val="00FA0265"/>
    <w:rsid w:val="00FA02F5"/>
    <w:rsid w:val="00FA0357"/>
    <w:rsid w:val="00FA0396"/>
    <w:rsid w:val="00FA03E3"/>
    <w:rsid w:val="00FA0477"/>
    <w:rsid w:val="00FA0479"/>
    <w:rsid w:val="00FA04A2"/>
    <w:rsid w:val="00FA050C"/>
    <w:rsid w:val="00FA05CC"/>
    <w:rsid w:val="00FA0654"/>
    <w:rsid w:val="00FA077B"/>
    <w:rsid w:val="00FA0885"/>
    <w:rsid w:val="00FA0906"/>
    <w:rsid w:val="00FA0915"/>
    <w:rsid w:val="00FA0953"/>
    <w:rsid w:val="00FA0984"/>
    <w:rsid w:val="00FA0985"/>
    <w:rsid w:val="00FA0A6F"/>
    <w:rsid w:val="00FA0B05"/>
    <w:rsid w:val="00FA0B67"/>
    <w:rsid w:val="00FA0BEB"/>
    <w:rsid w:val="00FA0C40"/>
    <w:rsid w:val="00FA0D4E"/>
    <w:rsid w:val="00FA0DCB"/>
    <w:rsid w:val="00FA0DDD"/>
    <w:rsid w:val="00FA0E24"/>
    <w:rsid w:val="00FA0E5A"/>
    <w:rsid w:val="00FA0EC0"/>
    <w:rsid w:val="00FA0EDD"/>
    <w:rsid w:val="00FA0F2D"/>
    <w:rsid w:val="00FA0F35"/>
    <w:rsid w:val="00FA0F87"/>
    <w:rsid w:val="00FA103F"/>
    <w:rsid w:val="00FA10A7"/>
    <w:rsid w:val="00FA10C6"/>
    <w:rsid w:val="00FA115A"/>
    <w:rsid w:val="00FA1220"/>
    <w:rsid w:val="00FA1276"/>
    <w:rsid w:val="00FA127B"/>
    <w:rsid w:val="00FA1296"/>
    <w:rsid w:val="00FA12DD"/>
    <w:rsid w:val="00FA13DA"/>
    <w:rsid w:val="00FA145F"/>
    <w:rsid w:val="00FA1468"/>
    <w:rsid w:val="00FA1589"/>
    <w:rsid w:val="00FA159D"/>
    <w:rsid w:val="00FA167A"/>
    <w:rsid w:val="00FA170D"/>
    <w:rsid w:val="00FA1712"/>
    <w:rsid w:val="00FA17C5"/>
    <w:rsid w:val="00FA17EA"/>
    <w:rsid w:val="00FA1834"/>
    <w:rsid w:val="00FA189C"/>
    <w:rsid w:val="00FA18FB"/>
    <w:rsid w:val="00FA191E"/>
    <w:rsid w:val="00FA1949"/>
    <w:rsid w:val="00FA1A00"/>
    <w:rsid w:val="00FA1A6F"/>
    <w:rsid w:val="00FA1AA9"/>
    <w:rsid w:val="00FA1ABC"/>
    <w:rsid w:val="00FA1B9A"/>
    <w:rsid w:val="00FA1BBC"/>
    <w:rsid w:val="00FA1BFF"/>
    <w:rsid w:val="00FA1C48"/>
    <w:rsid w:val="00FA1C9A"/>
    <w:rsid w:val="00FA1D4A"/>
    <w:rsid w:val="00FA1D78"/>
    <w:rsid w:val="00FA1DDF"/>
    <w:rsid w:val="00FA1E4B"/>
    <w:rsid w:val="00FA1E57"/>
    <w:rsid w:val="00FA1F4C"/>
    <w:rsid w:val="00FA1FA7"/>
    <w:rsid w:val="00FA1FCB"/>
    <w:rsid w:val="00FA209A"/>
    <w:rsid w:val="00FA20BA"/>
    <w:rsid w:val="00FA212A"/>
    <w:rsid w:val="00FA21CE"/>
    <w:rsid w:val="00FA22F7"/>
    <w:rsid w:val="00FA2302"/>
    <w:rsid w:val="00FA2354"/>
    <w:rsid w:val="00FA239E"/>
    <w:rsid w:val="00FA23D2"/>
    <w:rsid w:val="00FA23D8"/>
    <w:rsid w:val="00FA2659"/>
    <w:rsid w:val="00FA26BC"/>
    <w:rsid w:val="00FA276B"/>
    <w:rsid w:val="00FA27CE"/>
    <w:rsid w:val="00FA2850"/>
    <w:rsid w:val="00FA29E3"/>
    <w:rsid w:val="00FA2B38"/>
    <w:rsid w:val="00FA2BDA"/>
    <w:rsid w:val="00FA2BFD"/>
    <w:rsid w:val="00FA2C4C"/>
    <w:rsid w:val="00FA2C67"/>
    <w:rsid w:val="00FA2C74"/>
    <w:rsid w:val="00FA2C92"/>
    <w:rsid w:val="00FA2C94"/>
    <w:rsid w:val="00FA2CE1"/>
    <w:rsid w:val="00FA2CE3"/>
    <w:rsid w:val="00FA2CE7"/>
    <w:rsid w:val="00FA2D61"/>
    <w:rsid w:val="00FA2DA0"/>
    <w:rsid w:val="00FA2DB9"/>
    <w:rsid w:val="00FA2E90"/>
    <w:rsid w:val="00FA2E94"/>
    <w:rsid w:val="00FA2EC2"/>
    <w:rsid w:val="00FA2FD0"/>
    <w:rsid w:val="00FA3029"/>
    <w:rsid w:val="00FA30EE"/>
    <w:rsid w:val="00FA310F"/>
    <w:rsid w:val="00FA3113"/>
    <w:rsid w:val="00FA318D"/>
    <w:rsid w:val="00FA31C0"/>
    <w:rsid w:val="00FA31ED"/>
    <w:rsid w:val="00FA320D"/>
    <w:rsid w:val="00FA325A"/>
    <w:rsid w:val="00FA32A6"/>
    <w:rsid w:val="00FA3386"/>
    <w:rsid w:val="00FA33A9"/>
    <w:rsid w:val="00FA3428"/>
    <w:rsid w:val="00FA351B"/>
    <w:rsid w:val="00FA3711"/>
    <w:rsid w:val="00FA380C"/>
    <w:rsid w:val="00FA3862"/>
    <w:rsid w:val="00FA3894"/>
    <w:rsid w:val="00FA390A"/>
    <w:rsid w:val="00FA3918"/>
    <w:rsid w:val="00FA395E"/>
    <w:rsid w:val="00FA3975"/>
    <w:rsid w:val="00FA3A29"/>
    <w:rsid w:val="00FA3B75"/>
    <w:rsid w:val="00FA3B88"/>
    <w:rsid w:val="00FA3B93"/>
    <w:rsid w:val="00FA3BD6"/>
    <w:rsid w:val="00FA3BD8"/>
    <w:rsid w:val="00FA3C28"/>
    <w:rsid w:val="00FA3CFD"/>
    <w:rsid w:val="00FA3D9B"/>
    <w:rsid w:val="00FA3E51"/>
    <w:rsid w:val="00FA3E58"/>
    <w:rsid w:val="00FA3EEC"/>
    <w:rsid w:val="00FA3F08"/>
    <w:rsid w:val="00FA3F24"/>
    <w:rsid w:val="00FA4028"/>
    <w:rsid w:val="00FA4045"/>
    <w:rsid w:val="00FA404C"/>
    <w:rsid w:val="00FA408D"/>
    <w:rsid w:val="00FA40C5"/>
    <w:rsid w:val="00FA412F"/>
    <w:rsid w:val="00FA4153"/>
    <w:rsid w:val="00FA417D"/>
    <w:rsid w:val="00FA41EE"/>
    <w:rsid w:val="00FA4264"/>
    <w:rsid w:val="00FA426B"/>
    <w:rsid w:val="00FA4290"/>
    <w:rsid w:val="00FA42A4"/>
    <w:rsid w:val="00FA42F4"/>
    <w:rsid w:val="00FA431D"/>
    <w:rsid w:val="00FA433D"/>
    <w:rsid w:val="00FA43AF"/>
    <w:rsid w:val="00FA448D"/>
    <w:rsid w:val="00FA4508"/>
    <w:rsid w:val="00FA457A"/>
    <w:rsid w:val="00FA469F"/>
    <w:rsid w:val="00FA46B0"/>
    <w:rsid w:val="00FA4751"/>
    <w:rsid w:val="00FA47C2"/>
    <w:rsid w:val="00FA47ED"/>
    <w:rsid w:val="00FA4864"/>
    <w:rsid w:val="00FA48AA"/>
    <w:rsid w:val="00FA49DE"/>
    <w:rsid w:val="00FA4A79"/>
    <w:rsid w:val="00FA4AC8"/>
    <w:rsid w:val="00FA4B95"/>
    <w:rsid w:val="00FA4BD0"/>
    <w:rsid w:val="00FA4BD2"/>
    <w:rsid w:val="00FA4C1E"/>
    <w:rsid w:val="00FA4CA7"/>
    <w:rsid w:val="00FA4CEC"/>
    <w:rsid w:val="00FA4DE3"/>
    <w:rsid w:val="00FA4E06"/>
    <w:rsid w:val="00FA4EA4"/>
    <w:rsid w:val="00FA4EBF"/>
    <w:rsid w:val="00FA4F09"/>
    <w:rsid w:val="00FA4F17"/>
    <w:rsid w:val="00FA4FC3"/>
    <w:rsid w:val="00FA5013"/>
    <w:rsid w:val="00FA5089"/>
    <w:rsid w:val="00FA50B9"/>
    <w:rsid w:val="00FA50C0"/>
    <w:rsid w:val="00FA50F8"/>
    <w:rsid w:val="00FA510A"/>
    <w:rsid w:val="00FA5157"/>
    <w:rsid w:val="00FA515B"/>
    <w:rsid w:val="00FA51B7"/>
    <w:rsid w:val="00FA520F"/>
    <w:rsid w:val="00FA531F"/>
    <w:rsid w:val="00FA5490"/>
    <w:rsid w:val="00FA54F4"/>
    <w:rsid w:val="00FA550C"/>
    <w:rsid w:val="00FA55B0"/>
    <w:rsid w:val="00FA560B"/>
    <w:rsid w:val="00FA565C"/>
    <w:rsid w:val="00FA5826"/>
    <w:rsid w:val="00FA5833"/>
    <w:rsid w:val="00FA5858"/>
    <w:rsid w:val="00FA5866"/>
    <w:rsid w:val="00FA5877"/>
    <w:rsid w:val="00FA58A0"/>
    <w:rsid w:val="00FA58EC"/>
    <w:rsid w:val="00FA59D4"/>
    <w:rsid w:val="00FA5A87"/>
    <w:rsid w:val="00FA5C0F"/>
    <w:rsid w:val="00FA5C13"/>
    <w:rsid w:val="00FA5C74"/>
    <w:rsid w:val="00FA5C95"/>
    <w:rsid w:val="00FA5D36"/>
    <w:rsid w:val="00FA5D8B"/>
    <w:rsid w:val="00FA5E22"/>
    <w:rsid w:val="00FA5E41"/>
    <w:rsid w:val="00FA5EB5"/>
    <w:rsid w:val="00FA5FF4"/>
    <w:rsid w:val="00FA6006"/>
    <w:rsid w:val="00FA616A"/>
    <w:rsid w:val="00FA61BB"/>
    <w:rsid w:val="00FA61CB"/>
    <w:rsid w:val="00FA629D"/>
    <w:rsid w:val="00FA629E"/>
    <w:rsid w:val="00FA63ED"/>
    <w:rsid w:val="00FA656A"/>
    <w:rsid w:val="00FA6590"/>
    <w:rsid w:val="00FA6596"/>
    <w:rsid w:val="00FA65AE"/>
    <w:rsid w:val="00FA65B7"/>
    <w:rsid w:val="00FA6658"/>
    <w:rsid w:val="00FA66A4"/>
    <w:rsid w:val="00FA66A6"/>
    <w:rsid w:val="00FA66D8"/>
    <w:rsid w:val="00FA66FA"/>
    <w:rsid w:val="00FA6710"/>
    <w:rsid w:val="00FA675F"/>
    <w:rsid w:val="00FA6760"/>
    <w:rsid w:val="00FA67B0"/>
    <w:rsid w:val="00FA6868"/>
    <w:rsid w:val="00FA6872"/>
    <w:rsid w:val="00FA6885"/>
    <w:rsid w:val="00FA6988"/>
    <w:rsid w:val="00FA699E"/>
    <w:rsid w:val="00FA6AFB"/>
    <w:rsid w:val="00FA6C42"/>
    <w:rsid w:val="00FA6C53"/>
    <w:rsid w:val="00FA6C75"/>
    <w:rsid w:val="00FA6C76"/>
    <w:rsid w:val="00FA6CBA"/>
    <w:rsid w:val="00FA6CDB"/>
    <w:rsid w:val="00FA6DBA"/>
    <w:rsid w:val="00FA6DE2"/>
    <w:rsid w:val="00FA6ED2"/>
    <w:rsid w:val="00FA6F7E"/>
    <w:rsid w:val="00FA7019"/>
    <w:rsid w:val="00FA7045"/>
    <w:rsid w:val="00FA719D"/>
    <w:rsid w:val="00FA71DE"/>
    <w:rsid w:val="00FA727F"/>
    <w:rsid w:val="00FA731A"/>
    <w:rsid w:val="00FA7349"/>
    <w:rsid w:val="00FA7369"/>
    <w:rsid w:val="00FA73B1"/>
    <w:rsid w:val="00FA73EC"/>
    <w:rsid w:val="00FA746F"/>
    <w:rsid w:val="00FA74D9"/>
    <w:rsid w:val="00FA75C1"/>
    <w:rsid w:val="00FA7613"/>
    <w:rsid w:val="00FA7637"/>
    <w:rsid w:val="00FA7795"/>
    <w:rsid w:val="00FA77B7"/>
    <w:rsid w:val="00FA77CF"/>
    <w:rsid w:val="00FA77D5"/>
    <w:rsid w:val="00FA77F1"/>
    <w:rsid w:val="00FA787F"/>
    <w:rsid w:val="00FA78C4"/>
    <w:rsid w:val="00FA79BA"/>
    <w:rsid w:val="00FA79F7"/>
    <w:rsid w:val="00FA7A4F"/>
    <w:rsid w:val="00FA7A8F"/>
    <w:rsid w:val="00FA7A9B"/>
    <w:rsid w:val="00FA7B8F"/>
    <w:rsid w:val="00FA7BF5"/>
    <w:rsid w:val="00FA7CC9"/>
    <w:rsid w:val="00FA7D39"/>
    <w:rsid w:val="00FA7D43"/>
    <w:rsid w:val="00FA7D5D"/>
    <w:rsid w:val="00FA7DBD"/>
    <w:rsid w:val="00FA7DD4"/>
    <w:rsid w:val="00FA7DED"/>
    <w:rsid w:val="00FA7E07"/>
    <w:rsid w:val="00FA7E86"/>
    <w:rsid w:val="00FA7EF1"/>
    <w:rsid w:val="00FA7EF9"/>
    <w:rsid w:val="00FA7F06"/>
    <w:rsid w:val="00FA7FA7"/>
    <w:rsid w:val="00FB00A8"/>
    <w:rsid w:val="00FB017E"/>
    <w:rsid w:val="00FB027C"/>
    <w:rsid w:val="00FB02D2"/>
    <w:rsid w:val="00FB0455"/>
    <w:rsid w:val="00FB04BF"/>
    <w:rsid w:val="00FB0619"/>
    <w:rsid w:val="00FB06A0"/>
    <w:rsid w:val="00FB06AB"/>
    <w:rsid w:val="00FB06B3"/>
    <w:rsid w:val="00FB06EC"/>
    <w:rsid w:val="00FB076D"/>
    <w:rsid w:val="00FB07AC"/>
    <w:rsid w:val="00FB07BF"/>
    <w:rsid w:val="00FB0824"/>
    <w:rsid w:val="00FB0993"/>
    <w:rsid w:val="00FB09A0"/>
    <w:rsid w:val="00FB0A62"/>
    <w:rsid w:val="00FB0B0C"/>
    <w:rsid w:val="00FB0B4B"/>
    <w:rsid w:val="00FB0B66"/>
    <w:rsid w:val="00FB0B70"/>
    <w:rsid w:val="00FB0BB0"/>
    <w:rsid w:val="00FB0BFB"/>
    <w:rsid w:val="00FB0C92"/>
    <w:rsid w:val="00FB0CA0"/>
    <w:rsid w:val="00FB0CF0"/>
    <w:rsid w:val="00FB0D13"/>
    <w:rsid w:val="00FB0D64"/>
    <w:rsid w:val="00FB0DD8"/>
    <w:rsid w:val="00FB0E73"/>
    <w:rsid w:val="00FB0ED7"/>
    <w:rsid w:val="00FB0EF4"/>
    <w:rsid w:val="00FB0F4D"/>
    <w:rsid w:val="00FB0F6C"/>
    <w:rsid w:val="00FB1024"/>
    <w:rsid w:val="00FB1036"/>
    <w:rsid w:val="00FB10B6"/>
    <w:rsid w:val="00FB112C"/>
    <w:rsid w:val="00FB118D"/>
    <w:rsid w:val="00FB118F"/>
    <w:rsid w:val="00FB11A9"/>
    <w:rsid w:val="00FB11F6"/>
    <w:rsid w:val="00FB124F"/>
    <w:rsid w:val="00FB1252"/>
    <w:rsid w:val="00FB1287"/>
    <w:rsid w:val="00FB1318"/>
    <w:rsid w:val="00FB1329"/>
    <w:rsid w:val="00FB133E"/>
    <w:rsid w:val="00FB13E3"/>
    <w:rsid w:val="00FB1407"/>
    <w:rsid w:val="00FB1434"/>
    <w:rsid w:val="00FB1435"/>
    <w:rsid w:val="00FB14D0"/>
    <w:rsid w:val="00FB161E"/>
    <w:rsid w:val="00FB175B"/>
    <w:rsid w:val="00FB1784"/>
    <w:rsid w:val="00FB179F"/>
    <w:rsid w:val="00FB17B9"/>
    <w:rsid w:val="00FB17BF"/>
    <w:rsid w:val="00FB1846"/>
    <w:rsid w:val="00FB19AE"/>
    <w:rsid w:val="00FB1A0B"/>
    <w:rsid w:val="00FB1A12"/>
    <w:rsid w:val="00FB1A2C"/>
    <w:rsid w:val="00FB1AAC"/>
    <w:rsid w:val="00FB1B70"/>
    <w:rsid w:val="00FB1BB2"/>
    <w:rsid w:val="00FB1C4F"/>
    <w:rsid w:val="00FB1CE0"/>
    <w:rsid w:val="00FB1CEF"/>
    <w:rsid w:val="00FB1D0C"/>
    <w:rsid w:val="00FB1D79"/>
    <w:rsid w:val="00FB1DBE"/>
    <w:rsid w:val="00FB1EC8"/>
    <w:rsid w:val="00FB1FC3"/>
    <w:rsid w:val="00FB1FC7"/>
    <w:rsid w:val="00FB1FD6"/>
    <w:rsid w:val="00FB1FF9"/>
    <w:rsid w:val="00FB20F0"/>
    <w:rsid w:val="00FB2115"/>
    <w:rsid w:val="00FB2152"/>
    <w:rsid w:val="00FB2254"/>
    <w:rsid w:val="00FB226F"/>
    <w:rsid w:val="00FB22DE"/>
    <w:rsid w:val="00FB22E4"/>
    <w:rsid w:val="00FB2310"/>
    <w:rsid w:val="00FB23AA"/>
    <w:rsid w:val="00FB23E7"/>
    <w:rsid w:val="00FB2590"/>
    <w:rsid w:val="00FB25C9"/>
    <w:rsid w:val="00FB25F6"/>
    <w:rsid w:val="00FB2600"/>
    <w:rsid w:val="00FB266B"/>
    <w:rsid w:val="00FB2733"/>
    <w:rsid w:val="00FB27A3"/>
    <w:rsid w:val="00FB27F1"/>
    <w:rsid w:val="00FB2866"/>
    <w:rsid w:val="00FB2941"/>
    <w:rsid w:val="00FB2999"/>
    <w:rsid w:val="00FB2AEA"/>
    <w:rsid w:val="00FB2C38"/>
    <w:rsid w:val="00FB2C3B"/>
    <w:rsid w:val="00FB2CC9"/>
    <w:rsid w:val="00FB2CEB"/>
    <w:rsid w:val="00FB2CF1"/>
    <w:rsid w:val="00FB2D31"/>
    <w:rsid w:val="00FB2D32"/>
    <w:rsid w:val="00FB2D8B"/>
    <w:rsid w:val="00FB2DAD"/>
    <w:rsid w:val="00FB2DB4"/>
    <w:rsid w:val="00FB2E38"/>
    <w:rsid w:val="00FB2EB9"/>
    <w:rsid w:val="00FB2ED0"/>
    <w:rsid w:val="00FB2EE9"/>
    <w:rsid w:val="00FB2F8B"/>
    <w:rsid w:val="00FB2FC1"/>
    <w:rsid w:val="00FB2FD6"/>
    <w:rsid w:val="00FB3074"/>
    <w:rsid w:val="00FB30E7"/>
    <w:rsid w:val="00FB323D"/>
    <w:rsid w:val="00FB3254"/>
    <w:rsid w:val="00FB326E"/>
    <w:rsid w:val="00FB3300"/>
    <w:rsid w:val="00FB332D"/>
    <w:rsid w:val="00FB349C"/>
    <w:rsid w:val="00FB3565"/>
    <w:rsid w:val="00FB35CA"/>
    <w:rsid w:val="00FB362B"/>
    <w:rsid w:val="00FB3653"/>
    <w:rsid w:val="00FB376C"/>
    <w:rsid w:val="00FB37B9"/>
    <w:rsid w:val="00FB37E5"/>
    <w:rsid w:val="00FB3826"/>
    <w:rsid w:val="00FB3989"/>
    <w:rsid w:val="00FB39AB"/>
    <w:rsid w:val="00FB39D2"/>
    <w:rsid w:val="00FB3A05"/>
    <w:rsid w:val="00FB3A56"/>
    <w:rsid w:val="00FB3BA4"/>
    <w:rsid w:val="00FB3C09"/>
    <w:rsid w:val="00FB3D0A"/>
    <w:rsid w:val="00FB3D6C"/>
    <w:rsid w:val="00FB3DA5"/>
    <w:rsid w:val="00FB3DA8"/>
    <w:rsid w:val="00FB3DDA"/>
    <w:rsid w:val="00FB3F36"/>
    <w:rsid w:val="00FB3F3D"/>
    <w:rsid w:val="00FB406C"/>
    <w:rsid w:val="00FB4113"/>
    <w:rsid w:val="00FB4285"/>
    <w:rsid w:val="00FB428C"/>
    <w:rsid w:val="00FB43AE"/>
    <w:rsid w:val="00FB43FF"/>
    <w:rsid w:val="00FB4419"/>
    <w:rsid w:val="00FB44AD"/>
    <w:rsid w:val="00FB45C1"/>
    <w:rsid w:val="00FB4602"/>
    <w:rsid w:val="00FB4661"/>
    <w:rsid w:val="00FB4719"/>
    <w:rsid w:val="00FB477F"/>
    <w:rsid w:val="00FB47F9"/>
    <w:rsid w:val="00FB4844"/>
    <w:rsid w:val="00FB48A8"/>
    <w:rsid w:val="00FB48BE"/>
    <w:rsid w:val="00FB4907"/>
    <w:rsid w:val="00FB4920"/>
    <w:rsid w:val="00FB49A1"/>
    <w:rsid w:val="00FB4B8F"/>
    <w:rsid w:val="00FB4C3C"/>
    <w:rsid w:val="00FB4CA3"/>
    <w:rsid w:val="00FB4CCA"/>
    <w:rsid w:val="00FB4CD6"/>
    <w:rsid w:val="00FB4D78"/>
    <w:rsid w:val="00FB4DD3"/>
    <w:rsid w:val="00FB4EC6"/>
    <w:rsid w:val="00FB4F20"/>
    <w:rsid w:val="00FB4F78"/>
    <w:rsid w:val="00FB4F7A"/>
    <w:rsid w:val="00FB4F8C"/>
    <w:rsid w:val="00FB5000"/>
    <w:rsid w:val="00FB5006"/>
    <w:rsid w:val="00FB5095"/>
    <w:rsid w:val="00FB50DF"/>
    <w:rsid w:val="00FB5136"/>
    <w:rsid w:val="00FB51DF"/>
    <w:rsid w:val="00FB5224"/>
    <w:rsid w:val="00FB523C"/>
    <w:rsid w:val="00FB529E"/>
    <w:rsid w:val="00FB52CA"/>
    <w:rsid w:val="00FB52EF"/>
    <w:rsid w:val="00FB5313"/>
    <w:rsid w:val="00FB5352"/>
    <w:rsid w:val="00FB5376"/>
    <w:rsid w:val="00FB5402"/>
    <w:rsid w:val="00FB5505"/>
    <w:rsid w:val="00FB5594"/>
    <w:rsid w:val="00FB55D0"/>
    <w:rsid w:val="00FB5637"/>
    <w:rsid w:val="00FB5640"/>
    <w:rsid w:val="00FB5663"/>
    <w:rsid w:val="00FB56AB"/>
    <w:rsid w:val="00FB56FD"/>
    <w:rsid w:val="00FB5718"/>
    <w:rsid w:val="00FB57B3"/>
    <w:rsid w:val="00FB57C2"/>
    <w:rsid w:val="00FB5835"/>
    <w:rsid w:val="00FB5898"/>
    <w:rsid w:val="00FB58BA"/>
    <w:rsid w:val="00FB58EC"/>
    <w:rsid w:val="00FB594D"/>
    <w:rsid w:val="00FB5975"/>
    <w:rsid w:val="00FB599B"/>
    <w:rsid w:val="00FB5AB9"/>
    <w:rsid w:val="00FB5AC0"/>
    <w:rsid w:val="00FB5AC6"/>
    <w:rsid w:val="00FB5AEF"/>
    <w:rsid w:val="00FB5B18"/>
    <w:rsid w:val="00FB5B7A"/>
    <w:rsid w:val="00FB5C6E"/>
    <w:rsid w:val="00FB5C9E"/>
    <w:rsid w:val="00FB5CAE"/>
    <w:rsid w:val="00FB5CDB"/>
    <w:rsid w:val="00FB5CF0"/>
    <w:rsid w:val="00FB5CF7"/>
    <w:rsid w:val="00FB5D11"/>
    <w:rsid w:val="00FB5E56"/>
    <w:rsid w:val="00FB5EB7"/>
    <w:rsid w:val="00FB5F93"/>
    <w:rsid w:val="00FB5FC7"/>
    <w:rsid w:val="00FB6014"/>
    <w:rsid w:val="00FB6019"/>
    <w:rsid w:val="00FB61DE"/>
    <w:rsid w:val="00FB62A7"/>
    <w:rsid w:val="00FB63E3"/>
    <w:rsid w:val="00FB63E8"/>
    <w:rsid w:val="00FB646A"/>
    <w:rsid w:val="00FB6498"/>
    <w:rsid w:val="00FB64F2"/>
    <w:rsid w:val="00FB6566"/>
    <w:rsid w:val="00FB6616"/>
    <w:rsid w:val="00FB6641"/>
    <w:rsid w:val="00FB67BA"/>
    <w:rsid w:val="00FB67D9"/>
    <w:rsid w:val="00FB68BA"/>
    <w:rsid w:val="00FB68C0"/>
    <w:rsid w:val="00FB690C"/>
    <w:rsid w:val="00FB695D"/>
    <w:rsid w:val="00FB69B7"/>
    <w:rsid w:val="00FB6B56"/>
    <w:rsid w:val="00FB6BB8"/>
    <w:rsid w:val="00FB6C16"/>
    <w:rsid w:val="00FB6E43"/>
    <w:rsid w:val="00FB6EE0"/>
    <w:rsid w:val="00FB6EEB"/>
    <w:rsid w:val="00FB7038"/>
    <w:rsid w:val="00FB70C2"/>
    <w:rsid w:val="00FB7124"/>
    <w:rsid w:val="00FB71E0"/>
    <w:rsid w:val="00FB721F"/>
    <w:rsid w:val="00FB7269"/>
    <w:rsid w:val="00FB7322"/>
    <w:rsid w:val="00FB736D"/>
    <w:rsid w:val="00FB7387"/>
    <w:rsid w:val="00FB7393"/>
    <w:rsid w:val="00FB73F2"/>
    <w:rsid w:val="00FB740C"/>
    <w:rsid w:val="00FB7499"/>
    <w:rsid w:val="00FB74D9"/>
    <w:rsid w:val="00FB74E3"/>
    <w:rsid w:val="00FB751B"/>
    <w:rsid w:val="00FB753E"/>
    <w:rsid w:val="00FB75D3"/>
    <w:rsid w:val="00FB7608"/>
    <w:rsid w:val="00FB761D"/>
    <w:rsid w:val="00FB76E9"/>
    <w:rsid w:val="00FB7784"/>
    <w:rsid w:val="00FB77AD"/>
    <w:rsid w:val="00FB77FE"/>
    <w:rsid w:val="00FB784B"/>
    <w:rsid w:val="00FB7933"/>
    <w:rsid w:val="00FB7977"/>
    <w:rsid w:val="00FB7A93"/>
    <w:rsid w:val="00FB7AD1"/>
    <w:rsid w:val="00FB7B4A"/>
    <w:rsid w:val="00FB7B91"/>
    <w:rsid w:val="00FB7BC0"/>
    <w:rsid w:val="00FB7C51"/>
    <w:rsid w:val="00FB7DC6"/>
    <w:rsid w:val="00FB7DC8"/>
    <w:rsid w:val="00FB7DDD"/>
    <w:rsid w:val="00FB7E16"/>
    <w:rsid w:val="00FB7EF2"/>
    <w:rsid w:val="00FB7F22"/>
    <w:rsid w:val="00FB7F9E"/>
    <w:rsid w:val="00FB7FD5"/>
    <w:rsid w:val="00FC006A"/>
    <w:rsid w:val="00FC0192"/>
    <w:rsid w:val="00FC027B"/>
    <w:rsid w:val="00FC0280"/>
    <w:rsid w:val="00FC02DF"/>
    <w:rsid w:val="00FC0454"/>
    <w:rsid w:val="00FC04A5"/>
    <w:rsid w:val="00FC04B5"/>
    <w:rsid w:val="00FC04E6"/>
    <w:rsid w:val="00FC062D"/>
    <w:rsid w:val="00FC066C"/>
    <w:rsid w:val="00FC07E0"/>
    <w:rsid w:val="00FC0869"/>
    <w:rsid w:val="00FC0941"/>
    <w:rsid w:val="00FC095A"/>
    <w:rsid w:val="00FC099A"/>
    <w:rsid w:val="00FC0A71"/>
    <w:rsid w:val="00FC0A73"/>
    <w:rsid w:val="00FC0B94"/>
    <w:rsid w:val="00FC0C70"/>
    <w:rsid w:val="00FC0C86"/>
    <w:rsid w:val="00FC0CFB"/>
    <w:rsid w:val="00FC0D03"/>
    <w:rsid w:val="00FC0DE5"/>
    <w:rsid w:val="00FC0E38"/>
    <w:rsid w:val="00FC0EAE"/>
    <w:rsid w:val="00FC0F98"/>
    <w:rsid w:val="00FC0FCD"/>
    <w:rsid w:val="00FC0FD3"/>
    <w:rsid w:val="00FC114F"/>
    <w:rsid w:val="00FC122B"/>
    <w:rsid w:val="00FC1354"/>
    <w:rsid w:val="00FC13C6"/>
    <w:rsid w:val="00FC141D"/>
    <w:rsid w:val="00FC15E7"/>
    <w:rsid w:val="00FC164A"/>
    <w:rsid w:val="00FC1698"/>
    <w:rsid w:val="00FC16CD"/>
    <w:rsid w:val="00FC17B9"/>
    <w:rsid w:val="00FC1867"/>
    <w:rsid w:val="00FC1977"/>
    <w:rsid w:val="00FC197E"/>
    <w:rsid w:val="00FC19B3"/>
    <w:rsid w:val="00FC1AC8"/>
    <w:rsid w:val="00FC1ADE"/>
    <w:rsid w:val="00FC1AFC"/>
    <w:rsid w:val="00FC1BB3"/>
    <w:rsid w:val="00FC1CCB"/>
    <w:rsid w:val="00FC1DA9"/>
    <w:rsid w:val="00FC1E0F"/>
    <w:rsid w:val="00FC1E5F"/>
    <w:rsid w:val="00FC1E71"/>
    <w:rsid w:val="00FC1EC7"/>
    <w:rsid w:val="00FC1F5E"/>
    <w:rsid w:val="00FC1F71"/>
    <w:rsid w:val="00FC2077"/>
    <w:rsid w:val="00FC2182"/>
    <w:rsid w:val="00FC2198"/>
    <w:rsid w:val="00FC21E2"/>
    <w:rsid w:val="00FC2279"/>
    <w:rsid w:val="00FC2396"/>
    <w:rsid w:val="00FC24DF"/>
    <w:rsid w:val="00FC24F4"/>
    <w:rsid w:val="00FC250D"/>
    <w:rsid w:val="00FC254E"/>
    <w:rsid w:val="00FC256E"/>
    <w:rsid w:val="00FC2657"/>
    <w:rsid w:val="00FC274B"/>
    <w:rsid w:val="00FC2825"/>
    <w:rsid w:val="00FC283C"/>
    <w:rsid w:val="00FC285C"/>
    <w:rsid w:val="00FC28A5"/>
    <w:rsid w:val="00FC28F0"/>
    <w:rsid w:val="00FC292A"/>
    <w:rsid w:val="00FC295F"/>
    <w:rsid w:val="00FC2993"/>
    <w:rsid w:val="00FC2A12"/>
    <w:rsid w:val="00FC2A24"/>
    <w:rsid w:val="00FC2A90"/>
    <w:rsid w:val="00FC2B41"/>
    <w:rsid w:val="00FC2C35"/>
    <w:rsid w:val="00FC2C95"/>
    <w:rsid w:val="00FC2CA3"/>
    <w:rsid w:val="00FC2D68"/>
    <w:rsid w:val="00FC2D77"/>
    <w:rsid w:val="00FC2DB2"/>
    <w:rsid w:val="00FC2DFD"/>
    <w:rsid w:val="00FC2E50"/>
    <w:rsid w:val="00FC2EA1"/>
    <w:rsid w:val="00FC2F0B"/>
    <w:rsid w:val="00FC2F19"/>
    <w:rsid w:val="00FC2F1E"/>
    <w:rsid w:val="00FC2F2C"/>
    <w:rsid w:val="00FC2F6F"/>
    <w:rsid w:val="00FC2FBB"/>
    <w:rsid w:val="00FC303F"/>
    <w:rsid w:val="00FC30B3"/>
    <w:rsid w:val="00FC30D5"/>
    <w:rsid w:val="00FC310C"/>
    <w:rsid w:val="00FC31A1"/>
    <w:rsid w:val="00FC31C9"/>
    <w:rsid w:val="00FC31E5"/>
    <w:rsid w:val="00FC3211"/>
    <w:rsid w:val="00FC3294"/>
    <w:rsid w:val="00FC3306"/>
    <w:rsid w:val="00FC3315"/>
    <w:rsid w:val="00FC337F"/>
    <w:rsid w:val="00FC33E2"/>
    <w:rsid w:val="00FC33E8"/>
    <w:rsid w:val="00FC345A"/>
    <w:rsid w:val="00FC34B6"/>
    <w:rsid w:val="00FC34C2"/>
    <w:rsid w:val="00FC34DE"/>
    <w:rsid w:val="00FC351D"/>
    <w:rsid w:val="00FC3556"/>
    <w:rsid w:val="00FC35BA"/>
    <w:rsid w:val="00FC35CC"/>
    <w:rsid w:val="00FC361F"/>
    <w:rsid w:val="00FC3634"/>
    <w:rsid w:val="00FC3676"/>
    <w:rsid w:val="00FC3698"/>
    <w:rsid w:val="00FC36A0"/>
    <w:rsid w:val="00FC36A9"/>
    <w:rsid w:val="00FC370E"/>
    <w:rsid w:val="00FC3717"/>
    <w:rsid w:val="00FC379B"/>
    <w:rsid w:val="00FC3857"/>
    <w:rsid w:val="00FC3861"/>
    <w:rsid w:val="00FC38B0"/>
    <w:rsid w:val="00FC38C2"/>
    <w:rsid w:val="00FC3903"/>
    <w:rsid w:val="00FC3904"/>
    <w:rsid w:val="00FC3943"/>
    <w:rsid w:val="00FC3971"/>
    <w:rsid w:val="00FC39A9"/>
    <w:rsid w:val="00FC3A69"/>
    <w:rsid w:val="00FC3AA2"/>
    <w:rsid w:val="00FC3B28"/>
    <w:rsid w:val="00FC3B2D"/>
    <w:rsid w:val="00FC3BFC"/>
    <w:rsid w:val="00FC3CD8"/>
    <w:rsid w:val="00FC3D2E"/>
    <w:rsid w:val="00FC3D6D"/>
    <w:rsid w:val="00FC3D75"/>
    <w:rsid w:val="00FC3DC3"/>
    <w:rsid w:val="00FC3DFC"/>
    <w:rsid w:val="00FC3E7D"/>
    <w:rsid w:val="00FC3EB2"/>
    <w:rsid w:val="00FC400F"/>
    <w:rsid w:val="00FC4029"/>
    <w:rsid w:val="00FC41A3"/>
    <w:rsid w:val="00FC41FD"/>
    <w:rsid w:val="00FC4211"/>
    <w:rsid w:val="00FC4284"/>
    <w:rsid w:val="00FC42B8"/>
    <w:rsid w:val="00FC431B"/>
    <w:rsid w:val="00FC43B7"/>
    <w:rsid w:val="00FC44ED"/>
    <w:rsid w:val="00FC4568"/>
    <w:rsid w:val="00FC470D"/>
    <w:rsid w:val="00FC4744"/>
    <w:rsid w:val="00FC4896"/>
    <w:rsid w:val="00FC48DE"/>
    <w:rsid w:val="00FC4936"/>
    <w:rsid w:val="00FC495E"/>
    <w:rsid w:val="00FC4974"/>
    <w:rsid w:val="00FC497D"/>
    <w:rsid w:val="00FC49AC"/>
    <w:rsid w:val="00FC4A72"/>
    <w:rsid w:val="00FC4B51"/>
    <w:rsid w:val="00FC4B72"/>
    <w:rsid w:val="00FC4BE2"/>
    <w:rsid w:val="00FC4D4E"/>
    <w:rsid w:val="00FC4D74"/>
    <w:rsid w:val="00FC4DCB"/>
    <w:rsid w:val="00FC4DFA"/>
    <w:rsid w:val="00FC4E16"/>
    <w:rsid w:val="00FC4F6A"/>
    <w:rsid w:val="00FC5023"/>
    <w:rsid w:val="00FC505E"/>
    <w:rsid w:val="00FC50A9"/>
    <w:rsid w:val="00FC50F1"/>
    <w:rsid w:val="00FC52E6"/>
    <w:rsid w:val="00FC53B9"/>
    <w:rsid w:val="00FC53DE"/>
    <w:rsid w:val="00FC53EE"/>
    <w:rsid w:val="00FC542C"/>
    <w:rsid w:val="00FC54B3"/>
    <w:rsid w:val="00FC54F1"/>
    <w:rsid w:val="00FC5517"/>
    <w:rsid w:val="00FC5522"/>
    <w:rsid w:val="00FC5610"/>
    <w:rsid w:val="00FC564E"/>
    <w:rsid w:val="00FC56C8"/>
    <w:rsid w:val="00FC5721"/>
    <w:rsid w:val="00FC5742"/>
    <w:rsid w:val="00FC584A"/>
    <w:rsid w:val="00FC59C2"/>
    <w:rsid w:val="00FC59DF"/>
    <w:rsid w:val="00FC5A6D"/>
    <w:rsid w:val="00FC5AFA"/>
    <w:rsid w:val="00FC5B0B"/>
    <w:rsid w:val="00FC5B68"/>
    <w:rsid w:val="00FC5BD6"/>
    <w:rsid w:val="00FC5C31"/>
    <w:rsid w:val="00FC5C38"/>
    <w:rsid w:val="00FC5C46"/>
    <w:rsid w:val="00FC5C5A"/>
    <w:rsid w:val="00FC5CC2"/>
    <w:rsid w:val="00FC5CFF"/>
    <w:rsid w:val="00FC5D8E"/>
    <w:rsid w:val="00FC5DA7"/>
    <w:rsid w:val="00FC5E60"/>
    <w:rsid w:val="00FC5E67"/>
    <w:rsid w:val="00FC60A2"/>
    <w:rsid w:val="00FC60B9"/>
    <w:rsid w:val="00FC60BC"/>
    <w:rsid w:val="00FC6155"/>
    <w:rsid w:val="00FC61F2"/>
    <w:rsid w:val="00FC62CA"/>
    <w:rsid w:val="00FC633B"/>
    <w:rsid w:val="00FC63A7"/>
    <w:rsid w:val="00FC63AC"/>
    <w:rsid w:val="00FC63C5"/>
    <w:rsid w:val="00FC63D5"/>
    <w:rsid w:val="00FC643D"/>
    <w:rsid w:val="00FC644C"/>
    <w:rsid w:val="00FC6473"/>
    <w:rsid w:val="00FC65DD"/>
    <w:rsid w:val="00FC65FF"/>
    <w:rsid w:val="00FC663D"/>
    <w:rsid w:val="00FC6682"/>
    <w:rsid w:val="00FC66BE"/>
    <w:rsid w:val="00FC6761"/>
    <w:rsid w:val="00FC67A5"/>
    <w:rsid w:val="00FC67C5"/>
    <w:rsid w:val="00FC6874"/>
    <w:rsid w:val="00FC68E8"/>
    <w:rsid w:val="00FC6BDE"/>
    <w:rsid w:val="00FC6C1B"/>
    <w:rsid w:val="00FC6C3A"/>
    <w:rsid w:val="00FC6CAD"/>
    <w:rsid w:val="00FC6CE0"/>
    <w:rsid w:val="00FC6CF9"/>
    <w:rsid w:val="00FC6D33"/>
    <w:rsid w:val="00FC6D4C"/>
    <w:rsid w:val="00FC6DBA"/>
    <w:rsid w:val="00FC6E08"/>
    <w:rsid w:val="00FC6E33"/>
    <w:rsid w:val="00FC6E41"/>
    <w:rsid w:val="00FC6F03"/>
    <w:rsid w:val="00FC700A"/>
    <w:rsid w:val="00FC7043"/>
    <w:rsid w:val="00FC7294"/>
    <w:rsid w:val="00FC7305"/>
    <w:rsid w:val="00FC739C"/>
    <w:rsid w:val="00FC73A1"/>
    <w:rsid w:val="00FC7432"/>
    <w:rsid w:val="00FC743D"/>
    <w:rsid w:val="00FC7474"/>
    <w:rsid w:val="00FC74D2"/>
    <w:rsid w:val="00FC74D8"/>
    <w:rsid w:val="00FC74FB"/>
    <w:rsid w:val="00FC75F3"/>
    <w:rsid w:val="00FC7606"/>
    <w:rsid w:val="00FC76CE"/>
    <w:rsid w:val="00FC76EA"/>
    <w:rsid w:val="00FC76F4"/>
    <w:rsid w:val="00FC7870"/>
    <w:rsid w:val="00FC7942"/>
    <w:rsid w:val="00FC7958"/>
    <w:rsid w:val="00FC79B2"/>
    <w:rsid w:val="00FC79CF"/>
    <w:rsid w:val="00FC7A46"/>
    <w:rsid w:val="00FC7A6B"/>
    <w:rsid w:val="00FC7CA7"/>
    <w:rsid w:val="00FC7CCE"/>
    <w:rsid w:val="00FC7D37"/>
    <w:rsid w:val="00FC7D68"/>
    <w:rsid w:val="00FC7D74"/>
    <w:rsid w:val="00FC7DCB"/>
    <w:rsid w:val="00FC7E39"/>
    <w:rsid w:val="00FC7E7F"/>
    <w:rsid w:val="00FC7EDC"/>
    <w:rsid w:val="00FC7F4E"/>
    <w:rsid w:val="00FC7FDE"/>
    <w:rsid w:val="00FD0059"/>
    <w:rsid w:val="00FD018F"/>
    <w:rsid w:val="00FD01E9"/>
    <w:rsid w:val="00FD0311"/>
    <w:rsid w:val="00FD0362"/>
    <w:rsid w:val="00FD03BF"/>
    <w:rsid w:val="00FD03D7"/>
    <w:rsid w:val="00FD0433"/>
    <w:rsid w:val="00FD046D"/>
    <w:rsid w:val="00FD04DB"/>
    <w:rsid w:val="00FD05C7"/>
    <w:rsid w:val="00FD05E2"/>
    <w:rsid w:val="00FD05E7"/>
    <w:rsid w:val="00FD0651"/>
    <w:rsid w:val="00FD0711"/>
    <w:rsid w:val="00FD0729"/>
    <w:rsid w:val="00FD0770"/>
    <w:rsid w:val="00FD078F"/>
    <w:rsid w:val="00FD0837"/>
    <w:rsid w:val="00FD08E0"/>
    <w:rsid w:val="00FD095E"/>
    <w:rsid w:val="00FD09BE"/>
    <w:rsid w:val="00FD0A1D"/>
    <w:rsid w:val="00FD0AAB"/>
    <w:rsid w:val="00FD0B2E"/>
    <w:rsid w:val="00FD0B40"/>
    <w:rsid w:val="00FD0B6B"/>
    <w:rsid w:val="00FD0BEC"/>
    <w:rsid w:val="00FD0C38"/>
    <w:rsid w:val="00FD0C4E"/>
    <w:rsid w:val="00FD0D1F"/>
    <w:rsid w:val="00FD0D42"/>
    <w:rsid w:val="00FD0E7E"/>
    <w:rsid w:val="00FD10F5"/>
    <w:rsid w:val="00FD11A1"/>
    <w:rsid w:val="00FD1317"/>
    <w:rsid w:val="00FD1401"/>
    <w:rsid w:val="00FD144B"/>
    <w:rsid w:val="00FD14A9"/>
    <w:rsid w:val="00FD1504"/>
    <w:rsid w:val="00FD1533"/>
    <w:rsid w:val="00FD1541"/>
    <w:rsid w:val="00FD1583"/>
    <w:rsid w:val="00FD15A8"/>
    <w:rsid w:val="00FD167E"/>
    <w:rsid w:val="00FD1685"/>
    <w:rsid w:val="00FD16A0"/>
    <w:rsid w:val="00FD16B6"/>
    <w:rsid w:val="00FD16BA"/>
    <w:rsid w:val="00FD1756"/>
    <w:rsid w:val="00FD184B"/>
    <w:rsid w:val="00FD1913"/>
    <w:rsid w:val="00FD195A"/>
    <w:rsid w:val="00FD19F5"/>
    <w:rsid w:val="00FD1A34"/>
    <w:rsid w:val="00FD1A59"/>
    <w:rsid w:val="00FD1A62"/>
    <w:rsid w:val="00FD1A8A"/>
    <w:rsid w:val="00FD1AC6"/>
    <w:rsid w:val="00FD1B15"/>
    <w:rsid w:val="00FD1BB5"/>
    <w:rsid w:val="00FD1C33"/>
    <w:rsid w:val="00FD1D09"/>
    <w:rsid w:val="00FD1E26"/>
    <w:rsid w:val="00FD1E6A"/>
    <w:rsid w:val="00FD1F3D"/>
    <w:rsid w:val="00FD1F52"/>
    <w:rsid w:val="00FD1FCE"/>
    <w:rsid w:val="00FD1FFA"/>
    <w:rsid w:val="00FD2076"/>
    <w:rsid w:val="00FD20BF"/>
    <w:rsid w:val="00FD20C1"/>
    <w:rsid w:val="00FD219F"/>
    <w:rsid w:val="00FD221D"/>
    <w:rsid w:val="00FD2240"/>
    <w:rsid w:val="00FD2263"/>
    <w:rsid w:val="00FD22BA"/>
    <w:rsid w:val="00FD2371"/>
    <w:rsid w:val="00FD2412"/>
    <w:rsid w:val="00FD2425"/>
    <w:rsid w:val="00FD24B5"/>
    <w:rsid w:val="00FD256F"/>
    <w:rsid w:val="00FD25A9"/>
    <w:rsid w:val="00FD25D9"/>
    <w:rsid w:val="00FD25F1"/>
    <w:rsid w:val="00FD262A"/>
    <w:rsid w:val="00FD2674"/>
    <w:rsid w:val="00FD2728"/>
    <w:rsid w:val="00FD274B"/>
    <w:rsid w:val="00FD2768"/>
    <w:rsid w:val="00FD2873"/>
    <w:rsid w:val="00FD2918"/>
    <w:rsid w:val="00FD29B6"/>
    <w:rsid w:val="00FD2A0A"/>
    <w:rsid w:val="00FD2A63"/>
    <w:rsid w:val="00FD2AF4"/>
    <w:rsid w:val="00FD2B21"/>
    <w:rsid w:val="00FD2BC6"/>
    <w:rsid w:val="00FD2C95"/>
    <w:rsid w:val="00FD2D8A"/>
    <w:rsid w:val="00FD2DB2"/>
    <w:rsid w:val="00FD2E4A"/>
    <w:rsid w:val="00FD2F70"/>
    <w:rsid w:val="00FD2FCB"/>
    <w:rsid w:val="00FD2FE6"/>
    <w:rsid w:val="00FD2FE7"/>
    <w:rsid w:val="00FD30A8"/>
    <w:rsid w:val="00FD3250"/>
    <w:rsid w:val="00FD3321"/>
    <w:rsid w:val="00FD3338"/>
    <w:rsid w:val="00FD33F5"/>
    <w:rsid w:val="00FD3463"/>
    <w:rsid w:val="00FD34CE"/>
    <w:rsid w:val="00FD3551"/>
    <w:rsid w:val="00FD3569"/>
    <w:rsid w:val="00FD35C7"/>
    <w:rsid w:val="00FD360A"/>
    <w:rsid w:val="00FD36EB"/>
    <w:rsid w:val="00FD393C"/>
    <w:rsid w:val="00FD3B29"/>
    <w:rsid w:val="00FD3BD5"/>
    <w:rsid w:val="00FD3BEA"/>
    <w:rsid w:val="00FD3C7A"/>
    <w:rsid w:val="00FD3CCA"/>
    <w:rsid w:val="00FD3CE9"/>
    <w:rsid w:val="00FD3DB9"/>
    <w:rsid w:val="00FD3DDB"/>
    <w:rsid w:val="00FD3E14"/>
    <w:rsid w:val="00FD3E78"/>
    <w:rsid w:val="00FD3E84"/>
    <w:rsid w:val="00FD3EEC"/>
    <w:rsid w:val="00FD3EFD"/>
    <w:rsid w:val="00FD404B"/>
    <w:rsid w:val="00FD4126"/>
    <w:rsid w:val="00FD41AE"/>
    <w:rsid w:val="00FD42DE"/>
    <w:rsid w:val="00FD4334"/>
    <w:rsid w:val="00FD433E"/>
    <w:rsid w:val="00FD44C4"/>
    <w:rsid w:val="00FD450B"/>
    <w:rsid w:val="00FD4536"/>
    <w:rsid w:val="00FD4598"/>
    <w:rsid w:val="00FD45D3"/>
    <w:rsid w:val="00FD461A"/>
    <w:rsid w:val="00FD4633"/>
    <w:rsid w:val="00FD4641"/>
    <w:rsid w:val="00FD4644"/>
    <w:rsid w:val="00FD4724"/>
    <w:rsid w:val="00FD4743"/>
    <w:rsid w:val="00FD47C4"/>
    <w:rsid w:val="00FD4835"/>
    <w:rsid w:val="00FD4908"/>
    <w:rsid w:val="00FD4916"/>
    <w:rsid w:val="00FD4994"/>
    <w:rsid w:val="00FD4AEB"/>
    <w:rsid w:val="00FD4C40"/>
    <w:rsid w:val="00FD4C44"/>
    <w:rsid w:val="00FD4F55"/>
    <w:rsid w:val="00FD4FDF"/>
    <w:rsid w:val="00FD5090"/>
    <w:rsid w:val="00FD50E9"/>
    <w:rsid w:val="00FD5118"/>
    <w:rsid w:val="00FD512E"/>
    <w:rsid w:val="00FD51A0"/>
    <w:rsid w:val="00FD51E6"/>
    <w:rsid w:val="00FD5220"/>
    <w:rsid w:val="00FD5251"/>
    <w:rsid w:val="00FD527D"/>
    <w:rsid w:val="00FD52E8"/>
    <w:rsid w:val="00FD536E"/>
    <w:rsid w:val="00FD537C"/>
    <w:rsid w:val="00FD53C6"/>
    <w:rsid w:val="00FD53E5"/>
    <w:rsid w:val="00FD540D"/>
    <w:rsid w:val="00FD5416"/>
    <w:rsid w:val="00FD5424"/>
    <w:rsid w:val="00FD543B"/>
    <w:rsid w:val="00FD544A"/>
    <w:rsid w:val="00FD54C0"/>
    <w:rsid w:val="00FD54E7"/>
    <w:rsid w:val="00FD5625"/>
    <w:rsid w:val="00FD57F2"/>
    <w:rsid w:val="00FD5801"/>
    <w:rsid w:val="00FD5804"/>
    <w:rsid w:val="00FD5822"/>
    <w:rsid w:val="00FD583D"/>
    <w:rsid w:val="00FD587A"/>
    <w:rsid w:val="00FD59D4"/>
    <w:rsid w:val="00FD5A3A"/>
    <w:rsid w:val="00FD5AE9"/>
    <w:rsid w:val="00FD5B4E"/>
    <w:rsid w:val="00FD5B8C"/>
    <w:rsid w:val="00FD5B90"/>
    <w:rsid w:val="00FD5BCE"/>
    <w:rsid w:val="00FD5BDA"/>
    <w:rsid w:val="00FD5C05"/>
    <w:rsid w:val="00FD5C8F"/>
    <w:rsid w:val="00FD5C9F"/>
    <w:rsid w:val="00FD5CD3"/>
    <w:rsid w:val="00FD6035"/>
    <w:rsid w:val="00FD6064"/>
    <w:rsid w:val="00FD6088"/>
    <w:rsid w:val="00FD60AE"/>
    <w:rsid w:val="00FD60ED"/>
    <w:rsid w:val="00FD615E"/>
    <w:rsid w:val="00FD61D1"/>
    <w:rsid w:val="00FD6258"/>
    <w:rsid w:val="00FD625D"/>
    <w:rsid w:val="00FD6294"/>
    <w:rsid w:val="00FD629C"/>
    <w:rsid w:val="00FD6409"/>
    <w:rsid w:val="00FD641A"/>
    <w:rsid w:val="00FD64A2"/>
    <w:rsid w:val="00FD6556"/>
    <w:rsid w:val="00FD6676"/>
    <w:rsid w:val="00FD6693"/>
    <w:rsid w:val="00FD66B5"/>
    <w:rsid w:val="00FD6721"/>
    <w:rsid w:val="00FD67B4"/>
    <w:rsid w:val="00FD67CB"/>
    <w:rsid w:val="00FD685A"/>
    <w:rsid w:val="00FD68D1"/>
    <w:rsid w:val="00FD6A02"/>
    <w:rsid w:val="00FD6A41"/>
    <w:rsid w:val="00FD6A88"/>
    <w:rsid w:val="00FD6AB0"/>
    <w:rsid w:val="00FD6BFB"/>
    <w:rsid w:val="00FD6C0C"/>
    <w:rsid w:val="00FD6C7F"/>
    <w:rsid w:val="00FD6CC9"/>
    <w:rsid w:val="00FD6CCC"/>
    <w:rsid w:val="00FD6CE4"/>
    <w:rsid w:val="00FD6D5C"/>
    <w:rsid w:val="00FD6EB3"/>
    <w:rsid w:val="00FD6F4A"/>
    <w:rsid w:val="00FD6FE4"/>
    <w:rsid w:val="00FD70CD"/>
    <w:rsid w:val="00FD70FB"/>
    <w:rsid w:val="00FD7140"/>
    <w:rsid w:val="00FD7147"/>
    <w:rsid w:val="00FD7259"/>
    <w:rsid w:val="00FD7274"/>
    <w:rsid w:val="00FD728A"/>
    <w:rsid w:val="00FD72AD"/>
    <w:rsid w:val="00FD7336"/>
    <w:rsid w:val="00FD7366"/>
    <w:rsid w:val="00FD73B2"/>
    <w:rsid w:val="00FD73C1"/>
    <w:rsid w:val="00FD73DC"/>
    <w:rsid w:val="00FD744F"/>
    <w:rsid w:val="00FD752B"/>
    <w:rsid w:val="00FD7696"/>
    <w:rsid w:val="00FD778F"/>
    <w:rsid w:val="00FD77B2"/>
    <w:rsid w:val="00FD77EF"/>
    <w:rsid w:val="00FD77FA"/>
    <w:rsid w:val="00FD782D"/>
    <w:rsid w:val="00FD78C4"/>
    <w:rsid w:val="00FD7940"/>
    <w:rsid w:val="00FD794A"/>
    <w:rsid w:val="00FD7966"/>
    <w:rsid w:val="00FD79FF"/>
    <w:rsid w:val="00FD7A29"/>
    <w:rsid w:val="00FD7AB3"/>
    <w:rsid w:val="00FD7AE9"/>
    <w:rsid w:val="00FD7AF1"/>
    <w:rsid w:val="00FD7AF6"/>
    <w:rsid w:val="00FD7B0E"/>
    <w:rsid w:val="00FD7BC8"/>
    <w:rsid w:val="00FD7C2D"/>
    <w:rsid w:val="00FD7C43"/>
    <w:rsid w:val="00FD7C9A"/>
    <w:rsid w:val="00FD7CDA"/>
    <w:rsid w:val="00FD7CE2"/>
    <w:rsid w:val="00FD7CF4"/>
    <w:rsid w:val="00FD7D4B"/>
    <w:rsid w:val="00FD7D50"/>
    <w:rsid w:val="00FD7D81"/>
    <w:rsid w:val="00FD7DA0"/>
    <w:rsid w:val="00FD7DCB"/>
    <w:rsid w:val="00FD7DD3"/>
    <w:rsid w:val="00FD7E6F"/>
    <w:rsid w:val="00FD7EC1"/>
    <w:rsid w:val="00FD7EEC"/>
    <w:rsid w:val="00FD7EF9"/>
    <w:rsid w:val="00FD7F3A"/>
    <w:rsid w:val="00FD7F6B"/>
    <w:rsid w:val="00FD7F7F"/>
    <w:rsid w:val="00FE0026"/>
    <w:rsid w:val="00FE002C"/>
    <w:rsid w:val="00FE003E"/>
    <w:rsid w:val="00FE011C"/>
    <w:rsid w:val="00FE015D"/>
    <w:rsid w:val="00FE0267"/>
    <w:rsid w:val="00FE0324"/>
    <w:rsid w:val="00FE038B"/>
    <w:rsid w:val="00FE03B6"/>
    <w:rsid w:val="00FE0447"/>
    <w:rsid w:val="00FE04E8"/>
    <w:rsid w:val="00FE0582"/>
    <w:rsid w:val="00FE063B"/>
    <w:rsid w:val="00FE0660"/>
    <w:rsid w:val="00FE06B7"/>
    <w:rsid w:val="00FE074E"/>
    <w:rsid w:val="00FE0785"/>
    <w:rsid w:val="00FE0842"/>
    <w:rsid w:val="00FE0926"/>
    <w:rsid w:val="00FE094F"/>
    <w:rsid w:val="00FE0A8D"/>
    <w:rsid w:val="00FE0A9A"/>
    <w:rsid w:val="00FE0B47"/>
    <w:rsid w:val="00FE0BBE"/>
    <w:rsid w:val="00FE0C76"/>
    <w:rsid w:val="00FE0CF5"/>
    <w:rsid w:val="00FE0DAF"/>
    <w:rsid w:val="00FE0F16"/>
    <w:rsid w:val="00FE0F20"/>
    <w:rsid w:val="00FE0FD6"/>
    <w:rsid w:val="00FE102D"/>
    <w:rsid w:val="00FE105C"/>
    <w:rsid w:val="00FE1062"/>
    <w:rsid w:val="00FE10C3"/>
    <w:rsid w:val="00FE112D"/>
    <w:rsid w:val="00FE114B"/>
    <w:rsid w:val="00FE11AC"/>
    <w:rsid w:val="00FE11E7"/>
    <w:rsid w:val="00FE126E"/>
    <w:rsid w:val="00FE1313"/>
    <w:rsid w:val="00FE136E"/>
    <w:rsid w:val="00FE1400"/>
    <w:rsid w:val="00FE14A4"/>
    <w:rsid w:val="00FE14DD"/>
    <w:rsid w:val="00FE1539"/>
    <w:rsid w:val="00FE1575"/>
    <w:rsid w:val="00FE1581"/>
    <w:rsid w:val="00FE158F"/>
    <w:rsid w:val="00FE15C8"/>
    <w:rsid w:val="00FE15F7"/>
    <w:rsid w:val="00FE16A0"/>
    <w:rsid w:val="00FE16F6"/>
    <w:rsid w:val="00FE17C0"/>
    <w:rsid w:val="00FE1916"/>
    <w:rsid w:val="00FE1924"/>
    <w:rsid w:val="00FE194B"/>
    <w:rsid w:val="00FE1A86"/>
    <w:rsid w:val="00FE1B60"/>
    <w:rsid w:val="00FE1CE2"/>
    <w:rsid w:val="00FE1D29"/>
    <w:rsid w:val="00FE1D63"/>
    <w:rsid w:val="00FE1E54"/>
    <w:rsid w:val="00FE1E5E"/>
    <w:rsid w:val="00FE1E72"/>
    <w:rsid w:val="00FE1F48"/>
    <w:rsid w:val="00FE1F7D"/>
    <w:rsid w:val="00FE2080"/>
    <w:rsid w:val="00FE213D"/>
    <w:rsid w:val="00FE2142"/>
    <w:rsid w:val="00FE21BB"/>
    <w:rsid w:val="00FE21CC"/>
    <w:rsid w:val="00FE21F4"/>
    <w:rsid w:val="00FE2207"/>
    <w:rsid w:val="00FE223B"/>
    <w:rsid w:val="00FE22B8"/>
    <w:rsid w:val="00FE22F8"/>
    <w:rsid w:val="00FE2324"/>
    <w:rsid w:val="00FE23BA"/>
    <w:rsid w:val="00FE2647"/>
    <w:rsid w:val="00FE26E1"/>
    <w:rsid w:val="00FE2703"/>
    <w:rsid w:val="00FE2795"/>
    <w:rsid w:val="00FE27C8"/>
    <w:rsid w:val="00FE27FC"/>
    <w:rsid w:val="00FE2823"/>
    <w:rsid w:val="00FE2917"/>
    <w:rsid w:val="00FE2A8B"/>
    <w:rsid w:val="00FE2B4B"/>
    <w:rsid w:val="00FE2BB1"/>
    <w:rsid w:val="00FE2BB6"/>
    <w:rsid w:val="00FE2CCE"/>
    <w:rsid w:val="00FE2CDC"/>
    <w:rsid w:val="00FE2D2A"/>
    <w:rsid w:val="00FE2D70"/>
    <w:rsid w:val="00FE2E01"/>
    <w:rsid w:val="00FE2E53"/>
    <w:rsid w:val="00FE2F27"/>
    <w:rsid w:val="00FE2F7F"/>
    <w:rsid w:val="00FE2FBC"/>
    <w:rsid w:val="00FE3052"/>
    <w:rsid w:val="00FE30D6"/>
    <w:rsid w:val="00FE3182"/>
    <w:rsid w:val="00FE3188"/>
    <w:rsid w:val="00FE31CB"/>
    <w:rsid w:val="00FE3276"/>
    <w:rsid w:val="00FE32B8"/>
    <w:rsid w:val="00FE32C8"/>
    <w:rsid w:val="00FE336E"/>
    <w:rsid w:val="00FE339F"/>
    <w:rsid w:val="00FE353D"/>
    <w:rsid w:val="00FE3553"/>
    <w:rsid w:val="00FE3562"/>
    <w:rsid w:val="00FE36CC"/>
    <w:rsid w:val="00FE375C"/>
    <w:rsid w:val="00FE3861"/>
    <w:rsid w:val="00FE38D4"/>
    <w:rsid w:val="00FE3A84"/>
    <w:rsid w:val="00FE3AD7"/>
    <w:rsid w:val="00FE3B9C"/>
    <w:rsid w:val="00FE3BE1"/>
    <w:rsid w:val="00FE3C16"/>
    <w:rsid w:val="00FE3C29"/>
    <w:rsid w:val="00FE3C33"/>
    <w:rsid w:val="00FE3C45"/>
    <w:rsid w:val="00FE3C9B"/>
    <w:rsid w:val="00FE3CF0"/>
    <w:rsid w:val="00FE3D59"/>
    <w:rsid w:val="00FE3DBE"/>
    <w:rsid w:val="00FE3DE8"/>
    <w:rsid w:val="00FE3DE9"/>
    <w:rsid w:val="00FE3E51"/>
    <w:rsid w:val="00FE3E5B"/>
    <w:rsid w:val="00FE3EEE"/>
    <w:rsid w:val="00FE3F0F"/>
    <w:rsid w:val="00FE3F99"/>
    <w:rsid w:val="00FE40CB"/>
    <w:rsid w:val="00FE4114"/>
    <w:rsid w:val="00FE4149"/>
    <w:rsid w:val="00FE415E"/>
    <w:rsid w:val="00FE4184"/>
    <w:rsid w:val="00FE4188"/>
    <w:rsid w:val="00FE4193"/>
    <w:rsid w:val="00FE4268"/>
    <w:rsid w:val="00FE43A5"/>
    <w:rsid w:val="00FE43F6"/>
    <w:rsid w:val="00FE4446"/>
    <w:rsid w:val="00FE4455"/>
    <w:rsid w:val="00FE44D6"/>
    <w:rsid w:val="00FE44F4"/>
    <w:rsid w:val="00FE4500"/>
    <w:rsid w:val="00FE4518"/>
    <w:rsid w:val="00FE4536"/>
    <w:rsid w:val="00FE457A"/>
    <w:rsid w:val="00FE45C6"/>
    <w:rsid w:val="00FE46E6"/>
    <w:rsid w:val="00FE46F4"/>
    <w:rsid w:val="00FE47A0"/>
    <w:rsid w:val="00FE4834"/>
    <w:rsid w:val="00FE4840"/>
    <w:rsid w:val="00FE48FF"/>
    <w:rsid w:val="00FE493F"/>
    <w:rsid w:val="00FE4958"/>
    <w:rsid w:val="00FE4C02"/>
    <w:rsid w:val="00FE4C17"/>
    <w:rsid w:val="00FE4C6A"/>
    <w:rsid w:val="00FE4DBD"/>
    <w:rsid w:val="00FE4EB1"/>
    <w:rsid w:val="00FE4F09"/>
    <w:rsid w:val="00FE4FC9"/>
    <w:rsid w:val="00FE5096"/>
    <w:rsid w:val="00FE509F"/>
    <w:rsid w:val="00FE50B8"/>
    <w:rsid w:val="00FE5133"/>
    <w:rsid w:val="00FE5207"/>
    <w:rsid w:val="00FE52A9"/>
    <w:rsid w:val="00FE52C8"/>
    <w:rsid w:val="00FE530F"/>
    <w:rsid w:val="00FE5426"/>
    <w:rsid w:val="00FE5519"/>
    <w:rsid w:val="00FE55DA"/>
    <w:rsid w:val="00FE5637"/>
    <w:rsid w:val="00FE568B"/>
    <w:rsid w:val="00FE56DA"/>
    <w:rsid w:val="00FE56F2"/>
    <w:rsid w:val="00FE56F6"/>
    <w:rsid w:val="00FE5757"/>
    <w:rsid w:val="00FE5800"/>
    <w:rsid w:val="00FE58B5"/>
    <w:rsid w:val="00FE5995"/>
    <w:rsid w:val="00FE599C"/>
    <w:rsid w:val="00FE5A1E"/>
    <w:rsid w:val="00FE5A32"/>
    <w:rsid w:val="00FE5A72"/>
    <w:rsid w:val="00FE5A76"/>
    <w:rsid w:val="00FE5A92"/>
    <w:rsid w:val="00FE5A94"/>
    <w:rsid w:val="00FE5AC0"/>
    <w:rsid w:val="00FE5AE0"/>
    <w:rsid w:val="00FE5B1D"/>
    <w:rsid w:val="00FE5B32"/>
    <w:rsid w:val="00FE5B46"/>
    <w:rsid w:val="00FE5BD5"/>
    <w:rsid w:val="00FE5CD8"/>
    <w:rsid w:val="00FE5E5E"/>
    <w:rsid w:val="00FE5E8A"/>
    <w:rsid w:val="00FE5EE8"/>
    <w:rsid w:val="00FE5EFB"/>
    <w:rsid w:val="00FE5F95"/>
    <w:rsid w:val="00FE6002"/>
    <w:rsid w:val="00FE602A"/>
    <w:rsid w:val="00FE6095"/>
    <w:rsid w:val="00FE60FB"/>
    <w:rsid w:val="00FE616E"/>
    <w:rsid w:val="00FE61E7"/>
    <w:rsid w:val="00FE620B"/>
    <w:rsid w:val="00FE623F"/>
    <w:rsid w:val="00FE624D"/>
    <w:rsid w:val="00FE6252"/>
    <w:rsid w:val="00FE6259"/>
    <w:rsid w:val="00FE6314"/>
    <w:rsid w:val="00FE6327"/>
    <w:rsid w:val="00FE6333"/>
    <w:rsid w:val="00FE6371"/>
    <w:rsid w:val="00FE63E6"/>
    <w:rsid w:val="00FE63F6"/>
    <w:rsid w:val="00FE6477"/>
    <w:rsid w:val="00FE655B"/>
    <w:rsid w:val="00FE667F"/>
    <w:rsid w:val="00FE675A"/>
    <w:rsid w:val="00FE6765"/>
    <w:rsid w:val="00FE67C8"/>
    <w:rsid w:val="00FE682D"/>
    <w:rsid w:val="00FE69E9"/>
    <w:rsid w:val="00FE69EF"/>
    <w:rsid w:val="00FE6A4C"/>
    <w:rsid w:val="00FE6A63"/>
    <w:rsid w:val="00FE6A6B"/>
    <w:rsid w:val="00FE6AD4"/>
    <w:rsid w:val="00FE6B1A"/>
    <w:rsid w:val="00FE6C92"/>
    <w:rsid w:val="00FE6CA3"/>
    <w:rsid w:val="00FE6E18"/>
    <w:rsid w:val="00FE6E20"/>
    <w:rsid w:val="00FE6E4F"/>
    <w:rsid w:val="00FE6E8D"/>
    <w:rsid w:val="00FE6E8F"/>
    <w:rsid w:val="00FE6F61"/>
    <w:rsid w:val="00FE6F9A"/>
    <w:rsid w:val="00FE6FB6"/>
    <w:rsid w:val="00FE6FD3"/>
    <w:rsid w:val="00FE6FF8"/>
    <w:rsid w:val="00FE705E"/>
    <w:rsid w:val="00FE70FD"/>
    <w:rsid w:val="00FE71CE"/>
    <w:rsid w:val="00FE720D"/>
    <w:rsid w:val="00FE7249"/>
    <w:rsid w:val="00FE7292"/>
    <w:rsid w:val="00FE72AE"/>
    <w:rsid w:val="00FE7392"/>
    <w:rsid w:val="00FE7396"/>
    <w:rsid w:val="00FE73A8"/>
    <w:rsid w:val="00FE73C1"/>
    <w:rsid w:val="00FE73E3"/>
    <w:rsid w:val="00FE7409"/>
    <w:rsid w:val="00FE7455"/>
    <w:rsid w:val="00FE748F"/>
    <w:rsid w:val="00FE76DE"/>
    <w:rsid w:val="00FE76EC"/>
    <w:rsid w:val="00FE774C"/>
    <w:rsid w:val="00FE7792"/>
    <w:rsid w:val="00FE77FF"/>
    <w:rsid w:val="00FE78F4"/>
    <w:rsid w:val="00FE7A6B"/>
    <w:rsid w:val="00FE7B13"/>
    <w:rsid w:val="00FE7B92"/>
    <w:rsid w:val="00FE7BE7"/>
    <w:rsid w:val="00FE7C78"/>
    <w:rsid w:val="00FE7D43"/>
    <w:rsid w:val="00FE7D80"/>
    <w:rsid w:val="00FE7E00"/>
    <w:rsid w:val="00FE7E03"/>
    <w:rsid w:val="00FE7EA1"/>
    <w:rsid w:val="00FE7EA3"/>
    <w:rsid w:val="00FE7F99"/>
    <w:rsid w:val="00FE7FBB"/>
    <w:rsid w:val="00FF00AB"/>
    <w:rsid w:val="00FF00C6"/>
    <w:rsid w:val="00FF0187"/>
    <w:rsid w:val="00FF02D5"/>
    <w:rsid w:val="00FF02F7"/>
    <w:rsid w:val="00FF0305"/>
    <w:rsid w:val="00FF031E"/>
    <w:rsid w:val="00FF037D"/>
    <w:rsid w:val="00FF03BF"/>
    <w:rsid w:val="00FF03E2"/>
    <w:rsid w:val="00FF040F"/>
    <w:rsid w:val="00FF0487"/>
    <w:rsid w:val="00FF04B7"/>
    <w:rsid w:val="00FF055C"/>
    <w:rsid w:val="00FF062B"/>
    <w:rsid w:val="00FF0744"/>
    <w:rsid w:val="00FF07AC"/>
    <w:rsid w:val="00FF0821"/>
    <w:rsid w:val="00FF085F"/>
    <w:rsid w:val="00FF0981"/>
    <w:rsid w:val="00FF09AF"/>
    <w:rsid w:val="00FF0AB3"/>
    <w:rsid w:val="00FF0B28"/>
    <w:rsid w:val="00FF0BC0"/>
    <w:rsid w:val="00FF0BF6"/>
    <w:rsid w:val="00FF0C76"/>
    <w:rsid w:val="00FF0CE1"/>
    <w:rsid w:val="00FF0D59"/>
    <w:rsid w:val="00FF0DE9"/>
    <w:rsid w:val="00FF0F8C"/>
    <w:rsid w:val="00FF0FA0"/>
    <w:rsid w:val="00FF1064"/>
    <w:rsid w:val="00FF10D3"/>
    <w:rsid w:val="00FF1114"/>
    <w:rsid w:val="00FF118A"/>
    <w:rsid w:val="00FF11D3"/>
    <w:rsid w:val="00FF120B"/>
    <w:rsid w:val="00FF1213"/>
    <w:rsid w:val="00FF1290"/>
    <w:rsid w:val="00FF12E3"/>
    <w:rsid w:val="00FF1310"/>
    <w:rsid w:val="00FF1394"/>
    <w:rsid w:val="00FF13C2"/>
    <w:rsid w:val="00FF1488"/>
    <w:rsid w:val="00FF148C"/>
    <w:rsid w:val="00FF14A3"/>
    <w:rsid w:val="00FF15E8"/>
    <w:rsid w:val="00FF16C2"/>
    <w:rsid w:val="00FF16D3"/>
    <w:rsid w:val="00FF16E0"/>
    <w:rsid w:val="00FF1705"/>
    <w:rsid w:val="00FF1728"/>
    <w:rsid w:val="00FF175A"/>
    <w:rsid w:val="00FF17F7"/>
    <w:rsid w:val="00FF1874"/>
    <w:rsid w:val="00FF1888"/>
    <w:rsid w:val="00FF18C2"/>
    <w:rsid w:val="00FF18E0"/>
    <w:rsid w:val="00FF19B5"/>
    <w:rsid w:val="00FF1AFA"/>
    <w:rsid w:val="00FF1B1D"/>
    <w:rsid w:val="00FF1B85"/>
    <w:rsid w:val="00FF1C3D"/>
    <w:rsid w:val="00FF1C83"/>
    <w:rsid w:val="00FF1E31"/>
    <w:rsid w:val="00FF1E6D"/>
    <w:rsid w:val="00FF1EBD"/>
    <w:rsid w:val="00FF1F2D"/>
    <w:rsid w:val="00FF1F37"/>
    <w:rsid w:val="00FF1FBA"/>
    <w:rsid w:val="00FF1FFE"/>
    <w:rsid w:val="00FF20A9"/>
    <w:rsid w:val="00FF210F"/>
    <w:rsid w:val="00FF2179"/>
    <w:rsid w:val="00FF223D"/>
    <w:rsid w:val="00FF22A6"/>
    <w:rsid w:val="00FF232E"/>
    <w:rsid w:val="00FF2359"/>
    <w:rsid w:val="00FF2415"/>
    <w:rsid w:val="00FF246D"/>
    <w:rsid w:val="00FF2470"/>
    <w:rsid w:val="00FF24CB"/>
    <w:rsid w:val="00FF2647"/>
    <w:rsid w:val="00FF265A"/>
    <w:rsid w:val="00FF2687"/>
    <w:rsid w:val="00FF26D4"/>
    <w:rsid w:val="00FF273A"/>
    <w:rsid w:val="00FF2811"/>
    <w:rsid w:val="00FF281C"/>
    <w:rsid w:val="00FF2820"/>
    <w:rsid w:val="00FF2876"/>
    <w:rsid w:val="00FF293B"/>
    <w:rsid w:val="00FF2947"/>
    <w:rsid w:val="00FF294E"/>
    <w:rsid w:val="00FF2988"/>
    <w:rsid w:val="00FF2A02"/>
    <w:rsid w:val="00FF2A54"/>
    <w:rsid w:val="00FF2A84"/>
    <w:rsid w:val="00FF2AA5"/>
    <w:rsid w:val="00FF2B27"/>
    <w:rsid w:val="00FF2B94"/>
    <w:rsid w:val="00FF2CBD"/>
    <w:rsid w:val="00FF2CD3"/>
    <w:rsid w:val="00FF2CE0"/>
    <w:rsid w:val="00FF2D15"/>
    <w:rsid w:val="00FF2E33"/>
    <w:rsid w:val="00FF2F81"/>
    <w:rsid w:val="00FF3035"/>
    <w:rsid w:val="00FF3122"/>
    <w:rsid w:val="00FF3250"/>
    <w:rsid w:val="00FF3253"/>
    <w:rsid w:val="00FF32E7"/>
    <w:rsid w:val="00FF32F8"/>
    <w:rsid w:val="00FF336C"/>
    <w:rsid w:val="00FF339E"/>
    <w:rsid w:val="00FF33ED"/>
    <w:rsid w:val="00FF34DF"/>
    <w:rsid w:val="00FF34F2"/>
    <w:rsid w:val="00FF3511"/>
    <w:rsid w:val="00FF3541"/>
    <w:rsid w:val="00FF364A"/>
    <w:rsid w:val="00FF370B"/>
    <w:rsid w:val="00FF3787"/>
    <w:rsid w:val="00FF37D3"/>
    <w:rsid w:val="00FF37E4"/>
    <w:rsid w:val="00FF386F"/>
    <w:rsid w:val="00FF389B"/>
    <w:rsid w:val="00FF38ED"/>
    <w:rsid w:val="00FF3A80"/>
    <w:rsid w:val="00FF3AE1"/>
    <w:rsid w:val="00FF3AF4"/>
    <w:rsid w:val="00FF3B56"/>
    <w:rsid w:val="00FF3C1E"/>
    <w:rsid w:val="00FF3C25"/>
    <w:rsid w:val="00FF3C3B"/>
    <w:rsid w:val="00FF3CA4"/>
    <w:rsid w:val="00FF3D16"/>
    <w:rsid w:val="00FF3D53"/>
    <w:rsid w:val="00FF3D55"/>
    <w:rsid w:val="00FF3E39"/>
    <w:rsid w:val="00FF3E4E"/>
    <w:rsid w:val="00FF3EF7"/>
    <w:rsid w:val="00FF3F65"/>
    <w:rsid w:val="00FF41B3"/>
    <w:rsid w:val="00FF41E8"/>
    <w:rsid w:val="00FF41F2"/>
    <w:rsid w:val="00FF423D"/>
    <w:rsid w:val="00FF4244"/>
    <w:rsid w:val="00FF4261"/>
    <w:rsid w:val="00FF4273"/>
    <w:rsid w:val="00FF4317"/>
    <w:rsid w:val="00FF439D"/>
    <w:rsid w:val="00FF43A8"/>
    <w:rsid w:val="00FF450B"/>
    <w:rsid w:val="00FF4658"/>
    <w:rsid w:val="00FF4779"/>
    <w:rsid w:val="00FF479C"/>
    <w:rsid w:val="00FF47CF"/>
    <w:rsid w:val="00FF47DE"/>
    <w:rsid w:val="00FF4845"/>
    <w:rsid w:val="00FF489C"/>
    <w:rsid w:val="00FF48C4"/>
    <w:rsid w:val="00FF498D"/>
    <w:rsid w:val="00FF4993"/>
    <w:rsid w:val="00FF499D"/>
    <w:rsid w:val="00FF49D4"/>
    <w:rsid w:val="00FF49DC"/>
    <w:rsid w:val="00FF4A5A"/>
    <w:rsid w:val="00FF4B21"/>
    <w:rsid w:val="00FF4BCE"/>
    <w:rsid w:val="00FF4BD0"/>
    <w:rsid w:val="00FF4C2F"/>
    <w:rsid w:val="00FF4C36"/>
    <w:rsid w:val="00FF4CBD"/>
    <w:rsid w:val="00FF4D1A"/>
    <w:rsid w:val="00FF4E05"/>
    <w:rsid w:val="00FF4E92"/>
    <w:rsid w:val="00FF4EE0"/>
    <w:rsid w:val="00FF4EEA"/>
    <w:rsid w:val="00FF4F20"/>
    <w:rsid w:val="00FF4F32"/>
    <w:rsid w:val="00FF4F51"/>
    <w:rsid w:val="00FF4F72"/>
    <w:rsid w:val="00FF4FDB"/>
    <w:rsid w:val="00FF5030"/>
    <w:rsid w:val="00FF5068"/>
    <w:rsid w:val="00FF50ED"/>
    <w:rsid w:val="00FF52AF"/>
    <w:rsid w:val="00FF52BE"/>
    <w:rsid w:val="00FF52E2"/>
    <w:rsid w:val="00FF5342"/>
    <w:rsid w:val="00FF537F"/>
    <w:rsid w:val="00FF541E"/>
    <w:rsid w:val="00FF5484"/>
    <w:rsid w:val="00FF553B"/>
    <w:rsid w:val="00FF55A3"/>
    <w:rsid w:val="00FF55C7"/>
    <w:rsid w:val="00FF5624"/>
    <w:rsid w:val="00FF56D0"/>
    <w:rsid w:val="00FF5733"/>
    <w:rsid w:val="00FF57BA"/>
    <w:rsid w:val="00FF57C4"/>
    <w:rsid w:val="00FF5868"/>
    <w:rsid w:val="00FF58B7"/>
    <w:rsid w:val="00FF58FC"/>
    <w:rsid w:val="00FF5992"/>
    <w:rsid w:val="00FF5AF8"/>
    <w:rsid w:val="00FF5B07"/>
    <w:rsid w:val="00FF5B95"/>
    <w:rsid w:val="00FF5C49"/>
    <w:rsid w:val="00FF5CC6"/>
    <w:rsid w:val="00FF5CE0"/>
    <w:rsid w:val="00FF5D75"/>
    <w:rsid w:val="00FF5E12"/>
    <w:rsid w:val="00FF5E14"/>
    <w:rsid w:val="00FF5E25"/>
    <w:rsid w:val="00FF5E2E"/>
    <w:rsid w:val="00FF5E5C"/>
    <w:rsid w:val="00FF5EA5"/>
    <w:rsid w:val="00FF5EA8"/>
    <w:rsid w:val="00FF5EB2"/>
    <w:rsid w:val="00FF5F07"/>
    <w:rsid w:val="00FF5FB2"/>
    <w:rsid w:val="00FF6019"/>
    <w:rsid w:val="00FF607E"/>
    <w:rsid w:val="00FF609D"/>
    <w:rsid w:val="00FF60A2"/>
    <w:rsid w:val="00FF6267"/>
    <w:rsid w:val="00FF632D"/>
    <w:rsid w:val="00FF6371"/>
    <w:rsid w:val="00FF63E6"/>
    <w:rsid w:val="00FF6412"/>
    <w:rsid w:val="00FF6472"/>
    <w:rsid w:val="00FF6496"/>
    <w:rsid w:val="00FF657F"/>
    <w:rsid w:val="00FF65E5"/>
    <w:rsid w:val="00FF65F4"/>
    <w:rsid w:val="00FF665C"/>
    <w:rsid w:val="00FF6682"/>
    <w:rsid w:val="00FF66EB"/>
    <w:rsid w:val="00FF66F1"/>
    <w:rsid w:val="00FF6823"/>
    <w:rsid w:val="00FF6878"/>
    <w:rsid w:val="00FF68AD"/>
    <w:rsid w:val="00FF68DD"/>
    <w:rsid w:val="00FF68EB"/>
    <w:rsid w:val="00FF68F4"/>
    <w:rsid w:val="00FF69EE"/>
    <w:rsid w:val="00FF6A14"/>
    <w:rsid w:val="00FF6B38"/>
    <w:rsid w:val="00FF6BF1"/>
    <w:rsid w:val="00FF6D10"/>
    <w:rsid w:val="00FF6D92"/>
    <w:rsid w:val="00FF6DA3"/>
    <w:rsid w:val="00FF6DDF"/>
    <w:rsid w:val="00FF6DF7"/>
    <w:rsid w:val="00FF6E25"/>
    <w:rsid w:val="00FF6E47"/>
    <w:rsid w:val="00FF6E5B"/>
    <w:rsid w:val="00FF6FAF"/>
    <w:rsid w:val="00FF6FD1"/>
    <w:rsid w:val="00FF6FE3"/>
    <w:rsid w:val="00FF711E"/>
    <w:rsid w:val="00FF7143"/>
    <w:rsid w:val="00FF718A"/>
    <w:rsid w:val="00FF71E1"/>
    <w:rsid w:val="00FF732B"/>
    <w:rsid w:val="00FF742C"/>
    <w:rsid w:val="00FF7441"/>
    <w:rsid w:val="00FF7454"/>
    <w:rsid w:val="00FF755A"/>
    <w:rsid w:val="00FF75BB"/>
    <w:rsid w:val="00FF75E3"/>
    <w:rsid w:val="00FF7642"/>
    <w:rsid w:val="00FF7766"/>
    <w:rsid w:val="00FF77AD"/>
    <w:rsid w:val="00FF7882"/>
    <w:rsid w:val="00FF78D0"/>
    <w:rsid w:val="00FF7929"/>
    <w:rsid w:val="00FF7958"/>
    <w:rsid w:val="00FF7A51"/>
    <w:rsid w:val="00FF7A8D"/>
    <w:rsid w:val="00FF7AC4"/>
    <w:rsid w:val="00FF7B29"/>
    <w:rsid w:val="00FF7B8A"/>
    <w:rsid w:val="00FF7CE0"/>
    <w:rsid w:val="00FF7D0E"/>
    <w:rsid w:val="00FF7D3D"/>
    <w:rsid w:val="00FF7D83"/>
    <w:rsid w:val="00FF7DB0"/>
    <w:rsid w:val="00FF7DBA"/>
    <w:rsid w:val="00FF7F6B"/>
    <w:rsid w:val="0107A706"/>
    <w:rsid w:val="010E29D3"/>
    <w:rsid w:val="01274579"/>
    <w:rsid w:val="012A157D"/>
    <w:rsid w:val="0131E16A"/>
    <w:rsid w:val="013CD19E"/>
    <w:rsid w:val="014355FE"/>
    <w:rsid w:val="014B7EA5"/>
    <w:rsid w:val="014F8BF0"/>
    <w:rsid w:val="0154E69E"/>
    <w:rsid w:val="015C8423"/>
    <w:rsid w:val="015DDCB1"/>
    <w:rsid w:val="015EC25F"/>
    <w:rsid w:val="016534F4"/>
    <w:rsid w:val="0171050F"/>
    <w:rsid w:val="0172728E"/>
    <w:rsid w:val="01845583"/>
    <w:rsid w:val="018639F2"/>
    <w:rsid w:val="018B13A8"/>
    <w:rsid w:val="018DCC20"/>
    <w:rsid w:val="01943DCB"/>
    <w:rsid w:val="0197261D"/>
    <w:rsid w:val="019DF6F7"/>
    <w:rsid w:val="01A9E912"/>
    <w:rsid w:val="01B0AB0A"/>
    <w:rsid w:val="01B7A941"/>
    <w:rsid w:val="01C0EDE5"/>
    <w:rsid w:val="01C78305"/>
    <w:rsid w:val="01D129E0"/>
    <w:rsid w:val="01D92B02"/>
    <w:rsid w:val="01DAB051"/>
    <w:rsid w:val="01E4967B"/>
    <w:rsid w:val="01E7CF8A"/>
    <w:rsid w:val="01EA4ACB"/>
    <w:rsid w:val="01ECE2B2"/>
    <w:rsid w:val="01EDAE38"/>
    <w:rsid w:val="01F85E27"/>
    <w:rsid w:val="01FC815E"/>
    <w:rsid w:val="01FD9393"/>
    <w:rsid w:val="01FF26DD"/>
    <w:rsid w:val="0200DD16"/>
    <w:rsid w:val="0203514B"/>
    <w:rsid w:val="020541AC"/>
    <w:rsid w:val="020789E5"/>
    <w:rsid w:val="0208318C"/>
    <w:rsid w:val="020C0DC4"/>
    <w:rsid w:val="020EE69C"/>
    <w:rsid w:val="0214F1C4"/>
    <w:rsid w:val="0218DDED"/>
    <w:rsid w:val="02210E61"/>
    <w:rsid w:val="022184DE"/>
    <w:rsid w:val="0223AF51"/>
    <w:rsid w:val="0225DD03"/>
    <w:rsid w:val="0227DC09"/>
    <w:rsid w:val="02286EEE"/>
    <w:rsid w:val="022EC8E0"/>
    <w:rsid w:val="0231004B"/>
    <w:rsid w:val="0233EB36"/>
    <w:rsid w:val="0234C71E"/>
    <w:rsid w:val="023757F0"/>
    <w:rsid w:val="023CAB83"/>
    <w:rsid w:val="024F0B1F"/>
    <w:rsid w:val="0253FF9C"/>
    <w:rsid w:val="025735F3"/>
    <w:rsid w:val="02581E35"/>
    <w:rsid w:val="0260D413"/>
    <w:rsid w:val="026191AC"/>
    <w:rsid w:val="0261C2D0"/>
    <w:rsid w:val="0266335F"/>
    <w:rsid w:val="0268AF22"/>
    <w:rsid w:val="026C6F93"/>
    <w:rsid w:val="027447BE"/>
    <w:rsid w:val="02769D3D"/>
    <w:rsid w:val="027A47F6"/>
    <w:rsid w:val="027F8E4B"/>
    <w:rsid w:val="02810B1A"/>
    <w:rsid w:val="0281C971"/>
    <w:rsid w:val="0287CA95"/>
    <w:rsid w:val="028DFC4B"/>
    <w:rsid w:val="0292AF7C"/>
    <w:rsid w:val="029430BE"/>
    <w:rsid w:val="0296A4B6"/>
    <w:rsid w:val="0299CDAE"/>
    <w:rsid w:val="029D97F8"/>
    <w:rsid w:val="02A1E477"/>
    <w:rsid w:val="02AA3CF4"/>
    <w:rsid w:val="02AA987F"/>
    <w:rsid w:val="02AD544D"/>
    <w:rsid w:val="02B05F2E"/>
    <w:rsid w:val="02B6DC57"/>
    <w:rsid w:val="02C869E9"/>
    <w:rsid w:val="02D0EA01"/>
    <w:rsid w:val="02D3E1C1"/>
    <w:rsid w:val="02DC2A80"/>
    <w:rsid w:val="02DC9449"/>
    <w:rsid w:val="02E0AB0E"/>
    <w:rsid w:val="02E245FC"/>
    <w:rsid w:val="02ED34AE"/>
    <w:rsid w:val="02F0176D"/>
    <w:rsid w:val="02F4150D"/>
    <w:rsid w:val="02F7E3EC"/>
    <w:rsid w:val="03017F50"/>
    <w:rsid w:val="0302E5C2"/>
    <w:rsid w:val="0307BFA3"/>
    <w:rsid w:val="030B3E7F"/>
    <w:rsid w:val="03137A9C"/>
    <w:rsid w:val="03141FFA"/>
    <w:rsid w:val="0318DF71"/>
    <w:rsid w:val="0324FA5E"/>
    <w:rsid w:val="03266035"/>
    <w:rsid w:val="0326C892"/>
    <w:rsid w:val="0331FE91"/>
    <w:rsid w:val="033289F2"/>
    <w:rsid w:val="03332056"/>
    <w:rsid w:val="0337B287"/>
    <w:rsid w:val="0339F718"/>
    <w:rsid w:val="033D8B7C"/>
    <w:rsid w:val="034155E3"/>
    <w:rsid w:val="034C4679"/>
    <w:rsid w:val="0352EF86"/>
    <w:rsid w:val="035475A8"/>
    <w:rsid w:val="0354B4FF"/>
    <w:rsid w:val="035C984B"/>
    <w:rsid w:val="035F64A7"/>
    <w:rsid w:val="03655B7C"/>
    <w:rsid w:val="0365EFF7"/>
    <w:rsid w:val="0372104A"/>
    <w:rsid w:val="0372DDAA"/>
    <w:rsid w:val="03733786"/>
    <w:rsid w:val="037FF8AB"/>
    <w:rsid w:val="0384E7F1"/>
    <w:rsid w:val="038652CA"/>
    <w:rsid w:val="0386CEA4"/>
    <w:rsid w:val="038CDB67"/>
    <w:rsid w:val="038F51EB"/>
    <w:rsid w:val="03A34344"/>
    <w:rsid w:val="03A94A47"/>
    <w:rsid w:val="03AB9A6A"/>
    <w:rsid w:val="03ABF606"/>
    <w:rsid w:val="03B5B9BD"/>
    <w:rsid w:val="03BA37C4"/>
    <w:rsid w:val="03BA6F07"/>
    <w:rsid w:val="03D430DD"/>
    <w:rsid w:val="03DA4E45"/>
    <w:rsid w:val="03DD6FEC"/>
    <w:rsid w:val="03E156F8"/>
    <w:rsid w:val="03EBCDEE"/>
    <w:rsid w:val="03EC9795"/>
    <w:rsid w:val="03EF4F2D"/>
    <w:rsid w:val="03F5BA3C"/>
    <w:rsid w:val="03FAAA5F"/>
    <w:rsid w:val="03FD5BA2"/>
    <w:rsid w:val="03FE0D4E"/>
    <w:rsid w:val="040DF21B"/>
    <w:rsid w:val="040F46DA"/>
    <w:rsid w:val="04127178"/>
    <w:rsid w:val="0412BFC7"/>
    <w:rsid w:val="041997AD"/>
    <w:rsid w:val="0421E1A0"/>
    <w:rsid w:val="0423D860"/>
    <w:rsid w:val="042509E6"/>
    <w:rsid w:val="043179BA"/>
    <w:rsid w:val="043E19CE"/>
    <w:rsid w:val="044817DC"/>
    <w:rsid w:val="0451393C"/>
    <w:rsid w:val="0451A474"/>
    <w:rsid w:val="045AFE20"/>
    <w:rsid w:val="0467AED6"/>
    <w:rsid w:val="0468FF46"/>
    <w:rsid w:val="0471DED4"/>
    <w:rsid w:val="048F5385"/>
    <w:rsid w:val="04A1E320"/>
    <w:rsid w:val="04A45C0B"/>
    <w:rsid w:val="04ABCD46"/>
    <w:rsid w:val="04B25C51"/>
    <w:rsid w:val="04C4D8A0"/>
    <w:rsid w:val="04C87AFA"/>
    <w:rsid w:val="04C8E8D0"/>
    <w:rsid w:val="04CC4EBE"/>
    <w:rsid w:val="04D160CE"/>
    <w:rsid w:val="04DDA56C"/>
    <w:rsid w:val="04E71537"/>
    <w:rsid w:val="04E8118B"/>
    <w:rsid w:val="04E875B0"/>
    <w:rsid w:val="0500536E"/>
    <w:rsid w:val="0503F4D7"/>
    <w:rsid w:val="05078452"/>
    <w:rsid w:val="050937D7"/>
    <w:rsid w:val="050A1C32"/>
    <w:rsid w:val="050F1FE0"/>
    <w:rsid w:val="05171486"/>
    <w:rsid w:val="05179072"/>
    <w:rsid w:val="0519D20D"/>
    <w:rsid w:val="051C3186"/>
    <w:rsid w:val="051EA1CB"/>
    <w:rsid w:val="051EF02E"/>
    <w:rsid w:val="05202ABC"/>
    <w:rsid w:val="0520B5D2"/>
    <w:rsid w:val="05251AB9"/>
    <w:rsid w:val="05278B54"/>
    <w:rsid w:val="05321C49"/>
    <w:rsid w:val="053A1623"/>
    <w:rsid w:val="053AEC03"/>
    <w:rsid w:val="053AFF4B"/>
    <w:rsid w:val="053B3A46"/>
    <w:rsid w:val="054A64C9"/>
    <w:rsid w:val="054B396E"/>
    <w:rsid w:val="054BE0BD"/>
    <w:rsid w:val="054D3C5A"/>
    <w:rsid w:val="0555E82B"/>
    <w:rsid w:val="05570A1D"/>
    <w:rsid w:val="056487FA"/>
    <w:rsid w:val="056BF9AC"/>
    <w:rsid w:val="056E97C3"/>
    <w:rsid w:val="057BBBA1"/>
    <w:rsid w:val="057C0396"/>
    <w:rsid w:val="05866910"/>
    <w:rsid w:val="058898E7"/>
    <w:rsid w:val="0588B30E"/>
    <w:rsid w:val="05983D9F"/>
    <w:rsid w:val="059ACFC3"/>
    <w:rsid w:val="059FBCD9"/>
    <w:rsid w:val="05A62F5B"/>
    <w:rsid w:val="05B3F98D"/>
    <w:rsid w:val="05DFFBAF"/>
    <w:rsid w:val="05E14054"/>
    <w:rsid w:val="05E30D43"/>
    <w:rsid w:val="05E42732"/>
    <w:rsid w:val="05F0DB68"/>
    <w:rsid w:val="05F1CEF8"/>
    <w:rsid w:val="05F3C97F"/>
    <w:rsid w:val="060018CF"/>
    <w:rsid w:val="0601E6B7"/>
    <w:rsid w:val="0602D1C4"/>
    <w:rsid w:val="060A6B99"/>
    <w:rsid w:val="061079B8"/>
    <w:rsid w:val="061870E2"/>
    <w:rsid w:val="061E5BC1"/>
    <w:rsid w:val="0623E24C"/>
    <w:rsid w:val="0629AF17"/>
    <w:rsid w:val="062A83FA"/>
    <w:rsid w:val="0635BB83"/>
    <w:rsid w:val="063E66B5"/>
    <w:rsid w:val="063E7030"/>
    <w:rsid w:val="06413799"/>
    <w:rsid w:val="0645637F"/>
    <w:rsid w:val="0647B04A"/>
    <w:rsid w:val="064A3299"/>
    <w:rsid w:val="064B3D22"/>
    <w:rsid w:val="064E02AF"/>
    <w:rsid w:val="064F2016"/>
    <w:rsid w:val="06502B82"/>
    <w:rsid w:val="0651B4EC"/>
    <w:rsid w:val="0654B769"/>
    <w:rsid w:val="0657762F"/>
    <w:rsid w:val="0662F1E6"/>
    <w:rsid w:val="0666B08D"/>
    <w:rsid w:val="0666B093"/>
    <w:rsid w:val="06670254"/>
    <w:rsid w:val="06724400"/>
    <w:rsid w:val="06829900"/>
    <w:rsid w:val="06852923"/>
    <w:rsid w:val="069123A3"/>
    <w:rsid w:val="0694064E"/>
    <w:rsid w:val="0694CEE9"/>
    <w:rsid w:val="0694FDDE"/>
    <w:rsid w:val="069799B0"/>
    <w:rsid w:val="0698A867"/>
    <w:rsid w:val="06A45B71"/>
    <w:rsid w:val="06A8C7FB"/>
    <w:rsid w:val="06B15113"/>
    <w:rsid w:val="06C2FCA4"/>
    <w:rsid w:val="06D13FB3"/>
    <w:rsid w:val="06DB784E"/>
    <w:rsid w:val="06DC42B3"/>
    <w:rsid w:val="06E6FD04"/>
    <w:rsid w:val="06ED7FE8"/>
    <w:rsid w:val="06F48821"/>
    <w:rsid w:val="06F6D958"/>
    <w:rsid w:val="06F791BC"/>
    <w:rsid w:val="06FCA675"/>
    <w:rsid w:val="06FF6120"/>
    <w:rsid w:val="0701F593"/>
    <w:rsid w:val="0703EE19"/>
    <w:rsid w:val="0706D1E5"/>
    <w:rsid w:val="070D9042"/>
    <w:rsid w:val="0717B8BD"/>
    <w:rsid w:val="071CCF82"/>
    <w:rsid w:val="071DC986"/>
    <w:rsid w:val="071E0B4C"/>
    <w:rsid w:val="071EEC23"/>
    <w:rsid w:val="072DF24E"/>
    <w:rsid w:val="0732C2CE"/>
    <w:rsid w:val="073443CD"/>
    <w:rsid w:val="0734F0ED"/>
    <w:rsid w:val="073BA92B"/>
    <w:rsid w:val="073FEB70"/>
    <w:rsid w:val="073FFD2B"/>
    <w:rsid w:val="0740C1D1"/>
    <w:rsid w:val="074212AA"/>
    <w:rsid w:val="07463F41"/>
    <w:rsid w:val="074B9636"/>
    <w:rsid w:val="074C6838"/>
    <w:rsid w:val="074E431C"/>
    <w:rsid w:val="07663B38"/>
    <w:rsid w:val="076815CE"/>
    <w:rsid w:val="07732E29"/>
    <w:rsid w:val="0788A8E2"/>
    <w:rsid w:val="078C372B"/>
    <w:rsid w:val="078DE759"/>
    <w:rsid w:val="078FF542"/>
    <w:rsid w:val="07943644"/>
    <w:rsid w:val="0794B7F0"/>
    <w:rsid w:val="07952494"/>
    <w:rsid w:val="079701F1"/>
    <w:rsid w:val="079F8D13"/>
    <w:rsid w:val="07A47EBD"/>
    <w:rsid w:val="07A5F045"/>
    <w:rsid w:val="07ADB64A"/>
    <w:rsid w:val="07BCC182"/>
    <w:rsid w:val="07BD6847"/>
    <w:rsid w:val="07C30A05"/>
    <w:rsid w:val="07C4F6A0"/>
    <w:rsid w:val="07CA8CA7"/>
    <w:rsid w:val="07CCB0EC"/>
    <w:rsid w:val="07D23645"/>
    <w:rsid w:val="07EFE602"/>
    <w:rsid w:val="07F51181"/>
    <w:rsid w:val="07FC5D04"/>
    <w:rsid w:val="08052040"/>
    <w:rsid w:val="0809A418"/>
    <w:rsid w:val="080A9523"/>
    <w:rsid w:val="080D0DFF"/>
    <w:rsid w:val="08146299"/>
    <w:rsid w:val="0829ECD4"/>
    <w:rsid w:val="082CD447"/>
    <w:rsid w:val="082E6AF5"/>
    <w:rsid w:val="0833DF48"/>
    <w:rsid w:val="08393C1E"/>
    <w:rsid w:val="083A11CD"/>
    <w:rsid w:val="083B370E"/>
    <w:rsid w:val="083CA06D"/>
    <w:rsid w:val="084003FF"/>
    <w:rsid w:val="0844E881"/>
    <w:rsid w:val="084D2E78"/>
    <w:rsid w:val="084DFAF3"/>
    <w:rsid w:val="0851675A"/>
    <w:rsid w:val="085208FA"/>
    <w:rsid w:val="0854DD02"/>
    <w:rsid w:val="0855A15B"/>
    <w:rsid w:val="08642AD0"/>
    <w:rsid w:val="0864831A"/>
    <w:rsid w:val="0865FAFE"/>
    <w:rsid w:val="0866BAC6"/>
    <w:rsid w:val="086A9FAB"/>
    <w:rsid w:val="0871E43C"/>
    <w:rsid w:val="0872DF7F"/>
    <w:rsid w:val="0875C362"/>
    <w:rsid w:val="087B9A70"/>
    <w:rsid w:val="0896BFE7"/>
    <w:rsid w:val="089A2C2B"/>
    <w:rsid w:val="089CAA04"/>
    <w:rsid w:val="089D2EAA"/>
    <w:rsid w:val="08A0E0D3"/>
    <w:rsid w:val="08A17C64"/>
    <w:rsid w:val="08A7C9FF"/>
    <w:rsid w:val="08A99BBF"/>
    <w:rsid w:val="08B074E0"/>
    <w:rsid w:val="08B4C126"/>
    <w:rsid w:val="08B871F4"/>
    <w:rsid w:val="08B9E5FC"/>
    <w:rsid w:val="08BD9F17"/>
    <w:rsid w:val="08C1691A"/>
    <w:rsid w:val="08C9433C"/>
    <w:rsid w:val="08CDAE0E"/>
    <w:rsid w:val="08D3A699"/>
    <w:rsid w:val="08DB4AAC"/>
    <w:rsid w:val="08E0B716"/>
    <w:rsid w:val="08E56D2D"/>
    <w:rsid w:val="08ED291D"/>
    <w:rsid w:val="08EF781B"/>
    <w:rsid w:val="08FBB1EC"/>
    <w:rsid w:val="090090A9"/>
    <w:rsid w:val="09028509"/>
    <w:rsid w:val="09041B93"/>
    <w:rsid w:val="090BE720"/>
    <w:rsid w:val="091571E8"/>
    <w:rsid w:val="091CFC1F"/>
    <w:rsid w:val="09244182"/>
    <w:rsid w:val="092E1EC9"/>
    <w:rsid w:val="093225F5"/>
    <w:rsid w:val="09333E5F"/>
    <w:rsid w:val="0933CDE0"/>
    <w:rsid w:val="09383CA7"/>
    <w:rsid w:val="0938DC74"/>
    <w:rsid w:val="0939C58B"/>
    <w:rsid w:val="093CA8EB"/>
    <w:rsid w:val="09494CB0"/>
    <w:rsid w:val="0953F8DA"/>
    <w:rsid w:val="09550B0C"/>
    <w:rsid w:val="09564795"/>
    <w:rsid w:val="095A8048"/>
    <w:rsid w:val="095CE4C2"/>
    <w:rsid w:val="09656637"/>
    <w:rsid w:val="09786B98"/>
    <w:rsid w:val="098B5373"/>
    <w:rsid w:val="0996BD4D"/>
    <w:rsid w:val="099A4928"/>
    <w:rsid w:val="099B8C66"/>
    <w:rsid w:val="099E75EC"/>
    <w:rsid w:val="09A28C91"/>
    <w:rsid w:val="09A2A3AF"/>
    <w:rsid w:val="09A2F9F6"/>
    <w:rsid w:val="09A401DC"/>
    <w:rsid w:val="09AD34B3"/>
    <w:rsid w:val="09B29B97"/>
    <w:rsid w:val="09B6E39B"/>
    <w:rsid w:val="09C3A3A7"/>
    <w:rsid w:val="09C95C09"/>
    <w:rsid w:val="09D6EC9A"/>
    <w:rsid w:val="09DBA60F"/>
    <w:rsid w:val="09E219D8"/>
    <w:rsid w:val="09E3A18A"/>
    <w:rsid w:val="09E5D52D"/>
    <w:rsid w:val="09E81D20"/>
    <w:rsid w:val="09E8AEC9"/>
    <w:rsid w:val="09E8E5F7"/>
    <w:rsid w:val="09F18792"/>
    <w:rsid w:val="09F2CAF9"/>
    <w:rsid w:val="09F89830"/>
    <w:rsid w:val="09FFF250"/>
    <w:rsid w:val="0A01CB5F"/>
    <w:rsid w:val="0A0322BD"/>
    <w:rsid w:val="0A036403"/>
    <w:rsid w:val="0A0865D9"/>
    <w:rsid w:val="0A173145"/>
    <w:rsid w:val="0A1DA704"/>
    <w:rsid w:val="0A20328B"/>
    <w:rsid w:val="0A2044EB"/>
    <w:rsid w:val="0A424643"/>
    <w:rsid w:val="0A426B24"/>
    <w:rsid w:val="0A45E297"/>
    <w:rsid w:val="0A4AB98D"/>
    <w:rsid w:val="0A4EFFA3"/>
    <w:rsid w:val="0A583F9D"/>
    <w:rsid w:val="0A5A6B7C"/>
    <w:rsid w:val="0A69A883"/>
    <w:rsid w:val="0A6BE542"/>
    <w:rsid w:val="0A6DA0AB"/>
    <w:rsid w:val="0A788C09"/>
    <w:rsid w:val="0A7CFB5E"/>
    <w:rsid w:val="0A8886B3"/>
    <w:rsid w:val="0A8970E4"/>
    <w:rsid w:val="0A89B989"/>
    <w:rsid w:val="0A8C40FD"/>
    <w:rsid w:val="0A8E96C9"/>
    <w:rsid w:val="0A9140EB"/>
    <w:rsid w:val="0A96E029"/>
    <w:rsid w:val="0A9EE792"/>
    <w:rsid w:val="0AA28E52"/>
    <w:rsid w:val="0AA5632E"/>
    <w:rsid w:val="0AAA9CF5"/>
    <w:rsid w:val="0AACF921"/>
    <w:rsid w:val="0AAD99FD"/>
    <w:rsid w:val="0AB51F44"/>
    <w:rsid w:val="0AB6304E"/>
    <w:rsid w:val="0AB74B83"/>
    <w:rsid w:val="0AB8F6E9"/>
    <w:rsid w:val="0AC510F2"/>
    <w:rsid w:val="0ACA1F92"/>
    <w:rsid w:val="0ACA2AAF"/>
    <w:rsid w:val="0AD160C9"/>
    <w:rsid w:val="0AD9F60F"/>
    <w:rsid w:val="0ADAEAA6"/>
    <w:rsid w:val="0ADCD900"/>
    <w:rsid w:val="0AE7D493"/>
    <w:rsid w:val="0AEB7851"/>
    <w:rsid w:val="0AEF3A4E"/>
    <w:rsid w:val="0AF21826"/>
    <w:rsid w:val="0AFB4B6F"/>
    <w:rsid w:val="0B0792F8"/>
    <w:rsid w:val="0B118BB6"/>
    <w:rsid w:val="0B1209C4"/>
    <w:rsid w:val="0B1291FE"/>
    <w:rsid w:val="0B255022"/>
    <w:rsid w:val="0B2B20A1"/>
    <w:rsid w:val="0B36A2A1"/>
    <w:rsid w:val="0B385680"/>
    <w:rsid w:val="0B3D583A"/>
    <w:rsid w:val="0B3EE53A"/>
    <w:rsid w:val="0B4713BE"/>
    <w:rsid w:val="0B4BECE2"/>
    <w:rsid w:val="0B547765"/>
    <w:rsid w:val="0B57E8EA"/>
    <w:rsid w:val="0B5B0D5F"/>
    <w:rsid w:val="0B5F358C"/>
    <w:rsid w:val="0B5FA61F"/>
    <w:rsid w:val="0B6301C7"/>
    <w:rsid w:val="0B6B590C"/>
    <w:rsid w:val="0B718E97"/>
    <w:rsid w:val="0B727116"/>
    <w:rsid w:val="0B738CD3"/>
    <w:rsid w:val="0B767AE9"/>
    <w:rsid w:val="0B7B9FF5"/>
    <w:rsid w:val="0B86013D"/>
    <w:rsid w:val="0B909DB1"/>
    <w:rsid w:val="0B959642"/>
    <w:rsid w:val="0BA15DEE"/>
    <w:rsid w:val="0BA328FF"/>
    <w:rsid w:val="0BA47056"/>
    <w:rsid w:val="0BA8E618"/>
    <w:rsid w:val="0BA90858"/>
    <w:rsid w:val="0BADB6D9"/>
    <w:rsid w:val="0BBA6CD8"/>
    <w:rsid w:val="0BC2A6AF"/>
    <w:rsid w:val="0BC812DC"/>
    <w:rsid w:val="0BCE1323"/>
    <w:rsid w:val="0BCFA65B"/>
    <w:rsid w:val="0BD208C9"/>
    <w:rsid w:val="0BDAD291"/>
    <w:rsid w:val="0BE6AB5C"/>
    <w:rsid w:val="0BE749B9"/>
    <w:rsid w:val="0BF1FE0E"/>
    <w:rsid w:val="0C09F5E1"/>
    <w:rsid w:val="0C0EFDC0"/>
    <w:rsid w:val="0C106ED6"/>
    <w:rsid w:val="0C191855"/>
    <w:rsid w:val="0C1AE156"/>
    <w:rsid w:val="0C1DE797"/>
    <w:rsid w:val="0C203390"/>
    <w:rsid w:val="0C24B848"/>
    <w:rsid w:val="0C29FFCD"/>
    <w:rsid w:val="0C2D9031"/>
    <w:rsid w:val="0C2FB078"/>
    <w:rsid w:val="0C335B2D"/>
    <w:rsid w:val="0C3666E3"/>
    <w:rsid w:val="0C3E49A7"/>
    <w:rsid w:val="0C415D7F"/>
    <w:rsid w:val="0C496CB8"/>
    <w:rsid w:val="0C4B6D2B"/>
    <w:rsid w:val="0C4CA50D"/>
    <w:rsid w:val="0C4CE615"/>
    <w:rsid w:val="0C543AE1"/>
    <w:rsid w:val="0C54F7E8"/>
    <w:rsid w:val="0C590737"/>
    <w:rsid w:val="0C5A23C3"/>
    <w:rsid w:val="0C5AAA2C"/>
    <w:rsid w:val="0C5D5D43"/>
    <w:rsid w:val="0C5DE908"/>
    <w:rsid w:val="0C68EB8E"/>
    <w:rsid w:val="0C6F30C9"/>
    <w:rsid w:val="0C7A2EF0"/>
    <w:rsid w:val="0C7A5D52"/>
    <w:rsid w:val="0C7B15AA"/>
    <w:rsid w:val="0C7E06B9"/>
    <w:rsid w:val="0C860034"/>
    <w:rsid w:val="0C86A024"/>
    <w:rsid w:val="0C968FB3"/>
    <w:rsid w:val="0C983480"/>
    <w:rsid w:val="0C983B11"/>
    <w:rsid w:val="0C9A65EB"/>
    <w:rsid w:val="0C9AC7F2"/>
    <w:rsid w:val="0CA83521"/>
    <w:rsid w:val="0CB88E0A"/>
    <w:rsid w:val="0CBB168C"/>
    <w:rsid w:val="0CBE6F49"/>
    <w:rsid w:val="0CBECCBA"/>
    <w:rsid w:val="0CC2FDAF"/>
    <w:rsid w:val="0CC7D3A1"/>
    <w:rsid w:val="0CCE3131"/>
    <w:rsid w:val="0CD34DB5"/>
    <w:rsid w:val="0CD6EE90"/>
    <w:rsid w:val="0CD78E9F"/>
    <w:rsid w:val="0CD8996C"/>
    <w:rsid w:val="0CDA1ED2"/>
    <w:rsid w:val="0CDD0242"/>
    <w:rsid w:val="0CE414F1"/>
    <w:rsid w:val="0CE4AA73"/>
    <w:rsid w:val="0CE583D2"/>
    <w:rsid w:val="0CEB1B8F"/>
    <w:rsid w:val="0CF1D5C6"/>
    <w:rsid w:val="0CF996BB"/>
    <w:rsid w:val="0D0823AA"/>
    <w:rsid w:val="0D120503"/>
    <w:rsid w:val="0D1349E3"/>
    <w:rsid w:val="0D153CD6"/>
    <w:rsid w:val="0D171951"/>
    <w:rsid w:val="0D1889D6"/>
    <w:rsid w:val="0D1EB831"/>
    <w:rsid w:val="0D2F992E"/>
    <w:rsid w:val="0D307E9E"/>
    <w:rsid w:val="0D32EBEC"/>
    <w:rsid w:val="0D39E526"/>
    <w:rsid w:val="0D3A475F"/>
    <w:rsid w:val="0D3C1F62"/>
    <w:rsid w:val="0D3DEF31"/>
    <w:rsid w:val="0D43C812"/>
    <w:rsid w:val="0D46741F"/>
    <w:rsid w:val="0D494E44"/>
    <w:rsid w:val="0D4E6155"/>
    <w:rsid w:val="0D594F00"/>
    <w:rsid w:val="0D5D87B7"/>
    <w:rsid w:val="0D5DBE02"/>
    <w:rsid w:val="0D6F2164"/>
    <w:rsid w:val="0D737770"/>
    <w:rsid w:val="0D773DFA"/>
    <w:rsid w:val="0D865B2E"/>
    <w:rsid w:val="0D8C0C98"/>
    <w:rsid w:val="0D8F9901"/>
    <w:rsid w:val="0D954ABA"/>
    <w:rsid w:val="0D97BA48"/>
    <w:rsid w:val="0D99289F"/>
    <w:rsid w:val="0D99EA00"/>
    <w:rsid w:val="0D9A2290"/>
    <w:rsid w:val="0D9F52E9"/>
    <w:rsid w:val="0DA25F2B"/>
    <w:rsid w:val="0DA5BC00"/>
    <w:rsid w:val="0DA9E80A"/>
    <w:rsid w:val="0DAC6E7E"/>
    <w:rsid w:val="0DB24236"/>
    <w:rsid w:val="0DB2788C"/>
    <w:rsid w:val="0DC32220"/>
    <w:rsid w:val="0DC5C288"/>
    <w:rsid w:val="0DC8626A"/>
    <w:rsid w:val="0DCA093C"/>
    <w:rsid w:val="0DCD2222"/>
    <w:rsid w:val="0DDF9B26"/>
    <w:rsid w:val="0DEB8B20"/>
    <w:rsid w:val="0DEED83A"/>
    <w:rsid w:val="0E02866B"/>
    <w:rsid w:val="0E05EE75"/>
    <w:rsid w:val="0E066FE9"/>
    <w:rsid w:val="0E0D1C68"/>
    <w:rsid w:val="0E111577"/>
    <w:rsid w:val="0E11F463"/>
    <w:rsid w:val="0E15F73F"/>
    <w:rsid w:val="0E28EE6D"/>
    <w:rsid w:val="0E3545C9"/>
    <w:rsid w:val="0E361CB7"/>
    <w:rsid w:val="0E461238"/>
    <w:rsid w:val="0E57E1C7"/>
    <w:rsid w:val="0E60359B"/>
    <w:rsid w:val="0E627255"/>
    <w:rsid w:val="0E6841A4"/>
    <w:rsid w:val="0E711CD6"/>
    <w:rsid w:val="0E7D85F1"/>
    <w:rsid w:val="0E809479"/>
    <w:rsid w:val="0E83D920"/>
    <w:rsid w:val="0E85ADAF"/>
    <w:rsid w:val="0E8C98CB"/>
    <w:rsid w:val="0E8DB15E"/>
    <w:rsid w:val="0E9DBDC0"/>
    <w:rsid w:val="0EA22728"/>
    <w:rsid w:val="0EAB143D"/>
    <w:rsid w:val="0EB4CE6C"/>
    <w:rsid w:val="0EB6A93F"/>
    <w:rsid w:val="0EB7763B"/>
    <w:rsid w:val="0EBECFFD"/>
    <w:rsid w:val="0EC60481"/>
    <w:rsid w:val="0ECED987"/>
    <w:rsid w:val="0ED18BC5"/>
    <w:rsid w:val="0ED4B962"/>
    <w:rsid w:val="0ED51641"/>
    <w:rsid w:val="0EDAA26E"/>
    <w:rsid w:val="0EE86B64"/>
    <w:rsid w:val="0EEAD7C4"/>
    <w:rsid w:val="0EEE419E"/>
    <w:rsid w:val="0EEFA63E"/>
    <w:rsid w:val="0EF8316F"/>
    <w:rsid w:val="0EFE1BCD"/>
    <w:rsid w:val="0F0A09BC"/>
    <w:rsid w:val="0F0D5B36"/>
    <w:rsid w:val="0F0D96B9"/>
    <w:rsid w:val="0F10EC3B"/>
    <w:rsid w:val="0F12CFEA"/>
    <w:rsid w:val="0F180A6D"/>
    <w:rsid w:val="0F247245"/>
    <w:rsid w:val="0F289095"/>
    <w:rsid w:val="0F3127A5"/>
    <w:rsid w:val="0F35BD1F"/>
    <w:rsid w:val="0F370839"/>
    <w:rsid w:val="0F3D03AF"/>
    <w:rsid w:val="0F3D07C7"/>
    <w:rsid w:val="0F49360F"/>
    <w:rsid w:val="0F4D3DDA"/>
    <w:rsid w:val="0F58C5F1"/>
    <w:rsid w:val="0F7BDB70"/>
    <w:rsid w:val="0F8163DE"/>
    <w:rsid w:val="0F853A09"/>
    <w:rsid w:val="0F8C82C4"/>
    <w:rsid w:val="0F8CA2EC"/>
    <w:rsid w:val="0F8FE946"/>
    <w:rsid w:val="0F9013B0"/>
    <w:rsid w:val="0F923529"/>
    <w:rsid w:val="0F9344C2"/>
    <w:rsid w:val="0F93B592"/>
    <w:rsid w:val="0F94365C"/>
    <w:rsid w:val="0F970F8B"/>
    <w:rsid w:val="0F9FC0C1"/>
    <w:rsid w:val="0FA2519B"/>
    <w:rsid w:val="0FA5BE75"/>
    <w:rsid w:val="0FA5C0F6"/>
    <w:rsid w:val="0FAAAB24"/>
    <w:rsid w:val="0FB21081"/>
    <w:rsid w:val="0FB58659"/>
    <w:rsid w:val="0FB6D317"/>
    <w:rsid w:val="0FBEDBC7"/>
    <w:rsid w:val="0FC4691E"/>
    <w:rsid w:val="0FC66D24"/>
    <w:rsid w:val="0FC7720F"/>
    <w:rsid w:val="0FC9D6F3"/>
    <w:rsid w:val="0FCE1ADD"/>
    <w:rsid w:val="0FDE5D31"/>
    <w:rsid w:val="0FE10BAD"/>
    <w:rsid w:val="0FF06D14"/>
    <w:rsid w:val="0FF41E63"/>
    <w:rsid w:val="10080E00"/>
    <w:rsid w:val="100B50CF"/>
    <w:rsid w:val="100DA77C"/>
    <w:rsid w:val="100E89C5"/>
    <w:rsid w:val="1020E2A8"/>
    <w:rsid w:val="10244085"/>
    <w:rsid w:val="1026D51E"/>
    <w:rsid w:val="1028F3DD"/>
    <w:rsid w:val="103E8E7C"/>
    <w:rsid w:val="1047B50D"/>
    <w:rsid w:val="10518D0A"/>
    <w:rsid w:val="105DC682"/>
    <w:rsid w:val="106AAB6A"/>
    <w:rsid w:val="106BAC7A"/>
    <w:rsid w:val="10770077"/>
    <w:rsid w:val="1077A651"/>
    <w:rsid w:val="10781BD0"/>
    <w:rsid w:val="107D65B7"/>
    <w:rsid w:val="108C43AD"/>
    <w:rsid w:val="1094312B"/>
    <w:rsid w:val="1099AA04"/>
    <w:rsid w:val="10A7FB00"/>
    <w:rsid w:val="10AAF585"/>
    <w:rsid w:val="10AC73D9"/>
    <w:rsid w:val="10AD6889"/>
    <w:rsid w:val="10AE7F61"/>
    <w:rsid w:val="10BDB7B5"/>
    <w:rsid w:val="10C16276"/>
    <w:rsid w:val="10C6A584"/>
    <w:rsid w:val="10C7F223"/>
    <w:rsid w:val="10C90CDF"/>
    <w:rsid w:val="10C9A190"/>
    <w:rsid w:val="10D37872"/>
    <w:rsid w:val="10D55254"/>
    <w:rsid w:val="10D78181"/>
    <w:rsid w:val="10D8803E"/>
    <w:rsid w:val="10EBD613"/>
    <w:rsid w:val="10ECE147"/>
    <w:rsid w:val="10F4BD5B"/>
    <w:rsid w:val="10F8D47A"/>
    <w:rsid w:val="10F94FC2"/>
    <w:rsid w:val="1102F67A"/>
    <w:rsid w:val="1108EC35"/>
    <w:rsid w:val="111205AB"/>
    <w:rsid w:val="1113CE88"/>
    <w:rsid w:val="11149FAB"/>
    <w:rsid w:val="111DB2FB"/>
    <w:rsid w:val="1123F81E"/>
    <w:rsid w:val="1124F0BB"/>
    <w:rsid w:val="112D2D36"/>
    <w:rsid w:val="112ED55F"/>
    <w:rsid w:val="113DB990"/>
    <w:rsid w:val="1140BA6B"/>
    <w:rsid w:val="114AC869"/>
    <w:rsid w:val="114BAF65"/>
    <w:rsid w:val="114DBCB7"/>
    <w:rsid w:val="114E9CD9"/>
    <w:rsid w:val="1154650B"/>
    <w:rsid w:val="1155365D"/>
    <w:rsid w:val="115AF374"/>
    <w:rsid w:val="116259DE"/>
    <w:rsid w:val="11650673"/>
    <w:rsid w:val="117081EC"/>
    <w:rsid w:val="117DE665"/>
    <w:rsid w:val="1185228F"/>
    <w:rsid w:val="1188E022"/>
    <w:rsid w:val="11890598"/>
    <w:rsid w:val="118F30D4"/>
    <w:rsid w:val="119210CD"/>
    <w:rsid w:val="11923410"/>
    <w:rsid w:val="1197DA2D"/>
    <w:rsid w:val="11988156"/>
    <w:rsid w:val="119CD60F"/>
    <w:rsid w:val="11A2EB06"/>
    <w:rsid w:val="11AA35FF"/>
    <w:rsid w:val="11AC9DA1"/>
    <w:rsid w:val="11B80093"/>
    <w:rsid w:val="11C61CF2"/>
    <w:rsid w:val="11D26C23"/>
    <w:rsid w:val="11D7EC74"/>
    <w:rsid w:val="11D81EC5"/>
    <w:rsid w:val="11DB8A83"/>
    <w:rsid w:val="11DE52EC"/>
    <w:rsid w:val="11E5FF6A"/>
    <w:rsid w:val="11E60AC7"/>
    <w:rsid w:val="11EA9D7C"/>
    <w:rsid w:val="11EDED09"/>
    <w:rsid w:val="11EE17F5"/>
    <w:rsid w:val="11F146BE"/>
    <w:rsid w:val="11F91068"/>
    <w:rsid w:val="12050F8E"/>
    <w:rsid w:val="12169AFD"/>
    <w:rsid w:val="1219C485"/>
    <w:rsid w:val="121B6D8B"/>
    <w:rsid w:val="1221E396"/>
    <w:rsid w:val="122A1C5B"/>
    <w:rsid w:val="122EF93F"/>
    <w:rsid w:val="12382A6F"/>
    <w:rsid w:val="1240D6C5"/>
    <w:rsid w:val="1247545B"/>
    <w:rsid w:val="124C7CD4"/>
    <w:rsid w:val="1258576F"/>
    <w:rsid w:val="1259F6F1"/>
    <w:rsid w:val="125B3B4E"/>
    <w:rsid w:val="12603559"/>
    <w:rsid w:val="1260E387"/>
    <w:rsid w:val="12652306"/>
    <w:rsid w:val="12655166"/>
    <w:rsid w:val="126B7CAA"/>
    <w:rsid w:val="127347F1"/>
    <w:rsid w:val="127560F6"/>
    <w:rsid w:val="1282ECBF"/>
    <w:rsid w:val="1283D47D"/>
    <w:rsid w:val="12843F92"/>
    <w:rsid w:val="1286DC04"/>
    <w:rsid w:val="1289BA11"/>
    <w:rsid w:val="129155CD"/>
    <w:rsid w:val="129A2C87"/>
    <w:rsid w:val="12AD00B6"/>
    <w:rsid w:val="12B454B1"/>
    <w:rsid w:val="12B6B1B1"/>
    <w:rsid w:val="12BACC32"/>
    <w:rsid w:val="12BB06DC"/>
    <w:rsid w:val="12BEFF8E"/>
    <w:rsid w:val="12C454CB"/>
    <w:rsid w:val="12C68E4C"/>
    <w:rsid w:val="12D0CD92"/>
    <w:rsid w:val="12D189B2"/>
    <w:rsid w:val="12DA519A"/>
    <w:rsid w:val="12DE2821"/>
    <w:rsid w:val="12DE7316"/>
    <w:rsid w:val="12E7EA5F"/>
    <w:rsid w:val="12E8FE8C"/>
    <w:rsid w:val="12ED54C4"/>
    <w:rsid w:val="12F0744F"/>
    <w:rsid w:val="12F0E9D7"/>
    <w:rsid w:val="12F2E40D"/>
    <w:rsid w:val="12FC45BF"/>
    <w:rsid w:val="12FCB116"/>
    <w:rsid w:val="12FD9AAA"/>
    <w:rsid w:val="13064A61"/>
    <w:rsid w:val="130B266E"/>
    <w:rsid w:val="130D013A"/>
    <w:rsid w:val="1312D297"/>
    <w:rsid w:val="1313233A"/>
    <w:rsid w:val="1315C188"/>
    <w:rsid w:val="131A075F"/>
    <w:rsid w:val="1325FB98"/>
    <w:rsid w:val="132F67DB"/>
    <w:rsid w:val="133AAFF8"/>
    <w:rsid w:val="133B69A9"/>
    <w:rsid w:val="1343418D"/>
    <w:rsid w:val="13449CA6"/>
    <w:rsid w:val="1355E851"/>
    <w:rsid w:val="1356E947"/>
    <w:rsid w:val="1356EFB9"/>
    <w:rsid w:val="13641B68"/>
    <w:rsid w:val="136A0902"/>
    <w:rsid w:val="136FA131"/>
    <w:rsid w:val="1371149A"/>
    <w:rsid w:val="1372A766"/>
    <w:rsid w:val="137394E9"/>
    <w:rsid w:val="1374A641"/>
    <w:rsid w:val="137C95BF"/>
    <w:rsid w:val="137FB8C7"/>
    <w:rsid w:val="1381F2D7"/>
    <w:rsid w:val="13823838"/>
    <w:rsid w:val="1382AF4A"/>
    <w:rsid w:val="1382F933"/>
    <w:rsid w:val="13838B9B"/>
    <w:rsid w:val="1383EE6D"/>
    <w:rsid w:val="13892E05"/>
    <w:rsid w:val="138C850E"/>
    <w:rsid w:val="1393A177"/>
    <w:rsid w:val="13971BEC"/>
    <w:rsid w:val="139AF6B6"/>
    <w:rsid w:val="13ADBEBF"/>
    <w:rsid w:val="13B8838F"/>
    <w:rsid w:val="13BA1835"/>
    <w:rsid w:val="13BD0784"/>
    <w:rsid w:val="13C0F9E7"/>
    <w:rsid w:val="13C235B0"/>
    <w:rsid w:val="13CBC59B"/>
    <w:rsid w:val="13CE29FA"/>
    <w:rsid w:val="13D3FF43"/>
    <w:rsid w:val="13D4B81F"/>
    <w:rsid w:val="13DE355D"/>
    <w:rsid w:val="13E05EBC"/>
    <w:rsid w:val="13EAA61D"/>
    <w:rsid w:val="13EBDAB8"/>
    <w:rsid w:val="13F00047"/>
    <w:rsid w:val="13F11126"/>
    <w:rsid w:val="13F194BC"/>
    <w:rsid w:val="13F83AEE"/>
    <w:rsid w:val="13F9C1AE"/>
    <w:rsid w:val="13FA29E8"/>
    <w:rsid w:val="1403AE7D"/>
    <w:rsid w:val="140E6FE9"/>
    <w:rsid w:val="1410ABD8"/>
    <w:rsid w:val="14120D32"/>
    <w:rsid w:val="1419D40D"/>
    <w:rsid w:val="1428670C"/>
    <w:rsid w:val="142A5235"/>
    <w:rsid w:val="142F1A46"/>
    <w:rsid w:val="14353154"/>
    <w:rsid w:val="1437380D"/>
    <w:rsid w:val="143A36D2"/>
    <w:rsid w:val="143A8ECC"/>
    <w:rsid w:val="143B4A10"/>
    <w:rsid w:val="143CB589"/>
    <w:rsid w:val="143E2C24"/>
    <w:rsid w:val="14415EC6"/>
    <w:rsid w:val="14453704"/>
    <w:rsid w:val="1448C01C"/>
    <w:rsid w:val="144AF2FE"/>
    <w:rsid w:val="144D0800"/>
    <w:rsid w:val="14510A8D"/>
    <w:rsid w:val="1464C336"/>
    <w:rsid w:val="146BE21F"/>
    <w:rsid w:val="147227D6"/>
    <w:rsid w:val="147266D4"/>
    <w:rsid w:val="14789123"/>
    <w:rsid w:val="1486A219"/>
    <w:rsid w:val="1491D65D"/>
    <w:rsid w:val="1497808F"/>
    <w:rsid w:val="149D07F9"/>
    <w:rsid w:val="149D356C"/>
    <w:rsid w:val="149EEF52"/>
    <w:rsid w:val="14A14CB2"/>
    <w:rsid w:val="14A22E15"/>
    <w:rsid w:val="14A6C2A1"/>
    <w:rsid w:val="14AAF29C"/>
    <w:rsid w:val="14B36637"/>
    <w:rsid w:val="14B4137C"/>
    <w:rsid w:val="14B47B19"/>
    <w:rsid w:val="14BABAC7"/>
    <w:rsid w:val="14BC719A"/>
    <w:rsid w:val="14C70562"/>
    <w:rsid w:val="14CEC1E9"/>
    <w:rsid w:val="14D24485"/>
    <w:rsid w:val="14D46E09"/>
    <w:rsid w:val="14D9E3D6"/>
    <w:rsid w:val="14E29101"/>
    <w:rsid w:val="14E37674"/>
    <w:rsid w:val="14EA5FD3"/>
    <w:rsid w:val="14ED0243"/>
    <w:rsid w:val="14F415EF"/>
    <w:rsid w:val="14FADFFA"/>
    <w:rsid w:val="15016A23"/>
    <w:rsid w:val="1501DAB3"/>
    <w:rsid w:val="1502A507"/>
    <w:rsid w:val="150CA435"/>
    <w:rsid w:val="15195124"/>
    <w:rsid w:val="151BB3A4"/>
    <w:rsid w:val="151CE9A6"/>
    <w:rsid w:val="1529F51C"/>
    <w:rsid w:val="1532104D"/>
    <w:rsid w:val="1532A1C6"/>
    <w:rsid w:val="15344D1A"/>
    <w:rsid w:val="153789BB"/>
    <w:rsid w:val="15393187"/>
    <w:rsid w:val="153F4E43"/>
    <w:rsid w:val="155CBCEA"/>
    <w:rsid w:val="1568297E"/>
    <w:rsid w:val="1568DF13"/>
    <w:rsid w:val="15698955"/>
    <w:rsid w:val="1575426C"/>
    <w:rsid w:val="1575904A"/>
    <w:rsid w:val="15775613"/>
    <w:rsid w:val="157967AE"/>
    <w:rsid w:val="1581E040"/>
    <w:rsid w:val="158D7B52"/>
    <w:rsid w:val="1595DD7D"/>
    <w:rsid w:val="15A3C081"/>
    <w:rsid w:val="15A8209E"/>
    <w:rsid w:val="15A92634"/>
    <w:rsid w:val="15AE652D"/>
    <w:rsid w:val="15AEB46F"/>
    <w:rsid w:val="15B142FE"/>
    <w:rsid w:val="15B4284E"/>
    <w:rsid w:val="15B9A12F"/>
    <w:rsid w:val="15C34ECC"/>
    <w:rsid w:val="15C682FD"/>
    <w:rsid w:val="15C8E30E"/>
    <w:rsid w:val="15CC2965"/>
    <w:rsid w:val="15D72D65"/>
    <w:rsid w:val="15D824BA"/>
    <w:rsid w:val="15DC22D4"/>
    <w:rsid w:val="15E2390B"/>
    <w:rsid w:val="15E292DA"/>
    <w:rsid w:val="15E50D55"/>
    <w:rsid w:val="15E55AC8"/>
    <w:rsid w:val="15ED4AEB"/>
    <w:rsid w:val="15F64E3D"/>
    <w:rsid w:val="15F771DE"/>
    <w:rsid w:val="15FDC25A"/>
    <w:rsid w:val="1607E0F2"/>
    <w:rsid w:val="16105376"/>
    <w:rsid w:val="1610AC27"/>
    <w:rsid w:val="1614B881"/>
    <w:rsid w:val="1617CC91"/>
    <w:rsid w:val="161F6AC3"/>
    <w:rsid w:val="1623BF20"/>
    <w:rsid w:val="16276D5A"/>
    <w:rsid w:val="162CA3A7"/>
    <w:rsid w:val="1632CC71"/>
    <w:rsid w:val="16333A1F"/>
    <w:rsid w:val="1634900A"/>
    <w:rsid w:val="1637C472"/>
    <w:rsid w:val="1638AB5C"/>
    <w:rsid w:val="16397FB2"/>
    <w:rsid w:val="163BADEC"/>
    <w:rsid w:val="163CBF50"/>
    <w:rsid w:val="163E16EF"/>
    <w:rsid w:val="16400854"/>
    <w:rsid w:val="1656FBB4"/>
    <w:rsid w:val="165B0ED6"/>
    <w:rsid w:val="165F00C9"/>
    <w:rsid w:val="16710A17"/>
    <w:rsid w:val="1671508C"/>
    <w:rsid w:val="167588B1"/>
    <w:rsid w:val="1679128E"/>
    <w:rsid w:val="167D78D2"/>
    <w:rsid w:val="167DEA40"/>
    <w:rsid w:val="16808541"/>
    <w:rsid w:val="169517D8"/>
    <w:rsid w:val="169C6E85"/>
    <w:rsid w:val="169DF9E1"/>
    <w:rsid w:val="169E7859"/>
    <w:rsid w:val="16A10724"/>
    <w:rsid w:val="16A3F6BF"/>
    <w:rsid w:val="16A4D5DD"/>
    <w:rsid w:val="16AD4FF9"/>
    <w:rsid w:val="16B5A52A"/>
    <w:rsid w:val="16B62420"/>
    <w:rsid w:val="16C14B40"/>
    <w:rsid w:val="16C91B77"/>
    <w:rsid w:val="16D1001F"/>
    <w:rsid w:val="16D29452"/>
    <w:rsid w:val="16D9D842"/>
    <w:rsid w:val="16DB0917"/>
    <w:rsid w:val="16E20E52"/>
    <w:rsid w:val="16E8529D"/>
    <w:rsid w:val="16F41FB8"/>
    <w:rsid w:val="16F6BA0F"/>
    <w:rsid w:val="16F814D1"/>
    <w:rsid w:val="1706883A"/>
    <w:rsid w:val="171B81ED"/>
    <w:rsid w:val="1720CDE5"/>
    <w:rsid w:val="172160E9"/>
    <w:rsid w:val="1722513D"/>
    <w:rsid w:val="1723D689"/>
    <w:rsid w:val="1725A2C2"/>
    <w:rsid w:val="17265813"/>
    <w:rsid w:val="1726FA23"/>
    <w:rsid w:val="172B51EA"/>
    <w:rsid w:val="1746C70E"/>
    <w:rsid w:val="1754CAE0"/>
    <w:rsid w:val="17559389"/>
    <w:rsid w:val="175751D9"/>
    <w:rsid w:val="175847CE"/>
    <w:rsid w:val="17717BE3"/>
    <w:rsid w:val="1779C1E9"/>
    <w:rsid w:val="177B9DC2"/>
    <w:rsid w:val="177D60EE"/>
    <w:rsid w:val="1782A237"/>
    <w:rsid w:val="1783A797"/>
    <w:rsid w:val="1784B53D"/>
    <w:rsid w:val="178902DB"/>
    <w:rsid w:val="17976A91"/>
    <w:rsid w:val="17983367"/>
    <w:rsid w:val="179A95AC"/>
    <w:rsid w:val="17A0B60F"/>
    <w:rsid w:val="17A26770"/>
    <w:rsid w:val="17B5AD65"/>
    <w:rsid w:val="17C1C927"/>
    <w:rsid w:val="17C37922"/>
    <w:rsid w:val="17C5A706"/>
    <w:rsid w:val="17E4D74A"/>
    <w:rsid w:val="17E534BE"/>
    <w:rsid w:val="17E7ED2A"/>
    <w:rsid w:val="17E90C44"/>
    <w:rsid w:val="17F24DBC"/>
    <w:rsid w:val="17F26F91"/>
    <w:rsid w:val="17F5D310"/>
    <w:rsid w:val="17FD5ACE"/>
    <w:rsid w:val="18025D2B"/>
    <w:rsid w:val="180FE2D2"/>
    <w:rsid w:val="181738B1"/>
    <w:rsid w:val="181B00B9"/>
    <w:rsid w:val="181C0229"/>
    <w:rsid w:val="181C384B"/>
    <w:rsid w:val="181D40FF"/>
    <w:rsid w:val="181F1A15"/>
    <w:rsid w:val="181FC410"/>
    <w:rsid w:val="181FEF40"/>
    <w:rsid w:val="1827E2A7"/>
    <w:rsid w:val="182A596C"/>
    <w:rsid w:val="182F6DA7"/>
    <w:rsid w:val="1830FD21"/>
    <w:rsid w:val="1835DCCE"/>
    <w:rsid w:val="18412393"/>
    <w:rsid w:val="184730AF"/>
    <w:rsid w:val="184E3F06"/>
    <w:rsid w:val="1850475C"/>
    <w:rsid w:val="1856DEE4"/>
    <w:rsid w:val="185A0370"/>
    <w:rsid w:val="185A71B4"/>
    <w:rsid w:val="186147C1"/>
    <w:rsid w:val="18614EC7"/>
    <w:rsid w:val="1863B90A"/>
    <w:rsid w:val="1865FD06"/>
    <w:rsid w:val="18671709"/>
    <w:rsid w:val="1875D43F"/>
    <w:rsid w:val="187E08D1"/>
    <w:rsid w:val="187E21E3"/>
    <w:rsid w:val="187E9309"/>
    <w:rsid w:val="1881B17A"/>
    <w:rsid w:val="188220B4"/>
    <w:rsid w:val="1885E3AC"/>
    <w:rsid w:val="1885EB86"/>
    <w:rsid w:val="189BDB0D"/>
    <w:rsid w:val="18A4C80A"/>
    <w:rsid w:val="18A605B3"/>
    <w:rsid w:val="18AE2AF0"/>
    <w:rsid w:val="18AE80A0"/>
    <w:rsid w:val="18AFBD8F"/>
    <w:rsid w:val="18B7BF7E"/>
    <w:rsid w:val="18BAEB6E"/>
    <w:rsid w:val="18BB716F"/>
    <w:rsid w:val="18BC78BF"/>
    <w:rsid w:val="18C180E0"/>
    <w:rsid w:val="18C9955F"/>
    <w:rsid w:val="18D1A8D4"/>
    <w:rsid w:val="18D50323"/>
    <w:rsid w:val="18DA7146"/>
    <w:rsid w:val="18DB642C"/>
    <w:rsid w:val="18DBC02A"/>
    <w:rsid w:val="18E17015"/>
    <w:rsid w:val="18E29C67"/>
    <w:rsid w:val="18E5C4A3"/>
    <w:rsid w:val="18E78AF0"/>
    <w:rsid w:val="18E9F692"/>
    <w:rsid w:val="18EC9F74"/>
    <w:rsid w:val="18ED6D93"/>
    <w:rsid w:val="18F1155D"/>
    <w:rsid w:val="190217E1"/>
    <w:rsid w:val="190727D4"/>
    <w:rsid w:val="190A2A78"/>
    <w:rsid w:val="190BAB81"/>
    <w:rsid w:val="190D6DBE"/>
    <w:rsid w:val="1912352E"/>
    <w:rsid w:val="191BCE12"/>
    <w:rsid w:val="19249657"/>
    <w:rsid w:val="192EE80B"/>
    <w:rsid w:val="192FC59E"/>
    <w:rsid w:val="193351CD"/>
    <w:rsid w:val="19394BF8"/>
    <w:rsid w:val="19409561"/>
    <w:rsid w:val="1940C4D0"/>
    <w:rsid w:val="19414D5C"/>
    <w:rsid w:val="1941ABAE"/>
    <w:rsid w:val="1948D5EA"/>
    <w:rsid w:val="1951936A"/>
    <w:rsid w:val="1956E742"/>
    <w:rsid w:val="195B3BD8"/>
    <w:rsid w:val="195C6B5A"/>
    <w:rsid w:val="19633E88"/>
    <w:rsid w:val="19660886"/>
    <w:rsid w:val="196776D2"/>
    <w:rsid w:val="196A6165"/>
    <w:rsid w:val="196E974B"/>
    <w:rsid w:val="1977C5BC"/>
    <w:rsid w:val="19794E91"/>
    <w:rsid w:val="197BEE99"/>
    <w:rsid w:val="197EC2BC"/>
    <w:rsid w:val="19914A87"/>
    <w:rsid w:val="1998A225"/>
    <w:rsid w:val="1999A64C"/>
    <w:rsid w:val="199D80AF"/>
    <w:rsid w:val="19A45D27"/>
    <w:rsid w:val="19A5ED60"/>
    <w:rsid w:val="19AC001D"/>
    <w:rsid w:val="19BA5E14"/>
    <w:rsid w:val="19BBBC5A"/>
    <w:rsid w:val="19BC415B"/>
    <w:rsid w:val="19BCF3B9"/>
    <w:rsid w:val="19C73D9B"/>
    <w:rsid w:val="19CDF895"/>
    <w:rsid w:val="19D14314"/>
    <w:rsid w:val="19D63487"/>
    <w:rsid w:val="19D6475C"/>
    <w:rsid w:val="19D8D7F5"/>
    <w:rsid w:val="19D8DE96"/>
    <w:rsid w:val="19DC60FB"/>
    <w:rsid w:val="19DCD331"/>
    <w:rsid w:val="19DCE93B"/>
    <w:rsid w:val="19E2D44E"/>
    <w:rsid w:val="19E56DD2"/>
    <w:rsid w:val="19E601EE"/>
    <w:rsid w:val="19E7B8DA"/>
    <w:rsid w:val="19F110AE"/>
    <w:rsid w:val="19F92A74"/>
    <w:rsid w:val="19FDF8D6"/>
    <w:rsid w:val="1A07F743"/>
    <w:rsid w:val="1A10A7C5"/>
    <w:rsid w:val="1A164B39"/>
    <w:rsid w:val="1A17BCD6"/>
    <w:rsid w:val="1A1FE7B2"/>
    <w:rsid w:val="1A21A904"/>
    <w:rsid w:val="1A226B60"/>
    <w:rsid w:val="1A2B34D4"/>
    <w:rsid w:val="1A2D47B0"/>
    <w:rsid w:val="1A35BE77"/>
    <w:rsid w:val="1A35DF55"/>
    <w:rsid w:val="1A37BE6B"/>
    <w:rsid w:val="1A39F78C"/>
    <w:rsid w:val="1A46F91C"/>
    <w:rsid w:val="1A4E3970"/>
    <w:rsid w:val="1A520B82"/>
    <w:rsid w:val="1A5582DB"/>
    <w:rsid w:val="1A56953D"/>
    <w:rsid w:val="1A58CAA3"/>
    <w:rsid w:val="1A5D20EE"/>
    <w:rsid w:val="1A5D69E8"/>
    <w:rsid w:val="1A5F1D0B"/>
    <w:rsid w:val="1A5FF932"/>
    <w:rsid w:val="1A63D38B"/>
    <w:rsid w:val="1A65246F"/>
    <w:rsid w:val="1A6D3F0D"/>
    <w:rsid w:val="1A737994"/>
    <w:rsid w:val="1A7504B9"/>
    <w:rsid w:val="1A765526"/>
    <w:rsid w:val="1A77392F"/>
    <w:rsid w:val="1A7A9D37"/>
    <w:rsid w:val="1A7E990F"/>
    <w:rsid w:val="1A7F8936"/>
    <w:rsid w:val="1A7FA4C5"/>
    <w:rsid w:val="1A8096E6"/>
    <w:rsid w:val="1A84F9DC"/>
    <w:rsid w:val="1A86631F"/>
    <w:rsid w:val="1A943BBD"/>
    <w:rsid w:val="1A943E93"/>
    <w:rsid w:val="1A947AD4"/>
    <w:rsid w:val="1A94A1DA"/>
    <w:rsid w:val="1A9CABF6"/>
    <w:rsid w:val="1AA7290C"/>
    <w:rsid w:val="1AA794C3"/>
    <w:rsid w:val="1AB34BF0"/>
    <w:rsid w:val="1ABB2DF9"/>
    <w:rsid w:val="1ABCAE2B"/>
    <w:rsid w:val="1AC0D5A5"/>
    <w:rsid w:val="1ACF70F3"/>
    <w:rsid w:val="1ACFE074"/>
    <w:rsid w:val="1ADE8100"/>
    <w:rsid w:val="1AE4F906"/>
    <w:rsid w:val="1AE7FF1D"/>
    <w:rsid w:val="1AEA4F74"/>
    <w:rsid w:val="1AEC6B08"/>
    <w:rsid w:val="1AF06652"/>
    <w:rsid w:val="1AF078DD"/>
    <w:rsid w:val="1AFB976F"/>
    <w:rsid w:val="1AFF32BF"/>
    <w:rsid w:val="1B05B617"/>
    <w:rsid w:val="1B0691E9"/>
    <w:rsid w:val="1B06B17B"/>
    <w:rsid w:val="1B0A41F1"/>
    <w:rsid w:val="1B0AEC90"/>
    <w:rsid w:val="1B0BA9BE"/>
    <w:rsid w:val="1B0FC0D4"/>
    <w:rsid w:val="1B13E7C9"/>
    <w:rsid w:val="1B16A346"/>
    <w:rsid w:val="1B1BBB71"/>
    <w:rsid w:val="1B1CD88F"/>
    <w:rsid w:val="1B21A142"/>
    <w:rsid w:val="1B2CBEC7"/>
    <w:rsid w:val="1B301D6D"/>
    <w:rsid w:val="1B3137FA"/>
    <w:rsid w:val="1B457C86"/>
    <w:rsid w:val="1B4CEA65"/>
    <w:rsid w:val="1B63BC7B"/>
    <w:rsid w:val="1B6557B9"/>
    <w:rsid w:val="1B685945"/>
    <w:rsid w:val="1B6AA07B"/>
    <w:rsid w:val="1B6E0F64"/>
    <w:rsid w:val="1B76C92A"/>
    <w:rsid w:val="1B7C69EB"/>
    <w:rsid w:val="1B7F5342"/>
    <w:rsid w:val="1B82B732"/>
    <w:rsid w:val="1B8649AE"/>
    <w:rsid w:val="1B871359"/>
    <w:rsid w:val="1B8917FD"/>
    <w:rsid w:val="1B8ACD29"/>
    <w:rsid w:val="1B9402D9"/>
    <w:rsid w:val="1B95DBBF"/>
    <w:rsid w:val="1B973E4A"/>
    <w:rsid w:val="1B98D1A2"/>
    <w:rsid w:val="1B9FCBD2"/>
    <w:rsid w:val="1BA5B902"/>
    <w:rsid w:val="1BA68E9C"/>
    <w:rsid w:val="1BAA1385"/>
    <w:rsid w:val="1BB053E1"/>
    <w:rsid w:val="1BBA1865"/>
    <w:rsid w:val="1BBC1C99"/>
    <w:rsid w:val="1BC08211"/>
    <w:rsid w:val="1BC0D682"/>
    <w:rsid w:val="1BC77383"/>
    <w:rsid w:val="1BCA2842"/>
    <w:rsid w:val="1BCB8D22"/>
    <w:rsid w:val="1BD559E4"/>
    <w:rsid w:val="1BD96EB7"/>
    <w:rsid w:val="1BE4EC5A"/>
    <w:rsid w:val="1BE7E484"/>
    <w:rsid w:val="1BE92147"/>
    <w:rsid w:val="1BF49870"/>
    <w:rsid w:val="1BF4BB2A"/>
    <w:rsid w:val="1BF53C0A"/>
    <w:rsid w:val="1BFB9D84"/>
    <w:rsid w:val="1C00149A"/>
    <w:rsid w:val="1C096BB5"/>
    <w:rsid w:val="1C18E17B"/>
    <w:rsid w:val="1C1A46E0"/>
    <w:rsid w:val="1C233222"/>
    <w:rsid w:val="1C23CEDB"/>
    <w:rsid w:val="1C2F3CBE"/>
    <w:rsid w:val="1C2F5A3E"/>
    <w:rsid w:val="1C2FBA99"/>
    <w:rsid w:val="1C302F30"/>
    <w:rsid w:val="1C32BE46"/>
    <w:rsid w:val="1C3BC07E"/>
    <w:rsid w:val="1C3EBC34"/>
    <w:rsid w:val="1C454FF5"/>
    <w:rsid w:val="1C46B8B4"/>
    <w:rsid w:val="1C4BD3AB"/>
    <w:rsid w:val="1C4E621D"/>
    <w:rsid w:val="1C5262C3"/>
    <w:rsid w:val="1C530513"/>
    <w:rsid w:val="1C5CC202"/>
    <w:rsid w:val="1C5CC8A8"/>
    <w:rsid w:val="1C5E0CD4"/>
    <w:rsid w:val="1C63E30B"/>
    <w:rsid w:val="1C73844E"/>
    <w:rsid w:val="1C747BA5"/>
    <w:rsid w:val="1C7BCF28"/>
    <w:rsid w:val="1C7D713E"/>
    <w:rsid w:val="1C7DB3FC"/>
    <w:rsid w:val="1C7E3810"/>
    <w:rsid w:val="1C83038E"/>
    <w:rsid w:val="1C87A508"/>
    <w:rsid w:val="1C87B722"/>
    <w:rsid w:val="1C912338"/>
    <w:rsid w:val="1C92D008"/>
    <w:rsid w:val="1C9973A9"/>
    <w:rsid w:val="1C99F7D8"/>
    <w:rsid w:val="1CA3B017"/>
    <w:rsid w:val="1CA9F2DD"/>
    <w:rsid w:val="1CB1BAC0"/>
    <w:rsid w:val="1CB23AAE"/>
    <w:rsid w:val="1CB33481"/>
    <w:rsid w:val="1CB532B6"/>
    <w:rsid w:val="1CC0E69C"/>
    <w:rsid w:val="1CCBFB0D"/>
    <w:rsid w:val="1CD3D4A4"/>
    <w:rsid w:val="1CD74C4C"/>
    <w:rsid w:val="1CD82E17"/>
    <w:rsid w:val="1CD85936"/>
    <w:rsid w:val="1CDBB4FF"/>
    <w:rsid w:val="1CDD9480"/>
    <w:rsid w:val="1CDDC65B"/>
    <w:rsid w:val="1CDEDAB7"/>
    <w:rsid w:val="1CEA65B7"/>
    <w:rsid w:val="1CF40DB3"/>
    <w:rsid w:val="1CF64A2E"/>
    <w:rsid w:val="1CF82F35"/>
    <w:rsid w:val="1CF8FE2D"/>
    <w:rsid w:val="1D02A52C"/>
    <w:rsid w:val="1D086C26"/>
    <w:rsid w:val="1D0BDA90"/>
    <w:rsid w:val="1D0E68FE"/>
    <w:rsid w:val="1D0EE4F2"/>
    <w:rsid w:val="1D107545"/>
    <w:rsid w:val="1D175DB5"/>
    <w:rsid w:val="1D17F260"/>
    <w:rsid w:val="1D2D89E5"/>
    <w:rsid w:val="1D2EA5A7"/>
    <w:rsid w:val="1D370936"/>
    <w:rsid w:val="1D397D99"/>
    <w:rsid w:val="1D3ACEF7"/>
    <w:rsid w:val="1D40901C"/>
    <w:rsid w:val="1D4D5312"/>
    <w:rsid w:val="1D4EA655"/>
    <w:rsid w:val="1D57EFFC"/>
    <w:rsid w:val="1D627C37"/>
    <w:rsid w:val="1D689EBE"/>
    <w:rsid w:val="1D7F4FF6"/>
    <w:rsid w:val="1D849C9F"/>
    <w:rsid w:val="1D8A5163"/>
    <w:rsid w:val="1D8A7EFF"/>
    <w:rsid w:val="1D8BF939"/>
    <w:rsid w:val="1D94D2AA"/>
    <w:rsid w:val="1D9A4593"/>
    <w:rsid w:val="1D9C1DC3"/>
    <w:rsid w:val="1DA6E945"/>
    <w:rsid w:val="1DA94900"/>
    <w:rsid w:val="1DAA4614"/>
    <w:rsid w:val="1DAD1275"/>
    <w:rsid w:val="1DAD4843"/>
    <w:rsid w:val="1DB2378B"/>
    <w:rsid w:val="1DBB654A"/>
    <w:rsid w:val="1DBCFD05"/>
    <w:rsid w:val="1DBE963B"/>
    <w:rsid w:val="1DC64E3F"/>
    <w:rsid w:val="1DC7A005"/>
    <w:rsid w:val="1DC93CE3"/>
    <w:rsid w:val="1DCAB0D6"/>
    <w:rsid w:val="1DCD416D"/>
    <w:rsid w:val="1DD218CD"/>
    <w:rsid w:val="1DD7D503"/>
    <w:rsid w:val="1DDBEFD0"/>
    <w:rsid w:val="1DDC8765"/>
    <w:rsid w:val="1DDF4833"/>
    <w:rsid w:val="1DE24605"/>
    <w:rsid w:val="1DEE2699"/>
    <w:rsid w:val="1DEF3D1F"/>
    <w:rsid w:val="1DEFEFB7"/>
    <w:rsid w:val="1DF50CFC"/>
    <w:rsid w:val="1DF674E5"/>
    <w:rsid w:val="1DFA2478"/>
    <w:rsid w:val="1DFC037A"/>
    <w:rsid w:val="1DFDDA8B"/>
    <w:rsid w:val="1DFFE7C6"/>
    <w:rsid w:val="1E01FF34"/>
    <w:rsid w:val="1E03D365"/>
    <w:rsid w:val="1E076ECB"/>
    <w:rsid w:val="1E0ABE9E"/>
    <w:rsid w:val="1E0B8BCD"/>
    <w:rsid w:val="1E0DC837"/>
    <w:rsid w:val="1E14F74D"/>
    <w:rsid w:val="1E160D7D"/>
    <w:rsid w:val="1E16CC95"/>
    <w:rsid w:val="1E18CFB3"/>
    <w:rsid w:val="1E1A3F73"/>
    <w:rsid w:val="1E2DCC7E"/>
    <w:rsid w:val="1E3E3422"/>
    <w:rsid w:val="1E3F1E06"/>
    <w:rsid w:val="1E4115B8"/>
    <w:rsid w:val="1E449AE3"/>
    <w:rsid w:val="1E4E06F0"/>
    <w:rsid w:val="1E599288"/>
    <w:rsid w:val="1E5BAD74"/>
    <w:rsid w:val="1E5BDE42"/>
    <w:rsid w:val="1E6AE28C"/>
    <w:rsid w:val="1E6BDC55"/>
    <w:rsid w:val="1E720598"/>
    <w:rsid w:val="1E759555"/>
    <w:rsid w:val="1E7BD267"/>
    <w:rsid w:val="1E85EE2B"/>
    <w:rsid w:val="1E912BB6"/>
    <w:rsid w:val="1E916348"/>
    <w:rsid w:val="1EAD18B5"/>
    <w:rsid w:val="1EB3578F"/>
    <w:rsid w:val="1EB744A0"/>
    <w:rsid w:val="1EBBBF43"/>
    <w:rsid w:val="1EBEF249"/>
    <w:rsid w:val="1EC35AEB"/>
    <w:rsid w:val="1EC61FB8"/>
    <w:rsid w:val="1EC81BE5"/>
    <w:rsid w:val="1ECBAFB3"/>
    <w:rsid w:val="1ECBF1F8"/>
    <w:rsid w:val="1ECEAC9B"/>
    <w:rsid w:val="1EDA3913"/>
    <w:rsid w:val="1EE247F2"/>
    <w:rsid w:val="1EE3F493"/>
    <w:rsid w:val="1EED6458"/>
    <w:rsid w:val="1EF30692"/>
    <w:rsid w:val="1EFF5A82"/>
    <w:rsid w:val="1F02FBD0"/>
    <w:rsid w:val="1F08B3E4"/>
    <w:rsid w:val="1F0A11A6"/>
    <w:rsid w:val="1F0B1E99"/>
    <w:rsid w:val="1F0D40F0"/>
    <w:rsid w:val="1F127EA9"/>
    <w:rsid w:val="1F14B57D"/>
    <w:rsid w:val="1F15CF90"/>
    <w:rsid w:val="1F1A0D1A"/>
    <w:rsid w:val="1F259B31"/>
    <w:rsid w:val="1F25C6DD"/>
    <w:rsid w:val="1F3EBE7C"/>
    <w:rsid w:val="1F44C9A4"/>
    <w:rsid w:val="1F45840F"/>
    <w:rsid w:val="1F45C462"/>
    <w:rsid w:val="1F475B47"/>
    <w:rsid w:val="1F570C59"/>
    <w:rsid w:val="1F59DAFA"/>
    <w:rsid w:val="1F6067AB"/>
    <w:rsid w:val="1F61BB73"/>
    <w:rsid w:val="1F63592A"/>
    <w:rsid w:val="1F747171"/>
    <w:rsid w:val="1F76F22E"/>
    <w:rsid w:val="1F786484"/>
    <w:rsid w:val="1F7C8233"/>
    <w:rsid w:val="1F7E21A0"/>
    <w:rsid w:val="1F81DE0F"/>
    <w:rsid w:val="1F8770FB"/>
    <w:rsid w:val="1F87D4FD"/>
    <w:rsid w:val="1F88A8CF"/>
    <w:rsid w:val="1F89B33D"/>
    <w:rsid w:val="1F90E653"/>
    <w:rsid w:val="1F92AFBD"/>
    <w:rsid w:val="1F9A6B9A"/>
    <w:rsid w:val="1F9B54B8"/>
    <w:rsid w:val="1F9BCEB8"/>
    <w:rsid w:val="1FA28125"/>
    <w:rsid w:val="1FABB2CB"/>
    <w:rsid w:val="1FB68FB4"/>
    <w:rsid w:val="1FB972A5"/>
    <w:rsid w:val="1FBA1416"/>
    <w:rsid w:val="1FBEA084"/>
    <w:rsid w:val="1FC0C9C7"/>
    <w:rsid w:val="1FC7146E"/>
    <w:rsid w:val="1FC90AB5"/>
    <w:rsid w:val="1FCC7F4C"/>
    <w:rsid w:val="1FD28614"/>
    <w:rsid w:val="1FD5798C"/>
    <w:rsid w:val="1FDA6821"/>
    <w:rsid w:val="1FDFA3B9"/>
    <w:rsid w:val="1FE1F574"/>
    <w:rsid w:val="1FE7BA36"/>
    <w:rsid w:val="1FECE8A6"/>
    <w:rsid w:val="1FED6A68"/>
    <w:rsid w:val="1FEFAC4A"/>
    <w:rsid w:val="1FFDA9D4"/>
    <w:rsid w:val="1FFE8D4D"/>
    <w:rsid w:val="200D01E5"/>
    <w:rsid w:val="200EE3BD"/>
    <w:rsid w:val="2019B7AA"/>
    <w:rsid w:val="201D47EF"/>
    <w:rsid w:val="201E4E72"/>
    <w:rsid w:val="202742D7"/>
    <w:rsid w:val="20316208"/>
    <w:rsid w:val="2035F2C8"/>
    <w:rsid w:val="2045EE47"/>
    <w:rsid w:val="204D3958"/>
    <w:rsid w:val="205238D9"/>
    <w:rsid w:val="2052A7EB"/>
    <w:rsid w:val="2053B0AA"/>
    <w:rsid w:val="205F4A6B"/>
    <w:rsid w:val="206047A2"/>
    <w:rsid w:val="206223D6"/>
    <w:rsid w:val="20681654"/>
    <w:rsid w:val="207018EF"/>
    <w:rsid w:val="2076F3E1"/>
    <w:rsid w:val="207BED7E"/>
    <w:rsid w:val="20878876"/>
    <w:rsid w:val="2092721D"/>
    <w:rsid w:val="20939E9D"/>
    <w:rsid w:val="20998124"/>
    <w:rsid w:val="20AEFB18"/>
    <w:rsid w:val="20BC336E"/>
    <w:rsid w:val="20BDAE7E"/>
    <w:rsid w:val="20C402C5"/>
    <w:rsid w:val="20C6E67F"/>
    <w:rsid w:val="20C7E2C8"/>
    <w:rsid w:val="20CAA5DF"/>
    <w:rsid w:val="20D095B8"/>
    <w:rsid w:val="20D199D2"/>
    <w:rsid w:val="20E1C429"/>
    <w:rsid w:val="20E791F4"/>
    <w:rsid w:val="20E965BC"/>
    <w:rsid w:val="20EA0F16"/>
    <w:rsid w:val="20F3AE3F"/>
    <w:rsid w:val="20F47AE3"/>
    <w:rsid w:val="20FB483F"/>
    <w:rsid w:val="20FEC6D0"/>
    <w:rsid w:val="2113F506"/>
    <w:rsid w:val="2117B38F"/>
    <w:rsid w:val="21217A76"/>
    <w:rsid w:val="212968B2"/>
    <w:rsid w:val="212FCBA0"/>
    <w:rsid w:val="21328EF9"/>
    <w:rsid w:val="213E9E22"/>
    <w:rsid w:val="214EEFE1"/>
    <w:rsid w:val="21590B35"/>
    <w:rsid w:val="2169C013"/>
    <w:rsid w:val="216B2AB4"/>
    <w:rsid w:val="216E12B7"/>
    <w:rsid w:val="217743AC"/>
    <w:rsid w:val="217AC093"/>
    <w:rsid w:val="2181D699"/>
    <w:rsid w:val="2182B2D6"/>
    <w:rsid w:val="2187B30A"/>
    <w:rsid w:val="218EC7B2"/>
    <w:rsid w:val="2190E232"/>
    <w:rsid w:val="219198E1"/>
    <w:rsid w:val="2193AD6E"/>
    <w:rsid w:val="2198CF3F"/>
    <w:rsid w:val="219BC8FD"/>
    <w:rsid w:val="219C32D5"/>
    <w:rsid w:val="21A04B1B"/>
    <w:rsid w:val="21AAAAE0"/>
    <w:rsid w:val="21AF49B6"/>
    <w:rsid w:val="21B0F447"/>
    <w:rsid w:val="21B3B70F"/>
    <w:rsid w:val="21B685CA"/>
    <w:rsid w:val="21B6AC8B"/>
    <w:rsid w:val="21B8D489"/>
    <w:rsid w:val="21BC3417"/>
    <w:rsid w:val="21BD1BF3"/>
    <w:rsid w:val="21BF7D8D"/>
    <w:rsid w:val="21C46895"/>
    <w:rsid w:val="21C869E9"/>
    <w:rsid w:val="21E11868"/>
    <w:rsid w:val="21E18042"/>
    <w:rsid w:val="21E2BDD5"/>
    <w:rsid w:val="21E4DE64"/>
    <w:rsid w:val="21E66B6F"/>
    <w:rsid w:val="21E9DBDC"/>
    <w:rsid w:val="21F0739B"/>
    <w:rsid w:val="21F142A6"/>
    <w:rsid w:val="21F41A81"/>
    <w:rsid w:val="21FC5B74"/>
    <w:rsid w:val="21FD6AB0"/>
    <w:rsid w:val="21FD8A0A"/>
    <w:rsid w:val="21FD9710"/>
    <w:rsid w:val="21FEE912"/>
    <w:rsid w:val="2201E95A"/>
    <w:rsid w:val="2213EEE3"/>
    <w:rsid w:val="2214BE9B"/>
    <w:rsid w:val="22157135"/>
    <w:rsid w:val="2217A6DF"/>
    <w:rsid w:val="2219BDA7"/>
    <w:rsid w:val="221BB973"/>
    <w:rsid w:val="2223B157"/>
    <w:rsid w:val="2223FABC"/>
    <w:rsid w:val="2224D215"/>
    <w:rsid w:val="22279ABC"/>
    <w:rsid w:val="22282B38"/>
    <w:rsid w:val="22292210"/>
    <w:rsid w:val="222CEBFE"/>
    <w:rsid w:val="222F5232"/>
    <w:rsid w:val="223093C2"/>
    <w:rsid w:val="224A8594"/>
    <w:rsid w:val="224FA1BC"/>
    <w:rsid w:val="225FC32E"/>
    <w:rsid w:val="2260045B"/>
    <w:rsid w:val="2265593F"/>
    <w:rsid w:val="22697218"/>
    <w:rsid w:val="226AC75A"/>
    <w:rsid w:val="227BB6AE"/>
    <w:rsid w:val="2285CDD8"/>
    <w:rsid w:val="228DC084"/>
    <w:rsid w:val="2292EFED"/>
    <w:rsid w:val="22949B59"/>
    <w:rsid w:val="2299E947"/>
    <w:rsid w:val="229F349D"/>
    <w:rsid w:val="229F6685"/>
    <w:rsid w:val="22B250D6"/>
    <w:rsid w:val="22B6C98B"/>
    <w:rsid w:val="22BC9908"/>
    <w:rsid w:val="22C04BA0"/>
    <w:rsid w:val="22C76873"/>
    <w:rsid w:val="22CED2F0"/>
    <w:rsid w:val="22CEEBDD"/>
    <w:rsid w:val="22D266BD"/>
    <w:rsid w:val="22D55090"/>
    <w:rsid w:val="22DFA781"/>
    <w:rsid w:val="22E112DF"/>
    <w:rsid w:val="22EC7698"/>
    <w:rsid w:val="22EFF088"/>
    <w:rsid w:val="22F31613"/>
    <w:rsid w:val="22F5BAA2"/>
    <w:rsid w:val="22F6CD35"/>
    <w:rsid w:val="22F84FC9"/>
    <w:rsid w:val="22F86703"/>
    <w:rsid w:val="22FAF9D9"/>
    <w:rsid w:val="22FEB74E"/>
    <w:rsid w:val="230766F3"/>
    <w:rsid w:val="2309D471"/>
    <w:rsid w:val="231F6FBD"/>
    <w:rsid w:val="2324ED73"/>
    <w:rsid w:val="2327926B"/>
    <w:rsid w:val="2329736D"/>
    <w:rsid w:val="23297FBF"/>
    <w:rsid w:val="232C79F1"/>
    <w:rsid w:val="2348A934"/>
    <w:rsid w:val="234AA8E2"/>
    <w:rsid w:val="23525FA2"/>
    <w:rsid w:val="235315FB"/>
    <w:rsid w:val="2357FB69"/>
    <w:rsid w:val="235F1B1E"/>
    <w:rsid w:val="235F518E"/>
    <w:rsid w:val="23610134"/>
    <w:rsid w:val="2362C660"/>
    <w:rsid w:val="2362E624"/>
    <w:rsid w:val="23644A1A"/>
    <w:rsid w:val="23667D36"/>
    <w:rsid w:val="237575C5"/>
    <w:rsid w:val="237CA287"/>
    <w:rsid w:val="238A6E38"/>
    <w:rsid w:val="238E3E96"/>
    <w:rsid w:val="238F93B9"/>
    <w:rsid w:val="238FCBA5"/>
    <w:rsid w:val="2392E084"/>
    <w:rsid w:val="23937A02"/>
    <w:rsid w:val="239458B9"/>
    <w:rsid w:val="239AF687"/>
    <w:rsid w:val="23A0138B"/>
    <w:rsid w:val="23AF4E45"/>
    <w:rsid w:val="23B485A2"/>
    <w:rsid w:val="23B4DFE3"/>
    <w:rsid w:val="23B5E96D"/>
    <w:rsid w:val="23B71D69"/>
    <w:rsid w:val="23BC832A"/>
    <w:rsid w:val="23BC9DC4"/>
    <w:rsid w:val="23C1A2AE"/>
    <w:rsid w:val="23C60EC6"/>
    <w:rsid w:val="23C9FA35"/>
    <w:rsid w:val="23D0E520"/>
    <w:rsid w:val="23DCEB91"/>
    <w:rsid w:val="23E67A83"/>
    <w:rsid w:val="23E789E6"/>
    <w:rsid w:val="23E7C83E"/>
    <w:rsid w:val="23E9B700"/>
    <w:rsid w:val="23F1EDEF"/>
    <w:rsid w:val="23F5A609"/>
    <w:rsid w:val="24009064"/>
    <w:rsid w:val="24101493"/>
    <w:rsid w:val="24126B2F"/>
    <w:rsid w:val="24196070"/>
    <w:rsid w:val="241ABFA7"/>
    <w:rsid w:val="242022AF"/>
    <w:rsid w:val="24265239"/>
    <w:rsid w:val="24272A81"/>
    <w:rsid w:val="2427ED08"/>
    <w:rsid w:val="242D52BE"/>
    <w:rsid w:val="242D621A"/>
    <w:rsid w:val="2436C3B9"/>
    <w:rsid w:val="2438DFD1"/>
    <w:rsid w:val="243955F6"/>
    <w:rsid w:val="243C5934"/>
    <w:rsid w:val="24460CE7"/>
    <w:rsid w:val="244F11B4"/>
    <w:rsid w:val="245DDE4A"/>
    <w:rsid w:val="245EE771"/>
    <w:rsid w:val="24612936"/>
    <w:rsid w:val="246D4354"/>
    <w:rsid w:val="246FBCE6"/>
    <w:rsid w:val="24796915"/>
    <w:rsid w:val="247E7C97"/>
    <w:rsid w:val="24816F57"/>
    <w:rsid w:val="2485F592"/>
    <w:rsid w:val="24866296"/>
    <w:rsid w:val="2486D5BE"/>
    <w:rsid w:val="24878EDD"/>
    <w:rsid w:val="2487F6E1"/>
    <w:rsid w:val="248AC5A0"/>
    <w:rsid w:val="248BF2B8"/>
    <w:rsid w:val="248FCDDE"/>
    <w:rsid w:val="2492F15A"/>
    <w:rsid w:val="24951C3A"/>
    <w:rsid w:val="24998E40"/>
    <w:rsid w:val="249A3440"/>
    <w:rsid w:val="249EFDFE"/>
    <w:rsid w:val="24A02A9B"/>
    <w:rsid w:val="24A6B960"/>
    <w:rsid w:val="24AFA2F9"/>
    <w:rsid w:val="24B553F1"/>
    <w:rsid w:val="24B66381"/>
    <w:rsid w:val="24B8AC99"/>
    <w:rsid w:val="24B8C1CD"/>
    <w:rsid w:val="24B92DB6"/>
    <w:rsid w:val="24C59305"/>
    <w:rsid w:val="24CFDF21"/>
    <w:rsid w:val="24D005F2"/>
    <w:rsid w:val="24D244F4"/>
    <w:rsid w:val="24D28E8D"/>
    <w:rsid w:val="24DF5795"/>
    <w:rsid w:val="24E22C32"/>
    <w:rsid w:val="24E320F8"/>
    <w:rsid w:val="24E6B9F6"/>
    <w:rsid w:val="24E8ABC1"/>
    <w:rsid w:val="24E97010"/>
    <w:rsid w:val="25049457"/>
    <w:rsid w:val="25055F7B"/>
    <w:rsid w:val="250785D3"/>
    <w:rsid w:val="2515A277"/>
    <w:rsid w:val="2517185C"/>
    <w:rsid w:val="251D08FC"/>
    <w:rsid w:val="2521EF99"/>
    <w:rsid w:val="2527D1AF"/>
    <w:rsid w:val="252A2241"/>
    <w:rsid w:val="2537E8B6"/>
    <w:rsid w:val="25380431"/>
    <w:rsid w:val="2538083F"/>
    <w:rsid w:val="253B1C9A"/>
    <w:rsid w:val="2546BD1D"/>
    <w:rsid w:val="254CB03C"/>
    <w:rsid w:val="2556475F"/>
    <w:rsid w:val="2556BC41"/>
    <w:rsid w:val="255BFD4D"/>
    <w:rsid w:val="255F750D"/>
    <w:rsid w:val="25605675"/>
    <w:rsid w:val="2563696B"/>
    <w:rsid w:val="256E3D8F"/>
    <w:rsid w:val="256F2935"/>
    <w:rsid w:val="2571EB80"/>
    <w:rsid w:val="257DF9A0"/>
    <w:rsid w:val="257FF705"/>
    <w:rsid w:val="258CA972"/>
    <w:rsid w:val="2590A00B"/>
    <w:rsid w:val="259DD595"/>
    <w:rsid w:val="25A4A511"/>
    <w:rsid w:val="25A8A6E3"/>
    <w:rsid w:val="25A9D4CF"/>
    <w:rsid w:val="25B9C42E"/>
    <w:rsid w:val="25C798B6"/>
    <w:rsid w:val="25CB9CBC"/>
    <w:rsid w:val="25CE0806"/>
    <w:rsid w:val="25D86400"/>
    <w:rsid w:val="25D9ED3A"/>
    <w:rsid w:val="25DDC576"/>
    <w:rsid w:val="25ECAC04"/>
    <w:rsid w:val="25FB3C26"/>
    <w:rsid w:val="260489B6"/>
    <w:rsid w:val="2604AEAE"/>
    <w:rsid w:val="26074BBE"/>
    <w:rsid w:val="26084E42"/>
    <w:rsid w:val="2608B0AF"/>
    <w:rsid w:val="2609906A"/>
    <w:rsid w:val="26108214"/>
    <w:rsid w:val="26131D30"/>
    <w:rsid w:val="2614B352"/>
    <w:rsid w:val="261788C7"/>
    <w:rsid w:val="261E91DA"/>
    <w:rsid w:val="261FCD3B"/>
    <w:rsid w:val="262105AA"/>
    <w:rsid w:val="262D6405"/>
    <w:rsid w:val="262E25EC"/>
    <w:rsid w:val="26306A2B"/>
    <w:rsid w:val="263DCF1E"/>
    <w:rsid w:val="26476B25"/>
    <w:rsid w:val="265999E3"/>
    <w:rsid w:val="2666766E"/>
    <w:rsid w:val="2666B56A"/>
    <w:rsid w:val="266943E4"/>
    <w:rsid w:val="266A3EFE"/>
    <w:rsid w:val="266B8728"/>
    <w:rsid w:val="267EEB2D"/>
    <w:rsid w:val="26838F83"/>
    <w:rsid w:val="2684200A"/>
    <w:rsid w:val="26861B48"/>
    <w:rsid w:val="26863747"/>
    <w:rsid w:val="2686BA98"/>
    <w:rsid w:val="26892461"/>
    <w:rsid w:val="268ED984"/>
    <w:rsid w:val="26973C75"/>
    <w:rsid w:val="26977283"/>
    <w:rsid w:val="269C2D59"/>
    <w:rsid w:val="26A24312"/>
    <w:rsid w:val="26A48084"/>
    <w:rsid w:val="26B5903A"/>
    <w:rsid w:val="26B631B6"/>
    <w:rsid w:val="26C0CB79"/>
    <w:rsid w:val="26C1B80C"/>
    <w:rsid w:val="26C23655"/>
    <w:rsid w:val="26C89E5B"/>
    <w:rsid w:val="26C973C5"/>
    <w:rsid w:val="26CB036A"/>
    <w:rsid w:val="26CC18BC"/>
    <w:rsid w:val="26CDB7F3"/>
    <w:rsid w:val="26D44BDC"/>
    <w:rsid w:val="26D690E0"/>
    <w:rsid w:val="26D8E125"/>
    <w:rsid w:val="26D96870"/>
    <w:rsid w:val="26EABE9D"/>
    <w:rsid w:val="26EF8CFF"/>
    <w:rsid w:val="26F1FA50"/>
    <w:rsid w:val="26F792F7"/>
    <w:rsid w:val="26F910F6"/>
    <w:rsid w:val="26FBA540"/>
    <w:rsid w:val="26FD7201"/>
    <w:rsid w:val="2702C373"/>
    <w:rsid w:val="27084472"/>
    <w:rsid w:val="270D9777"/>
    <w:rsid w:val="2712A8B6"/>
    <w:rsid w:val="2716D893"/>
    <w:rsid w:val="272351D2"/>
    <w:rsid w:val="27290617"/>
    <w:rsid w:val="273832F8"/>
    <w:rsid w:val="273B8CE4"/>
    <w:rsid w:val="27436663"/>
    <w:rsid w:val="2749D992"/>
    <w:rsid w:val="274B63B5"/>
    <w:rsid w:val="274D08DE"/>
    <w:rsid w:val="275C5D89"/>
    <w:rsid w:val="27634EB9"/>
    <w:rsid w:val="2763F1CE"/>
    <w:rsid w:val="2767E057"/>
    <w:rsid w:val="2776E092"/>
    <w:rsid w:val="277BF9E6"/>
    <w:rsid w:val="277D79BB"/>
    <w:rsid w:val="27801044"/>
    <w:rsid w:val="27803E9E"/>
    <w:rsid w:val="2783027F"/>
    <w:rsid w:val="27868484"/>
    <w:rsid w:val="2786B7F7"/>
    <w:rsid w:val="27880506"/>
    <w:rsid w:val="27887CC6"/>
    <w:rsid w:val="27986414"/>
    <w:rsid w:val="279BB5F7"/>
    <w:rsid w:val="279BCB5F"/>
    <w:rsid w:val="27AF330C"/>
    <w:rsid w:val="27B9A90A"/>
    <w:rsid w:val="27C0A5BF"/>
    <w:rsid w:val="27C0DD86"/>
    <w:rsid w:val="27CEFB31"/>
    <w:rsid w:val="27D55EF9"/>
    <w:rsid w:val="27D93D2A"/>
    <w:rsid w:val="27DC66D5"/>
    <w:rsid w:val="27E0A42D"/>
    <w:rsid w:val="27E12717"/>
    <w:rsid w:val="27E266CF"/>
    <w:rsid w:val="27E7DE71"/>
    <w:rsid w:val="27F146B1"/>
    <w:rsid w:val="27FA93C2"/>
    <w:rsid w:val="27FEE001"/>
    <w:rsid w:val="2803A6D0"/>
    <w:rsid w:val="280968A4"/>
    <w:rsid w:val="280AD6CD"/>
    <w:rsid w:val="280BB7F4"/>
    <w:rsid w:val="2810042C"/>
    <w:rsid w:val="28185EDC"/>
    <w:rsid w:val="281B66BD"/>
    <w:rsid w:val="28270BF5"/>
    <w:rsid w:val="2829F7AE"/>
    <w:rsid w:val="282D8E1B"/>
    <w:rsid w:val="283752FE"/>
    <w:rsid w:val="283C7569"/>
    <w:rsid w:val="284553B8"/>
    <w:rsid w:val="28470A6C"/>
    <w:rsid w:val="284A693D"/>
    <w:rsid w:val="284D227F"/>
    <w:rsid w:val="285220DA"/>
    <w:rsid w:val="28542EA8"/>
    <w:rsid w:val="2857BE02"/>
    <w:rsid w:val="28584598"/>
    <w:rsid w:val="28595128"/>
    <w:rsid w:val="286B21C3"/>
    <w:rsid w:val="286E00A2"/>
    <w:rsid w:val="28705D77"/>
    <w:rsid w:val="28721A8C"/>
    <w:rsid w:val="2872B014"/>
    <w:rsid w:val="2874370F"/>
    <w:rsid w:val="28746423"/>
    <w:rsid w:val="2883121E"/>
    <w:rsid w:val="28851DB6"/>
    <w:rsid w:val="288FEEFE"/>
    <w:rsid w:val="28953E4B"/>
    <w:rsid w:val="2898854A"/>
    <w:rsid w:val="289B7E58"/>
    <w:rsid w:val="289F45D9"/>
    <w:rsid w:val="28A4A434"/>
    <w:rsid w:val="28A73226"/>
    <w:rsid w:val="28AB822A"/>
    <w:rsid w:val="28B6DA8B"/>
    <w:rsid w:val="28BE3623"/>
    <w:rsid w:val="28C71A05"/>
    <w:rsid w:val="28CD0800"/>
    <w:rsid w:val="28D2E5C2"/>
    <w:rsid w:val="28D472BC"/>
    <w:rsid w:val="28D49214"/>
    <w:rsid w:val="28D4FEA8"/>
    <w:rsid w:val="28E14D66"/>
    <w:rsid w:val="28E632CA"/>
    <w:rsid w:val="28E67AF9"/>
    <w:rsid w:val="28F2B002"/>
    <w:rsid w:val="2909E979"/>
    <w:rsid w:val="29102E98"/>
    <w:rsid w:val="291C7A7A"/>
    <w:rsid w:val="291E1E9D"/>
    <w:rsid w:val="292A684E"/>
    <w:rsid w:val="292B1C98"/>
    <w:rsid w:val="29300E19"/>
    <w:rsid w:val="29309197"/>
    <w:rsid w:val="29333ABB"/>
    <w:rsid w:val="2935F8DE"/>
    <w:rsid w:val="2939152B"/>
    <w:rsid w:val="29446E73"/>
    <w:rsid w:val="2944E26C"/>
    <w:rsid w:val="294FD08F"/>
    <w:rsid w:val="29538BFC"/>
    <w:rsid w:val="2954AEAC"/>
    <w:rsid w:val="2961D9AF"/>
    <w:rsid w:val="296CF4D1"/>
    <w:rsid w:val="2976BDAB"/>
    <w:rsid w:val="297B18F7"/>
    <w:rsid w:val="2980081D"/>
    <w:rsid w:val="298B68A1"/>
    <w:rsid w:val="2991903A"/>
    <w:rsid w:val="299986A7"/>
    <w:rsid w:val="299C099E"/>
    <w:rsid w:val="29A86D9C"/>
    <w:rsid w:val="29AF8074"/>
    <w:rsid w:val="29AF828B"/>
    <w:rsid w:val="29B21A4C"/>
    <w:rsid w:val="29B29B60"/>
    <w:rsid w:val="29B385CE"/>
    <w:rsid w:val="29B39973"/>
    <w:rsid w:val="29C0AB62"/>
    <w:rsid w:val="29C348AD"/>
    <w:rsid w:val="29C46C7D"/>
    <w:rsid w:val="29CD0E5F"/>
    <w:rsid w:val="29CD2484"/>
    <w:rsid w:val="29D6B63F"/>
    <w:rsid w:val="29DB5B6A"/>
    <w:rsid w:val="29DBC7BC"/>
    <w:rsid w:val="29DC1CEF"/>
    <w:rsid w:val="29E1DEB0"/>
    <w:rsid w:val="29E6BE02"/>
    <w:rsid w:val="29E95EA6"/>
    <w:rsid w:val="29F5D2ED"/>
    <w:rsid w:val="29FB1A98"/>
    <w:rsid w:val="29FEF97B"/>
    <w:rsid w:val="2A002C7B"/>
    <w:rsid w:val="2A021D76"/>
    <w:rsid w:val="2A0456FD"/>
    <w:rsid w:val="2A079ABD"/>
    <w:rsid w:val="2A08F0D8"/>
    <w:rsid w:val="2A0FC942"/>
    <w:rsid w:val="2A1068C8"/>
    <w:rsid w:val="2A17130D"/>
    <w:rsid w:val="2A24D7E9"/>
    <w:rsid w:val="2A2A8034"/>
    <w:rsid w:val="2A334918"/>
    <w:rsid w:val="2A35DC19"/>
    <w:rsid w:val="2A3F791F"/>
    <w:rsid w:val="2A4120D1"/>
    <w:rsid w:val="2A4B19D5"/>
    <w:rsid w:val="2A4CA639"/>
    <w:rsid w:val="2A4E7D65"/>
    <w:rsid w:val="2A531E53"/>
    <w:rsid w:val="2A5324D6"/>
    <w:rsid w:val="2A574E28"/>
    <w:rsid w:val="2A5AC891"/>
    <w:rsid w:val="2A660883"/>
    <w:rsid w:val="2A6BFDE1"/>
    <w:rsid w:val="2A7C572E"/>
    <w:rsid w:val="2A7D6246"/>
    <w:rsid w:val="2A7E0F2B"/>
    <w:rsid w:val="2A7FE5CA"/>
    <w:rsid w:val="2A810F48"/>
    <w:rsid w:val="2A82ACDF"/>
    <w:rsid w:val="2A8423AD"/>
    <w:rsid w:val="2A8991CE"/>
    <w:rsid w:val="2A9B6594"/>
    <w:rsid w:val="2AA49D47"/>
    <w:rsid w:val="2AA6C49D"/>
    <w:rsid w:val="2AA8501D"/>
    <w:rsid w:val="2AB141D8"/>
    <w:rsid w:val="2AB30E0A"/>
    <w:rsid w:val="2AB63156"/>
    <w:rsid w:val="2AB86A73"/>
    <w:rsid w:val="2ABB9775"/>
    <w:rsid w:val="2ABDB3E6"/>
    <w:rsid w:val="2AC654CB"/>
    <w:rsid w:val="2AC716EF"/>
    <w:rsid w:val="2AD5EC5D"/>
    <w:rsid w:val="2AD9FC15"/>
    <w:rsid w:val="2ADEF523"/>
    <w:rsid w:val="2AE75DC5"/>
    <w:rsid w:val="2AE9DCB6"/>
    <w:rsid w:val="2AEE5A0C"/>
    <w:rsid w:val="2AF1F555"/>
    <w:rsid w:val="2AF3AB70"/>
    <w:rsid w:val="2B013F92"/>
    <w:rsid w:val="2B0C5AE5"/>
    <w:rsid w:val="2B12BB28"/>
    <w:rsid w:val="2B1E0517"/>
    <w:rsid w:val="2B1E3378"/>
    <w:rsid w:val="2B32F5DD"/>
    <w:rsid w:val="2B340B6C"/>
    <w:rsid w:val="2B3CA12B"/>
    <w:rsid w:val="2B4D690A"/>
    <w:rsid w:val="2B50E739"/>
    <w:rsid w:val="2B58B61F"/>
    <w:rsid w:val="2B5B8F94"/>
    <w:rsid w:val="2B5C76F6"/>
    <w:rsid w:val="2B60547E"/>
    <w:rsid w:val="2B60CCB1"/>
    <w:rsid w:val="2B60D681"/>
    <w:rsid w:val="2B63D975"/>
    <w:rsid w:val="2B64AF7E"/>
    <w:rsid w:val="2B659F13"/>
    <w:rsid w:val="2B65E8B4"/>
    <w:rsid w:val="2B69E6B1"/>
    <w:rsid w:val="2B6F67F2"/>
    <w:rsid w:val="2B6FBDC0"/>
    <w:rsid w:val="2B74984B"/>
    <w:rsid w:val="2B76B001"/>
    <w:rsid w:val="2B7D7AAA"/>
    <w:rsid w:val="2B7D97F4"/>
    <w:rsid w:val="2B848002"/>
    <w:rsid w:val="2B84EAEA"/>
    <w:rsid w:val="2B934CDB"/>
    <w:rsid w:val="2B942FF4"/>
    <w:rsid w:val="2B9CFC14"/>
    <w:rsid w:val="2B9EC0C7"/>
    <w:rsid w:val="2BA1B6C2"/>
    <w:rsid w:val="2BA9BE26"/>
    <w:rsid w:val="2BACE9E6"/>
    <w:rsid w:val="2BB1B8E8"/>
    <w:rsid w:val="2BB2A54F"/>
    <w:rsid w:val="2BB65D4F"/>
    <w:rsid w:val="2BBFE998"/>
    <w:rsid w:val="2BC589A1"/>
    <w:rsid w:val="2BD2310D"/>
    <w:rsid w:val="2BE89FE0"/>
    <w:rsid w:val="2BEB07E6"/>
    <w:rsid w:val="2BF48E83"/>
    <w:rsid w:val="2BF678CB"/>
    <w:rsid w:val="2BF831CD"/>
    <w:rsid w:val="2BFC89DE"/>
    <w:rsid w:val="2C04682A"/>
    <w:rsid w:val="2C0A5D4C"/>
    <w:rsid w:val="2C0F13FD"/>
    <w:rsid w:val="2C11BEA8"/>
    <w:rsid w:val="2C174114"/>
    <w:rsid w:val="2C1FEF4D"/>
    <w:rsid w:val="2C254AB1"/>
    <w:rsid w:val="2C31AA45"/>
    <w:rsid w:val="2C36BB13"/>
    <w:rsid w:val="2C381191"/>
    <w:rsid w:val="2C3D6927"/>
    <w:rsid w:val="2C3E6AA8"/>
    <w:rsid w:val="2C45EE53"/>
    <w:rsid w:val="2C493A2A"/>
    <w:rsid w:val="2C4C6524"/>
    <w:rsid w:val="2C4EB1CD"/>
    <w:rsid w:val="2C586E20"/>
    <w:rsid w:val="2C588803"/>
    <w:rsid w:val="2C5EF8A9"/>
    <w:rsid w:val="2C65F450"/>
    <w:rsid w:val="2C6BBD60"/>
    <w:rsid w:val="2C6DF32F"/>
    <w:rsid w:val="2C70D6F1"/>
    <w:rsid w:val="2C7D11B2"/>
    <w:rsid w:val="2C84777F"/>
    <w:rsid w:val="2C8BB281"/>
    <w:rsid w:val="2C8FDDC2"/>
    <w:rsid w:val="2C8FEE2F"/>
    <w:rsid w:val="2C9A21C7"/>
    <w:rsid w:val="2C9BBEF4"/>
    <w:rsid w:val="2C9CAB2C"/>
    <w:rsid w:val="2C9D789F"/>
    <w:rsid w:val="2CA15650"/>
    <w:rsid w:val="2CAA9F25"/>
    <w:rsid w:val="2CB535EA"/>
    <w:rsid w:val="2CC7A13B"/>
    <w:rsid w:val="2CCF73E7"/>
    <w:rsid w:val="2CD2127A"/>
    <w:rsid w:val="2CD5FAB7"/>
    <w:rsid w:val="2CDA5E1D"/>
    <w:rsid w:val="2CDB6FF1"/>
    <w:rsid w:val="2CDE1324"/>
    <w:rsid w:val="2CDEE35D"/>
    <w:rsid w:val="2CE7363E"/>
    <w:rsid w:val="2CED8F9C"/>
    <w:rsid w:val="2CEE24B4"/>
    <w:rsid w:val="2CF073D3"/>
    <w:rsid w:val="2CF8A73B"/>
    <w:rsid w:val="2CFA69A8"/>
    <w:rsid w:val="2CFF7AC5"/>
    <w:rsid w:val="2D0664D5"/>
    <w:rsid w:val="2D0A301F"/>
    <w:rsid w:val="2D0DF376"/>
    <w:rsid w:val="2D0EE748"/>
    <w:rsid w:val="2D103DD0"/>
    <w:rsid w:val="2D1E7FE7"/>
    <w:rsid w:val="2D20E225"/>
    <w:rsid w:val="2D223E53"/>
    <w:rsid w:val="2D228DC6"/>
    <w:rsid w:val="2D2F6CFC"/>
    <w:rsid w:val="2D32237E"/>
    <w:rsid w:val="2D398179"/>
    <w:rsid w:val="2D3D38B4"/>
    <w:rsid w:val="2D3D72A4"/>
    <w:rsid w:val="2D457975"/>
    <w:rsid w:val="2D46F6AE"/>
    <w:rsid w:val="2D481374"/>
    <w:rsid w:val="2D500545"/>
    <w:rsid w:val="2D507363"/>
    <w:rsid w:val="2D5417CE"/>
    <w:rsid w:val="2D5EA212"/>
    <w:rsid w:val="2D5F67B4"/>
    <w:rsid w:val="2D623DC2"/>
    <w:rsid w:val="2D660C7C"/>
    <w:rsid w:val="2D678478"/>
    <w:rsid w:val="2D6A4B44"/>
    <w:rsid w:val="2D732610"/>
    <w:rsid w:val="2D7331FA"/>
    <w:rsid w:val="2D7978FF"/>
    <w:rsid w:val="2D91D065"/>
    <w:rsid w:val="2D935915"/>
    <w:rsid w:val="2D956795"/>
    <w:rsid w:val="2D991F66"/>
    <w:rsid w:val="2D99F7D8"/>
    <w:rsid w:val="2D9D3A8C"/>
    <w:rsid w:val="2DA67833"/>
    <w:rsid w:val="2DB21D40"/>
    <w:rsid w:val="2DB38326"/>
    <w:rsid w:val="2DB67FC0"/>
    <w:rsid w:val="2DC47EE3"/>
    <w:rsid w:val="2DC72DF1"/>
    <w:rsid w:val="2DD34E05"/>
    <w:rsid w:val="2DE39152"/>
    <w:rsid w:val="2DE63D2E"/>
    <w:rsid w:val="2DE76186"/>
    <w:rsid w:val="2DF4EF83"/>
    <w:rsid w:val="2DF5114E"/>
    <w:rsid w:val="2DF54593"/>
    <w:rsid w:val="2DFA4AB7"/>
    <w:rsid w:val="2E033A49"/>
    <w:rsid w:val="2E033B4C"/>
    <w:rsid w:val="2E040DE4"/>
    <w:rsid w:val="2E053BD0"/>
    <w:rsid w:val="2E0899B9"/>
    <w:rsid w:val="2E0A498B"/>
    <w:rsid w:val="2E0D4E07"/>
    <w:rsid w:val="2E119D4B"/>
    <w:rsid w:val="2E167D14"/>
    <w:rsid w:val="2E169E0F"/>
    <w:rsid w:val="2E207340"/>
    <w:rsid w:val="2E3097D8"/>
    <w:rsid w:val="2E3D6486"/>
    <w:rsid w:val="2E4807F4"/>
    <w:rsid w:val="2E488623"/>
    <w:rsid w:val="2E51223E"/>
    <w:rsid w:val="2E5166D7"/>
    <w:rsid w:val="2E58545F"/>
    <w:rsid w:val="2E5A9846"/>
    <w:rsid w:val="2E5BB10E"/>
    <w:rsid w:val="2E5EA568"/>
    <w:rsid w:val="2E6EE8FE"/>
    <w:rsid w:val="2E789012"/>
    <w:rsid w:val="2E7B0808"/>
    <w:rsid w:val="2E7C85BB"/>
    <w:rsid w:val="2E8405F4"/>
    <w:rsid w:val="2E8B7D38"/>
    <w:rsid w:val="2E908C7C"/>
    <w:rsid w:val="2E9113BC"/>
    <w:rsid w:val="2E987405"/>
    <w:rsid w:val="2E9A3B26"/>
    <w:rsid w:val="2E9A9ABB"/>
    <w:rsid w:val="2E9DDF8B"/>
    <w:rsid w:val="2E9F02DD"/>
    <w:rsid w:val="2EA02F8A"/>
    <w:rsid w:val="2EA1A863"/>
    <w:rsid w:val="2EACD8FD"/>
    <w:rsid w:val="2EAFD4A8"/>
    <w:rsid w:val="2EB3F2E6"/>
    <w:rsid w:val="2EB7FA84"/>
    <w:rsid w:val="2EB8EBCE"/>
    <w:rsid w:val="2EBDB073"/>
    <w:rsid w:val="2ED1D67D"/>
    <w:rsid w:val="2ED76FFE"/>
    <w:rsid w:val="2EE09E03"/>
    <w:rsid w:val="2EE1ECAE"/>
    <w:rsid w:val="2EE3830C"/>
    <w:rsid w:val="2EE38A47"/>
    <w:rsid w:val="2EE8DA02"/>
    <w:rsid w:val="2EEF29F4"/>
    <w:rsid w:val="2EF5D896"/>
    <w:rsid w:val="2EF8D518"/>
    <w:rsid w:val="2EF9DD16"/>
    <w:rsid w:val="2EFE894C"/>
    <w:rsid w:val="2F061570"/>
    <w:rsid w:val="2F0625A6"/>
    <w:rsid w:val="2F138735"/>
    <w:rsid w:val="2F2256BA"/>
    <w:rsid w:val="2F23A198"/>
    <w:rsid w:val="2F25340E"/>
    <w:rsid w:val="2F2953BF"/>
    <w:rsid w:val="2F33226D"/>
    <w:rsid w:val="2F3AA5D4"/>
    <w:rsid w:val="2F3C5FFB"/>
    <w:rsid w:val="2F3F0F7A"/>
    <w:rsid w:val="2F41BB15"/>
    <w:rsid w:val="2F42EEAF"/>
    <w:rsid w:val="2F48257D"/>
    <w:rsid w:val="2F485D31"/>
    <w:rsid w:val="2F4E9315"/>
    <w:rsid w:val="2F4F12F5"/>
    <w:rsid w:val="2F5002CD"/>
    <w:rsid w:val="2F53A93E"/>
    <w:rsid w:val="2F612FCD"/>
    <w:rsid w:val="2F76E61F"/>
    <w:rsid w:val="2F87174C"/>
    <w:rsid w:val="2F875D35"/>
    <w:rsid w:val="2F94522D"/>
    <w:rsid w:val="2F9E0FB8"/>
    <w:rsid w:val="2FA82C64"/>
    <w:rsid w:val="2FAFE6B2"/>
    <w:rsid w:val="2FB76220"/>
    <w:rsid w:val="2FBA265C"/>
    <w:rsid w:val="2FBA6EFB"/>
    <w:rsid w:val="2FBEC7DA"/>
    <w:rsid w:val="2FC0B928"/>
    <w:rsid w:val="2FC51779"/>
    <w:rsid w:val="2FE3B75A"/>
    <w:rsid w:val="2FE57684"/>
    <w:rsid w:val="2FE5A2F8"/>
    <w:rsid w:val="2FF3D9F1"/>
    <w:rsid w:val="2FF3F92B"/>
    <w:rsid w:val="2FF72A5C"/>
    <w:rsid w:val="2FFAD910"/>
    <w:rsid w:val="2FFCECB7"/>
    <w:rsid w:val="2FFD6090"/>
    <w:rsid w:val="3002676F"/>
    <w:rsid w:val="3004086D"/>
    <w:rsid w:val="30041665"/>
    <w:rsid w:val="3005FE1E"/>
    <w:rsid w:val="300D1D35"/>
    <w:rsid w:val="300D7632"/>
    <w:rsid w:val="3016553F"/>
    <w:rsid w:val="30173813"/>
    <w:rsid w:val="30190EF0"/>
    <w:rsid w:val="30208002"/>
    <w:rsid w:val="3029BE67"/>
    <w:rsid w:val="3042FC88"/>
    <w:rsid w:val="30435976"/>
    <w:rsid w:val="304470B8"/>
    <w:rsid w:val="304AE155"/>
    <w:rsid w:val="30526A09"/>
    <w:rsid w:val="3055B588"/>
    <w:rsid w:val="3059E614"/>
    <w:rsid w:val="306154D2"/>
    <w:rsid w:val="306DF784"/>
    <w:rsid w:val="3072E6A4"/>
    <w:rsid w:val="307390CC"/>
    <w:rsid w:val="307C9BE6"/>
    <w:rsid w:val="307CD1FA"/>
    <w:rsid w:val="307E7D14"/>
    <w:rsid w:val="307F4F89"/>
    <w:rsid w:val="30823DA3"/>
    <w:rsid w:val="3085833B"/>
    <w:rsid w:val="308ABF5D"/>
    <w:rsid w:val="308E4E10"/>
    <w:rsid w:val="30921FB8"/>
    <w:rsid w:val="30947156"/>
    <w:rsid w:val="3098A719"/>
    <w:rsid w:val="30996256"/>
    <w:rsid w:val="309BECFD"/>
    <w:rsid w:val="309ED8C0"/>
    <w:rsid w:val="30A59DA3"/>
    <w:rsid w:val="30AFFD7F"/>
    <w:rsid w:val="30B1EF86"/>
    <w:rsid w:val="30B57925"/>
    <w:rsid w:val="30BB32A8"/>
    <w:rsid w:val="30C023BC"/>
    <w:rsid w:val="30C73A3B"/>
    <w:rsid w:val="30C98E70"/>
    <w:rsid w:val="30CE9376"/>
    <w:rsid w:val="30D5E919"/>
    <w:rsid w:val="30D7317B"/>
    <w:rsid w:val="30DA1FF1"/>
    <w:rsid w:val="30DAA751"/>
    <w:rsid w:val="30E9B662"/>
    <w:rsid w:val="30EC21EC"/>
    <w:rsid w:val="30F2A1A2"/>
    <w:rsid w:val="30F72588"/>
    <w:rsid w:val="30FAEDA7"/>
    <w:rsid w:val="30FD1B4F"/>
    <w:rsid w:val="30FD7521"/>
    <w:rsid w:val="3100AD01"/>
    <w:rsid w:val="31037AD2"/>
    <w:rsid w:val="31037D90"/>
    <w:rsid w:val="310C0C57"/>
    <w:rsid w:val="310D4DA8"/>
    <w:rsid w:val="3115C68C"/>
    <w:rsid w:val="31194F5D"/>
    <w:rsid w:val="311EEC36"/>
    <w:rsid w:val="312344BB"/>
    <w:rsid w:val="312504F1"/>
    <w:rsid w:val="312554C6"/>
    <w:rsid w:val="3129D41C"/>
    <w:rsid w:val="312A4894"/>
    <w:rsid w:val="312A8857"/>
    <w:rsid w:val="312AB1C0"/>
    <w:rsid w:val="3135BE96"/>
    <w:rsid w:val="3139F530"/>
    <w:rsid w:val="313EEC5C"/>
    <w:rsid w:val="3142AA80"/>
    <w:rsid w:val="3144CBFB"/>
    <w:rsid w:val="3144F804"/>
    <w:rsid w:val="314E47DF"/>
    <w:rsid w:val="3151FAD9"/>
    <w:rsid w:val="3152CA0C"/>
    <w:rsid w:val="31553E15"/>
    <w:rsid w:val="31571AF2"/>
    <w:rsid w:val="3159DC0C"/>
    <w:rsid w:val="3160756B"/>
    <w:rsid w:val="3165ED05"/>
    <w:rsid w:val="316656DD"/>
    <w:rsid w:val="316D1CD6"/>
    <w:rsid w:val="316E511E"/>
    <w:rsid w:val="3174125A"/>
    <w:rsid w:val="317AD65A"/>
    <w:rsid w:val="31880B5A"/>
    <w:rsid w:val="31884C5B"/>
    <w:rsid w:val="3194367C"/>
    <w:rsid w:val="31955DCF"/>
    <w:rsid w:val="31970278"/>
    <w:rsid w:val="319E470E"/>
    <w:rsid w:val="319EC897"/>
    <w:rsid w:val="31A071A7"/>
    <w:rsid w:val="31A57F2D"/>
    <w:rsid w:val="31A65EC7"/>
    <w:rsid w:val="31A8F27A"/>
    <w:rsid w:val="31ADB1C7"/>
    <w:rsid w:val="31B88226"/>
    <w:rsid w:val="31B91C22"/>
    <w:rsid w:val="31BD5FF3"/>
    <w:rsid w:val="31C006D1"/>
    <w:rsid w:val="31CD5859"/>
    <w:rsid w:val="31CE3712"/>
    <w:rsid w:val="31CEFD7F"/>
    <w:rsid w:val="31D15BDA"/>
    <w:rsid w:val="31D282A4"/>
    <w:rsid w:val="31D4D4C0"/>
    <w:rsid w:val="31DEA377"/>
    <w:rsid w:val="31E1A7D8"/>
    <w:rsid w:val="31E4A4DD"/>
    <w:rsid w:val="31E7BB57"/>
    <w:rsid w:val="31E867BB"/>
    <w:rsid w:val="31EFB685"/>
    <w:rsid w:val="31F489A7"/>
    <w:rsid w:val="31F541A6"/>
    <w:rsid w:val="31FC14BF"/>
    <w:rsid w:val="31FE1C15"/>
    <w:rsid w:val="31FE3FE0"/>
    <w:rsid w:val="3208B423"/>
    <w:rsid w:val="32117C7D"/>
    <w:rsid w:val="3212509C"/>
    <w:rsid w:val="321649A5"/>
    <w:rsid w:val="321CD35F"/>
    <w:rsid w:val="321E3D90"/>
    <w:rsid w:val="3222C33E"/>
    <w:rsid w:val="322DEBBC"/>
    <w:rsid w:val="3234E2DC"/>
    <w:rsid w:val="323E1ACA"/>
    <w:rsid w:val="3240B3F0"/>
    <w:rsid w:val="3243523C"/>
    <w:rsid w:val="3248DE45"/>
    <w:rsid w:val="3249B54F"/>
    <w:rsid w:val="324E9C17"/>
    <w:rsid w:val="3252414F"/>
    <w:rsid w:val="32543EB4"/>
    <w:rsid w:val="326422FF"/>
    <w:rsid w:val="3266AC0B"/>
    <w:rsid w:val="326A75D8"/>
    <w:rsid w:val="326E58B0"/>
    <w:rsid w:val="326FF839"/>
    <w:rsid w:val="327168C9"/>
    <w:rsid w:val="32780B91"/>
    <w:rsid w:val="327B139D"/>
    <w:rsid w:val="327E1BBD"/>
    <w:rsid w:val="327ECC37"/>
    <w:rsid w:val="32802C39"/>
    <w:rsid w:val="328C75F6"/>
    <w:rsid w:val="328D5187"/>
    <w:rsid w:val="328DBAD0"/>
    <w:rsid w:val="328E07AA"/>
    <w:rsid w:val="3290BD58"/>
    <w:rsid w:val="329451B3"/>
    <w:rsid w:val="329B7128"/>
    <w:rsid w:val="329BDF29"/>
    <w:rsid w:val="329F2783"/>
    <w:rsid w:val="32A06F91"/>
    <w:rsid w:val="32A52CAD"/>
    <w:rsid w:val="32A711C7"/>
    <w:rsid w:val="32A7BDC1"/>
    <w:rsid w:val="32AF6A32"/>
    <w:rsid w:val="32BA7497"/>
    <w:rsid w:val="32BC8415"/>
    <w:rsid w:val="32BC94C7"/>
    <w:rsid w:val="32BF2D08"/>
    <w:rsid w:val="32C48D79"/>
    <w:rsid w:val="32C5DE02"/>
    <w:rsid w:val="32D17CCA"/>
    <w:rsid w:val="32D7B5E5"/>
    <w:rsid w:val="32D84E3A"/>
    <w:rsid w:val="32D9141A"/>
    <w:rsid w:val="32EA9378"/>
    <w:rsid w:val="32EC05AC"/>
    <w:rsid w:val="32F392C1"/>
    <w:rsid w:val="32F66448"/>
    <w:rsid w:val="32F80F9D"/>
    <w:rsid w:val="32FD483B"/>
    <w:rsid w:val="3307E17D"/>
    <w:rsid w:val="330C2846"/>
    <w:rsid w:val="330FD7E9"/>
    <w:rsid w:val="33123207"/>
    <w:rsid w:val="3312689B"/>
    <w:rsid w:val="331B4A0B"/>
    <w:rsid w:val="331CBA1E"/>
    <w:rsid w:val="3327989E"/>
    <w:rsid w:val="33295E28"/>
    <w:rsid w:val="332BFEC3"/>
    <w:rsid w:val="33314A67"/>
    <w:rsid w:val="333B2D01"/>
    <w:rsid w:val="334158A1"/>
    <w:rsid w:val="33459CC7"/>
    <w:rsid w:val="3348B344"/>
    <w:rsid w:val="3358912D"/>
    <w:rsid w:val="335A3024"/>
    <w:rsid w:val="335AF659"/>
    <w:rsid w:val="335CFB3B"/>
    <w:rsid w:val="335EB831"/>
    <w:rsid w:val="3363813D"/>
    <w:rsid w:val="3363A9E2"/>
    <w:rsid w:val="336CF6EF"/>
    <w:rsid w:val="3374C2ED"/>
    <w:rsid w:val="3376A2E9"/>
    <w:rsid w:val="33793B78"/>
    <w:rsid w:val="33852E92"/>
    <w:rsid w:val="338748E8"/>
    <w:rsid w:val="33935EC2"/>
    <w:rsid w:val="339418AF"/>
    <w:rsid w:val="33962688"/>
    <w:rsid w:val="33A02CFE"/>
    <w:rsid w:val="33A8654A"/>
    <w:rsid w:val="33A8CF94"/>
    <w:rsid w:val="33ABA129"/>
    <w:rsid w:val="33B0B82C"/>
    <w:rsid w:val="33B1DEF5"/>
    <w:rsid w:val="33B51CAE"/>
    <w:rsid w:val="33B6E392"/>
    <w:rsid w:val="33BA3493"/>
    <w:rsid w:val="33BAC1F0"/>
    <w:rsid w:val="33BBA68C"/>
    <w:rsid w:val="33BD6C63"/>
    <w:rsid w:val="33BEA958"/>
    <w:rsid w:val="33C15E82"/>
    <w:rsid w:val="33C4D0E7"/>
    <w:rsid w:val="33C64D3F"/>
    <w:rsid w:val="33C81090"/>
    <w:rsid w:val="33D25A72"/>
    <w:rsid w:val="33D62320"/>
    <w:rsid w:val="33D940F1"/>
    <w:rsid w:val="33DBFEF2"/>
    <w:rsid w:val="33DEA442"/>
    <w:rsid w:val="33DFA1E9"/>
    <w:rsid w:val="33F256FF"/>
    <w:rsid w:val="33FAA9AE"/>
    <w:rsid w:val="33FE4F25"/>
    <w:rsid w:val="3408C022"/>
    <w:rsid w:val="34092DF5"/>
    <w:rsid w:val="340A4E2D"/>
    <w:rsid w:val="3413A8A0"/>
    <w:rsid w:val="3414C55B"/>
    <w:rsid w:val="341A98A8"/>
    <w:rsid w:val="341D8397"/>
    <w:rsid w:val="341D92E9"/>
    <w:rsid w:val="34238A84"/>
    <w:rsid w:val="3423E931"/>
    <w:rsid w:val="342B01E7"/>
    <w:rsid w:val="3434DDE3"/>
    <w:rsid w:val="343A7C16"/>
    <w:rsid w:val="343BDB19"/>
    <w:rsid w:val="3458DF4F"/>
    <w:rsid w:val="345DF7D2"/>
    <w:rsid w:val="345F7C4D"/>
    <w:rsid w:val="34668A53"/>
    <w:rsid w:val="34703B66"/>
    <w:rsid w:val="3473633E"/>
    <w:rsid w:val="347C91C3"/>
    <w:rsid w:val="347D00F4"/>
    <w:rsid w:val="347FCFEA"/>
    <w:rsid w:val="349E418C"/>
    <w:rsid w:val="34A8B3B7"/>
    <w:rsid w:val="34AE2BBF"/>
    <w:rsid w:val="34B3D8FE"/>
    <w:rsid w:val="34B9913C"/>
    <w:rsid w:val="34C255CA"/>
    <w:rsid w:val="34D9F7E1"/>
    <w:rsid w:val="34DFE80C"/>
    <w:rsid w:val="34E35FEB"/>
    <w:rsid w:val="34E6C060"/>
    <w:rsid w:val="34E6F557"/>
    <w:rsid w:val="34EE51C0"/>
    <w:rsid w:val="34EF70C4"/>
    <w:rsid w:val="34F9DCDF"/>
    <w:rsid w:val="34FB34F5"/>
    <w:rsid w:val="34FF6576"/>
    <w:rsid w:val="3501A422"/>
    <w:rsid w:val="3503B2C3"/>
    <w:rsid w:val="350CE3DC"/>
    <w:rsid w:val="35119128"/>
    <w:rsid w:val="3513D9C3"/>
    <w:rsid w:val="35179138"/>
    <w:rsid w:val="3518465D"/>
    <w:rsid w:val="3520BE7F"/>
    <w:rsid w:val="3521EA69"/>
    <w:rsid w:val="35221A13"/>
    <w:rsid w:val="3525A40D"/>
    <w:rsid w:val="35271BDF"/>
    <w:rsid w:val="352A29A6"/>
    <w:rsid w:val="352E6A50"/>
    <w:rsid w:val="352E91A0"/>
    <w:rsid w:val="353AD05B"/>
    <w:rsid w:val="353BABC8"/>
    <w:rsid w:val="353CDDF6"/>
    <w:rsid w:val="3544D393"/>
    <w:rsid w:val="3545F3D7"/>
    <w:rsid w:val="35549B5D"/>
    <w:rsid w:val="3557FFDE"/>
    <w:rsid w:val="355CF1EB"/>
    <w:rsid w:val="355F1528"/>
    <w:rsid w:val="3562028B"/>
    <w:rsid w:val="35627146"/>
    <w:rsid w:val="35634470"/>
    <w:rsid w:val="35669348"/>
    <w:rsid w:val="356DE7A8"/>
    <w:rsid w:val="356EEDE3"/>
    <w:rsid w:val="3573DC10"/>
    <w:rsid w:val="3573F088"/>
    <w:rsid w:val="35740D2E"/>
    <w:rsid w:val="35795782"/>
    <w:rsid w:val="357A81F9"/>
    <w:rsid w:val="3583670E"/>
    <w:rsid w:val="3585055B"/>
    <w:rsid w:val="3586ED67"/>
    <w:rsid w:val="358B3315"/>
    <w:rsid w:val="358FCAAE"/>
    <w:rsid w:val="3593046F"/>
    <w:rsid w:val="35955BE4"/>
    <w:rsid w:val="3599A55B"/>
    <w:rsid w:val="359AE6D3"/>
    <w:rsid w:val="35A10337"/>
    <w:rsid w:val="35A27DFC"/>
    <w:rsid w:val="35A460AF"/>
    <w:rsid w:val="35AEC9B7"/>
    <w:rsid w:val="35AEDE0F"/>
    <w:rsid w:val="35BCF986"/>
    <w:rsid w:val="35C0291B"/>
    <w:rsid w:val="35C15EAF"/>
    <w:rsid w:val="35C4BD69"/>
    <w:rsid w:val="35C89992"/>
    <w:rsid w:val="35D74C61"/>
    <w:rsid w:val="35DA1A55"/>
    <w:rsid w:val="35E1CFAA"/>
    <w:rsid w:val="35E37DF0"/>
    <w:rsid w:val="35E42664"/>
    <w:rsid w:val="35E434E3"/>
    <w:rsid w:val="35E5E460"/>
    <w:rsid w:val="35E601EA"/>
    <w:rsid w:val="35E79FE3"/>
    <w:rsid w:val="35ED2DFC"/>
    <w:rsid w:val="35F1248F"/>
    <w:rsid w:val="35F3A629"/>
    <w:rsid w:val="35FA86C4"/>
    <w:rsid w:val="35FAEA93"/>
    <w:rsid w:val="35FB60F8"/>
    <w:rsid w:val="35FB95D0"/>
    <w:rsid w:val="35FFE839"/>
    <w:rsid w:val="36044B97"/>
    <w:rsid w:val="36145D96"/>
    <w:rsid w:val="3615D6FE"/>
    <w:rsid w:val="361CFB02"/>
    <w:rsid w:val="36205E3C"/>
    <w:rsid w:val="3627EDA6"/>
    <w:rsid w:val="362B7F20"/>
    <w:rsid w:val="36392421"/>
    <w:rsid w:val="3640BDCF"/>
    <w:rsid w:val="36509D6B"/>
    <w:rsid w:val="36533EE9"/>
    <w:rsid w:val="36541D56"/>
    <w:rsid w:val="3658C94B"/>
    <w:rsid w:val="365F0649"/>
    <w:rsid w:val="3669FE45"/>
    <w:rsid w:val="369079C1"/>
    <w:rsid w:val="36940429"/>
    <w:rsid w:val="3696AEBE"/>
    <w:rsid w:val="369D3107"/>
    <w:rsid w:val="36A15470"/>
    <w:rsid w:val="36A3BB1E"/>
    <w:rsid w:val="36A4751A"/>
    <w:rsid w:val="36AF7352"/>
    <w:rsid w:val="36B14E93"/>
    <w:rsid w:val="36B4E0A2"/>
    <w:rsid w:val="36B5F530"/>
    <w:rsid w:val="36C97484"/>
    <w:rsid w:val="36CB7E1C"/>
    <w:rsid w:val="36CBC38A"/>
    <w:rsid w:val="36CF86D8"/>
    <w:rsid w:val="36D6200F"/>
    <w:rsid w:val="36DD98F1"/>
    <w:rsid w:val="36E15D1C"/>
    <w:rsid w:val="36E84DAE"/>
    <w:rsid w:val="36F3A9CF"/>
    <w:rsid w:val="370187FB"/>
    <w:rsid w:val="370C7649"/>
    <w:rsid w:val="37146C32"/>
    <w:rsid w:val="3714FEF0"/>
    <w:rsid w:val="37165C19"/>
    <w:rsid w:val="37176D3A"/>
    <w:rsid w:val="37192727"/>
    <w:rsid w:val="371F1BEB"/>
    <w:rsid w:val="3722BE83"/>
    <w:rsid w:val="37341F2F"/>
    <w:rsid w:val="3738092B"/>
    <w:rsid w:val="3739EFA1"/>
    <w:rsid w:val="373C7821"/>
    <w:rsid w:val="374514EA"/>
    <w:rsid w:val="3752C672"/>
    <w:rsid w:val="37561384"/>
    <w:rsid w:val="375DEA7D"/>
    <w:rsid w:val="3769737B"/>
    <w:rsid w:val="376B7D89"/>
    <w:rsid w:val="376CFF49"/>
    <w:rsid w:val="37729BCB"/>
    <w:rsid w:val="377C4684"/>
    <w:rsid w:val="3782E531"/>
    <w:rsid w:val="3782F3D8"/>
    <w:rsid w:val="37853DCE"/>
    <w:rsid w:val="378C79AB"/>
    <w:rsid w:val="379CE513"/>
    <w:rsid w:val="37A27181"/>
    <w:rsid w:val="37A884AD"/>
    <w:rsid w:val="37AAA301"/>
    <w:rsid w:val="37B46FE1"/>
    <w:rsid w:val="37C017E9"/>
    <w:rsid w:val="37C255A5"/>
    <w:rsid w:val="37CA4A53"/>
    <w:rsid w:val="37CC8EED"/>
    <w:rsid w:val="37CDD91A"/>
    <w:rsid w:val="37CE027E"/>
    <w:rsid w:val="37CFBE08"/>
    <w:rsid w:val="37D85BEB"/>
    <w:rsid w:val="37D8A3C7"/>
    <w:rsid w:val="37DAE64B"/>
    <w:rsid w:val="37DC8064"/>
    <w:rsid w:val="37E1C4F0"/>
    <w:rsid w:val="37F29C9A"/>
    <w:rsid w:val="37FD0353"/>
    <w:rsid w:val="37FDED86"/>
    <w:rsid w:val="3804B46B"/>
    <w:rsid w:val="38140F89"/>
    <w:rsid w:val="381567C8"/>
    <w:rsid w:val="3821CB09"/>
    <w:rsid w:val="3829CF4A"/>
    <w:rsid w:val="38375BD9"/>
    <w:rsid w:val="3845277F"/>
    <w:rsid w:val="384E58A4"/>
    <w:rsid w:val="3867452C"/>
    <w:rsid w:val="386C9D24"/>
    <w:rsid w:val="3878F94A"/>
    <w:rsid w:val="387C83D5"/>
    <w:rsid w:val="387C9326"/>
    <w:rsid w:val="388979A4"/>
    <w:rsid w:val="389147F8"/>
    <w:rsid w:val="38A58DFF"/>
    <w:rsid w:val="38B38A05"/>
    <w:rsid w:val="38B7DA14"/>
    <w:rsid w:val="38BAA16F"/>
    <w:rsid w:val="38BCF809"/>
    <w:rsid w:val="38BE23D8"/>
    <w:rsid w:val="38CC11D8"/>
    <w:rsid w:val="38CED4EE"/>
    <w:rsid w:val="38CFA8FA"/>
    <w:rsid w:val="38D2B9F3"/>
    <w:rsid w:val="38D547D2"/>
    <w:rsid w:val="38D5F467"/>
    <w:rsid w:val="38D6E994"/>
    <w:rsid w:val="38DE0635"/>
    <w:rsid w:val="38ED5AFB"/>
    <w:rsid w:val="38EDF3B7"/>
    <w:rsid w:val="38F6FDAD"/>
    <w:rsid w:val="39021C27"/>
    <w:rsid w:val="390D034F"/>
    <w:rsid w:val="390F169D"/>
    <w:rsid w:val="3917DA2A"/>
    <w:rsid w:val="39197B39"/>
    <w:rsid w:val="391B9CF7"/>
    <w:rsid w:val="391BDC4F"/>
    <w:rsid w:val="391FD9D5"/>
    <w:rsid w:val="39249E6A"/>
    <w:rsid w:val="392686E2"/>
    <w:rsid w:val="39278548"/>
    <w:rsid w:val="392C0EAB"/>
    <w:rsid w:val="392C831B"/>
    <w:rsid w:val="393411DB"/>
    <w:rsid w:val="393976E6"/>
    <w:rsid w:val="393AAFE8"/>
    <w:rsid w:val="393CC268"/>
    <w:rsid w:val="393F8C03"/>
    <w:rsid w:val="393FE846"/>
    <w:rsid w:val="39422D76"/>
    <w:rsid w:val="39443181"/>
    <w:rsid w:val="39477BB9"/>
    <w:rsid w:val="3949A4E2"/>
    <w:rsid w:val="3949E855"/>
    <w:rsid w:val="394A7280"/>
    <w:rsid w:val="3951E562"/>
    <w:rsid w:val="3959C5F3"/>
    <w:rsid w:val="395DECF7"/>
    <w:rsid w:val="39630513"/>
    <w:rsid w:val="397109F7"/>
    <w:rsid w:val="3972C958"/>
    <w:rsid w:val="39757470"/>
    <w:rsid w:val="3977688D"/>
    <w:rsid w:val="397B1ED9"/>
    <w:rsid w:val="397C2616"/>
    <w:rsid w:val="397CE578"/>
    <w:rsid w:val="397D0CA5"/>
    <w:rsid w:val="397F9E53"/>
    <w:rsid w:val="398248F6"/>
    <w:rsid w:val="398796B0"/>
    <w:rsid w:val="39911A67"/>
    <w:rsid w:val="399370E5"/>
    <w:rsid w:val="399E3AF1"/>
    <w:rsid w:val="399EB6F9"/>
    <w:rsid w:val="39A34C3C"/>
    <w:rsid w:val="39AA7266"/>
    <w:rsid w:val="39AEABF5"/>
    <w:rsid w:val="39AEBDD4"/>
    <w:rsid w:val="39BDC1A2"/>
    <w:rsid w:val="39C41296"/>
    <w:rsid w:val="39C49C5C"/>
    <w:rsid w:val="39C4E88A"/>
    <w:rsid w:val="39C829A6"/>
    <w:rsid w:val="39C8FAB2"/>
    <w:rsid w:val="39D062E7"/>
    <w:rsid w:val="39D63B40"/>
    <w:rsid w:val="39D6F7A8"/>
    <w:rsid w:val="39D9D82E"/>
    <w:rsid w:val="39DC92B5"/>
    <w:rsid w:val="39DDD6E5"/>
    <w:rsid w:val="39E71B6F"/>
    <w:rsid w:val="39F3A4C9"/>
    <w:rsid w:val="39F4D8E7"/>
    <w:rsid w:val="39FDFA09"/>
    <w:rsid w:val="3A0562D0"/>
    <w:rsid w:val="3A079923"/>
    <w:rsid w:val="3A07C06C"/>
    <w:rsid w:val="3A0A2B76"/>
    <w:rsid w:val="3A0AD26F"/>
    <w:rsid w:val="3A116622"/>
    <w:rsid w:val="3A1216C2"/>
    <w:rsid w:val="3A146873"/>
    <w:rsid w:val="3A1F1C16"/>
    <w:rsid w:val="3A23B62C"/>
    <w:rsid w:val="3A28EEE4"/>
    <w:rsid w:val="3A2B4A60"/>
    <w:rsid w:val="3A32C8A1"/>
    <w:rsid w:val="3A36A312"/>
    <w:rsid w:val="3A3BA18C"/>
    <w:rsid w:val="3A3C6F4D"/>
    <w:rsid w:val="3A3DB14B"/>
    <w:rsid w:val="3A3F16D7"/>
    <w:rsid w:val="3A421FF8"/>
    <w:rsid w:val="3A42EC1D"/>
    <w:rsid w:val="3A462939"/>
    <w:rsid w:val="3A4C15D9"/>
    <w:rsid w:val="3A523FA2"/>
    <w:rsid w:val="3A584AF2"/>
    <w:rsid w:val="3A5E4E9A"/>
    <w:rsid w:val="3A672ED3"/>
    <w:rsid w:val="3A675A10"/>
    <w:rsid w:val="3A678586"/>
    <w:rsid w:val="3A73D507"/>
    <w:rsid w:val="3A804564"/>
    <w:rsid w:val="3A846995"/>
    <w:rsid w:val="3A88C21B"/>
    <w:rsid w:val="3A88FF40"/>
    <w:rsid w:val="3A8E388C"/>
    <w:rsid w:val="3A94D110"/>
    <w:rsid w:val="3A9EBEAE"/>
    <w:rsid w:val="3AA02465"/>
    <w:rsid w:val="3AA569FE"/>
    <w:rsid w:val="3AB0DA1C"/>
    <w:rsid w:val="3AB92295"/>
    <w:rsid w:val="3ABB19A2"/>
    <w:rsid w:val="3ABCC18B"/>
    <w:rsid w:val="3AC33714"/>
    <w:rsid w:val="3AD3343D"/>
    <w:rsid w:val="3ADA7D69"/>
    <w:rsid w:val="3ADD954C"/>
    <w:rsid w:val="3AE182FC"/>
    <w:rsid w:val="3AE3C2E3"/>
    <w:rsid w:val="3AE63237"/>
    <w:rsid w:val="3AEAF383"/>
    <w:rsid w:val="3AEDF31C"/>
    <w:rsid w:val="3AEFADE1"/>
    <w:rsid w:val="3B02DC33"/>
    <w:rsid w:val="3B096480"/>
    <w:rsid w:val="3B0A8E6C"/>
    <w:rsid w:val="3B0B018B"/>
    <w:rsid w:val="3B0B1E71"/>
    <w:rsid w:val="3B0D80AE"/>
    <w:rsid w:val="3B13B961"/>
    <w:rsid w:val="3B145BBF"/>
    <w:rsid w:val="3B1FA552"/>
    <w:rsid w:val="3B228280"/>
    <w:rsid w:val="3B25A6AC"/>
    <w:rsid w:val="3B3E9C99"/>
    <w:rsid w:val="3B42E955"/>
    <w:rsid w:val="3B4FC348"/>
    <w:rsid w:val="3B77FC0B"/>
    <w:rsid w:val="3B79674A"/>
    <w:rsid w:val="3B84C66E"/>
    <w:rsid w:val="3B89207F"/>
    <w:rsid w:val="3B8A2BC9"/>
    <w:rsid w:val="3B8EADFA"/>
    <w:rsid w:val="3B96920E"/>
    <w:rsid w:val="3B97845A"/>
    <w:rsid w:val="3BA05A64"/>
    <w:rsid w:val="3BA0B2AA"/>
    <w:rsid w:val="3BA12D73"/>
    <w:rsid w:val="3BA36D6F"/>
    <w:rsid w:val="3BA5B3F4"/>
    <w:rsid w:val="3BA9B161"/>
    <w:rsid w:val="3BB4E2F9"/>
    <w:rsid w:val="3BB75FDA"/>
    <w:rsid w:val="3BBC50CA"/>
    <w:rsid w:val="3BC15FA9"/>
    <w:rsid w:val="3BD77AE8"/>
    <w:rsid w:val="3BD8527A"/>
    <w:rsid w:val="3BEBAD5B"/>
    <w:rsid w:val="3BEDABB4"/>
    <w:rsid w:val="3BF1AF0A"/>
    <w:rsid w:val="3BF3199B"/>
    <w:rsid w:val="3BF3659A"/>
    <w:rsid w:val="3BF8D91D"/>
    <w:rsid w:val="3C08E60B"/>
    <w:rsid w:val="3C0B7E0A"/>
    <w:rsid w:val="3C0D13BE"/>
    <w:rsid w:val="3C169634"/>
    <w:rsid w:val="3C1962F6"/>
    <w:rsid w:val="3C21576C"/>
    <w:rsid w:val="3C25EA6F"/>
    <w:rsid w:val="3C311C4A"/>
    <w:rsid w:val="3C3682FE"/>
    <w:rsid w:val="3C3874F3"/>
    <w:rsid w:val="3C3A22A6"/>
    <w:rsid w:val="3C41AF71"/>
    <w:rsid w:val="3C44C653"/>
    <w:rsid w:val="3C44E91D"/>
    <w:rsid w:val="3C4A47E0"/>
    <w:rsid w:val="3C51E79E"/>
    <w:rsid w:val="3C55654B"/>
    <w:rsid w:val="3C5CC53A"/>
    <w:rsid w:val="3C6B23C2"/>
    <w:rsid w:val="3C6CCE2B"/>
    <w:rsid w:val="3C7C29EF"/>
    <w:rsid w:val="3C7E0360"/>
    <w:rsid w:val="3C7E45D2"/>
    <w:rsid w:val="3C823B93"/>
    <w:rsid w:val="3C83A708"/>
    <w:rsid w:val="3C8909A5"/>
    <w:rsid w:val="3C9E7956"/>
    <w:rsid w:val="3CA9ED43"/>
    <w:rsid w:val="3CB0039E"/>
    <w:rsid w:val="3CBC13B6"/>
    <w:rsid w:val="3CC0A2E6"/>
    <w:rsid w:val="3CC1BCA1"/>
    <w:rsid w:val="3CC20536"/>
    <w:rsid w:val="3CC315A4"/>
    <w:rsid w:val="3CCDC230"/>
    <w:rsid w:val="3CCFD3D8"/>
    <w:rsid w:val="3CD7614D"/>
    <w:rsid w:val="3CDA7B23"/>
    <w:rsid w:val="3CDCA235"/>
    <w:rsid w:val="3CE1CD7C"/>
    <w:rsid w:val="3CE207A9"/>
    <w:rsid w:val="3CE74A96"/>
    <w:rsid w:val="3CEBC1BB"/>
    <w:rsid w:val="3CF9119E"/>
    <w:rsid w:val="3CFF0839"/>
    <w:rsid w:val="3D021DE2"/>
    <w:rsid w:val="3D0687D9"/>
    <w:rsid w:val="3D1029CA"/>
    <w:rsid w:val="3D111C76"/>
    <w:rsid w:val="3D125849"/>
    <w:rsid w:val="3D212A15"/>
    <w:rsid w:val="3D25FB64"/>
    <w:rsid w:val="3D2667A0"/>
    <w:rsid w:val="3D29D1E8"/>
    <w:rsid w:val="3D2D4659"/>
    <w:rsid w:val="3D355547"/>
    <w:rsid w:val="3D357EB4"/>
    <w:rsid w:val="3D388651"/>
    <w:rsid w:val="3D39C137"/>
    <w:rsid w:val="3D3D595A"/>
    <w:rsid w:val="3D3EA5B2"/>
    <w:rsid w:val="3D41A629"/>
    <w:rsid w:val="3D439A22"/>
    <w:rsid w:val="3D44B408"/>
    <w:rsid w:val="3D4FE442"/>
    <w:rsid w:val="3D552A94"/>
    <w:rsid w:val="3D571911"/>
    <w:rsid w:val="3D58CF8F"/>
    <w:rsid w:val="3D5BA4AE"/>
    <w:rsid w:val="3D6AA116"/>
    <w:rsid w:val="3D717DEB"/>
    <w:rsid w:val="3D72586C"/>
    <w:rsid w:val="3D80CBBA"/>
    <w:rsid w:val="3D8B5C84"/>
    <w:rsid w:val="3D937FBA"/>
    <w:rsid w:val="3D9429F3"/>
    <w:rsid w:val="3D9486D6"/>
    <w:rsid w:val="3D966271"/>
    <w:rsid w:val="3D9DB6B8"/>
    <w:rsid w:val="3DA1A185"/>
    <w:rsid w:val="3DA29A21"/>
    <w:rsid w:val="3DA2C5FA"/>
    <w:rsid w:val="3DA30499"/>
    <w:rsid w:val="3DA83075"/>
    <w:rsid w:val="3DAC8F51"/>
    <w:rsid w:val="3DACF92B"/>
    <w:rsid w:val="3DAE1530"/>
    <w:rsid w:val="3DB23D24"/>
    <w:rsid w:val="3DB24287"/>
    <w:rsid w:val="3DB6CD9D"/>
    <w:rsid w:val="3DB99412"/>
    <w:rsid w:val="3DBC4B5C"/>
    <w:rsid w:val="3DC0B2AC"/>
    <w:rsid w:val="3DC2D8FD"/>
    <w:rsid w:val="3DCC6546"/>
    <w:rsid w:val="3DCC8AF3"/>
    <w:rsid w:val="3DCD4014"/>
    <w:rsid w:val="3DCE596B"/>
    <w:rsid w:val="3DCFDB53"/>
    <w:rsid w:val="3DD3F047"/>
    <w:rsid w:val="3DD598D1"/>
    <w:rsid w:val="3DD8DFBF"/>
    <w:rsid w:val="3DDAA5F6"/>
    <w:rsid w:val="3DE189FD"/>
    <w:rsid w:val="3DE76C7A"/>
    <w:rsid w:val="3DE7B04E"/>
    <w:rsid w:val="3DF8EE3F"/>
    <w:rsid w:val="3DFC0286"/>
    <w:rsid w:val="3E00EDE1"/>
    <w:rsid w:val="3E26023B"/>
    <w:rsid w:val="3E2612BC"/>
    <w:rsid w:val="3E27A1C4"/>
    <w:rsid w:val="3E304BEC"/>
    <w:rsid w:val="3E32969C"/>
    <w:rsid w:val="3E36EAC3"/>
    <w:rsid w:val="3E387A6C"/>
    <w:rsid w:val="3E3DCC76"/>
    <w:rsid w:val="3E3F9D98"/>
    <w:rsid w:val="3E40164B"/>
    <w:rsid w:val="3E48ADBE"/>
    <w:rsid w:val="3E48B094"/>
    <w:rsid w:val="3E4ACB15"/>
    <w:rsid w:val="3E4B437D"/>
    <w:rsid w:val="3E4FD848"/>
    <w:rsid w:val="3E5A89B0"/>
    <w:rsid w:val="3E5D1989"/>
    <w:rsid w:val="3E5E5941"/>
    <w:rsid w:val="3E60E6B9"/>
    <w:rsid w:val="3E74A072"/>
    <w:rsid w:val="3E75BB6F"/>
    <w:rsid w:val="3E7C8D8C"/>
    <w:rsid w:val="3E7EBDC4"/>
    <w:rsid w:val="3E813330"/>
    <w:rsid w:val="3E862661"/>
    <w:rsid w:val="3E94F360"/>
    <w:rsid w:val="3E9B2592"/>
    <w:rsid w:val="3E9ED4F6"/>
    <w:rsid w:val="3EAD613A"/>
    <w:rsid w:val="3EAE8DC8"/>
    <w:rsid w:val="3EB20AF7"/>
    <w:rsid w:val="3EC35BFF"/>
    <w:rsid w:val="3EC38305"/>
    <w:rsid w:val="3EC60E6F"/>
    <w:rsid w:val="3ED65C9D"/>
    <w:rsid w:val="3EE608C6"/>
    <w:rsid w:val="3EE8515D"/>
    <w:rsid w:val="3EF0D891"/>
    <w:rsid w:val="3EF71C72"/>
    <w:rsid w:val="3EF882C3"/>
    <w:rsid w:val="3EF9408A"/>
    <w:rsid w:val="3EFE2654"/>
    <w:rsid w:val="3F018969"/>
    <w:rsid w:val="3F061FE1"/>
    <w:rsid w:val="3F1009D1"/>
    <w:rsid w:val="3F10E093"/>
    <w:rsid w:val="3F132D6D"/>
    <w:rsid w:val="3F135B60"/>
    <w:rsid w:val="3F138374"/>
    <w:rsid w:val="3F163604"/>
    <w:rsid w:val="3F1FBD21"/>
    <w:rsid w:val="3F2075BE"/>
    <w:rsid w:val="3F2119C7"/>
    <w:rsid w:val="3F218525"/>
    <w:rsid w:val="3F2A4CA3"/>
    <w:rsid w:val="3F2AE620"/>
    <w:rsid w:val="3F2B7955"/>
    <w:rsid w:val="3F3A7CE2"/>
    <w:rsid w:val="3F3B3434"/>
    <w:rsid w:val="3F3D6ADD"/>
    <w:rsid w:val="3F3F42A5"/>
    <w:rsid w:val="3F4494AA"/>
    <w:rsid w:val="3F4A7946"/>
    <w:rsid w:val="3F4B0469"/>
    <w:rsid w:val="3F589FA2"/>
    <w:rsid w:val="3F5ACD35"/>
    <w:rsid w:val="3F5CB4E8"/>
    <w:rsid w:val="3F61F900"/>
    <w:rsid w:val="3F62CBD7"/>
    <w:rsid w:val="3F6425A7"/>
    <w:rsid w:val="3F68AAB3"/>
    <w:rsid w:val="3F6B63D3"/>
    <w:rsid w:val="3F76679B"/>
    <w:rsid w:val="3F7996D2"/>
    <w:rsid w:val="3F82E97E"/>
    <w:rsid w:val="3F86FC7F"/>
    <w:rsid w:val="3F8AFA92"/>
    <w:rsid w:val="3F8BD66E"/>
    <w:rsid w:val="3F998D42"/>
    <w:rsid w:val="3FA1BEB5"/>
    <w:rsid w:val="3FAB2295"/>
    <w:rsid w:val="3FB2A6A8"/>
    <w:rsid w:val="3FB5E96B"/>
    <w:rsid w:val="3FB7662F"/>
    <w:rsid w:val="3FBB8791"/>
    <w:rsid w:val="3FBBE702"/>
    <w:rsid w:val="3FC17DD0"/>
    <w:rsid w:val="3FC336D6"/>
    <w:rsid w:val="3FC6437A"/>
    <w:rsid w:val="3FCA3CF3"/>
    <w:rsid w:val="3FCC3013"/>
    <w:rsid w:val="3FCC521A"/>
    <w:rsid w:val="3FD2D993"/>
    <w:rsid w:val="3FDA50E7"/>
    <w:rsid w:val="3FDD9A36"/>
    <w:rsid w:val="3FDF4250"/>
    <w:rsid w:val="3FEC65F9"/>
    <w:rsid w:val="3FEE0BEF"/>
    <w:rsid w:val="3FF67046"/>
    <w:rsid w:val="3FF8A015"/>
    <w:rsid w:val="3FFA9481"/>
    <w:rsid w:val="4000C9B8"/>
    <w:rsid w:val="40016E7B"/>
    <w:rsid w:val="4001A395"/>
    <w:rsid w:val="4005A1BE"/>
    <w:rsid w:val="4008DC49"/>
    <w:rsid w:val="40098A31"/>
    <w:rsid w:val="4011E106"/>
    <w:rsid w:val="4013F899"/>
    <w:rsid w:val="4014EE61"/>
    <w:rsid w:val="4016867F"/>
    <w:rsid w:val="40179DE6"/>
    <w:rsid w:val="40251F46"/>
    <w:rsid w:val="4026F6CE"/>
    <w:rsid w:val="40342937"/>
    <w:rsid w:val="403D24CC"/>
    <w:rsid w:val="4048499B"/>
    <w:rsid w:val="40512282"/>
    <w:rsid w:val="4051433E"/>
    <w:rsid w:val="4054AD30"/>
    <w:rsid w:val="40598F57"/>
    <w:rsid w:val="40600543"/>
    <w:rsid w:val="406A22DA"/>
    <w:rsid w:val="406CC8CA"/>
    <w:rsid w:val="406EE2FC"/>
    <w:rsid w:val="40736216"/>
    <w:rsid w:val="407676DA"/>
    <w:rsid w:val="4076C979"/>
    <w:rsid w:val="40788B07"/>
    <w:rsid w:val="407C4144"/>
    <w:rsid w:val="40857690"/>
    <w:rsid w:val="408B93DF"/>
    <w:rsid w:val="408D277A"/>
    <w:rsid w:val="408E4998"/>
    <w:rsid w:val="4092CC32"/>
    <w:rsid w:val="4098BD0C"/>
    <w:rsid w:val="4098F465"/>
    <w:rsid w:val="40A02E73"/>
    <w:rsid w:val="40A3CCC5"/>
    <w:rsid w:val="40A864E3"/>
    <w:rsid w:val="40AA0897"/>
    <w:rsid w:val="40AC87A3"/>
    <w:rsid w:val="40B00D91"/>
    <w:rsid w:val="40B57918"/>
    <w:rsid w:val="40B633F4"/>
    <w:rsid w:val="40B82A5E"/>
    <w:rsid w:val="40BFEFCE"/>
    <w:rsid w:val="40C26CE2"/>
    <w:rsid w:val="40C35E22"/>
    <w:rsid w:val="40C520E7"/>
    <w:rsid w:val="40CAAD19"/>
    <w:rsid w:val="40DDE1F3"/>
    <w:rsid w:val="40E96E7D"/>
    <w:rsid w:val="40EEF7AE"/>
    <w:rsid w:val="40F54EC8"/>
    <w:rsid w:val="40F76AFE"/>
    <w:rsid w:val="40F84FA1"/>
    <w:rsid w:val="40F966EA"/>
    <w:rsid w:val="40FFC69B"/>
    <w:rsid w:val="410A1431"/>
    <w:rsid w:val="410BC9DF"/>
    <w:rsid w:val="41109731"/>
    <w:rsid w:val="41139CB1"/>
    <w:rsid w:val="41258A33"/>
    <w:rsid w:val="412B42B7"/>
    <w:rsid w:val="412D03ED"/>
    <w:rsid w:val="412D078D"/>
    <w:rsid w:val="412E3050"/>
    <w:rsid w:val="413183E1"/>
    <w:rsid w:val="4132DB09"/>
    <w:rsid w:val="413D6469"/>
    <w:rsid w:val="41402CDA"/>
    <w:rsid w:val="414A486D"/>
    <w:rsid w:val="414BF4F5"/>
    <w:rsid w:val="4154A57F"/>
    <w:rsid w:val="416141D5"/>
    <w:rsid w:val="41627964"/>
    <w:rsid w:val="416DCC63"/>
    <w:rsid w:val="41701C18"/>
    <w:rsid w:val="41756A0B"/>
    <w:rsid w:val="417AC38D"/>
    <w:rsid w:val="417E2D63"/>
    <w:rsid w:val="417E9E7D"/>
    <w:rsid w:val="417FC206"/>
    <w:rsid w:val="4194AE41"/>
    <w:rsid w:val="4195AD61"/>
    <w:rsid w:val="419C58EC"/>
    <w:rsid w:val="41A04326"/>
    <w:rsid w:val="41A069A9"/>
    <w:rsid w:val="41A3AF44"/>
    <w:rsid w:val="41AC2468"/>
    <w:rsid w:val="41ACDF04"/>
    <w:rsid w:val="41AD016C"/>
    <w:rsid w:val="41BB51FB"/>
    <w:rsid w:val="41BC8641"/>
    <w:rsid w:val="41BEE72B"/>
    <w:rsid w:val="41C44C89"/>
    <w:rsid w:val="41C62691"/>
    <w:rsid w:val="41CBB1A4"/>
    <w:rsid w:val="41D04838"/>
    <w:rsid w:val="41D7041D"/>
    <w:rsid w:val="41DED20E"/>
    <w:rsid w:val="41E143DE"/>
    <w:rsid w:val="41E605A9"/>
    <w:rsid w:val="41E7467D"/>
    <w:rsid w:val="41ECB66D"/>
    <w:rsid w:val="41F2DF02"/>
    <w:rsid w:val="41FFCDD8"/>
    <w:rsid w:val="4201B6ED"/>
    <w:rsid w:val="4208B3A7"/>
    <w:rsid w:val="420CF275"/>
    <w:rsid w:val="42117BFA"/>
    <w:rsid w:val="42121F58"/>
    <w:rsid w:val="4213E9FB"/>
    <w:rsid w:val="4217AD31"/>
    <w:rsid w:val="421DA995"/>
    <w:rsid w:val="42204D7D"/>
    <w:rsid w:val="42240AFE"/>
    <w:rsid w:val="423B85DD"/>
    <w:rsid w:val="423C6007"/>
    <w:rsid w:val="42409C61"/>
    <w:rsid w:val="424330DC"/>
    <w:rsid w:val="42436D73"/>
    <w:rsid w:val="42452473"/>
    <w:rsid w:val="424671FD"/>
    <w:rsid w:val="424AB164"/>
    <w:rsid w:val="424D93C5"/>
    <w:rsid w:val="42508270"/>
    <w:rsid w:val="4256DD5D"/>
    <w:rsid w:val="4259612D"/>
    <w:rsid w:val="425C688A"/>
    <w:rsid w:val="4260DA89"/>
    <w:rsid w:val="4278F5A3"/>
    <w:rsid w:val="427BF6FB"/>
    <w:rsid w:val="428913B0"/>
    <w:rsid w:val="428C65D0"/>
    <w:rsid w:val="428E399E"/>
    <w:rsid w:val="429045C2"/>
    <w:rsid w:val="42912EE6"/>
    <w:rsid w:val="4292BCB8"/>
    <w:rsid w:val="4296B32A"/>
    <w:rsid w:val="42AF523E"/>
    <w:rsid w:val="42B55172"/>
    <w:rsid w:val="42B7F07C"/>
    <w:rsid w:val="42BA8843"/>
    <w:rsid w:val="42CCA516"/>
    <w:rsid w:val="42D40987"/>
    <w:rsid w:val="42D4906F"/>
    <w:rsid w:val="42D61BFB"/>
    <w:rsid w:val="42D697EF"/>
    <w:rsid w:val="42E08670"/>
    <w:rsid w:val="42E2DB8C"/>
    <w:rsid w:val="42E353E7"/>
    <w:rsid w:val="42E8745D"/>
    <w:rsid w:val="42EA6404"/>
    <w:rsid w:val="42F00C3C"/>
    <w:rsid w:val="42F34826"/>
    <w:rsid w:val="42F4D7B6"/>
    <w:rsid w:val="42F6546D"/>
    <w:rsid w:val="42F992E5"/>
    <w:rsid w:val="42FDDE0F"/>
    <w:rsid w:val="43026D6C"/>
    <w:rsid w:val="430825DE"/>
    <w:rsid w:val="430E4652"/>
    <w:rsid w:val="4315A60D"/>
    <w:rsid w:val="4323652B"/>
    <w:rsid w:val="4327C559"/>
    <w:rsid w:val="4329EF55"/>
    <w:rsid w:val="43303610"/>
    <w:rsid w:val="43375354"/>
    <w:rsid w:val="433914B7"/>
    <w:rsid w:val="4339A139"/>
    <w:rsid w:val="433AF7BB"/>
    <w:rsid w:val="433E03DA"/>
    <w:rsid w:val="434163F0"/>
    <w:rsid w:val="43449C55"/>
    <w:rsid w:val="4348397C"/>
    <w:rsid w:val="435254F8"/>
    <w:rsid w:val="435CD147"/>
    <w:rsid w:val="435F8C1B"/>
    <w:rsid w:val="43608065"/>
    <w:rsid w:val="4368D761"/>
    <w:rsid w:val="436B07F1"/>
    <w:rsid w:val="436B3EE5"/>
    <w:rsid w:val="436BE313"/>
    <w:rsid w:val="436EF2BE"/>
    <w:rsid w:val="4373AFA7"/>
    <w:rsid w:val="4374D70E"/>
    <w:rsid w:val="43755969"/>
    <w:rsid w:val="43785971"/>
    <w:rsid w:val="4380C3FB"/>
    <w:rsid w:val="438CDE1B"/>
    <w:rsid w:val="438CFDB8"/>
    <w:rsid w:val="43916421"/>
    <w:rsid w:val="439620CC"/>
    <w:rsid w:val="43A468AC"/>
    <w:rsid w:val="43B24242"/>
    <w:rsid w:val="43B436BF"/>
    <w:rsid w:val="43B9FD6C"/>
    <w:rsid w:val="43BBA7A2"/>
    <w:rsid w:val="43BFE40E"/>
    <w:rsid w:val="43C17363"/>
    <w:rsid w:val="43C6AD09"/>
    <w:rsid w:val="43C8571D"/>
    <w:rsid w:val="43CB6260"/>
    <w:rsid w:val="43CCDE74"/>
    <w:rsid w:val="43CF87A3"/>
    <w:rsid w:val="43D0E5D7"/>
    <w:rsid w:val="43D9104D"/>
    <w:rsid w:val="43DB1255"/>
    <w:rsid w:val="43DDA787"/>
    <w:rsid w:val="43EE1219"/>
    <w:rsid w:val="43F338F1"/>
    <w:rsid w:val="43F8FA02"/>
    <w:rsid w:val="43FE8905"/>
    <w:rsid w:val="4401997B"/>
    <w:rsid w:val="4403BFA5"/>
    <w:rsid w:val="4403F791"/>
    <w:rsid w:val="440690FE"/>
    <w:rsid w:val="440A6DCC"/>
    <w:rsid w:val="440ED62F"/>
    <w:rsid w:val="441239A4"/>
    <w:rsid w:val="44194E97"/>
    <w:rsid w:val="441DF0AC"/>
    <w:rsid w:val="4421F4AF"/>
    <w:rsid w:val="4422D472"/>
    <w:rsid w:val="442C1912"/>
    <w:rsid w:val="443055CE"/>
    <w:rsid w:val="443AF594"/>
    <w:rsid w:val="443B7CD0"/>
    <w:rsid w:val="443D752F"/>
    <w:rsid w:val="44446E7D"/>
    <w:rsid w:val="44464372"/>
    <w:rsid w:val="4448E097"/>
    <w:rsid w:val="444B9755"/>
    <w:rsid w:val="444F71ED"/>
    <w:rsid w:val="445413BA"/>
    <w:rsid w:val="4454C7B6"/>
    <w:rsid w:val="44567721"/>
    <w:rsid w:val="4458C512"/>
    <w:rsid w:val="4463C2AA"/>
    <w:rsid w:val="44644A2E"/>
    <w:rsid w:val="446D5F38"/>
    <w:rsid w:val="4470145C"/>
    <w:rsid w:val="44750BF2"/>
    <w:rsid w:val="4475B173"/>
    <w:rsid w:val="4479ACEA"/>
    <w:rsid w:val="4480FDED"/>
    <w:rsid w:val="44866AFA"/>
    <w:rsid w:val="4487399C"/>
    <w:rsid w:val="448D6482"/>
    <w:rsid w:val="4495A36A"/>
    <w:rsid w:val="44A48D98"/>
    <w:rsid w:val="44AB8A5F"/>
    <w:rsid w:val="44AC8FB1"/>
    <w:rsid w:val="44B20160"/>
    <w:rsid w:val="44B49A27"/>
    <w:rsid w:val="44C5BDEB"/>
    <w:rsid w:val="44CACAE3"/>
    <w:rsid w:val="44CB2501"/>
    <w:rsid w:val="44CC9982"/>
    <w:rsid w:val="44CE5F8E"/>
    <w:rsid w:val="44DF7CB6"/>
    <w:rsid w:val="44E02C4A"/>
    <w:rsid w:val="44E7D9A6"/>
    <w:rsid w:val="44EAAC0E"/>
    <w:rsid w:val="44FDA4BA"/>
    <w:rsid w:val="44FDE0DB"/>
    <w:rsid w:val="450524B4"/>
    <w:rsid w:val="450CB305"/>
    <w:rsid w:val="451168A2"/>
    <w:rsid w:val="4517B69B"/>
    <w:rsid w:val="4528B502"/>
    <w:rsid w:val="452D6F2C"/>
    <w:rsid w:val="452DC702"/>
    <w:rsid w:val="452F4E5C"/>
    <w:rsid w:val="453C02AA"/>
    <w:rsid w:val="4542E3DD"/>
    <w:rsid w:val="4546F4E6"/>
    <w:rsid w:val="45506766"/>
    <w:rsid w:val="45535529"/>
    <w:rsid w:val="4566207D"/>
    <w:rsid w:val="45672922"/>
    <w:rsid w:val="456AEBFE"/>
    <w:rsid w:val="456FF9BC"/>
    <w:rsid w:val="457442CA"/>
    <w:rsid w:val="457F6068"/>
    <w:rsid w:val="45880297"/>
    <w:rsid w:val="458970C2"/>
    <w:rsid w:val="4591FA1E"/>
    <w:rsid w:val="459386F4"/>
    <w:rsid w:val="4596078D"/>
    <w:rsid w:val="45975D73"/>
    <w:rsid w:val="459797A4"/>
    <w:rsid w:val="459C4CA3"/>
    <w:rsid w:val="45A4F66C"/>
    <w:rsid w:val="45A6B39B"/>
    <w:rsid w:val="45A6D885"/>
    <w:rsid w:val="45AA7359"/>
    <w:rsid w:val="45AD5B7D"/>
    <w:rsid w:val="45BC34DF"/>
    <w:rsid w:val="45BE163D"/>
    <w:rsid w:val="45C5C508"/>
    <w:rsid w:val="45C60136"/>
    <w:rsid w:val="45C97195"/>
    <w:rsid w:val="45D03FCA"/>
    <w:rsid w:val="45D37E40"/>
    <w:rsid w:val="45DF2CD9"/>
    <w:rsid w:val="45E0F7BD"/>
    <w:rsid w:val="45E4202B"/>
    <w:rsid w:val="45E487A4"/>
    <w:rsid w:val="45E48CAD"/>
    <w:rsid w:val="45E5B2CC"/>
    <w:rsid w:val="45ED8D1F"/>
    <w:rsid w:val="45FAE5C3"/>
    <w:rsid w:val="46051C3E"/>
    <w:rsid w:val="460581E5"/>
    <w:rsid w:val="46082DA5"/>
    <w:rsid w:val="460DD5C8"/>
    <w:rsid w:val="4610101D"/>
    <w:rsid w:val="4612B98A"/>
    <w:rsid w:val="4619BF0D"/>
    <w:rsid w:val="462155A9"/>
    <w:rsid w:val="462A6518"/>
    <w:rsid w:val="46349316"/>
    <w:rsid w:val="46377CC0"/>
    <w:rsid w:val="46394DAD"/>
    <w:rsid w:val="463B5F6F"/>
    <w:rsid w:val="463FD7BA"/>
    <w:rsid w:val="464253B1"/>
    <w:rsid w:val="4642EC89"/>
    <w:rsid w:val="46475973"/>
    <w:rsid w:val="464F2C80"/>
    <w:rsid w:val="4652481F"/>
    <w:rsid w:val="46530154"/>
    <w:rsid w:val="4657822D"/>
    <w:rsid w:val="4660D2CF"/>
    <w:rsid w:val="46610284"/>
    <w:rsid w:val="466E95FF"/>
    <w:rsid w:val="466F376A"/>
    <w:rsid w:val="46737A12"/>
    <w:rsid w:val="46764670"/>
    <w:rsid w:val="467B72AC"/>
    <w:rsid w:val="46804695"/>
    <w:rsid w:val="4683EC41"/>
    <w:rsid w:val="468935BD"/>
    <w:rsid w:val="468F3A8F"/>
    <w:rsid w:val="46956CB9"/>
    <w:rsid w:val="4698675C"/>
    <w:rsid w:val="469F1F13"/>
    <w:rsid w:val="46A6526C"/>
    <w:rsid w:val="46AA6977"/>
    <w:rsid w:val="46AC771D"/>
    <w:rsid w:val="46B2DDD5"/>
    <w:rsid w:val="46B40278"/>
    <w:rsid w:val="46BB37C1"/>
    <w:rsid w:val="46BDF72C"/>
    <w:rsid w:val="46BEEC68"/>
    <w:rsid w:val="46D17F28"/>
    <w:rsid w:val="46D81DD5"/>
    <w:rsid w:val="46DB1746"/>
    <w:rsid w:val="46DC999E"/>
    <w:rsid w:val="46DCB77B"/>
    <w:rsid w:val="46DD2035"/>
    <w:rsid w:val="46DE7CFA"/>
    <w:rsid w:val="46EBBED1"/>
    <w:rsid w:val="46F369A1"/>
    <w:rsid w:val="46FCE304"/>
    <w:rsid w:val="4706D1BF"/>
    <w:rsid w:val="47092BF1"/>
    <w:rsid w:val="470CDEC7"/>
    <w:rsid w:val="4711730F"/>
    <w:rsid w:val="47154277"/>
    <w:rsid w:val="471C2163"/>
    <w:rsid w:val="471F4B4E"/>
    <w:rsid w:val="4720A5E0"/>
    <w:rsid w:val="472457A1"/>
    <w:rsid w:val="472C0CD3"/>
    <w:rsid w:val="4730C550"/>
    <w:rsid w:val="4730CE2C"/>
    <w:rsid w:val="47387E45"/>
    <w:rsid w:val="473BAA34"/>
    <w:rsid w:val="47412D9A"/>
    <w:rsid w:val="474D228E"/>
    <w:rsid w:val="4751373C"/>
    <w:rsid w:val="4752EAA7"/>
    <w:rsid w:val="475D1C74"/>
    <w:rsid w:val="47667480"/>
    <w:rsid w:val="4769B951"/>
    <w:rsid w:val="4770CF7A"/>
    <w:rsid w:val="477F0099"/>
    <w:rsid w:val="4783E7D0"/>
    <w:rsid w:val="47892F95"/>
    <w:rsid w:val="478ED237"/>
    <w:rsid w:val="4799F007"/>
    <w:rsid w:val="47A325DB"/>
    <w:rsid w:val="47A59BE6"/>
    <w:rsid w:val="47A884DA"/>
    <w:rsid w:val="47AE7B04"/>
    <w:rsid w:val="47BC6FE8"/>
    <w:rsid w:val="47BD7947"/>
    <w:rsid w:val="47C1332E"/>
    <w:rsid w:val="47CB2B1C"/>
    <w:rsid w:val="47D58B21"/>
    <w:rsid w:val="47DCDA37"/>
    <w:rsid w:val="47DFA056"/>
    <w:rsid w:val="47E47CC5"/>
    <w:rsid w:val="47F00079"/>
    <w:rsid w:val="47F15B67"/>
    <w:rsid w:val="47F3585C"/>
    <w:rsid w:val="47F40EA3"/>
    <w:rsid w:val="48033BF5"/>
    <w:rsid w:val="48039A39"/>
    <w:rsid w:val="4804F796"/>
    <w:rsid w:val="4808A68A"/>
    <w:rsid w:val="48097BF2"/>
    <w:rsid w:val="480A61E0"/>
    <w:rsid w:val="480FC16B"/>
    <w:rsid w:val="48196CD5"/>
    <w:rsid w:val="481FBC00"/>
    <w:rsid w:val="4820AA43"/>
    <w:rsid w:val="4821F542"/>
    <w:rsid w:val="4822D536"/>
    <w:rsid w:val="482F1A7F"/>
    <w:rsid w:val="4831C246"/>
    <w:rsid w:val="4831CC06"/>
    <w:rsid w:val="483C2E2D"/>
    <w:rsid w:val="483EA018"/>
    <w:rsid w:val="484404E9"/>
    <w:rsid w:val="48456ED7"/>
    <w:rsid w:val="484B9CED"/>
    <w:rsid w:val="484D462F"/>
    <w:rsid w:val="484D9B28"/>
    <w:rsid w:val="484E5F79"/>
    <w:rsid w:val="4850CD42"/>
    <w:rsid w:val="48560900"/>
    <w:rsid w:val="485F3A9E"/>
    <w:rsid w:val="485F3FB6"/>
    <w:rsid w:val="488A20F3"/>
    <w:rsid w:val="488D3694"/>
    <w:rsid w:val="488D5656"/>
    <w:rsid w:val="488E325F"/>
    <w:rsid w:val="488F8EE9"/>
    <w:rsid w:val="489DE8B3"/>
    <w:rsid w:val="48AAE52E"/>
    <w:rsid w:val="48AB5711"/>
    <w:rsid w:val="48BCCD9E"/>
    <w:rsid w:val="48BF11E2"/>
    <w:rsid w:val="48CADF14"/>
    <w:rsid w:val="48D40DBB"/>
    <w:rsid w:val="48DB14A6"/>
    <w:rsid w:val="48DB3AB2"/>
    <w:rsid w:val="48E2FDEF"/>
    <w:rsid w:val="48E500C6"/>
    <w:rsid w:val="48E6F6AB"/>
    <w:rsid w:val="48E835A3"/>
    <w:rsid w:val="48E92D29"/>
    <w:rsid w:val="48EDD192"/>
    <w:rsid w:val="48F19C03"/>
    <w:rsid w:val="490867AE"/>
    <w:rsid w:val="49089E69"/>
    <w:rsid w:val="4910F276"/>
    <w:rsid w:val="4910F5A4"/>
    <w:rsid w:val="4917615D"/>
    <w:rsid w:val="49217EB0"/>
    <w:rsid w:val="4921A041"/>
    <w:rsid w:val="49231B1C"/>
    <w:rsid w:val="492858C4"/>
    <w:rsid w:val="492E1D50"/>
    <w:rsid w:val="493A1DDB"/>
    <w:rsid w:val="493BE153"/>
    <w:rsid w:val="49438252"/>
    <w:rsid w:val="4945C327"/>
    <w:rsid w:val="4945D645"/>
    <w:rsid w:val="494F953E"/>
    <w:rsid w:val="494FFE66"/>
    <w:rsid w:val="49534031"/>
    <w:rsid w:val="495D1920"/>
    <w:rsid w:val="49691641"/>
    <w:rsid w:val="49708AB3"/>
    <w:rsid w:val="497626C9"/>
    <w:rsid w:val="4976E828"/>
    <w:rsid w:val="4979849E"/>
    <w:rsid w:val="497AF0D0"/>
    <w:rsid w:val="497C164A"/>
    <w:rsid w:val="4987DC3E"/>
    <w:rsid w:val="498C7483"/>
    <w:rsid w:val="498E2E52"/>
    <w:rsid w:val="49940300"/>
    <w:rsid w:val="4994079F"/>
    <w:rsid w:val="499A66D8"/>
    <w:rsid w:val="499D93D0"/>
    <w:rsid w:val="49AE2EA4"/>
    <w:rsid w:val="49B4238C"/>
    <w:rsid w:val="49C04EFA"/>
    <w:rsid w:val="49C27B27"/>
    <w:rsid w:val="49CE22DB"/>
    <w:rsid w:val="49CEBF4C"/>
    <w:rsid w:val="49D05D93"/>
    <w:rsid w:val="49D53565"/>
    <w:rsid w:val="49DCEAC9"/>
    <w:rsid w:val="49E30937"/>
    <w:rsid w:val="49EEE9D8"/>
    <w:rsid w:val="49F1B692"/>
    <w:rsid w:val="49F44AEA"/>
    <w:rsid w:val="49F4FE99"/>
    <w:rsid w:val="49F6C65A"/>
    <w:rsid w:val="49F9E261"/>
    <w:rsid w:val="49FD74B7"/>
    <w:rsid w:val="49FE63E7"/>
    <w:rsid w:val="4A12A13D"/>
    <w:rsid w:val="4A16376D"/>
    <w:rsid w:val="4A16AE93"/>
    <w:rsid w:val="4A19BF78"/>
    <w:rsid w:val="4A1FA45C"/>
    <w:rsid w:val="4A254B92"/>
    <w:rsid w:val="4A2E8B39"/>
    <w:rsid w:val="4A306B00"/>
    <w:rsid w:val="4A48005B"/>
    <w:rsid w:val="4A548C49"/>
    <w:rsid w:val="4A57D9F2"/>
    <w:rsid w:val="4A5A4674"/>
    <w:rsid w:val="4A5DFC4B"/>
    <w:rsid w:val="4A642962"/>
    <w:rsid w:val="4A735E0C"/>
    <w:rsid w:val="4A767CF4"/>
    <w:rsid w:val="4A76F2EF"/>
    <w:rsid w:val="4A78879A"/>
    <w:rsid w:val="4A7CEB3E"/>
    <w:rsid w:val="4A7EB58C"/>
    <w:rsid w:val="4A84650C"/>
    <w:rsid w:val="4A877D4A"/>
    <w:rsid w:val="4A8C7A05"/>
    <w:rsid w:val="4A8CA202"/>
    <w:rsid w:val="4A94474D"/>
    <w:rsid w:val="4A97FD30"/>
    <w:rsid w:val="4A9BA766"/>
    <w:rsid w:val="4A9C0513"/>
    <w:rsid w:val="4AAA83D9"/>
    <w:rsid w:val="4AAD8834"/>
    <w:rsid w:val="4AB30B73"/>
    <w:rsid w:val="4AB5BDE4"/>
    <w:rsid w:val="4AB79DC3"/>
    <w:rsid w:val="4AC8F868"/>
    <w:rsid w:val="4ACB7CFD"/>
    <w:rsid w:val="4AD32483"/>
    <w:rsid w:val="4AE2ED23"/>
    <w:rsid w:val="4AF0673E"/>
    <w:rsid w:val="4AF74614"/>
    <w:rsid w:val="4AF76EB9"/>
    <w:rsid w:val="4AF7CB1E"/>
    <w:rsid w:val="4AFA865E"/>
    <w:rsid w:val="4B02AC61"/>
    <w:rsid w:val="4B0C7499"/>
    <w:rsid w:val="4B0D3A47"/>
    <w:rsid w:val="4B100A3B"/>
    <w:rsid w:val="4B191241"/>
    <w:rsid w:val="4B20E864"/>
    <w:rsid w:val="4B21D9B3"/>
    <w:rsid w:val="4B24082F"/>
    <w:rsid w:val="4B27B98B"/>
    <w:rsid w:val="4B2A9279"/>
    <w:rsid w:val="4B309946"/>
    <w:rsid w:val="4B401F68"/>
    <w:rsid w:val="4B44146B"/>
    <w:rsid w:val="4B541FC1"/>
    <w:rsid w:val="4B5F8FED"/>
    <w:rsid w:val="4B5F959F"/>
    <w:rsid w:val="4B5FA4EC"/>
    <w:rsid w:val="4B64C27A"/>
    <w:rsid w:val="4B6C334B"/>
    <w:rsid w:val="4B74F81E"/>
    <w:rsid w:val="4B7E7C04"/>
    <w:rsid w:val="4B7F9DF3"/>
    <w:rsid w:val="4B805AFF"/>
    <w:rsid w:val="4B816F96"/>
    <w:rsid w:val="4B839611"/>
    <w:rsid w:val="4B8B82C5"/>
    <w:rsid w:val="4B8EC39A"/>
    <w:rsid w:val="4B921A53"/>
    <w:rsid w:val="4B92B8D8"/>
    <w:rsid w:val="4B9E70FA"/>
    <w:rsid w:val="4BA4CD62"/>
    <w:rsid w:val="4BA6F4AE"/>
    <w:rsid w:val="4BB7E066"/>
    <w:rsid w:val="4BB892B5"/>
    <w:rsid w:val="4BC052EA"/>
    <w:rsid w:val="4BC723E9"/>
    <w:rsid w:val="4BCA8EC8"/>
    <w:rsid w:val="4BDBA6C1"/>
    <w:rsid w:val="4BDC1C97"/>
    <w:rsid w:val="4BDCC109"/>
    <w:rsid w:val="4BE04DCE"/>
    <w:rsid w:val="4BE9B122"/>
    <w:rsid w:val="4BEA0804"/>
    <w:rsid w:val="4BF35EDE"/>
    <w:rsid w:val="4BF4C5A1"/>
    <w:rsid w:val="4BF623C4"/>
    <w:rsid w:val="4BFA8972"/>
    <w:rsid w:val="4BFB3967"/>
    <w:rsid w:val="4BFDC382"/>
    <w:rsid w:val="4C04DF6D"/>
    <w:rsid w:val="4C06BC30"/>
    <w:rsid w:val="4C0861B1"/>
    <w:rsid w:val="4C103075"/>
    <w:rsid w:val="4C1198EF"/>
    <w:rsid w:val="4C1316A0"/>
    <w:rsid w:val="4C17F097"/>
    <w:rsid w:val="4C18C4FB"/>
    <w:rsid w:val="4C1F5792"/>
    <w:rsid w:val="4C1F67A2"/>
    <w:rsid w:val="4C21C574"/>
    <w:rsid w:val="4C276CCF"/>
    <w:rsid w:val="4C2CD144"/>
    <w:rsid w:val="4C37FB13"/>
    <w:rsid w:val="4C3B25C4"/>
    <w:rsid w:val="4C3F7641"/>
    <w:rsid w:val="4C4E4F23"/>
    <w:rsid w:val="4C57F047"/>
    <w:rsid w:val="4C587637"/>
    <w:rsid w:val="4C58B5E1"/>
    <w:rsid w:val="4C5BBCCE"/>
    <w:rsid w:val="4C5C2EAD"/>
    <w:rsid w:val="4C5E78D9"/>
    <w:rsid w:val="4C641C23"/>
    <w:rsid w:val="4C6528B5"/>
    <w:rsid w:val="4C7828E7"/>
    <w:rsid w:val="4C8243B7"/>
    <w:rsid w:val="4C833B2F"/>
    <w:rsid w:val="4C9306FA"/>
    <w:rsid w:val="4C97511B"/>
    <w:rsid w:val="4C997DCE"/>
    <w:rsid w:val="4C9B414C"/>
    <w:rsid w:val="4C9BCA2D"/>
    <w:rsid w:val="4C9C51A8"/>
    <w:rsid w:val="4CA53793"/>
    <w:rsid w:val="4CA7D180"/>
    <w:rsid w:val="4CA8EB3A"/>
    <w:rsid w:val="4CAA29B9"/>
    <w:rsid w:val="4CADB858"/>
    <w:rsid w:val="4CAEB12D"/>
    <w:rsid w:val="4CB89120"/>
    <w:rsid w:val="4CBA44E6"/>
    <w:rsid w:val="4CBF69B7"/>
    <w:rsid w:val="4CC50DB1"/>
    <w:rsid w:val="4CCC6448"/>
    <w:rsid w:val="4CD3B2EB"/>
    <w:rsid w:val="4CD3E7A2"/>
    <w:rsid w:val="4CE15167"/>
    <w:rsid w:val="4CE1C49A"/>
    <w:rsid w:val="4CE1FB9A"/>
    <w:rsid w:val="4CE6AD51"/>
    <w:rsid w:val="4CE98041"/>
    <w:rsid w:val="4CED3E8F"/>
    <w:rsid w:val="4CEF0698"/>
    <w:rsid w:val="4CF3B06D"/>
    <w:rsid w:val="4CF73FA1"/>
    <w:rsid w:val="4CFA17D7"/>
    <w:rsid w:val="4CFB2431"/>
    <w:rsid w:val="4CFCB123"/>
    <w:rsid w:val="4CFD1C03"/>
    <w:rsid w:val="4CFEE1E7"/>
    <w:rsid w:val="4D049AED"/>
    <w:rsid w:val="4D051B1B"/>
    <w:rsid w:val="4D06184B"/>
    <w:rsid w:val="4D0E6DD8"/>
    <w:rsid w:val="4D0F42AC"/>
    <w:rsid w:val="4D1E1932"/>
    <w:rsid w:val="4D212D51"/>
    <w:rsid w:val="4D2A9352"/>
    <w:rsid w:val="4D2AFBB7"/>
    <w:rsid w:val="4D2C86EB"/>
    <w:rsid w:val="4D3C990B"/>
    <w:rsid w:val="4D415F8F"/>
    <w:rsid w:val="4D4AD8D7"/>
    <w:rsid w:val="4D54457F"/>
    <w:rsid w:val="4D568E5E"/>
    <w:rsid w:val="4D5CD605"/>
    <w:rsid w:val="4D5D77F3"/>
    <w:rsid w:val="4D675923"/>
    <w:rsid w:val="4D6E74C5"/>
    <w:rsid w:val="4D774FFF"/>
    <w:rsid w:val="4D79EDE8"/>
    <w:rsid w:val="4D80E1FA"/>
    <w:rsid w:val="4D82C5C9"/>
    <w:rsid w:val="4D8476B8"/>
    <w:rsid w:val="4D850850"/>
    <w:rsid w:val="4D852CA4"/>
    <w:rsid w:val="4D879E49"/>
    <w:rsid w:val="4D8D381C"/>
    <w:rsid w:val="4D931299"/>
    <w:rsid w:val="4D94E484"/>
    <w:rsid w:val="4D950093"/>
    <w:rsid w:val="4D95CCA6"/>
    <w:rsid w:val="4DA0D42B"/>
    <w:rsid w:val="4DA9032F"/>
    <w:rsid w:val="4DA98E2F"/>
    <w:rsid w:val="4DB04789"/>
    <w:rsid w:val="4DBF78D9"/>
    <w:rsid w:val="4DCD1A41"/>
    <w:rsid w:val="4DD0D10D"/>
    <w:rsid w:val="4DDC66CA"/>
    <w:rsid w:val="4DDC9711"/>
    <w:rsid w:val="4DDE9E4F"/>
    <w:rsid w:val="4DE6866E"/>
    <w:rsid w:val="4DF04573"/>
    <w:rsid w:val="4DF53F87"/>
    <w:rsid w:val="4DF825D8"/>
    <w:rsid w:val="4DFA14F2"/>
    <w:rsid w:val="4DFEA101"/>
    <w:rsid w:val="4E01BA97"/>
    <w:rsid w:val="4E079DD4"/>
    <w:rsid w:val="4E15B11C"/>
    <w:rsid w:val="4E18979E"/>
    <w:rsid w:val="4E20AE94"/>
    <w:rsid w:val="4E25E4E7"/>
    <w:rsid w:val="4E26874A"/>
    <w:rsid w:val="4E289F6E"/>
    <w:rsid w:val="4E2C4D9B"/>
    <w:rsid w:val="4E31CB9C"/>
    <w:rsid w:val="4E3811C0"/>
    <w:rsid w:val="4E389E38"/>
    <w:rsid w:val="4E3BBF45"/>
    <w:rsid w:val="4E500E0F"/>
    <w:rsid w:val="4E5F827D"/>
    <w:rsid w:val="4E6201D7"/>
    <w:rsid w:val="4E664E8B"/>
    <w:rsid w:val="4E6793AC"/>
    <w:rsid w:val="4E6B4E84"/>
    <w:rsid w:val="4E6BD3BE"/>
    <w:rsid w:val="4E6EBCBD"/>
    <w:rsid w:val="4E7604E6"/>
    <w:rsid w:val="4E82E472"/>
    <w:rsid w:val="4E84C704"/>
    <w:rsid w:val="4E89B7CD"/>
    <w:rsid w:val="4E94743C"/>
    <w:rsid w:val="4E9707A1"/>
    <w:rsid w:val="4E9C6BEF"/>
    <w:rsid w:val="4E9DC241"/>
    <w:rsid w:val="4EAFA0AB"/>
    <w:rsid w:val="4EB01F16"/>
    <w:rsid w:val="4EB0FE2A"/>
    <w:rsid w:val="4EB6D786"/>
    <w:rsid w:val="4EBA702A"/>
    <w:rsid w:val="4EBB7685"/>
    <w:rsid w:val="4EBBE68D"/>
    <w:rsid w:val="4EBD08FA"/>
    <w:rsid w:val="4EBE0684"/>
    <w:rsid w:val="4EC2E6E8"/>
    <w:rsid w:val="4EC35610"/>
    <w:rsid w:val="4EC550EF"/>
    <w:rsid w:val="4ECA31DF"/>
    <w:rsid w:val="4ECC7337"/>
    <w:rsid w:val="4ECE4A8C"/>
    <w:rsid w:val="4ED77395"/>
    <w:rsid w:val="4ED907B7"/>
    <w:rsid w:val="4EDA5D02"/>
    <w:rsid w:val="4EDC7913"/>
    <w:rsid w:val="4EE81874"/>
    <w:rsid w:val="4EEDC144"/>
    <w:rsid w:val="4EEF0032"/>
    <w:rsid w:val="4EF598FD"/>
    <w:rsid w:val="4EF6B801"/>
    <w:rsid w:val="4EFDB9D4"/>
    <w:rsid w:val="4F01C8EA"/>
    <w:rsid w:val="4F092250"/>
    <w:rsid w:val="4F0C41EB"/>
    <w:rsid w:val="4F0C8A1F"/>
    <w:rsid w:val="4F0F4D49"/>
    <w:rsid w:val="4F11AF4C"/>
    <w:rsid w:val="4F15FA4A"/>
    <w:rsid w:val="4F170258"/>
    <w:rsid w:val="4F173882"/>
    <w:rsid w:val="4F176908"/>
    <w:rsid w:val="4F1DFA8C"/>
    <w:rsid w:val="4F208276"/>
    <w:rsid w:val="4F269B7F"/>
    <w:rsid w:val="4F272B44"/>
    <w:rsid w:val="4F292DC4"/>
    <w:rsid w:val="4F2ADB61"/>
    <w:rsid w:val="4F2FA997"/>
    <w:rsid w:val="4F3394E6"/>
    <w:rsid w:val="4F33B39F"/>
    <w:rsid w:val="4F37903F"/>
    <w:rsid w:val="4F38F3ED"/>
    <w:rsid w:val="4F43CF5C"/>
    <w:rsid w:val="4F465468"/>
    <w:rsid w:val="4F475E93"/>
    <w:rsid w:val="4F4B72AE"/>
    <w:rsid w:val="4F5BA2ED"/>
    <w:rsid w:val="4F66F30B"/>
    <w:rsid w:val="4F690E8C"/>
    <w:rsid w:val="4F6D4A59"/>
    <w:rsid w:val="4F6F2C67"/>
    <w:rsid w:val="4F7B37C9"/>
    <w:rsid w:val="4F7C8B5D"/>
    <w:rsid w:val="4F836F0D"/>
    <w:rsid w:val="4F8761E0"/>
    <w:rsid w:val="4F87F7FF"/>
    <w:rsid w:val="4F8C32F7"/>
    <w:rsid w:val="4F8E073C"/>
    <w:rsid w:val="4F8E3A4D"/>
    <w:rsid w:val="4F9465CF"/>
    <w:rsid w:val="4F94FF49"/>
    <w:rsid w:val="4F96314E"/>
    <w:rsid w:val="4F9BB857"/>
    <w:rsid w:val="4F9C08BF"/>
    <w:rsid w:val="4FA057AB"/>
    <w:rsid w:val="4FA21939"/>
    <w:rsid w:val="4FA8C85D"/>
    <w:rsid w:val="4FBF8090"/>
    <w:rsid w:val="4FC30142"/>
    <w:rsid w:val="4FC5CFC3"/>
    <w:rsid w:val="4FC6E1D3"/>
    <w:rsid w:val="4FCBE640"/>
    <w:rsid w:val="4FD2FBA4"/>
    <w:rsid w:val="4FD5BCEE"/>
    <w:rsid w:val="4FD991DE"/>
    <w:rsid w:val="4FDD8148"/>
    <w:rsid w:val="4FE13E3E"/>
    <w:rsid w:val="4FE704B0"/>
    <w:rsid w:val="4FEC5A5E"/>
    <w:rsid w:val="4FEEC660"/>
    <w:rsid w:val="4FF191FF"/>
    <w:rsid w:val="4FFD8FF0"/>
    <w:rsid w:val="4FFE4E6B"/>
    <w:rsid w:val="4FFF3BE1"/>
    <w:rsid w:val="500450AF"/>
    <w:rsid w:val="500682BE"/>
    <w:rsid w:val="500C2C29"/>
    <w:rsid w:val="500D797E"/>
    <w:rsid w:val="500F42C1"/>
    <w:rsid w:val="500FE09F"/>
    <w:rsid w:val="5014EA2C"/>
    <w:rsid w:val="502BE86C"/>
    <w:rsid w:val="502D8D92"/>
    <w:rsid w:val="50329E0F"/>
    <w:rsid w:val="503CB34A"/>
    <w:rsid w:val="50413A40"/>
    <w:rsid w:val="5041F152"/>
    <w:rsid w:val="5042C815"/>
    <w:rsid w:val="504F1569"/>
    <w:rsid w:val="5054267A"/>
    <w:rsid w:val="5057A9EC"/>
    <w:rsid w:val="506718EC"/>
    <w:rsid w:val="506955EC"/>
    <w:rsid w:val="506C53AC"/>
    <w:rsid w:val="506C8D9A"/>
    <w:rsid w:val="5073739E"/>
    <w:rsid w:val="507545B9"/>
    <w:rsid w:val="5081D9BA"/>
    <w:rsid w:val="50880D4F"/>
    <w:rsid w:val="5089BDD8"/>
    <w:rsid w:val="508D8A1E"/>
    <w:rsid w:val="5090B950"/>
    <w:rsid w:val="5092E169"/>
    <w:rsid w:val="50936579"/>
    <w:rsid w:val="50A009DE"/>
    <w:rsid w:val="50A2932B"/>
    <w:rsid w:val="50A76CE7"/>
    <w:rsid w:val="50AAB47A"/>
    <w:rsid w:val="50AFEDDC"/>
    <w:rsid w:val="50BC3345"/>
    <w:rsid w:val="50BF8E64"/>
    <w:rsid w:val="50C01363"/>
    <w:rsid w:val="50C0D7E1"/>
    <w:rsid w:val="50C479D3"/>
    <w:rsid w:val="50CAD182"/>
    <w:rsid w:val="50CAD635"/>
    <w:rsid w:val="50CC2947"/>
    <w:rsid w:val="50D6EDD0"/>
    <w:rsid w:val="50E83C95"/>
    <w:rsid w:val="50EB57CE"/>
    <w:rsid w:val="50EE52F3"/>
    <w:rsid w:val="50EFEAE2"/>
    <w:rsid w:val="50F2565C"/>
    <w:rsid w:val="511AB202"/>
    <w:rsid w:val="511E2A4A"/>
    <w:rsid w:val="5121F3CF"/>
    <w:rsid w:val="51260E18"/>
    <w:rsid w:val="512BDE88"/>
    <w:rsid w:val="512D5BCC"/>
    <w:rsid w:val="51312599"/>
    <w:rsid w:val="513B9A01"/>
    <w:rsid w:val="513F3CB3"/>
    <w:rsid w:val="513F7D8F"/>
    <w:rsid w:val="5145265D"/>
    <w:rsid w:val="5146BC7B"/>
    <w:rsid w:val="51540E9F"/>
    <w:rsid w:val="5158C27A"/>
    <w:rsid w:val="516D5A3B"/>
    <w:rsid w:val="516E5500"/>
    <w:rsid w:val="517BD476"/>
    <w:rsid w:val="517D14DF"/>
    <w:rsid w:val="517D1F94"/>
    <w:rsid w:val="5182CE9D"/>
    <w:rsid w:val="51838738"/>
    <w:rsid w:val="51876354"/>
    <w:rsid w:val="518FA2D8"/>
    <w:rsid w:val="518FFD90"/>
    <w:rsid w:val="519112A7"/>
    <w:rsid w:val="5196D99A"/>
    <w:rsid w:val="5197C817"/>
    <w:rsid w:val="519A389C"/>
    <w:rsid w:val="519A53D2"/>
    <w:rsid w:val="519A6A82"/>
    <w:rsid w:val="519CC16B"/>
    <w:rsid w:val="519F49B0"/>
    <w:rsid w:val="519FE20C"/>
    <w:rsid w:val="51AEF70C"/>
    <w:rsid w:val="51AF25D8"/>
    <w:rsid w:val="51B0C37C"/>
    <w:rsid w:val="51B931B6"/>
    <w:rsid w:val="51BA9450"/>
    <w:rsid w:val="51BDE737"/>
    <w:rsid w:val="51C5B155"/>
    <w:rsid w:val="51C7565D"/>
    <w:rsid w:val="51CBA5F6"/>
    <w:rsid w:val="51D19685"/>
    <w:rsid w:val="51E265D3"/>
    <w:rsid w:val="51E5C68F"/>
    <w:rsid w:val="51E70B69"/>
    <w:rsid w:val="51EBD285"/>
    <w:rsid w:val="51F066AF"/>
    <w:rsid w:val="51F10949"/>
    <w:rsid w:val="51FB4E71"/>
    <w:rsid w:val="5200332C"/>
    <w:rsid w:val="520D96AC"/>
    <w:rsid w:val="520E8B73"/>
    <w:rsid w:val="52127BBD"/>
    <w:rsid w:val="5216932B"/>
    <w:rsid w:val="521CD211"/>
    <w:rsid w:val="5225EF8F"/>
    <w:rsid w:val="5230B18D"/>
    <w:rsid w:val="52372DF8"/>
    <w:rsid w:val="523738C6"/>
    <w:rsid w:val="523CC8ED"/>
    <w:rsid w:val="524BFD79"/>
    <w:rsid w:val="5250EEDA"/>
    <w:rsid w:val="5251417A"/>
    <w:rsid w:val="5252957F"/>
    <w:rsid w:val="525B6802"/>
    <w:rsid w:val="525B8222"/>
    <w:rsid w:val="525C8E69"/>
    <w:rsid w:val="52600BAC"/>
    <w:rsid w:val="5261FDEA"/>
    <w:rsid w:val="5264CA46"/>
    <w:rsid w:val="52654B51"/>
    <w:rsid w:val="526B6992"/>
    <w:rsid w:val="526EFC60"/>
    <w:rsid w:val="52730C7E"/>
    <w:rsid w:val="52738A2A"/>
    <w:rsid w:val="5279AC06"/>
    <w:rsid w:val="528C6CF7"/>
    <w:rsid w:val="529028C8"/>
    <w:rsid w:val="5294AE76"/>
    <w:rsid w:val="52990260"/>
    <w:rsid w:val="529CADC1"/>
    <w:rsid w:val="52A31294"/>
    <w:rsid w:val="52A33F42"/>
    <w:rsid w:val="52AE0760"/>
    <w:rsid w:val="52B3A262"/>
    <w:rsid w:val="52B4CC0B"/>
    <w:rsid w:val="52B5CB9A"/>
    <w:rsid w:val="52B889BA"/>
    <w:rsid w:val="52B8A6C7"/>
    <w:rsid w:val="52B90BF9"/>
    <w:rsid w:val="52B9F53F"/>
    <w:rsid w:val="52C56104"/>
    <w:rsid w:val="52CE8A9C"/>
    <w:rsid w:val="52D188E0"/>
    <w:rsid w:val="52D3D754"/>
    <w:rsid w:val="52D5C363"/>
    <w:rsid w:val="52D7C96D"/>
    <w:rsid w:val="52D9F519"/>
    <w:rsid w:val="52DA0B3F"/>
    <w:rsid w:val="52F8931A"/>
    <w:rsid w:val="52FAF42D"/>
    <w:rsid w:val="530289B2"/>
    <w:rsid w:val="5302C894"/>
    <w:rsid w:val="5307A59D"/>
    <w:rsid w:val="530F0CD3"/>
    <w:rsid w:val="53152E2A"/>
    <w:rsid w:val="5317B04D"/>
    <w:rsid w:val="5319DCA1"/>
    <w:rsid w:val="5322AD05"/>
    <w:rsid w:val="532874BE"/>
    <w:rsid w:val="5329C497"/>
    <w:rsid w:val="532AD486"/>
    <w:rsid w:val="534B47F3"/>
    <w:rsid w:val="5353D8C0"/>
    <w:rsid w:val="5359439E"/>
    <w:rsid w:val="535ACFCE"/>
    <w:rsid w:val="5366DD75"/>
    <w:rsid w:val="5371E402"/>
    <w:rsid w:val="5376248C"/>
    <w:rsid w:val="537A9091"/>
    <w:rsid w:val="537CAAE4"/>
    <w:rsid w:val="538631D0"/>
    <w:rsid w:val="538FED66"/>
    <w:rsid w:val="53964140"/>
    <w:rsid w:val="539A7AE5"/>
    <w:rsid w:val="539B38F1"/>
    <w:rsid w:val="53A7A341"/>
    <w:rsid w:val="53AA5A47"/>
    <w:rsid w:val="53AC57C9"/>
    <w:rsid w:val="53B325CD"/>
    <w:rsid w:val="53B9CEC9"/>
    <w:rsid w:val="53BE4BDE"/>
    <w:rsid w:val="53C36381"/>
    <w:rsid w:val="53D1B699"/>
    <w:rsid w:val="53DBB6B2"/>
    <w:rsid w:val="53DCB19B"/>
    <w:rsid w:val="53E0103E"/>
    <w:rsid w:val="53E0AF27"/>
    <w:rsid w:val="53E2F2FE"/>
    <w:rsid w:val="53EB3B3C"/>
    <w:rsid w:val="53EDF81A"/>
    <w:rsid w:val="53F99656"/>
    <w:rsid w:val="53FDF29F"/>
    <w:rsid w:val="5403D9E4"/>
    <w:rsid w:val="5404BCDF"/>
    <w:rsid w:val="54065F32"/>
    <w:rsid w:val="54094A43"/>
    <w:rsid w:val="540F2216"/>
    <w:rsid w:val="5421920D"/>
    <w:rsid w:val="5428AE38"/>
    <w:rsid w:val="542F10CA"/>
    <w:rsid w:val="5433E6C1"/>
    <w:rsid w:val="5436D7C5"/>
    <w:rsid w:val="54387FEC"/>
    <w:rsid w:val="543A67BC"/>
    <w:rsid w:val="543CEB76"/>
    <w:rsid w:val="543FF712"/>
    <w:rsid w:val="54467FDF"/>
    <w:rsid w:val="544AFD28"/>
    <w:rsid w:val="544B2BED"/>
    <w:rsid w:val="54580B50"/>
    <w:rsid w:val="54610203"/>
    <w:rsid w:val="54630AC2"/>
    <w:rsid w:val="5466C282"/>
    <w:rsid w:val="54688A02"/>
    <w:rsid w:val="546AF820"/>
    <w:rsid w:val="547A44B8"/>
    <w:rsid w:val="547D520B"/>
    <w:rsid w:val="548BEA12"/>
    <w:rsid w:val="548DE6FE"/>
    <w:rsid w:val="549D2A75"/>
    <w:rsid w:val="54A3272F"/>
    <w:rsid w:val="54A98F82"/>
    <w:rsid w:val="54B3267C"/>
    <w:rsid w:val="54B59097"/>
    <w:rsid w:val="54BDEF4D"/>
    <w:rsid w:val="54C2A558"/>
    <w:rsid w:val="54C4B48B"/>
    <w:rsid w:val="54CB925D"/>
    <w:rsid w:val="54CCE3F5"/>
    <w:rsid w:val="54DB8C17"/>
    <w:rsid w:val="54E7A99D"/>
    <w:rsid w:val="54F8C51B"/>
    <w:rsid w:val="54FCFA23"/>
    <w:rsid w:val="5507E35E"/>
    <w:rsid w:val="550A6209"/>
    <w:rsid w:val="551DAD79"/>
    <w:rsid w:val="552374EE"/>
    <w:rsid w:val="5523D641"/>
    <w:rsid w:val="55270240"/>
    <w:rsid w:val="552AA460"/>
    <w:rsid w:val="552D1D9C"/>
    <w:rsid w:val="552F5760"/>
    <w:rsid w:val="55304BE7"/>
    <w:rsid w:val="5531E3A3"/>
    <w:rsid w:val="55384598"/>
    <w:rsid w:val="553A5D3F"/>
    <w:rsid w:val="553EB2C3"/>
    <w:rsid w:val="554F808A"/>
    <w:rsid w:val="556758C1"/>
    <w:rsid w:val="556B32F4"/>
    <w:rsid w:val="55720770"/>
    <w:rsid w:val="5573C5EF"/>
    <w:rsid w:val="55743552"/>
    <w:rsid w:val="55869539"/>
    <w:rsid w:val="5587401B"/>
    <w:rsid w:val="558A6A3E"/>
    <w:rsid w:val="558E0C14"/>
    <w:rsid w:val="558FBF7E"/>
    <w:rsid w:val="5596BF2C"/>
    <w:rsid w:val="559A7213"/>
    <w:rsid w:val="559D264F"/>
    <w:rsid w:val="559F09A0"/>
    <w:rsid w:val="55A7993A"/>
    <w:rsid w:val="55B37C0B"/>
    <w:rsid w:val="55B8CECE"/>
    <w:rsid w:val="55BA9DEE"/>
    <w:rsid w:val="55BD076B"/>
    <w:rsid w:val="55C6A98F"/>
    <w:rsid w:val="55C6E163"/>
    <w:rsid w:val="55D2F4F2"/>
    <w:rsid w:val="55D66FB4"/>
    <w:rsid w:val="55D9E0A7"/>
    <w:rsid w:val="55DFA221"/>
    <w:rsid w:val="55EBE791"/>
    <w:rsid w:val="55EEC7E6"/>
    <w:rsid w:val="55EF1362"/>
    <w:rsid w:val="55F4CC56"/>
    <w:rsid w:val="55F84378"/>
    <w:rsid w:val="55FDD364"/>
    <w:rsid w:val="55FF625A"/>
    <w:rsid w:val="56023C11"/>
    <w:rsid w:val="5609F351"/>
    <w:rsid w:val="560CA312"/>
    <w:rsid w:val="561CBC35"/>
    <w:rsid w:val="56277CB2"/>
    <w:rsid w:val="563E220C"/>
    <w:rsid w:val="563FAF80"/>
    <w:rsid w:val="5640C5DA"/>
    <w:rsid w:val="564398CF"/>
    <w:rsid w:val="56557721"/>
    <w:rsid w:val="565E5D00"/>
    <w:rsid w:val="5660D471"/>
    <w:rsid w:val="566A42DE"/>
    <w:rsid w:val="566E5395"/>
    <w:rsid w:val="567D6C26"/>
    <w:rsid w:val="56807A3E"/>
    <w:rsid w:val="5680F679"/>
    <w:rsid w:val="5681809A"/>
    <w:rsid w:val="56823A30"/>
    <w:rsid w:val="568DA42E"/>
    <w:rsid w:val="568DFFF4"/>
    <w:rsid w:val="56961864"/>
    <w:rsid w:val="56963C3D"/>
    <w:rsid w:val="569744AB"/>
    <w:rsid w:val="569B5BB0"/>
    <w:rsid w:val="56A01C46"/>
    <w:rsid w:val="56A46C07"/>
    <w:rsid w:val="56AF9B19"/>
    <w:rsid w:val="56AFDDB2"/>
    <w:rsid w:val="56B130C1"/>
    <w:rsid w:val="56B16187"/>
    <w:rsid w:val="56B16894"/>
    <w:rsid w:val="56B22B26"/>
    <w:rsid w:val="56B28858"/>
    <w:rsid w:val="56B73E03"/>
    <w:rsid w:val="56B9C993"/>
    <w:rsid w:val="56BBA87D"/>
    <w:rsid w:val="56BBDDF0"/>
    <w:rsid w:val="56BD6AA7"/>
    <w:rsid w:val="56C27C1B"/>
    <w:rsid w:val="56C47253"/>
    <w:rsid w:val="56CA3EAE"/>
    <w:rsid w:val="56CA450F"/>
    <w:rsid w:val="56CC7332"/>
    <w:rsid w:val="56D12D25"/>
    <w:rsid w:val="56D3679B"/>
    <w:rsid w:val="56E08911"/>
    <w:rsid w:val="56E217AE"/>
    <w:rsid w:val="56EA2377"/>
    <w:rsid w:val="56EAC3B7"/>
    <w:rsid w:val="56F31591"/>
    <w:rsid w:val="56F50E66"/>
    <w:rsid w:val="56F51230"/>
    <w:rsid w:val="57025775"/>
    <w:rsid w:val="57073A24"/>
    <w:rsid w:val="570AC56B"/>
    <w:rsid w:val="571C1B44"/>
    <w:rsid w:val="571D4179"/>
    <w:rsid w:val="571E660C"/>
    <w:rsid w:val="5723E5E6"/>
    <w:rsid w:val="572B498C"/>
    <w:rsid w:val="5732C739"/>
    <w:rsid w:val="573D5D98"/>
    <w:rsid w:val="573DBFD1"/>
    <w:rsid w:val="57461F86"/>
    <w:rsid w:val="574DEE79"/>
    <w:rsid w:val="5751DEFD"/>
    <w:rsid w:val="5752C970"/>
    <w:rsid w:val="5752CDF5"/>
    <w:rsid w:val="575A4B96"/>
    <w:rsid w:val="575B10EA"/>
    <w:rsid w:val="575BC023"/>
    <w:rsid w:val="575D4EA5"/>
    <w:rsid w:val="576AD6A8"/>
    <w:rsid w:val="5773F12C"/>
    <w:rsid w:val="577ACC1B"/>
    <w:rsid w:val="577BDBE1"/>
    <w:rsid w:val="577ED877"/>
    <w:rsid w:val="57805273"/>
    <w:rsid w:val="579C1575"/>
    <w:rsid w:val="57A0B3EF"/>
    <w:rsid w:val="57A37B32"/>
    <w:rsid w:val="57A3C986"/>
    <w:rsid w:val="57A8A9FB"/>
    <w:rsid w:val="57AFB235"/>
    <w:rsid w:val="57B2DD39"/>
    <w:rsid w:val="57B58121"/>
    <w:rsid w:val="57BE640F"/>
    <w:rsid w:val="57CA948C"/>
    <w:rsid w:val="57CC6661"/>
    <w:rsid w:val="57D187E4"/>
    <w:rsid w:val="57D63367"/>
    <w:rsid w:val="57DA0519"/>
    <w:rsid w:val="57E3DB21"/>
    <w:rsid w:val="57E7E07E"/>
    <w:rsid w:val="57EE85C6"/>
    <w:rsid w:val="57EEB558"/>
    <w:rsid w:val="57F09A03"/>
    <w:rsid w:val="57F9720F"/>
    <w:rsid w:val="58053535"/>
    <w:rsid w:val="5814D184"/>
    <w:rsid w:val="581633D8"/>
    <w:rsid w:val="5817064A"/>
    <w:rsid w:val="581DDC70"/>
    <w:rsid w:val="582024E6"/>
    <w:rsid w:val="58332125"/>
    <w:rsid w:val="583484E3"/>
    <w:rsid w:val="5835101E"/>
    <w:rsid w:val="583BAFE2"/>
    <w:rsid w:val="5857493C"/>
    <w:rsid w:val="585BB6FA"/>
    <w:rsid w:val="5867FE9D"/>
    <w:rsid w:val="586C324B"/>
    <w:rsid w:val="587E2FAD"/>
    <w:rsid w:val="58850A03"/>
    <w:rsid w:val="588D5F80"/>
    <w:rsid w:val="589645F9"/>
    <w:rsid w:val="589AE675"/>
    <w:rsid w:val="58A58FCA"/>
    <w:rsid w:val="58A8995B"/>
    <w:rsid w:val="58A9A05B"/>
    <w:rsid w:val="58AD2614"/>
    <w:rsid w:val="58B6C465"/>
    <w:rsid w:val="58BB97F3"/>
    <w:rsid w:val="58BE5AA2"/>
    <w:rsid w:val="58C17802"/>
    <w:rsid w:val="58C6094D"/>
    <w:rsid w:val="58CC7F2E"/>
    <w:rsid w:val="58D3E961"/>
    <w:rsid w:val="58E5F8E9"/>
    <w:rsid w:val="58EFAF1E"/>
    <w:rsid w:val="58FB33E6"/>
    <w:rsid w:val="58FEA456"/>
    <w:rsid w:val="58FF1205"/>
    <w:rsid w:val="59147E59"/>
    <w:rsid w:val="593414C6"/>
    <w:rsid w:val="59431A6D"/>
    <w:rsid w:val="59451D49"/>
    <w:rsid w:val="594916FC"/>
    <w:rsid w:val="594CCF49"/>
    <w:rsid w:val="594D902C"/>
    <w:rsid w:val="59518AE4"/>
    <w:rsid w:val="5953F481"/>
    <w:rsid w:val="59613CBD"/>
    <w:rsid w:val="5963C865"/>
    <w:rsid w:val="5966FD85"/>
    <w:rsid w:val="596715DA"/>
    <w:rsid w:val="597F1093"/>
    <w:rsid w:val="5983912C"/>
    <w:rsid w:val="5985559C"/>
    <w:rsid w:val="599CF7A7"/>
    <w:rsid w:val="599E033C"/>
    <w:rsid w:val="599FD8BF"/>
    <w:rsid w:val="59A332FA"/>
    <w:rsid w:val="59A78762"/>
    <w:rsid w:val="59A945E3"/>
    <w:rsid w:val="59AC4529"/>
    <w:rsid w:val="59ACF639"/>
    <w:rsid w:val="59ADE758"/>
    <w:rsid w:val="59B34389"/>
    <w:rsid w:val="59BA9F24"/>
    <w:rsid w:val="59BC80D0"/>
    <w:rsid w:val="59C0560E"/>
    <w:rsid w:val="59C30A36"/>
    <w:rsid w:val="59CA76E1"/>
    <w:rsid w:val="59CEBBDE"/>
    <w:rsid w:val="59D18E0B"/>
    <w:rsid w:val="59D7FB7D"/>
    <w:rsid w:val="59DD04ED"/>
    <w:rsid w:val="59DDAF6C"/>
    <w:rsid w:val="59E5D4D0"/>
    <w:rsid w:val="59E74C37"/>
    <w:rsid w:val="59E8E0FA"/>
    <w:rsid w:val="59E8F8C8"/>
    <w:rsid w:val="59F4A3F7"/>
    <w:rsid w:val="59F58856"/>
    <w:rsid w:val="59F6E80A"/>
    <w:rsid w:val="5A0A76EC"/>
    <w:rsid w:val="5A0AAFEA"/>
    <w:rsid w:val="5A0E1050"/>
    <w:rsid w:val="5A0E1086"/>
    <w:rsid w:val="5A0F847F"/>
    <w:rsid w:val="5A0FFB06"/>
    <w:rsid w:val="5A16BA81"/>
    <w:rsid w:val="5A1A567F"/>
    <w:rsid w:val="5A1FA5CF"/>
    <w:rsid w:val="5A28B7E2"/>
    <w:rsid w:val="5A2C05AA"/>
    <w:rsid w:val="5A38BEE8"/>
    <w:rsid w:val="5A3AE8F1"/>
    <w:rsid w:val="5A3BE3A3"/>
    <w:rsid w:val="5A3CCA26"/>
    <w:rsid w:val="5A466EC8"/>
    <w:rsid w:val="5A5FE292"/>
    <w:rsid w:val="5A61577D"/>
    <w:rsid w:val="5A61C81A"/>
    <w:rsid w:val="5A633C34"/>
    <w:rsid w:val="5A6DAD32"/>
    <w:rsid w:val="5A704284"/>
    <w:rsid w:val="5A7488B9"/>
    <w:rsid w:val="5A767CF9"/>
    <w:rsid w:val="5A790DAA"/>
    <w:rsid w:val="5A80F8F9"/>
    <w:rsid w:val="5A844CB2"/>
    <w:rsid w:val="5A87744F"/>
    <w:rsid w:val="5A8AD542"/>
    <w:rsid w:val="5A9996EB"/>
    <w:rsid w:val="5AA056C7"/>
    <w:rsid w:val="5AA0C619"/>
    <w:rsid w:val="5AA9B2D8"/>
    <w:rsid w:val="5AB20390"/>
    <w:rsid w:val="5AC8B788"/>
    <w:rsid w:val="5ACD6256"/>
    <w:rsid w:val="5ACEF959"/>
    <w:rsid w:val="5AD343BE"/>
    <w:rsid w:val="5AD374E2"/>
    <w:rsid w:val="5AD488E6"/>
    <w:rsid w:val="5ADCAFD6"/>
    <w:rsid w:val="5AE720E6"/>
    <w:rsid w:val="5AE824C0"/>
    <w:rsid w:val="5AEE64BD"/>
    <w:rsid w:val="5AF7788F"/>
    <w:rsid w:val="5AF7FD2C"/>
    <w:rsid w:val="5AFA99D8"/>
    <w:rsid w:val="5AFF3D07"/>
    <w:rsid w:val="5B060B28"/>
    <w:rsid w:val="5B0B5670"/>
    <w:rsid w:val="5B1139FF"/>
    <w:rsid w:val="5B1409DA"/>
    <w:rsid w:val="5B16A4A3"/>
    <w:rsid w:val="5B185AC0"/>
    <w:rsid w:val="5B199367"/>
    <w:rsid w:val="5B1BAC5E"/>
    <w:rsid w:val="5B21FA29"/>
    <w:rsid w:val="5B248BDD"/>
    <w:rsid w:val="5B2A11E4"/>
    <w:rsid w:val="5B2C7CE2"/>
    <w:rsid w:val="5B32B4AE"/>
    <w:rsid w:val="5B433DB8"/>
    <w:rsid w:val="5B497680"/>
    <w:rsid w:val="5B4A31FA"/>
    <w:rsid w:val="5B502475"/>
    <w:rsid w:val="5B5171DA"/>
    <w:rsid w:val="5B517605"/>
    <w:rsid w:val="5B52AC43"/>
    <w:rsid w:val="5B5E42ED"/>
    <w:rsid w:val="5B5EEDE6"/>
    <w:rsid w:val="5B609499"/>
    <w:rsid w:val="5B629348"/>
    <w:rsid w:val="5B64952A"/>
    <w:rsid w:val="5B678EE5"/>
    <w:rsid w:val="5B691822"/>
    <w:rsid w:val="5B6AAACC"/>
    <w:rsid w:val="5B6D8629"/>
    <w:rsid w:val="5B7AEB5C"/>
    <w:rsid w:val="5B81E36D"/>
    <w:rsid w:val="5B8C1F5A"/>
    <w:rsid w:val="5B8C7CF4"/>
    <w:rsid w:val="5B8D8CC6"/>
    <w:rsid w:val="5B9102AE"/>
    <w:rsid w:val="5B975CEA"/>
    <w:rsid w:val="5B983C2B"/>
    <w:rsid w:val="5B9ABE17"/>
    <w:rsid w:val="5BA3BDD0"/>
    <w:rsid w:val="5BA767BA"/>
    <w:rsid w:val="5BA84EE6"/>
    <w:rsid w:val="5BA8B6CD"/>
    <w:rsid w:val="5BAA100F"/>
    <w:rsid w:val="5BB6CA35"/>
    <w:rsid w:val="5BB6F4D8"/>
    <w:rsid w:val="5BBD0C47"/>
    <w:rsid w:val="5BBE4A90"/>
    <w:rsid w:val="5BC04EC8"/>
    <w:rsid w:val="5BC37C83"/>
    <w:rsid w:val="5BCA2F69"/>
    <w:rsid w:val="5BD0141A"/>
    <w:rsid w:val="5BD1F60E"/>
    <w:rsid w:val="5BDA5152"/>
    <w:rsid w:val="5BDB8B20"/>
    <w:rsid w:val="5BE451CA"/>
    <w:rsid w:val="5BE4FEFD"/>
    <w:rsid w:val="5BEAB94F"/>
    <w:rsid w:val="5BECCBC8"/>
    <w:rsid w:val="5BF10258"/>
    <w:rsid w:val="5BF33262"/>
    <w:rsid w:val="5BF420D1"/>
    <w:rsid w:val="5C06E917"/>
    <w:rsid w:val="5C07296D"/>
    <w:rsid w:val="5C0820EF"/>
    <w:rsid w:val="5C0E49C7"/>
    <w:rsid w:val="5C0E73FC"/>
    <w:rsid w:val="5C146A92"/>
    <w:rsid w:val="5C14988E"/>
    <w:rsid w:val="5C1D948F"/>
    <w:rsid w:val="5C1E5D30"/>
    <w:rsid w:val="5C223C7D"/>
    <w:rsid w:val="5C226ECA"/>
    <w:rsid w:val="5C231EBD"/>
    <w:rsid w:val="5C24BF85"/>
    <w:rsid w:val="5C256A5F"/>
    <w:rsid w:val="5C32A007"/>
    <w:rsid w:val="5C360C70"/>
    <w:rsid w:val="5C3E7969"/>
    <w:rsid w:val="5C418F7B"/>
    <w:rsid w:val="5C46AE78"/>
    <w:rsid w:val="5C4B2D11"/>
    <w:rsid w:val="5C65FAA9"/>
    <w:rsid w:val="5C6B584D"/>
    <w:rsid w:val="5C6FD6DB"/>
    <w:rsid w:val="5C701C4C"/>
    <w:rsid w:val="5C7593D1"/>
    <w:rsid w:val="5C7989AE"/>
    <w:rsid w:val="5C7B268D"/>
    <w:rsid w:val="5C8B3D84"/>
    <w:rsid w:val="5C8D5CEE"/>
    <w:rsid w:val="5C8DC268"/>
    <w:rsid w:val="5C8E5E09"/>
    <w:rsid w:val="5C91F284"/>
    <w:rsid w:val="5C982456"/>
    <w:rsid w:val="5C99E14F"/>
    <w:rsid w:val="5CA8EA1D"/>
    <w:rsid w:val="5CB83F32"/>
    <w:rsid w:val="5CB8C3F4"/>
    <w:rsid w:val="5CC44303"/>
    <w:rsid w:val="5CC541FB"/>
    <w:rsid w:val="5CC54670"/>
    <w:rsid w:val="5CD3FA8D"/>
    <w:rsid w:val="5CD5CB88"/>
    <w:rsid w:val="5CD79A14"/>
    <w:rsid w:val="5CD9390C"/>
    <w:rsid w:val="5CDCECD6"/>
    <w:rsid w:val="5CDE9E7F"/>
    <w:rsid w:val="5CE967B6"/>
    <w:rsid w:val="5CEA4C38"/>
    <w:rsid w:val="5CEE9F8F"/>
    <w:rsid w:val="5CF7F24D"/>
    <w:rsid w:val="5CF83827"/>
    <w:rsid w:val="5CFE5D0A"/>
    <w:rsid w:val="5D0052CF"/>
    <w:rsid w:val="5D00C865"/>
    <w:rsid w:val="5D012684"/>
    <w:rsid w:val="5D091A64"/>
    <w:rsid w:val="5D1D33D8"/>
    <w:rsid w:val="5D2360C6"/>
    <w:rsid w:val="5D2452AF"/>
    <w:rsid w:val="5D289CEF"/>
    <w:rsid w:val="5D2D49C6"/>
    <w:rsid w:val="5D322A88"/>
    <w:rsid w:val="5D39EEB3"/>
    <w:rsid w:val="5D3A9B8A"/>
    <w:rsid w:val="5D3B17E9"/>
    <w:rsid w:val="5D3DA3D7"/>
    <w:rsid w:val="5D415E4A"/>
    <w:rsid w:val="5D43AA5C"/>
    <w:rsid w:val="5D49F8E1"/>
    <w:rsid w:val="5D4AE211"/>
    <w:rsid w:val="5D4C3BE1"/>
    <w:rsid w:val="5D52C722"/>
    <w:rsid w:val="5D594149"/>
    <w:rsid w:val="5D5DADC8"/>
    <w:rsid w:val="5D5ED41D"/>
    <w:rsid w:val="5D5F526D"/>
    <w:rsid w:val="5D5FD94B"/>
    <w:rsid w:val="5D63BDCA"/>
    <w:rsid w:val="5D66C06A"/>
    <w:rsid w:val="5D6A02A9"/>
    <w:rsid w:val="5D6B64B6"/>
    <w:rsid w:val="5D6B691D"/>
    <w:rsid w:val="5D7507F5"/>
    <w:rsid w:val="5D76DF40"/>
    <w:rsid w:val="5D8C8790"/>
    <w:rsid w:val="5D8EF855"/>
    <w:rsid w:val="5D992149"/>
    <w:rsid w:val="5DA050F7"/>
    <w:rsid w:val="5DA5D241"/>
    <w:rsid w:val="5DB67438"/>
    <w:rsid w:val="5DBBC6DB"/>
    <w:rsid w:val="5DC5B5C3"/>
    <w:rsid w:val="5DD12A31"/>
    <w:rsid w:val="5DD4A7C8"/>
    <w:rsid w:val="5DD7F7FF"/>
    <w:rsid w:val="5DE18BFD"/>
    <w:rsid w:val="5DE55895"/>
    <w:rsid w:val="5DE93E0D"/>
    <w:rsid w:val="5DEAA68C"/>
    <w:rsid w:val="5DF0DED0"/>
    <w:rsid w:val="5DF305FD"/>
    <w:rsid w:val="5DF9920C"/>
    <w:rsid w:val="5DFFD6F1"/>
    <w:rsid w:val="5E00A186"/>
    <w:rsid w:val="5E04BB8C"/>
    <w:rsid w:val="5E07AE04"/>
    <w:rsid w:val="5E0CF97B"/>
    <w:rsid w:val="5E14A41F"/>
    <w:rsid w:val="5E1B258D"/>
    <w:rsid w:val="5E2B7892"/>
    <w:rsid w:val="5E316E26"/>
    <w:rsid w:val="5E36B0D3"/>
    <w:rsid w:val="5E3A604E"/>
    <w:rsid w:val="5E3B5171"/>
    <w:rsid w:val="5E3BD5E5"/>
    <w:rsid w:val="5E3C0EB1"/>
    <w:rsid w:val="5E4D207A"/>
    <w:rsid w:val="5E5BB195"/>
    <w:rsid w:val="5E62E323"/>
    <w:rsid w:val="5E68F110"/>
    <w:rsid w:val="5E70F56E"/>
    <w:rsid w:val="5E71A66F"/>
    <w:rsid w:val="5E77E0A0"/>
    <w:rsid w:val="5E7C7D37"/>
    <w:rsid w:val="5E7CAC03"/>
    <w:rsid w:val="5E8886B8"/>
    <w:rsid w:val="5E9C7D88"/>
    <w:rsid w:val="5E9CD0B1"/>
    <w:rsid w:val="5EAA0918"/>
    <w:rsid w:val="5EB52453"/>
    <w:rsid w:val="5EB61CB9"/>
    <w:rsid w:val="5EBF0CA7"/>
    <w:rsid w:val="5EC5310D"/>
    <w:rsid w:val="5EC71CEA"/>
    <w:rsid w:val="5ED0AB09"/>
    <w:rsid w:val="5ED612AC"/>
    <w:rsid w:val="5EDBB2C7"/>
    <w:rsid w:val="5EDFDFF0"/>
    <w:rsid w:val="5EE05094"/>
    <w:rsid w:val="5EE76A19"/>
    <w:rsid w:val="5EE7A5CD"/>
    <w:rsid w:val="5EE8A129"/>
    <w:rsid w:val="5EEC4F09"/>
    <w:rsid w:val="5EEEC9F5"/>
    <w:rsid w:val="5EF2C188"/>
    <w:rsid w:val="5EF61806"/>
    <w:rsid w:val="5EFDDAB8"/>
    <w:rsid w:val="5F037A28"/>
    <w:rsid w:val="5F064D32"/>
    <w:rsid w:val="5F0744ED"/>
    <w:rsid w:val="5F0FCBB5"/>
    <w:rsid w:val="5F141E33"/>
    <w:rsid w:val="5F1699A5"/>
    <w:rsid w:val="5F20F461"/>
    <w:rsid w:val="5F22E05E"/>
    <w:rsid w:val="5F241704"/>
    <w:rsid w:val="5F24325D"/>
    <w:rsid w:val="5F253F0A"/>
    <w:rsid w:val="5F2AB1EA"/>
    <w:rsid w:val="5F333FE4"/>
    <w:rsid w:val="5F3E037A"/>
    <w:rsid w:val="5F402607"/>
    <w:rsid w:val="5F421508"/>
    <w:rsid w:val="5F45B2D0"/>
    <w:rsid w:val="5F484CC0"/>
    <w:rsid w:val="5F497B40"/>
    <w:rsid w:val="5F4FB844"/>
    <w:rsid w:val="5F532F4F"/>
    <w:rsid w:val="5F5C0B6F"/>
    <w:rsid w:val="5F6BA6EE"/>
    <w:rsid w:val="5F6DA832"/>
    <w:rsid w:val="5F70029E"/>
    <w:rsid w:val="5F7707FA"/>
    <w:rsid w:val="5F7A3820"/>
    <w:rsid w:val="5F85852A"/>
    <w:rsid w:val="5F86A5C2"/>
    <w:rsid w:val="5F88D8EF"/>
    <w:rsid w:val="5F93682D"/>
    <w:rsid w:val="5F9475FB"/>
    <w:rsid w:val="5F95874C"/>
    <w:rsid w:val="5F95C5EA"/>
    <w:rsid w:val="5F9A3850"/>
    <w:rsid w:val="5FA7AF3E"/>
    <w:rsid w:val="5FBF56FC"/>
    <w:rsid w:val="5FC3D60C"/>
    <w:rsid w:val="5FC561E9"/>
    <w:rsid w:val="5FC5689E"/>
    <w:rsid w:val="5FCA7C97"/>
    <w:rsid w:val="5FCD366B"/>
    <w:rsid w:val="5FD56E99"/>
    <w:rsid w:val="5FD9B1E9"/>
    <w:rsid w:val="5FE6042D"/>
    <w:rsid w:val="5FE936EF"/>
    <w:rsid w:val="5FF25B00"/>
    <w:rsid w:val="5FF30DAD"/>
    <w:rsid w:val="5FFA63D6"/>
    <w:rsid w:val="6007BFD6"/>
    <w:rsid w:val="600E7568"/>
    <w:rsid w:val="6015C085"/>
    <w:rsid w:val="601C0AE4"/>
    <w:rsid w:val="60209893"/>
    <w:rsid w:val="60391FD3"/>
    <w:rsid w:val="603D3F15"/>
    <w:rsid w:val="603E4A01"/>
    <w:rsid w:val="60490A80"/>
    <w:rsid w:val="605564A7"/>
    <w:rsid w:val="6063E9C2"/>
    <w:rsid w:val="606A3385"/>
    <w:rsid w:val="6076A7B8"/>
    <w:rsid w:val="60801A1D"/>
    <w:rsid w:val="6088644F"/>
    <w:rsid w:val="60890DBB"/>
    <w:rsid w:val="609469E0"/>
    <w:rsid w:val="60967E82"/>
    <w:rsid w:val="6097EA6C"/>
    <w:rsid w:val="609E123A"/>
    <w:rsid w:val="60A9197E"/>
    <w:rsid w:val="60A9589F"/>
    <w:rsid w:val="60AC7AC2"/>
    <w:rsid w:val="60AC8E68"/>
    <w:rsid w:val="60ADF8C7"/>
    <w:rsid w:val="60AE27A3"/>
    <w:rsid w:val="60B0A86A"/>
    <w:rsid w:val="60B4DF09"/>
    <w:rsid w:val="60BBF990"/>
    <w:rsid w:val="60BE5D08"/>
    <w:rsid w:val="60C08D66"/>
    <w:rsid w:val="60C23D56"/>
    <w:rsid w:val="60C2DD3F"/>
    <w:rsid w:val="60CDC7F2"/>
    <w:rsid w:val="60CFFE37"/>
    <w:rsid w:val="60D22C81"/>
    <w:rsid w:val="60D77249"/>
    <w:rsid w:val="60D9037A"/>
    <w:rsid w:val="60D9C64E"/>
    <w:rsid w:val="60DE5A97"/>
    <w:rsid w:val="60E7F1FD"/>
    <w:rsid w:val="60EC5CC4"/>
    <w:rsid w:val="60F0795F"/>
    <w:rsid w:val="60F51790"/>
    <w:rsid w:val="60F68514"/>
    <w:rsid w:val="60FBA523"/>
    <w:rsid w:val="60FBFB53"/>
    <w:rsid w:val="60FEAB66"/>
    <w:rsid w:val="60FEB800"/>
    <w:rsid w:val="60FF6734"/>
    <w:rsid w:val="60FFEC90"/>
    <w:rsid w:val="610138F9"/>
    <w:rsid w:val="610DF275"/>
    <w:rsid w:val="61180C21"/>
    <w:rsid w:val="612367DC"/>
    <w:rsid w:val="61242B16"/>
    <w:rsid w:val="612FE0A8"/>
    <w:rsid w:val="6138C9DE"/>
    <w:rsid w:val="614D1922"/>
    <w:rsid w:val="615815E0"/>
    <w:rsid w:val="615DA51B"/>
    <w:rsid w:val="616A3F0D"/>
    <w:rsid w:val="616D66E2"/>
    <w:rsid w:val="617E8406"/>
    <w:rsid w:val="618A18B9"/>
    <w:rsid w:val="618C915C"/>
    <w:rsid w:val="61948F10"/>
    <w:rsid w:val="6195FCA8"/>
    <w:rsid w:val="61A2414D"/>
    <w:rsid w:val="61A2BE14"/>
    <w:rsid w:val="61A42D71"/>
    <w:rsid w:val="61A7C8EA"/>
    <w:rsid w:val="61BBA12E"/>
    <w:rsid w:val="61C184FF"/>
    <w:rsid w:val="61C4AEEB"/>
    <w:rsid w:val="61C9E88E"/>
    <w:rsid w:val="61CA9066"/>
    <w:rsid w:val="61CBC59C"/>
    <w:rsid w:val="61CFBE43"/>
    <w:rsid w:val="61D5F88A"/>
    <w:rsid w:val="61D9F769"/>
    <w:rsid w:val="61DAD691"/>
    <w:rsid w:val="61DD1442"/>
    <w:rsid w:val="61DDAB99"/>
    <w:rsid w:val="61E7DF4B"/>
    <w:rsid w:val="61EC49B7"/>
    <w:rsid w:val="61F8E5D8"/>
    <w:rsid w:val="620CB55A"/>
    <w:rsid w:val="62107381"/>
    <w:rsid w:val="621D189B"/>
    <w:rsid w:val="622DB91E"/>
    <w:rsid w:val="622DEA18"/>
    <w:rsid w:val="623219F0"/>
    <w:rsid w:val="62327888"/>
    <w:rsid w:val="623B8049"/>
    <w:rsid w:val="623BED72"/>
    <w:rsid w:val="6247CB3A"/>
    <w:rsid w:val="624EE763"/>
    <w:rsid w:val="624FD8D9"/>
    <w:rsid w:val="62540BA9"/>
    <w:rsid w:val="625A1D3E"/>
    <w:rsid w:val="625B7E43"/>
    <w:rsid w:val="625D8E11"/>
    <w:rsid w:val="62618F51"/>
    <w:rsid w:val="626C849E"/>
    <w:rsid w:val="626E44DE"/>
    <w:rsid w:val="626F7BBC"/>
    <w:rsid w:val="627059DF"/>
    <w:rsid w:val="62797040"/>
    <w:rsid w:val="627BDB28"/>
    <w:rsid w:val="627BEB7A"/>
    <w:rsid w:val="628772FC"/>
    <w:rsid w:val="628AB184"/>
    <w:rsid w:val="6295CCC5"/>
    <w:rsid w:val="62966AB6"/>
    <w:rsid w:val="629F8EB4"/>
    <w:rsid w:val="62AD17C7"/>
    <w:rsid w:val="62B19FB3"/>
    <w:rsid w:val="62B4AACA"/>
    <w:rsid w:val="62BCD18A"/>
    <w:rsid w:val="62BCEA18"/>
    <w:rsid w:val="62C0AFAB"/>
    <w:rsid w:val="62C43608"/>
    <w:rsid w:val="62D0281F"/>
    <w:rsid w:val="62DA5CF9"/>
    <w:rsid w:val="62E6E76A"/>
    <w:rsid w:val="62E98AC7"/>
    <w:rsid w:val="62EA99AC"/>
    <w:rsid w:val="62EC3BE2"/>
    <w:rsid w:val="62F35570"/>
    <w:rsid w:val="62F81513"/>
    <w:rsid w:val="62F8DB03"/>
    <w:rsid w:val="62FEDB9E"/>
    <w:rsid w:val="6307B1CB"/>
    <w:rsid w:val="6307F801"/>
    <w:rsid w:val="6309FBA2"/>
    <w:rsid w:val="630B64A0"/>
    <w:rsid w:val="630FD5C0"/>
    <w:rsid w:val="63125C41"/>
    <w:rsid w:val="6317680E"/>
    <w:rsid w:val="6318B871"/>
    <w:rsid w:val="631E430E"/>
    <w:rsid w:val="631EB516"/>
    <w:rsid w:val="63242E4C"/>
    <w:rsid w:val="63292DFE"/>
    <w:rsid w:val="632A5010"/>
    <w:rsid w:val="632D549E"/>
    <w:rsid w:val="632DEFB1"/>
    <w:rsid w:val="6334D55F"/>
    <w:rsid w:val="634FC6A1"/>
    <w:rsid w:val="6353CC6A"/>
    <w:rsid w:val="6356C052"/>
    <w:rsid w:val="6357CD49"/>
    <w:rsid w:val="6358AB68"/>
    <w:rsid w:val="635C45E1"/>
    <w:rsid w:val="6365B595"/>
    <w:rsid w:val="636F0125"/>
    <w:rsid w:val="637B0D39"/>
    <w:rsid w:val="637BB6C5"/>
    <w:rsid w:val="638066E1"/>
    <w:rsid w:val="63833CE9"/>
    <w:rsid w:val="63895054"/>
    <w:rsid w:val="6392CC80"/>
    <w:rsid w:val="639536DD"/>
    <w:rsid w:val="63A15C42"/>
    <w:rsid w:val="63A54A66"/>
    <w:rsid w:val="63A89CF1"/>
    <w:rsid w:val="63B32243"/>
    <w:rsid w:val="63B9C8D8"/>
    <w:rsid w:val="63BA2B94"/>
    <w:rsid w:val="63BA8F9E"/>
    <w:rsid w:val="63CCBE84"/>
    <w:rsid w:val="63D38CE6"/>
    <w:rsid w:val="63D90F68"/>
    <w:rsid w:val="63DA5008"/>
    <w:rsid w:val="63DE7F9A"/>
    <w:rsid w:val="63E1DA81"/>
    <w:rsid w:val="63E5C59E"/>
    <w:rsid w:val="63E9C6D6"/>
    <w:rsid w:val="63EB8111"/>
    <w:rsid w:val="6402B291"/>
    <w:rsid w:val="6402BD50"/>
    <w:rsid w:val="6403E44C"/>
    <w:rsid w:val="6405C40F"/>
    <w:rsid w:val="640AC4B5"/>
    <w:rsid w:val="6413A44E"/>
    <w:rsid w:val="6415FE6F"/>
    <w:rsid w:val="641E23CC"/>
    <w:rsid w:val="642750BD"/>
    <w:rsid w:val="64298F73"/>
    <w:rsid w:val="6433D7D8"/>
    <w:rsid w:val="643459B1"/>
    <w:rsid w:val="643A108F"/>
    <w:rsid w:val="64538C5B"/>
    <w:rsid w:val="6454275B"/>
    <w:rsid w:val="645CD235"/>
    <w:rsid w:val="645EB4D7"/>
    <w:rsid w:val="64694142"/>
    <w:rsid w:val="646AA3AE"/>
    <w:rsid w:val="646ECA49"/>
    <w:rsid w:val="64827742"/>
    <w:rsid w:val="6483AACC"/>
    <w:rsid w:val="6487619A"/>
    <w:rsid w:val="648A7076"/>
    <w:rsid w:val="648B1979"/>
    <w:rsid w:val="648CC886"/>
    <w:rsid w:val="6490B700"/>
    <w:rsid w:val="649C35BA"/>
    <w:rsid w:val="649FF473"/>
    <w:rsid w:val="64A4AF6B"/>
    <w:rsid w:val="64A7B9BA"/>
    <w:rsid w:val="64A89216"/>
    <w:rsid w:val="64B19BBD"/>
    <w:rsid w:val="64C4C22B"/>
    <w:rsid w:val="64C6D0E3"/>
    <w:rsid w:val="64C9457E"/>
    <w:rsid w:val="64C94777"/>
    <w:rsid w:val="64D06A3A"/>
    <w:rsid w:val="64D98D27"/>
    <w:rsid w:val="64DDCD3F"/>
    <w:rsid w:val="64E24F7B"/>
    <w:rsid w:val="64E4C2A4"/>
    <w:rsid w:val="64E8EA13"/>
    <w:rsid w:val="64FA49F9"/>
    <w:rsid w:val="64FC3191"/>
    <w:rsid w:val="65027F94"/>
    <w:rsid w:val="65034197"/>
    <w:rsid w:val="6505477D"/>
    <w:rsid w:val="65100C4B"/>
    <w:rsid w:val="651221B8"/>
    <w:rsid w:val="65140776"/>
    <w:rsid w:val="6517E1C5"/>
    <w:rsid w:val="651CCCF3"/>
    <w:rsid w:val="652125E0"/>
    <w:rsid w:val="6529BBAB"/>
    <w:rsid w:val="6529BBCE"/>
    <w:rsid w:val="652A1D37"/>
    <w:rsid w:val="652D0F6C"/>
    <w:rsid w:val="652D6596"/>
    <w:rsid w:val="653A1944"/>
    <w:rsid w:val="65400A47"/>
    <w:rsid w:val="65402BD4"/>
    <w:rsid w:val="654799A9"/>
    <w:rsid w:val="654E4DC2"/>
    <w:rsid w:val="6550AC9B"/>
    <w:rsid w:val="655576F7"/>
    <w:rsid w:val="65557F7E"/>
    <w:rsid w:val="655A3B20"/>
    <w:rsid w:val="6560A47A"/>
    <w:rsid w:val="6560BCE9"/>
    <w:rsid w:val="65646F97"/>
    <w:rsid w:val="65665105"/>
    <w:rsid w:val="65681B3D"/>
    <w:rsid w:val="656B65A5"/>
    <w:rsid w:val="656FD312"/>
    <w:rsid w:val="656FDE3B"/>
    <w:rsid w:val="6571D3A7"/>
    <w:rsid w:val="6575F9D9"/>
    <w:rsid w:val="657917F1"/>
    <w:rsid w:val="657DBEEC"/>
    <w:rsid w:val="6581391D"/>
    <w:rsid w:val="658EF2ED"/>
    <w:rsid w:val="658FB3F4"/>
    <w:rsid w:val="659A19AF"/>
    <w:rsid w:val="65A71148"/>
    <w:rsid w:val="65A91017"/>
    <w:rsid w:val="65ADD96D"/>
    <w:rsid w:val="65B45E8A"/>
    <w:rsid w:val="65B88D72"/>
    <w:rsid w:val="65BBA892"/>
    <w:rsid w:val="65BE141E"/>
    <w:rsid w:val="65C13606"/>
    <w:rsid w:val="65D7D54F"/>
    <w:rsid w:val="65DBC2D3"/>
    <w:rsid w:val="65DC6520"/>
    <w:rsid w:val="65DD4AB1"/>
    <w:rsid w:val="65EB4EB8"/>
    <w:rsid w:val="65F09334"/>
    <w:rsid w:val="65F6D655"/>
    <w:rsid w:val="65F9375A"/>
    <w:rsid w:val="65FA92EB"/>
    <w:rsid w:val="66052196"/>
    <w:rsid w:val="660EBD0E"/>
    <w:rsid w:val="6610ED46"/>
    <w:rsid w:val="6613EA40"/>
    <w:rsid w:val="66142D9C"/>
    <w:rsid w:val="6616C4CC"/>
    <w:rsid w:val="6619E04C"/>
    <w:rsid w:val="66241C1A"/>
    <w:rsid w:val="662E3D0B"/>
    <w:rsid w:val="66318FDD"/>
    <w:rsid w:val="6633BE9F"/>
    <w:rsid w:val="663463C1"/>
    <w:rsid w:val="6634FE86"/>
    <w:rsid w:val="663A65E2"/>
    <w:rsid w:val="663BCB58"/>
    <w:rsid w:val="664CB675"/>
    <w:rsid w:val="664D2DF5"/>
    <w:rsid w:val="665282DE"/>
    <w:rsid w:val="6653A65D"/>
    <w:rsid w:val="66581140"/>
    <w:rsid w:val="66591BA2"/>
    <w:rsid w:val="665B1CA3"/>
    <w:rsid w:val="665BFF48"/>
    <w:rsid w:val="665D863F"/>
    <w:rsid w:val="6660CDDE"/>
    <w:rsid w:val="666183DB"/>
    <w:rsid w:val="66626864"/>
    <w:rsid w:val="6667A5BB"/>
    <w:rsid w:val="6668DEC8"/>
    <w:rsid w:val="6669FB62"/>
    <w:rsid w:val="666CFF5B"/>
    <w:rsid w:val="666DAD82"/>
    <w:rsid w:val="667337BA"/>
    <w:rsid w:val="66747BEE"/>
    <w:rsid w:val="6676CEA6"/>
    <w:rsid w:val="667CDA46"/>
    <w:rsid w:val="667EA01F"/>
    <w:rsid w:val="6680B349"/>
    <w:rsid w:val="66883D12"/>
    <w:rsid w:val="66886557"/>
    <w:rsid w:val="669057AD"/>
    <w:rsid w:val="669A7063"/>
    <w:rsid w:val="669D034C"/>
    <w:rsid w:val="66B5E4F5"/>
    <w:rsid w:val="66B6D9B5"/>
    <w:rsid w:val="66B841C2"/>
    <w:rsid w:val="66B99E2C"/>
    <w:rsid w:val="66BF0A39"/>
    <w:rsid w:val="66C02429"/>
    <w:rsid w:val="66C36CDC"/>
    <w:rsid w:val="66C5C205"/>
    <w:rsid w:val="66D91A79"/>
    <w:rsid w:val="66DAA2E7"/>
    <w:rsid w:val="66DAE4B1"/>
    <w:rsid w:val="66E3EEAF"/>
    <w:rsid w:val="66E9A266"/>
    <w:rsid w:val="66F40A65"/>
    <w:rsid w:val="66F74FC5"/>
    <w:rsid w:val="66FB09B2"/>
    <w:rsid w:val="67010728"/>
    <w:rsid w:val="67030BC1"/>
    <w:rsid w:val="6703EB89"/>
    <w:rsid w:val="67040A7B"/>
    <w:rsid w:val="671030FC"/>
    <w:rsid w:val="671745ED"/>
    <w:rsid w:val="67174B4C"/>
    <w:rsid w:val="671BE5AC"/>
    <w:rsid w:val="6722CA85"/>
    <w:rsid w:val="6724D5D5"/>
    <w:rsid w:val="6724FA6F"/>
    <w:rsid w:val="672952D4"/>
    <w:rsid w:val="67324A0E"/>
    <w:rsid w:val="67346497"/>
    <w:rsid w:val="67354316"/>
    <w:rsid w:val="6738016B"/>
    <w:rsid w:val="673A9BD6"/>
    <w:rsid w:val="673B0DDE"/>
    <w:rsid w:val="673D9F32"/>
    <w:rsid w:val="674DCF8F"/>
    <w:rsid w:val="674F5FBD"/>
    <w:rsid w:val="675346F8"/>
    <w:rsid w:val="67544F2B"/>
    <w:rsid w:val="675474B6"/>
    <w:rsid w:val="6765946F"/>
    <w:rsid w:val="676F557A"/>
    <w:rsid w:val="67704E74"/>
    <w:rsid w:val="6774EB25"/>
    <w:rsid w:val="6775DC9D"/>
    <w:rsid w:val="6776E824"/>
    <w:rsid w:val="67799A8D"/>
    <w:rsid w:val="677B8075"/>
    <w:rsid w:val="677BFF9B"/>
    <w:rsid w:val="677DB56B"/>
    <w:rsid w:val="678136F5"/>
    <w:rsid w:val="6781C2BD"/>
    <w:rsid w:val="67849481"/>
    <w:rsid w:val="6784C503"/>
    <w:rsid w:val="67853E44"/>
    <w:rsid w:val="6787DB8B"/>
    <w:rsid w:val="678E6D7A"/>
    <w:rsid w:val="678F1BC6"/>
    <w:rsid w:val="67914B14"/>
    <w:rsid w:val="6798ECDF"/>
    <w:rsid w:val="679C7FAF"/>
    <w:rsid w:val="679D4C3C"/>
    <w:rsid w:val="67A15328"/>
    <w:rsid w:val="67AADEE8"/>
    <w:rsid w:val="67ADC393"/>
    <w:rsid w:val="67BC4FAF"/>
    <w:rsid w:val="67BCF514"/>
    <w:rsid w:val="67BD3EA6"/>
    <w:rsid w:val="67C8B5FA"/>
    <w:rsid w:val="67CA8D45"/>
    <w:rsid w:val="67CC2426"/>
    <w:rsid w:val="67D164BE"/>
    <w:rsid w:val="67DBD0C8"/>
    <w:rsid w:val="67DD01A1"/>
    <w:rsid w:val="67E339A0"/>
    <w:rsid w:val="67E3C349"/>
    <w:rsid w:val="67EA0A07"/>
    <w:rsid w:val="67F0BD5E"/>
    <w:rsid w:val="67F19C83"/>
    <w:rsid w:val="67FA0F9F"/>
    <w:rsid w:val="67FEEB75"/>
    <w:rsid w:val="6801FFAB"/>
    <w:rsid w:val="6804B59B"/>
    <w:rsid w:val="68064418"/>
    <w:rsid w:val="680C10C9"/>
    <w:rsid w:val="6816B25D"/>
    <w:rsid w:val="6818695B"/>
    <w:rsid w:val="681AB23C"/>
    <w:rsid w:val="6825BB84"/>
    <w:rsid w:val="682A207A"/>
    <w:rsid w:val="682BA526"/>
    <w:rsid w:val="6838CCDE"/>
    <w:rsid w:val="683C0FF3"/>
    <w:rsid w:val="683E985B"/>
    <w:rsid w:val="683F44E3"/>
    <w:rsid w:val="6854E470"/>
    <w:rsid w:val="685AD83D"/>
    <w:rsid w:val="685CE571"/>
    <w:rsid w:val="685F4AB4"/>
    <w:rsid w:val="686D6014"/>
    <w:rsid w:val="686E8A8B"/>
    <w:rsid w:val="6872E560"/>
    <w:rsid w:val="687A2FD6"/>
    <w:rsid w:val="687AB4E4"/>
    <w:rsid w:val="68881BAE"/>
    <w:rsid w:val="68916616"/>
    <w:rsid w:val="68919845"/>
    <w:rsid w:val="68972766"/>
    <w:rsid w:val="68A3007D"/>
    <w:rsid w:val="68A30BF0"/>
    <w:rsid w:val="68B92636"/>
    <w:rsid w:val="68B9E118"/>
    <w:rsid w:val="68BA2BE9"/>
    <w:rsid w:val="68BD83E5"/>
    <w:rsid w:val="68C5CC88"/>
    <w:rsid w:val="68D451F1"/>
    <w:rsid w:val="68D66B8E"/>
    <w:rsid w:val="68DAE752"/>
    <w:rsid w:val="68DB4BD1"/>
    <w:rsid w:val="68DDE9A6"/>
    <w:rsid w:val="68DF2B58"/>
    <w:rsid w:val="68E75584"/>
    <w:rsid w:val="68EA842E"/>
    <w:rsid w:val="68EFB757"/>
    <w:rsid w:val="68F0F672"/>
    <w:rsid w:val="68F20A68"/>
    <w:rsid w:val="68F3FE5B"/>
    <w:rsid w:val="69019A67"/>
    <w:rsid w:val="6904DA18"/>
    <w:rsid w:val="6908778A"/>
    <w:rsid w:val="6920D080"/>
    <w:rsid w:val="6921C235"/>
    <w:rsid w:val="69293F16"/>
    <w:rsid w:val="69316858"/>
    <w:rsid w:val="6932DCC0"/>
    <w:rsid w:val="69371989"/>
    <w:rsid w:val="6950505C"/>
    <w:rsid w:val="69541F32"/>
    <w:rsid w:val="6956A4B1"/>
    <w:rsid w:val="695A12B3"/>
    <w:rsid w:val="695A29B3"/>
    <w:rsid w:val="6965EE90"/>
    <w:rsid w:val="6968518E"/>
    <w:rsid w:val="696B7268"/>
    <w:rsid w:val="696DD2A8"/>
    <w:rsid w:val="6970A051"/>
    <w:rsid w:val="69735072"/>
    <w:rsid w:val="69738570"/>
    <w:rsid w:val="69758FC0"/>
    <w:rsid w:val="697A905C"/>
    <w:rsid w:val="697BFFBD"/>
    <w:rsid w:val="6982294A"/>
    <w:rsid w:val="6986DAA0"/>
    <w:rsid w:val="69883B99"/>
    <w:rsid w:val="698AC720"/>
    <w:rsid w:val="69950F50"/>
    <w:rsid w:val="699C6764"/>
    <w:rsid w:val="69A16465"/>
    <w:rsid w:val="69B43EF5"/>
    <w:rsid w:val="69BB8FA4"/>
    <w:rsid w:val="69C33D22"/>
    <w:rsid w:val="69C8DE60"/>
    <w:rsid w:val="69CC1CDB"/>
    <w:rsid w:val="69D0EC7E"/>
    <w:rsid w:val="69D363A9"/>
    <w:rsid w:val="69D46EEF"/>
    <w:rsid w:val="69D5FD44"/>
    <w:rsid w:val="69D723E5"/>
    <w:rsid w:val="69D7355E"/>
    <w:rsid w:val="69D94524"/>
    <w:rsid w:val="69DFA21B"/>
    <w:rsid w:val="69E54DE5"/>
    <w:rsid w:val="69E60833"/>
    <w:rsid w:val="69E8E23E"/>
    <w:rsid w:val="69E9FC9E"/>
    <w:rsid w:val="69EFC923"/>
    <w:rsid w:val="69F1A0B7"/>
    <w:rsid w:val="69F24B9D"/>
    <w:rsid w:val="69F3D562"/>
    <w:rsid w:val="69F68E18"/>
    <w:rsid w:val="69F768D1"/>
    <w:rsid w:val="69F969DA"/>
    <w:rsid w:val="69FBB189"/>
    <w:rsid w:val="69FC8CFF"/>
    <w:rsid w:val="6A0307CD"/>
    <w:rsid w:val="6A05771A"/>
    <w:rsid w:val="6A06ABE3"/>
    <w:rsid w:val="6A06EC62"/>
    <w:rsid w:val="6A0BE8F2"/>
    <w:rsid w:val="6A112A76"/>
    <w:rsid w:val="6A116B15"/>
    <w:rsid w:val="6A12197E"/>
    <w:rsid w:val="6A145AE2"/>
    <w:rsid w:val="6A1CDB3C"/>
    <w:rsid w:val="6A25C00F"/>
    <w:rsid w:val="6A296CE0"/>
    <w:rsid w:val="6A2F4D80"/>
    <w:rsid w:val="6A479C28"/>
    <w:rsid w:val="6A4DEF00"/>
    <w:rsid w:val="6A52462D"/>
    <w:rsid w:val="6A585815"/>
    <w:rsid w:val="6A5FE91D"/>
    <w:rsid w:val="6A64ACB1"/>
    <w:rsid w:val="6A6612EE"/>
    <w:rsid w:val="6A67A782"/>
    <w:rsid w:val="6A6A823F"/>
    <w:rsid w:val="6A71660D"/>
    <w:rsid w:val="6A75EA71"/>
    <w:rsid w:val="6A7630EA"/>
    <w:rsid w:val="6A76C551"/>
    <w:rsid w:val="6A84786C"/>
    <w:rsid w:val="6A869C73"/>
    <w:rsid w:val="6A86A0BE"/>
    <w:rsid w:val="6A8972BE"/>
    <w:rsid w:val="6A8D4B48"/>
    <w:rsid w:val="6A91055A"/>
    <w:rsid w:val="6A976F4A"/>
    <w:rsid w:val="6A97852F"/>
    <w:rsid w:val="6A992097"/>
    <w:rsid w:val="6AA2C57E"/>
    <w:rsid w:val="6AAEAE9D"/>
    <w:rsid w:val="6AAEE4EC"/>
    <w:rsid w:val="6AAF92D5"/>
    <w:rsid w:val="6AB7A229"/>
    <w:rsid w:val="6ABEAFDB"/>
    <w:rsid w:val="6AC26AA1"/>
    <w:rsid w:val="6AC2745E"/>
    <w:rsid w:val="6AC35D08"/>
    <w:rsid w:val="6AC5DEB6"/>
    <w:rsid w:val="6AD0D1D1"/>
    <w:rsid w:val="6AD3FA34"/>
    <w:rsid w:val="6AE8E55A"/>
    <w:rsid w:val="6AF72BCC"/>
    <w:rsid w:val="6AF7A37D"/>
    <w:rsid w:val="6AF7D6F6"/>
    <w:rsid w:val="6AF8B2AF"/>
    <w:rsid w:val="6B03C58A"/>
    <w:rsid w:val="6B0B13DB"/>
    <w:rsid w:val="6B198D5F"/>
    <w:rsid w:val="6B19D3D5"/>
    <w:rsid w:val="6B1B3FA4"/>
    <w:rsid w:val="6B227FD5"/>
    <w:rsid w:val="6B278D0B"/>
    <w:rsid w:val="6B2831E0"/>
    <w:rsid w:val="6B299EFD"/>
    <w:rsid w:val="6B2BC0DB"/>
    <w:rsid w:val="6B3271C9"/>
    <w:rsid w:val="6B3817BC"/>
    <w:rsid w:val="6B3B897E"/>
    <w:rsid w:val="6B3D206F"/>
    <w:rsid w:val="6B5FB40E"/>
    <w:rsid w:val="6B661EF2"/>
    <w:rsid w:val="6B708090"/>
    <w:rsid w:val="6B7A0CE9"/>
    <w:rsid w:val="6B87E598"/>
    <w:rsid w:val="6B899DE1"/>
    <w:rsid w:val="6B8A450F"/>
    <w:rsid w:val="6B8E3CFF"/>
    <w:rsid w:val="6B9E67EB"/>
    <w:rsid w:val="6BA25E27"/>
    <w:rsid w:val="6BA6C44C"/>
    <w:rsid w:val="6BADCC03"/>
    <w:rsid w:val="6BAF644A"/>
    <w:rsid w:val="6BAFC99A"/>
    <w:rsid w:val="6BB5DF17"/>
    <w:rsid w:val="6BB727DD"/>
    <w:rsid w:val="6BC21E05"/>
    <w:rsid w:val="6BC24467"/>
    <w:rsid w:val="6BC38D33"/>
    <w:rsid w:val="6BC579DC"/>
    <w:rsid w:val="6BC8B52C"/>
    <w:rsid w:val="6BD28335"/>
    <w:rsid w:val="6BD3E937"/>
    <w:rsid w:val="6BD73E14"/>
    <w:rsid w:val="6BDA8CBE"/>
    <w:rsid w:val="6BDCF795"/>
    <w:rsid w:val="6BE61D67"/>
    <w:rsid w:val="6BE7C8DC"/>
    <w:rsid w:val="6BEE03BB"/>
    <w:rsid w:val="6BFEF0E5"/>
    <w:rsid w:val="6C079347"/>
    <w:rsid w:val="6C0FE9C7"/>
    <w:rsid w:val="6C28A2F8"/>
    <w:rsid w:val="6C29EEF8"/>
    <w:rsid w:val="6C2AD5C4"/>
    <w:rsid w:val="6C329EFC"/>
    <w:rsid w:val="6C354C97"/>
    <w:rsid w:val="6C43E299"/>
    <w:rsid w:val="6C4B85C2"/>
    <w:rsid w:val="6C6275C2"/>
    <w:rsid w:val="6C6AC895"/>
    <w:rsid w:val="6C6F6AD5"/>
    <w:rsid w:val="6C6F9465"/>
    <w:rsid w:val="6C72085C"/>
    <w:rsid w:val="6C79BFE4"/>
    <w:rsid w:val="6C7DDBE5"/>
    <w:rsid w:val="6C80DDBA"/>
    <w:rsid w:val="6C874206"/>
    <w:rsid w:val="6C92D969"/>
    <w:rsid w:val="6CA05A78"/>
    <w:rsid w:val="6CBB2535"/>
    <w:rsid w:val="6CC47B7D"/>
    <w:rsid w:val="6CC4C237"/>
    <w:rsid w:val="6CCBD0AE"/>
    <w:rsid w:val="6CCD8A72"/>
    <w:rsid w:val="6CCF3FF7"/>
    <w:rsid w:val="6CD6D297"/>
    <w:rsid w:val="6CD95C90"/>
    <w:rsid w:val="6D0510F3"/>
    <w:rsid w:val="6D05E3B2"/>
    <w:rsid w:val="6D08AA81"/>
    <w:rsid w:val="6D0A407F"/>
    <w:rsid w:val="6D20EE19"/>
    <w:rsid w:val="6D2178B3"/>
    <w:rsid w:val="6D2396FB"/>
    <w:rsid w:val="6D2A911E"/>
    <w:rsid w:val="6D2BEEF7"/>
    <w:rsid w:val="6D3163CD"/>
    <w:rsid w:val="6D31E644"/>
    <w:rsid w:val="6D32F69A"/>
    <w:rsid w:val="6D3E1A64"/>
    <w:rsid w:val="6D3E5E6A"/>
    <w:rsid w:val="6D439981"/>
    <w:rsid w:val="6D448CF5"/>
    <w:rsid w:val="6D4DE3EF"/>
    <w:rsid w:val="6D5732AE"/>
    <w:rsid w:val="6D57CF27"/>
    <w:rsid w:val="6D629DDA"/>
    <w:rsid w:val="6D646BB5"/>
    <w:rsid w:val="6D66E806"/>
    <w:rsid w:val="6D678C38"/>
    <w:rsid w:val="6D67EC8A"/>
    <w:rsid w:val="6D6A201A"/>
    <w:rsid w:val="6D6F3D3D"/>
    <w:rsid w:val="6D756D7C"/>
    <w:rsid w:val="6D7FDB21"/>
    <w:rsid w:val="6D83879D"/>
    <w:rsid w:val="6D851A67"/>
    <w:rsid w:val="6D861029"/>
    <w:rsid w:val="6D9B0443"/>
    <w:rsid w:val="6D9FC36A"/>
    <w:rsid w:val="6DA26472"/>
    <w:rsid w:val="6DAD4BDF"/>
    <w:rsid w:val="6DAEAFBA"/>
    <w:rsid w:val="6DAFA97C"/>
    <w:rsid w:val="6DB07714"/>
    <w:rsid w:val="6DBAA875"/>
    <w:rsid w:val="6DC98C9A"/>
    <w:rsid w:val="6DCE4F06"/>
    <w:rsid w:val="6DCF8642"/>
    <w:rsid w:val="6DD05207"/>
    <w:rsid w:val="6DD452F8"/>
    <w:rsid w:val="6DD6EF8A"/>
    <w:rsid w:val="6DDAEDEB"/>
    <w:rsid w:val="6DDB7A33"/>
    <w:rsid w:val="6DDCCECD"/>
    <w:rsid w:val="6DDF7ACE"/>
    <w:rsid w:val="6DE10A53"/>
    <w:rsid w:val="6DE370AC"/>
    <w:rsid w:val="6DEBAC35"/>
    <w:rsid w:val="6DEE6AE9"/>
    <w:rsid w:val="6DF0DDFA"/>
    <w:rsid w:val="6DF91C59"/>
    <w:rsid w:val="6DFF5094"/>
    <w:rsid w:val="6E0BE7DA"/>
    <w:rsid w:val="6E18918B"/>
    <w:rsid w:val="6E18B8E3"/>
    <w:rsid w:val="6E201A3B"/>
    <w:rsid w:val="6E2417FE"/>
    <w:rsid w:val="6E253AA8"/>
    <w:rsid w:val="6E2BA7E0"/>
    <w:rsid w:val="6E2FDC8F"/>
    <w:rsid w:val="6E3C65FB"/>
    <w:rsid w:val="6E3CCD7B"/>
    <w:rsid w:val="6E4AA4FE"/>
    <w:rsid w:val="6E4D60DC"/>
    <w:rsid w:val="6E558042"/>
    <w:rsid w:val="6E58A800"/>
    <w:rsid w:val="6E5A0AD9"/>
    <w:rsid w:val="6E5FCDE3"/>
    <w:rsid w:val="6E6B35BA"/>
    <w:rsid w:val="6E753248"/>
    <w:rsid w:val="6E7DFB8A"/>
    <w:rsid w:val="6E9D6B45"/>
    <w:rsid w:val="6E9EACDC"/>
    <w:rsid w:val="6EA276C0"/>
    <w:rsid w:val="6EAE1FB3"/>
    <w:rsid w:val="6EB2C5AA"/>
    <w:rsid w:val="6EB52BE4"/>
    <w:rsid w:val="6EB892E7"/>
    <w:rsid w:val="6EC69785"/>
    <w:rsid w:val="6ECFA41E"/>
    <w:rsid w:val="6ED96FA6"/>
    <w:rsid w:val="6ED9A13A"/>
    <w:rsid w:val="6EE1A74D"/>
    <w:rsid w:val="6EE3A5C5"/>
    <w:rsid w:val="6EFEE6C2"/>
    <w:rsid w:val="6F068E1D"/>
    <w:rsid w:val="6F0B6739"/>
    <w:rsid w:val="6F0FBC59"/>
    <w:rsid w:val="6F118319"/>
    <w:rsid w:val="6F1DCE6F"/>
    <w:rsid w:val="6F2AFCC9"/>
    <w:rsid w:val="6F326613"/>
    <w:rsid w:val="6F32E205"/>
    <w:rsid w:val="6F331DB4"/>
    <w:rsid w:val="6F3D8E44"/>
    <w:rsid w:val="6F53DD1A"/>
    <w:rsid w:val="6F59BD02"/>
    <w:rsid w:val="6F5B0067"/>
    <w:rsid w:val="6F5F4EA8"/>
    <w:rsid w:val="6F6001A9"/>
    <w:rsid w:val="6F6039E2"/>
    <w:rsid w:val="6F64872F"/>
    <w:rsid w:val="6F67D39A"/>
    <w:rsid w:val="6F6AFF9F"/>
    <w:rsid w:val="6F6F0A7D"/>
    <w:rsid w:val="6F6FC8E0"/>
    <w:rsid w:val="6F72E9B1"/>
    <w:rsid w:val="6F7AB55E"/>
    <w:rsid w:val="6F7C676A"/>
    <w:rsid w:val="6F7CF23F"/>
    <w:rsid w:val="6F805632"/>
    <w:rsid w:val="6F8402B8"/>
    <w:rsid w:val="6F8BB0F5"/>
    <w:rsid w:val="6F90C3A6"/>
    <w:rsid w:val="6F936B36"/>
    <w:rsid w:val="6F9A1678"/>
    <w:rsid w:val="6FA3C2C8"/>
    <w:rsid w:val="6FA688CE"/>
    <w:rsid w:val="6FA892C8"/>
    <w:rsid w:val="6FAAE79F"/>
    <w:rsid w:val="6FACE64F"/>
    <w:rsid w:val="6FB3B044"/>
    <w:rsid w:val="6FB61115"/>
    <w:rsid w:val="6FBE0F26"/>
    <w:rsid w:val="6FC0EEB0"/>
    <w:rsid w:val="6FCC2416"/>
    <w:rsid w:val="6FCDE1BB"/>
    <w:rsid w:val="6FD0263D"/>
    <w:rsid w:val="6FD6EFBC"/>
    <w:rsid w:val="6FE8C0ED"/>
    <w:rsid w:val="6FE93314"/>
    <w:rsid w:val="6FECCD20"/>
    <w:rsid w:val="6FEDA17E"/>
    <w:rsid w:val="6FF6A9C3"/>
    <w:rsid w:val="6FFAC8EE"/>
    <w:rsid w:val="700A6B71"/>
    <w:rsid w:val="7011DBE3"/>
    <w:rsid w:val="7012FB58"/>
    <w:rsid w:val="7015ECEB"/>
    <w:rsid w:val="701CF4D9"/>
    <w:rsid w:val="701F9CFE"/>
    <w:rsid w:val="7022FA86"/>
    <w:rsid w:val="7023A429"/>
    <w:rsid w:val="702B02A6"/>
    <w:rsid w:val="702BBBF3"/>
    <w:rsid w:val="702E6432"/>
    <w:rsid w:val="70384046"/>
    <w:rsid w:val="70473D12"/>
    <w:rsid w:val="704CA74A"/>
    <w:rsid w:val="704CB8C6"/>
    <w:rsid w:val="704FEBC4"/>
    <w:rsid w:val="7056D85D"/>
    <w:rsid w:val="7059FEEA"/>
    <w:rsid w:val="70627CDD"/>
    <w:rsid w:val="706878E2"/>
    <w:rsid w:val="706C3343"/>
    <w:rsid w:val="706FDE7D"/>
    <w:rsid w:val="7070A9DD"/>
    <w:rsid w:val="70791643"/>
    <w:rsid w:val="70794024"/>
    <w:rsid w:val="7088B5F5"/>
    <w:rsid w:val="70893ADC"/>
    <w:rsid w:val="708D6D5A"/>
    <w:rsid w:val="708E740A"/>
    <w:rsid w:val="70947BF8"/>
    <w:rsid w:val="70956D83"/>
    <w:rsid w:val="709710C3"/>
    <w:rsid w:val="70972C01"/>
    <w:rsid w:val="70A9A0E5"/>
    <w:rsid w:val="70BF6826"/>
    <w:rsid w:val="70C077BA"/>
    <w:rsid w:val="70C4AEED"/>
    <w:rsid w:val="70C81384"/>
    <w:rsid w:val="70C9C836"/>
    <w:rsid w:val="70CC9ED0"/>
    <w:rsid w:val="70CFA7B5"/>
    <w:rsid w:val="70D01871"/>
    <w:rsid w:val="70DDFC13"/>
    <w:rsid w:val="70E21033"/>
    <w:rsid w:val="70E5C85C"/>
    <w:rsid w:val="70ED9C3D"/>
    <w:rsid w:val="70F60AFF"/>
    <w:rsid w:val="70FB1FB9"/>
    <w:rsid w:val="71022332"/>
    <w:rsid w:val="71053A04"/>
    <w:rsid w:val="71054466"/>
    <w:rsid w:val="7107D36C"/>
    <w:rsid w:val="71110720"/>
    <w:rsid w:val="7112FF3A"/>
    <w:rsid w:val="71202C45"/>
    <w:rsid w:val="7123086F"/>
    <w:rsid w:val="7128B6DD"/>
    <w:rsid w:val="713538CB"/>
    <w:rsid w:val="7136AAB0"/>
    <w:rsid w:val="713EA34D"/>
    <w:rsid w:val="7142E73C"/>
    <w:rsid w:val="7149AEE8"/>
    <w:rsid w:val="714C88BD"/>
    <w:rsid w:val="715B64AF"/>
    <w:rsid w:val="715E22F2"/>
    <w:rsid w:val="71675DAC"/>
    <w:rsid w:val="716860D6"/>
    <w:rsid w:val="7168D158"/>
    <w:rsid w:val="716B55CD"/>
    <w:rsid w:val="71716C57"/>
    <w:rsid w:val="7176268F"/>
    <w:rsid w:val="7181F0C7"/>
    <w:rsid w:val="718A46A1"/>
    <w:rsid w:val="718DAAE1"/>
    <w:rsid w:val="718E251C"/>
    <w:rsid w:val="7191D514"/>
    <w:rsid w:val="71961FF6"/>
    <w:rsid w:val="71969BEE"/>
    <w:rsid w:val="7197C035"/>
    <w:rsid w:val="719A6D64"/>
    <w:rsid w:val="719F719C"/>
    <w:rsid w:val="71A1C22D"/>
    <w:rsid w:val="71A1DAF0"/>
    <w:rsid w:val="71A43E5D"/>
    <w:rsid w:val="71AA164E"/>
    <w:rsid w:val="71AD1B82"/>
    <w:rsid w:val="71B3C9D6"/>
    <w:rsid w:val="71B572B9"/>
    <w:rsid w:val="71B8D003"/>
    <w:rsid w:val="71BEFAA1"/>
    <w:rsid w:val="71C43FFB"/>
    <w:rsid w:val="71CABB7A"/>
    <w:rsid w:val="71CACF52"/>
    <w:rsid w:val="71D8BF3B"/>
    <w:rsid w:val="71E195BC"/>
    <w:rsid w:val="71E28BE1"/>
    <w:rsid w:val="71EBB774"/>
    <w:rsid w:val="71EE4B31"/>
    <w:rsid w:val="71F2F9CB"/>
    <w:rsid w:val="71F6ABD0"/>
    <w:rsid w:val="71F7F176"/>
    <w:rsid w:val="71FA4EC9"/>
    <w:rsid w:val="7205ECD2"/>
    <w:rsid w:val="720B3E92"/>
    <w:rsid w:val="7212ABEE"/>
    <w:rsid w:val="72181B1D"/>
    <w:rsid w:val="721BBB7D"/>
    <w:rsid w:val="721FB190"/>
    <w:rsid w:val="72249503"/>
    <w:rsid w:val="722E2CDA"/>
    <w:rsid w:val="72310F74"/>
    <w:rsid w:val="723349B4"/>
    <w:rsid w:val="723EBBA4"/>
    <w:rsid w:val="7240C0DD"/>
    <w:rsid w:val="7242AEE3"/>
    <w:rsid w:val="72438FFB"/>
    <w:rsid w:val="724898C4"/>
    <w:rsid w:val="724E2755"/>
    <w:rsid w:val="72528756"/>
    <w:rsid w:val="725472E6"/>
    <w:rsid w:val="72640B10"/>
    <w:rsid w:val="72671B58"/>
    <w:rsid w:val="72689FFC"/>
    <w:rsid w:val="726962BC"/>
    <w:rsid w:val="726A894D"/>
    <w:rsid w:val="726B678E"/>
    <w:rsid w:val="72716E2D"/>
    <w:rsid w:val="72729B10"/>
    <w:rsid w:val="7272D4D7"/>
    <w:rsid w:val="72756831"/>
    <w:rsid w:val="72782868"/>
    <w:rsid w:val="727B047D"/>
    <w:rsid w:val="727B7CB2"/>
    <w:rsid w:val="727F22FB"/>
    <w:rsid w:val="727F4628"/>
    <w:rsid w:val="727FB514"/>
    <w:rsid w:val="728CDD46"/>
    <w:rsid w:val="728FC363"/>
    <w:rsid w:val="729BD717"/>
    <w:rsid w:val="72A4C850"/>
    <w:rsid w:val="72A522CA"/>
    <w:rsid w:val="72A8D2B7"/>
    <w:rsid w:val="72AC2773"/>
    <w:rsid w:val="72AD25F4"/>
    <w:rsid w:val="72B41301"/>
    <w:rsid w:val="72B9FD07"/>
    <w:rsid w:val="72BF5071"/>
    <w:rsid w:val="72BF8B1F"/>
    <w:rsid w:val="72DD6B5A"/>
    <w:rsid w:val="72DE3F18"/>
    <w:rsid w:val="72ECDC3C"/>
    <w:rsid w:val="72F0D000"/>
    <w:rsid w:val="72F17A06"/>
    <w:rsid w:val="7304B591"/>
    <w:rsid w:val="7308454E"/>
    <w:rsid w:val="7309CA2E"/>
    <w:rsid w:val="730E36D3"/>
    <w:rsid w:val="7311E78C"/>
    <w:rsid w:val="7316040C"/>
    <w:rsid w:val="73173F43"/>
    <w:rsid w:val="7322C1AC"/>
    <w:rsid w:val="73254AB3"/>
    <w:rsid w:val="73259030"/>
    <w:rsid w:val="7326424D"/>
    <w:rsid w:val="73266134"/>
    <w:rsid w:val="732B2490"/>
    <w:rsid w:val="732F44BD"/>
    <w:rsid w:val="73378859"/>
    <w:rsid w:val="733943BE"/>
    <w:rsid w:val="733A7E1E"/>
    <w:rsid w:val="733C9DA8"/>
    <w:rsid w:val="734572D2"/>
    <w:rsid w:val="734A5727"/>
    <w:rsid w:val="734B8902"/>
    <w:rsid w:val="7356E2EA"/>
    <w:rsid w:val="7359D214"/>
    <w:rsid w:val="735A8B3C"/>
    <w:rsid w:val="735C7D15"/>
    <w:rsid w:val="736A79F5"/>
    <w:rsid w:val="73762697"/>
    <w:rsid w:val="737A353F"/>
    <w:rsid w:val="738F7066"/>
    <w:rsid w:val="73931D4C"/>
    <w:rsid w:val="7399BDF0"/>
    <w:rsid w:val="739DA401"/>
    <w:rsid w:val="739DB1BF"/>
    <w:rsid w:val="739E966F"/>
    <w:rsid w:val="73A402E8"/>
    <w:rsid w:val="73A5EC41"/>
    <w:rsid w:val="73A81B26"/>
    <w:rsid w:val="73ADA7A8"/>
    <w:rsid w:val="73B0036E"/>
    <w:rsid w:val="73B23C43"/>
    <w:rsid w:val="73B79C0C"/>
    <w:rsid w:val="73B968BE"/>
    <w:rsid w:val="73E44589"/>
    <w:rsid w:val="73E9D55E"/>
    <w:rsid w:val="73F312A1"/>
    <w:rsid w:val="73F3ABFB"/>
    <w:rsid w:val="73F478BF"/>
    <w:rsid w:val="73FBCE24"/>
    <w:rsid w:val="73FEF15B"/>
    <w:rsid w:val="74048670"/>
    <w:rsid w:val="740A7D9D"/>
    <w:rsid w:val="740FB762"/>
    <w:rsid w:val="7412E266"/>
    <w:rsid w:val="7422707E"/>
    <w:rsid w:val="742AB829"/>
    <w:rsid w:val="742CE5A5"/>
    <w:rsid w:val="742E7797"/>
    <w:rsid w:val="7432814A"/>
    <w:rsid w:val="74375CF8"/>
    <w:rsid w:val="743A9B31"/>
    <w:rsid w:val="743C1B1C"/>
    <w:rsid w:val="743D55C4"/>
    <w:rsid w:val="7444FDE2"/>
    <w:rsid w:val="744B58F7"/>
    <w:rsid w:val="744B8520"/>
    <w:rsid w:val="74596429"/>
    <w:rsid w:val="7459B2D5"/>
    <w:rsid w:val="745A15F2"/>
    <w:rsid w:val="745D81D3"/>
    <w:rsid w:val="745DB0EE"/>
    <w:rsid w:val="745ED8E1"/>
    <w:rsid w:val="746B79F3"/>
    <w:rsid w:val="746FA710"/>
    <w:rsid w:val="74754ACB"/>
    <w:rsid w:val="74831365"/>
    <w:rsid w:val="748C2AF8"/>
    <w:rsid w:val="7491411A"/>
    <w:rsid w:val="74A0AB41"/>
    <w:rsid w:val="74A235B3"/>
    <w:rsid w:val="74A29947"/>
    <w:rsid w:val="74A32163"/>
    <w:rsid w:val="74A52775"/>
    <w:rsid w:val="74A575CB"/>
    <w:rsid w:val="74A9E56A"/>
    <w:rsid w:val="74AEBF3C"/>
    <w:rsid w:val="74AF0EBC"/>
    <w:rsid w:val="74AFA4F8"/>
    <w:rsid w:val="74B24D0E"/>
    <w:rsid w:val="74B315CC"/>
    <w:rsid w:val="74BDA5D0"/>
    <w:rsid w:val="74BDE686"/>
    <w:rsid w:val="74C55BBD"/>
    <w:rsid w:val="74CFE610"/>
    <w:rsid w:val="74D6A7EA"/>
    <w:rsid w:val="74DD0FFB"/>
    <w:rsid w:val="74DF8DD3"/>
    <w:rsid w:val="74E012A9"/>
    <w:rsid w:val="74E2243B"/>
    <w:rsid w:val="74E7132C"/>
    <w:rsid w:val="74E8A8BC"/>
    <w:rsid w:val="74ED1B3A"/>
    <w:rsid w:val="75024A11"/>
    <w:rsid w:val="75075E5C"/>
    <w:rsid w:val="7508431F"/>
    <w:rsid w:val="75097BAA"/>
    <w:rsid w:val="7509D1BF"/>
    <w:rsid w:val="750B8A95"/>
    <w:rsid w:val="750D17F2"/>
    <w:rsid w:val="7511AA39"/>
    <w:rsid w:val="75241E51"/>
    <w:rsid w:val="752BDF38"/>
    <w:rsid w:val="752D36FE"/>
    <w:rsid w:val="752D4795"/>
    <w:rsid w:val="752DED14"/>
    <w:rsid w:val="75357F54"/>
    <w:rsid w:val="754907D5"/>
    <w:rsid w:val="754F81CD"/>
    <w:rsid w:val="75535631"/>
    <w:rsid w:val="755640A1"/>
    <w:rsid w:val="7557D97E"/>
    <w:rsid w:val="755CC0D8"/>
    <w:rsid w:val="755D0F33"/>
    <w:rsid w:val="755FA0AA"/>
    <w:rsid w:val="755FA771"/>
    <w:rsid w:val="75640BDB"/>
    <w:rsid w:val="756DF651"/>
    <w:rsid w:val="75776EF6"/>
    <w:rsid w:val="75797D74"/>
    <w:rsid w:val="757E03E9"/>
    <w:rsid w:val="75827EE6"/>
    <w:rsid w:val="7585720E"/>
    <w:rsid w:val="75883009"/>
    <w:rsid w:val="7588F50B"/>
    <w:rsid w:val="758D60BD"/>
    <w:rsid w:val="758F7E14"/>
    <w:rsid w:val="758F8E99"/>
    <w:rsid w:val="75912930"/>
    <w:rsid w:val="75A6C5E8"/>
    <w:rsid w:val="75A73922"/>
    <w:rsid w:val="75B2ACCD"/>
    <w:rsid w:val="75B64565"/>
    <w:rsid w:val="75BD0C99"/>
    <w:rsid w:val="75BE5FEB"/>
    <w:rsid w:val="75C363B4"/>
    <w:rsid w:val="75C743D4"/>
    <w:rsid w:val="75CAAB97"/>
    <w:rsid w:val="75D14337"/>
    <w:rsid w:val="75E2B8B7"/>
    <w:rsid w:val="75E573F0"/>
    <w:rsid w:val="75EBF541"/>
    <w:rsid w:val="75ED12A7"/>
    <w:rsid w:val="75F21122"/>
    <w:rsid w:val="75FA4117"/>
    <w:rsid w:val="75FD78AC"/>
    <w:rsid w:val="7607E340"/>
    <w:rsid w:val="760824DB"/>
    <w:rsid w:val="760CEEF5"/>
    <w:rsid w:val="7623F021"/>
    <w:rsid w:val="762E9693"/>
    <w:rsid w:val="763B502F"/>
    <w:rsid w:val="7644B748"/>
    <w:rsid w:val="76477A82"/>
    <w:rsid w:val="76491DAA"/>
    <w:rsid w:val="76499AA5"/>
    <w:rsid w:val="764A08B6"/>
    <w:rsid w:val="76645ADE"/>
    <w:rsid w:val="766CCD80"/>
    <w:rsid w:val="766DEB52"/>
    <w:rsid w:val="76772293"/>
    <w:rsid w:val="7685D7EC"/>
    <w:rsid w:val="768FC921"/>
    <w:rsid w:val="76963206"/>
    <w:rsid w:val="7696774C"/>
    <w:rsid w:val="76A8ADE4"/>
    <w:rsid w:val="76B0A551"/>
    <w:rsid w:val="76B56AA1"/>
    <w:rsid w:val="76C0BFDA"/>
    <w:rsid w:val="76C12AD4"/>
    <w:rsid w:val="76C2CED3"/>
    <w:rsid w:val="76C88553"/>
    <w:rsid w:val="76D00B9B"/>
    <w:rsid w:val="76D0B994"/>
    <w:rsid w:val="76D33F3C"/>
    <w:rsid w:val="76D49D80"/>
    <w:rsid w:val="76DE41CD"/>
    <w:rsid w:val="76E085EC"/>
    <w:rsid w:val="76E90E9F"/>
    <w:rsid w:val="76ED66BE"/>
    <w:rsid w:val="76EEC9E6"/>
    <w:rsid w:val="76F33BE2"/>
    <w:rsid w:val="76F404A1"/>
    <w:rsid w:val="76F4C4C6"/>
    <w:rsid w:val="76F5C2EE"/>
    <w:rsid w:val="76F7297F"/>
    <w:rsid w:val="76FD7863"/>
    <w:rsid w:val="76FE3E90"/>
    <w:rsid w:val="770C81D0"/>
    <w:rsid w:val="770F82AA"/>
    <w:rsid w:val="770FA955"/>
    <w:rsid w:val="771074AB"/>
    <w:rsid w:val="7714F588"/>
    <w:rsid w:val="77152406"/>
    <w:rsid w:val="77156020"/>
    <w:rsid w:val="771585E0"/>
    <w:rsid w:val="7724E317"/>
    <w:rsid w:val="7729CA0F"/>
    <w:rsid w:val="772DDCA0"/>
    <w:rsid w:val="772FCD4A"/>
    <w:rsid w:val="77340114"/>
    <w:rsid w:val="773649F0"/>
    <w:rsid w:val="7738027F"/>
    <w:rsid w:val="773A8064"/>
    <w:rsid w:val="773FAF61"/>
    <w:rsid w:val="773FD010"/>
    <w:rsid w:val="774B0CC6"/>
    <w:rsid w:val="774ECF0D"/>
    <w:rsid w:val="77554F71"/>
    <w:rsid w:val="775A23CC"/>
    <w:rsid w:val="775D3E8B"/>
    <w:rsid w:val="77619269"/>
    <w:rsid w:val="776EA50E"/>
    <w:rsid w:val="7772A1A7"/>
    <w:rsid w:val="7773F283"/>
    <w:rsid w:val="7778508D"/>
    <w:rsid w:val="777E86B6"/>
    <w:rsid w:val="777F919F"/>
    <w:rsid w:val="7787BBC7"/>
    <w:rsid w:val="7789C6E2"/>
    <w:rsid w:val="7793EAC5"/>
    <w:rsid w:val="7793F79B"/>
    <w:rsid w:val="7798574C"/>
    <w:rsid w:val="77A3A87A"/>
    <w:rsid w:val="77A3E6FC"/>
    <w:rsid w:val="77A861A5"/>
    <w:rsid w:val="77AA5161"/>
    <w:rsid w:val="77AE32F7"/>
    <w:rsid w:val="77B2BA86"/>
    <w:rsid w:val="77B9D488"/>
    <w:rsid w:val="77BC3E75"/>
    <w:rsid w:val="77BC4AE4"/>
    <w:rsid w:val="77BD73A2"/>
    <w:rsid w:val="77C4B3AA"/>
    <w:rsid w:val="77C7ACAC"/>
    <w:rsid w:val="77C7EFFD"/>
    <w:rsid w:val="77CDAF9C"/>
    <w:rsid w:val="77CFACD5"/>
    <w:rsid w:val="77D4DD10"/>
    <w:rsid w:val="77DA239F"/>
    <w:rsid w:val="77DC6D29"/>
    <w:rsid w:val="77DE1948"/>
    <w:rsid w:val="77E31136"/>
    <w:rsid w:val="77ED2D46"/>
    <w:rsid w:val="77EDB3CE"/>
    <w:rsid w:val="77EE5264"/>
    <w:rsid w:val="77FD94DD"/>
    <w:rsid w:val="78028DF9"/>
    <w:rsid w:val="78084A55"/>
    <w:rsid w:val="78121F10"/>
    <w:rsid w:val="781297BC"/>
    <w:rsid w:val="781579A0"/>
    <w:rsid w:val="78176198"/>
    <w:rsid w:val="781A5AC1"/>
    <w:rsid w:val="781E7282"/>
    <w:rsid w:val="7828D028"/>
    <w:rsid w:val="782BEF84"/>
    <w:rsid w:val="782DCEBB"/>
    <w:rsid w:val="7832E263"/>
    <w:rsid w:val="783681A6"/>
    <w:rsid w:val="78388CEB"/>
    <w:rsid w:val="783C85A2"/>
    <w:rsid w:val="78432158"/>
    <w:rsid w:val="784522B6"/>
    <w:rsid w:val="7847E779"/>
    <w:rsid w:val="78486274"/>
    <w:rsid w:val="78505844"/>
    <w:rsid w:val="78518F2C"/>
    <w:rsid w:val="78542E4D"/>
    <w:rsid w:val="7859AA04"/>
    <w:rsid w:val="785A1BC0"/>
    <w:rsid w:val="786014DC"/>
    <w:rsid w:val="786346A6"/>
    <w:rsid w:val="786DE266"/>
    <w:rsid w:val="7871BA07"/>
    <w:rsid w:val="787E93F4"/>
    <w:rsid w:val="788E4A0D"/>
    <w:rsid w:val="788EADA4"/>
    <w:rsid w:val="7894DD67"/>
    <w:rsid w:val="7899763B"/>
    <w:rsid w:val="789B8B4C"/>
    <w:rsid w:val="789EDAB7"/>
    <w:rsid w:val="78A1A3F5"/>
    <w:rsid w:val="78A9E5B3"/>
    <w:rsid w:val="78AAB219"/>
    <w:rsid w:val="78ACAE7C"/>
    <w:rsid w:val="78AED4CF"/>
    <w:rsid w:val="78AFC2FE"/>
    <w:rsid w:val="78B15816"/>
    <w:rsid w:val="78B2552B"/>
    <w:rsid w:val="78B3CE01"/>
    <w:rsid w:val="78BCF105"/>
    <w:rsid w:val="78C872D9"/>
    <w:rsid w:val="78CCD788"/>
    <w:rsid w:val="78CE412E"/>
    <w:rsid w:val="78D27991"/>
    <w:rsid w:val="78D6889D"/>
    <w:rsid w:val="78D9DA77"/>
    <w:rsid w:val="78E2952D"/>
    <w:rsid w:val="78E789B8"/>
    <w:rsid w:val="78E8494B"/>
    <w:rsid w:val="78ED885D"/>
    <w:rsid w:val="78FDC792"/>
    <w:rsid w:val="79001AA1"/>
    <w:rsid w:val="790280F0"/>
    <w:rsid w:val="7905F3B5"/>
    <w:rsid w:val="7908F6F9"/>
    <w:rsid w:val="79124527"/>
    <w:rsid w:val="7926B9F4"/>
    <w:rsid w:val="792D037D"/>
    <w:rsid w:val="794CF30A"/>
    <w:rsid w:val="794D9D36"/>
    <w:rsid w:val="794EEECF"/>
    <w:rsid w:val="7952F6FA"/>
    <w:rsid w:val="7955A082"/>
    <w:rsid w:val="7958C1CC"/>
    <w:rsid w:val="79694830"/>
    <w:rsid w:val="796B3820"/>
    <w:rsid w:val="796E2EC6"/>
    <w:rsid w:val="7970BF8C"/>
    <w:rsid w:val="797D68F9"/>
    <w:rsid w:val="7985DDFC"/>
    <w:rsid w:val="79877805"/>
    <w:rsid w:val="79939612"/>
    <w:rsid w:val="7995CF9A"/>
    <w:rsid w:val="79982D4E"/>
    <w:rsid w:val="799A1A5A"/>
    <w:rsid w:val="799EF912"/>
    <w:rsid w:val="799FC28D"/>
    <w:rsid w:val="79A345BA"/>
    <w:rsid w:val="79A826E1"/>
    <w:rsid w:val="79B5D520"/>
    <w:rsid w:val="79BB2228"/>
    <w:rsid w:val="79BBA54A"/>
    <w:rsid w:val="79CB9919"/>
    <w:rsid w:val="79D759E2"/>
    <w:rsid w:val="79DD8C4C"/>
    <w:rsid w:val="79DE0A36"/>
    <w:rsid w:val="79E4258B"/>
    <w:rsid w:val="79F62DB9"/>
    <w:rsid w:val="79F6D178"/>
    <w:rsid w:val="79F84D9E"/>
    <w:rsid w:val="79FFE43E"/>
    <w:rsid w:val="7A065952"/>
    <w:rsid w:val="7A0F1349"/>
    <w:rsid w:val="7A10BBEC"/>
    <w:rsid w:val="7A10EBA3"/>
    <w:rsid w:val="7A1376AF"/>
    <w:rsid w:val="7A20B49C"/>
    <w:rsid w:val="7A217869"/>
    <w:rsid w:val="7A233468"/>
    <w:rsid w:val="7A23A248"/>
    <w:rsid w:val="7A2EFC02"/>
    <w:rsid w:val="7A317BEE"/>
    <w:rsid w:val="7A403FE4"/>
    <w:rsid w:val="7A4657E9"/>
    <w:rsid w:val="7A479F3A"/>
    <w:rsid w:val="7A48F6AE"/>
    <w:rsid w:val="7A5C158A"/>
    <w:rsid w:val="7A63F01A"/>
    <w:rsid w:val="7A780BE0"/>
    <w:rsid w:val="7A7A5470"/>
    <w:rsid w:val="7A860C90"/>
    <w:rsid w:val="7A87BFE3"/>
    <w:rsid w:val="7A885657"/>
    <w:rsid w:val="7A88BBAB"/>
    <w:rsid w:val="7A907EF6"/>
    <w:rsid w:val="7A956140"/>
    <w:rsid w:val="7A979575"/>
    <w:rsid w:val="7A989717"/>
    <w:rsid w:val="7A98E3B2"/>
    <w:rsid w:val="7A9B0E1F"/>
    <w:rsid w:val="7A9B9A58"/>
    <w:rsid w:val="7A9F2CA0"/>
    <w:rsid w:val="7AA532E5"/>
    <w:rsid w:val="7AAECBEE"/>
    <w:rsid w:val="7AB0607F"/>
    <w:rsid w:val="7AB64579"/>
    <w:rsid w:val="7AB7A50D"/>
    <w:rsid w:val="7AB96272"/>
    <w:rsid w:val="7AC84E5B"/>
    <w:rsid w:val="7AD44240"/>
    <w:rsid w:val="7ADC3AF0"/>
    <w:rsid w:val="7ADC3EB6"/>
    <w:rsid w:val="7ADE074E"/>
    <w:rsid w:val="7ADF565D"/>
    <w:rsid w:val="7ADF771F"/>
    <w:rsid w:val="7AE04853"/>
    <w:rsid w:val="7AE1E04B"/>
    <w:rsid w:val="7AE82DB8"/>
    <w:rsid w:val="7AEA7694"/>
    <w:rsid w:val="7AECD6E9"/>
    <w:rsid w:val="7AEDA409"/>
    <w:rsid w:val="7AF24626"/>
    <w:rsid w:val="7AF5DAD4"/>
    <w:rsid w:val="7AFF06A5"/>
    <w:rsid w:val="7B0B06BC"/>
    <w:rsid w:val="7B15D0E5"/>
    <w:rsid w:val="7B1BBDDF"/>
    <w:rsid w:val="7B1BE328"/>
    <w:rsid w:val="7B1CE570"/>
    <w:rsid w:val="7B1DF07E"/>
    <w:rsid w:val="7B20946B"/>
    <w:rsid w:val="7B23B1DF"/>
    <w:rsid w:val="7B2754BF"/>
    <w:rsid w:val="7B28DBFA"/>
    <w:rsid w:val="7B30EDB2"/>
    <w:rsid w:val="7B316F68"/>
    <w:rsid w:val="7B31DD2C"/>
    <w:rsid w:val="7B3CE22F"/>
    <w:rsid w:val="7B42AD5C"/>
    <w:rsid w:val="7B511C46"/>
    <w:rsid w:val="7B5559FB"/>
    <w:rsid w:val="7B631926"/>
    <w:rsid w:val="7B64F83F"/>
    <w:rsid w:val="7B6644C3"/>
    <w:rsid w:val="7B672DF9"/>
    <w:rsid w:val="7B6BDBCB"/>
    <w:rsid w:val="7B79097E"/>
    <w:rsid w:val="7B795E9E"/>
    <w:rsid w:val="7B7E98D7"/>
    <w:rsid w:val="7B7EFFF2"/>
    <w:rsid w:val="7B86259B"/>
    <w:rsid w:val="7B8DA001"/>
    <w:rsid w:val="7B8DD132"/>
    <w:rsid w:val="7B943C48"/>
    <w:rsid w:val="7B98259E"/>
    <w:rsid w:val="7B98D00D"/>
    <w:rsid w:val="7B9A0994"/>
    <w:rsid w:val="7BB78AA1"/>
    <w:rsid w:val="7BBA94D4"/>
    <w:rsid w:val="7BBB340C"/>
    <w:rsid w:val="7BC41EB3"/>
    <w:rsid w:val="7BC6A53C"/>
    <w:rsid w:val="7BD07B5B"/>
    <w:rsid w:val="7BD4DD11"/>
    <w:rsid w:val="7BD794CB"/>
    <w:rsid w:val="7BD9794B"/>
    <w:rsid w:val="7BE4FE87"/>
    <w:rsid w:val="7BE9852A"/>
    <w:rsid w:val="7BFE2872"/>
    <w:rsid w:val="7C0319FF"/>
    <w:rsid w:val="7C0936C0"/>
    <w:rsid w:val="7C0BBC9B"/>
    <w:rsid w:val="7C0F3CF7"/>
    <w:rsid w:val="7C11F2F0"/>
    <w:rsid w:val="7C157507"/>
    <w:rsid w:val="7C15F2B1"/>
    <w:rsid w:val="7C238185"/>
    <w:rsid w:val="7C27BC13"/>
    <w:rsid w:val="7C2B4BD4"/>
    <w:rsid w:val="7C36193F"/>
    <w:rsid w:val="7C3C65C4"/>
    <w:rsid w:val="7C419DEF"/>
    <w:rsid w:val="7C48BF49"/>
    <w:rsid w:val="7C4B9B6B"/>
    <w:rsid w:val="7C4F296D"/>
    <w:rsid w:val="7C52C27C"/>
    <w:rsid w:val="7C52C8EF"/>
    <w:rsid w:val="7C59982C"/>
    <w:rsid w:val="7C5A79CA"/>
    <w:rsid w:val="7C5AC5D8"/>
    <w:rsid w:val="7C64EE92"/>
    <w:rsid w:val="7C66EFAA"/>
    <w:rsid w:val="7C72EECC"/>
    <w:rsid w:val="7C76097E"/>
    <w:rsid w:val="7C7BB5D0"/>
    <w:rsid w:val="7C7BC07D"/>
    <w:rsid w:val="7C7C472C"/>
    <w:rsid w:val="7C82EE95"/>
    <w:rsid w:val="7C85E1FE"/>
    <w:rsid w:val="7C95296E"/>
    <w:rsid w:val="7C9597E3"/>
    <w:rsid w:val="7CA51DA4"/>
    <w:rsid w:val="7CAAB33A"/>
    <w:rsid w:val="7CB047DE"/>
    <w:rsid w:val="7CB394F4"/>
    <w:rsid w:val="7CB78937"/>
    <w:rsid w:val="7CC07B5D"/>
    <w:rsid w:val="7CC14273"/>
    <w:rsid w:val="7CC1DC3A"/>
    <w:rsid w:val="7CC2234D"/>
    <w:rsid w:val="7CC50C14"/>
    <w:rsid w:val="7CCA07BC"/>
    <w:rsid w:val="7CCCB2B9"/>
    <w:rsid w:val="7CCE368A"/>
    <w:rsid w:val="7CD9529C"/>
    <w:rsid w:val="7CDF910A"/>
    <w:rsid w:val="7CE2536B"/>
    <w:rsid w:val="7CE5DEE9"/>
    <w:rsid w:val="7CE6A164"/>
    <w:rsid w:val="7CE6A8EF"/>
    <w:rsid w:val="7CE74CCF"/>
    <w:rsid w:val="7CEB9762"/>
    <w:rsid w:val="7CEB9A81"/>
    <w:rsid w:val="7CECD37B"/>
    <w:rsid w:val="7CED34A7"/>
    <w:rsid w:val="7CF32268"/>
    <w:rsid w:val="7CF651ED"/>
    <w:rsid w:val="7CFA09D4"/>
    <w:rsid w:val="7CFBA23C"/>
    <w:rsid w:val="7CFC7879"/>
    <w:rsid w:val="7D0594E8"/>
    <w:rsid w:val="7D17118B"/>
    <w:rsid w:val="7D1A7174"/>
    <w:rsid w:val="7D1E0633"/>
    <w:rsid w:val="7D1EE5CB"/>
    <w:rsid w:val="7D1F0E7A"/>
    <w:rsid w:val="7D2C0124"/>
    <w:rsid w:val="7D305F1E"/>
    <w:rsid w:val="7D30D01A"/>
    <w:rsid w:val="7D322EDC"/>
    <w:rsid w:val="7D33A370"/>
    <w:rsid w:val="7D3777C3"/>
    <w:rsid w:val="7D38B48B"/>
    <w:rsid w:val="7D3987FA"/>
    <w:rsid w:val="7D48CAEC"/>
    <w:rsid w:val="7D499ECD"/>
    <w:rsid w:val="7D4A7A57"/>
    <w:rsid w:val="7D505777"/>
    <w:rsid w:val="7D530840"/>
    <w:rsid w:val="7D53DF61"/>
    <w:rsid w:val="7D552D3C"/>
    <w:rsid w:val="7D5B1AAE"/>
    <w:rsid w:val="7D5B3761"/>
    <w:rsid w:val="7D61FCFB"/>
    <w:rsid w:val="7D646BBA"/>
    <w:rsid w:val="7D6E613C"/>
    <w:rsid w:val="7D6F7BE5"/>
    <w:rsid w:val="7D72BBCA"/>
    <w:rsid w:val="7D770D7B"/>
    <w:rsid w:val="7D7853CA"/>
    <w:rsid w:val="7D7B3CF4"/>
    <w:rsid w:val="7D7BDF32"/>
    <w:rsid w:val="7D802536"/>
    <w:rsid w:val="7D80DCC7"/>
    <w:rsid w:val="7D810A7C"/>
    <w:rsid w:val="7D86506E"/>
    <w:rsid w:val="7D878B1F"/>
    <w:rsid w:val="7D87F67D"/>
    <w:rsid w:val="7D8AC49B"/>
    <w:rsid w:val="7D8CD1EA"/>
    <w:rsid w:val="7D8D9731"/>
    <w:rsid w:val="7D96FAE1"/>
    <w:rsid w:val="7D983F5F"/>
    <w:rsid w:val="7DA8B6C3"/>
    <w:rsid w:val="7DB09F2D"/>
    <w:rsid w:val="7DB59DF7"/>
    <w:rsid w:val="7DC7BD6B"/>
    <w:rsid w:val="7DC8B8EB"/>
    <w:rsid w:val="7DD287F5"/>
    <w:rsid w:val="7DD83C1B"/>
    <w:rsid w:val="7DDACEE9"/>
    <w:rsid w:val="7DE157B8"/>
    <w:rsid w:val="7DE6FE15"/>
    <w:rsid w:val="7DEF38D3"/>
    <w:rsid w:val="7DF4BD5E"/>
    <w:rsid w:val="7DFBB2B2"/>
    <w:rsid w:val="7DFBD2AB"/>
    <w:rsid w:val="7E00747E"/>
    <w:rsid w:val="7E01E39F"/>
    <w:rsid w:val="7E07E8EC"/>
    <w:rsid w:val="7E0AD283"/>
    <w:rsid w:val="7E0AD29D"/>
    <w:rsid w:val="7E0FD995"/>
    <w:rsid w:val="7E14C635"/>
    <w:rsid w:val="7E1AEA4E"/>
    <w:rsid w:val="7E23097D"/>
    <w:rsid w:val="7E2605EE"/>
    <w:rsid w:val="7E2D6A2F"/>
    <w:rsid w:val="7E3C84A8"/>
    <w:rsid w:val="7E3CCCA1"/>
    <w:rsid w:val="7E43688C"/>
    <w:rsid w:val="7E44888D"/>
    <w:rsid w:val="7E45AC88"/>
    <w:rsid w:val="7E49812C"/>
    <w:rsid w:val="7E4CAEF7"/>
    <w:rsid w:val="7E55F9E5"/>
    <w:rsid w:val="7E5680CB"/>
    <w:rsid w:val="7E5E013B"/>
    <w:rsid w:val="7E6224C7"/>
    <w:rsid w:val="7E6318F2"/>
    <w:rsid w:val="7E64F3F9"/>
    <w:rsid w:val="7E6F36A2"/>
    <w:rsid w:val="7E729D24"/>
    <w:rsid w:val="7E79B305"/>
    <w:rsid w:val="7E854D7E"/>
    <w:rsid w:val="7E86DC54"/>
    <w:rsid w:val="7E8C6CAC"/>
    <w:rsid w:val="7E8FFEA6"/>
    <w:rsid w:val="7E927904"/>
    <w:rsid w:val="7E92AFD7"/>
    <w:rsid w:val="7E994233"/>
    <w:rsid w:val="7EA18AC9"/>
    <w:rsid w:val="7EA260BC"/>
    <w:rsid w:val="7EA348C2"/>
    <w:rsid w:val="7EA38981"/>
    <w:rsid w:val="7EABCC48"/>
    <w:rsid w:val="7EAF5735"/>
    <w:rsid w:val="7EB0405E"/>
    <w:rsid w:val="7EC5AB3A"/>
    <w:rsid w:val="7ECA794A"/>
    <w:rsid w:val="7ECCC3A6"/>
    <w:rsid w:val="7ECF1273"/>
    <w:rsid w:val="7ECFA6C5"/>
    <w:rsid w:val="7ED93E43"/>
    <w:rsid w:val="7EDAFBB4"/>
    <w:rsid w:val="7EDCF474"/>
    <w:rsid w:val="7EE6ED1E"/>
    <w:rsid w:val="7EF37C33"/>
    <w:rsid w:val="7EF4C821"/>
    <w:rsid w:val="7F02C39B"/>
    <w:rsid w:val="7F0511CB"/>
    <w:rsid w:val="7F065C92"/>
    <w:rsid w:val="7F1111CA"/>
    <w:rsid w:val="7F11B617"/>
    <w:rsid w:val="7F1227F2"/>
    <w:rsid w:val="7F159CCA"/>
    <w:rsid w:val="7F1AD402"/>
    <w:rsid w:val="7F1CD685"/>
    <w:rsid w:val="7F314D90"/>
    <w:rsid w:val="7F3B90A2"/>
    <w:rsid w:val="7F3E59CA"/>
    <w:rsid w:val="7F3EEE00"/>
    <w:rsid w:val="7F45EB6E"/>
    <w:rsid w:val="7F4FCBBD"/>
    <w:rsid w:val="7F54ED87"/>
    <w:rsid w:val="7F5CA9A7"/>
    <w:rsid w:val="7F603601"/>
    <w:rsid w:val="7F656C3C"/>
    <w:rsid w:val="7F6738CE"/>
    <w:rsid w:val="7F73C2F0"/>
    <w:rsid w:val="7F7D00C6"/>
    <w:rsid w:val="7F8874D1"/>
    <w:rsid w:val="7F8D00D8"/>
    <w:rsid w:val="7F8F2C88"/>
    <w:rsid w:val="7F94A29F"/>
    <w:rsid w:val="7F9C78FD"/>
    <w:rsid w:val="7FA403F0"/>
    <w:rsid w:val="7FA47CD5"/>
    <w:rsid w:val="7FAEE66A"/>
    <w:rsid w:val="7FB431D1"/>
    <w:rsid w:val="7FBB83E9"/>
    <w:rsid w:val="7FC013BF"/>
    <w:rsid w:val="7FCBB841"/>
    <w:rsid w:val="7FCFBEF3"/>
    <w:rsid w:val="7FD71A42"/>
    <w:rsid w:val="7FD9A81D"/>
    <w:rsid w:val="7FDF2FA1"/>
    <w:rsid w:val="7FF0D0FA"/>
    <w:rsid w:val="7FF5253F"/>
    <w:rsid w:val="7FFD6D1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75723AC"/>
  <w15:docId w15:val="{A8AE8677-8489-4CB4-B17D-BC1080A9D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7">
    <w:lsdException w:name="Normal" w:uiPriority="8"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uiPriority w:val="8"/>
    <w:qFormat/>
    <w:rsid w:val="00013184"/>
    <w:pPr>
      <w:widowControl/>
      <w:spacing w:after="120" w:line="360" w:lineRule="auto"/>
    </w:pPr>
    <w:rPr>
      <w:rFonts w:ascii="Metropolis Light" w:eastAsia="Times New Roman" w:hAnsi="Metropolis Light" w:cs="Times New Roman"/>
      <w:color w:val="0D0D0D" w:themeColor="text1" w:themeTint="F2"/>
      <w:sz w:val="20"/>
      <w:szCs w:val="24"/>
      <w:lang w:val="en-NZ" w:eastAsia="en-AU"/>
    </w:rPr>
  </w:style>
  <w:style w:type="paragraph" w:styleId="Heading1">
    <w:name w:val="heading 1"/>
    <w:link w:val="Heading1Char"/>
    <w:uiPriority w:val="10"/>
    <w:qFormat/>
    <w:rsid w:val="00013184"/>
    <w:pPr>
      <w:keepNext/>
      <w:widowControl/>
      <w:spacing w:before="600" w:after="240" w:line="360" w:lineRule="auto"/>
      <w:outlineLvl w:val="0"/>
    </w:pPr>
    <w:rPr>
      <w:rFonts w:ascii="Metropolis Black" w:eastAsia="Times New Roman" w:hAnsi="Metropolis Black" w:cs="Times New Roman"/>
      <w:b/>
      <w:color w:val="73AB6E"/>
      <w:sz w:val="66"/>
      <w:szCs w:val="24"/>
      <w:lang w:val="en-NZ"/>
    </w:rPr>
  </w:style>
  <w:style w:type="paragraph" w:styleId="Heading2">
    <w:name w:val="heading 2"/>
    <w:next w:val="BodyText"/>
    <w:link w:val="Heading2Char"/>
    <w:uiPriority w:val="5"/>
    <w:qFormat/>
    <w:rsid w:val="00013184"/>
    <w:pPr>
      <w:keepNext/>
      <w:widowControl/>
      <w:spacing w:before="360" w:line="360" w:lineRule="auto"/>
      <w:outlineLvl w:val="1"/>
    </w:pPr>
    <w:rPr>
      <w:rFonts w:ascii="Metropolis" w:eastAsia="Times New Roman" w:hAnsi="Metropolis" w:cs="Times New Roman"/>
      <w:b/>
      <w:caps/>
      <w:color w:val="73AB6E"/>
      <w:szCs w:val="24"/>
      <w:lang w:val="en-NZ" w:eastAsia="en-AU"/>
    </w:rPr>
  </w:style>
  <w:style w:type="paragraph" w:styleId="Heading3">
    <w:name w:val="heading 3"/>
    <w:next w:val="BodyText"/>
    <w:link w:val="Heading3Char"/>
    <w:uiPriority w:val="5"/>
    <w:qFormat/>
    <w:rsid w:val="00013184"/>
    <w:pPr>
      <w:keepNext/>
      <w:widowControl/>
      <w:spacing w:before="200" w:line="360" w:lineRule="auto"/>
      <w:outlineLvl w:val="2"/>
    </w:pPr>
    <w:rPr>
      <w:rFonts w:ascii="Metropolis" w:eastAsia="Times New Roman" w:hAnsi="Metropolis" w:cs="Times New Roman"/>
      <w:b/>
      <w:color w:val="73AB6E"/>
      <w:szCs w:val="24"/>
      <w:lang w:val="en-NZ" w:eastAsia="en-AU"/>
    </w:rPr>
  </w:style>
  <w:style w:type="paragraph" w:styleId="Heading4">
    <w:name w:val="heading 4"/>
    <w:next w:val="BodyText"/>
    <w:link w:val="Heading4Char"/>
    <w:uiPriority w:val="5"/>
    <w:qFormat/>
    <w:rsid w:val="00013184"/>
    <w:pPr>
      <w:keepNext/>
      <w:widowControl/>
      <w:spacing w:before="200" w:line="360" w:lineRule="auto"/>
      <w:outlineLvl w:val="3"/>
    </w:pPr>
    <w:rPr>
      <w:rFonts w:ascii="Metropolis" w:eastAsia="Times New Roman" w:hAnsi="Metropolis" w:cs="Times New Roman"/>
      <w:b/>
      <w:i/>
      <w:color w:val="73AB6E"/>
      <w:sz w:val="20"/>
      <w:szCs w:val="24"/>
      <w:lang w:val="en-NZ" w:eastAsia="en-AU"/>
    </w:rPr>
  </w:style>
  <w:style w:type="paragraph" w:styleId="Heading5">
    <w:name w:val="heading 5"/>
    <w:basedOn w:val="Normal"/>
    <w:next w:val="Normal"/>
    <w:link w:val="Heading5Char"/>
    <w:uiPriority w:val="10"/>
    <w:qFormat/>
    <w:rsid w:val="00013184"/>
    <w:pPr>
      <w:keepNext/>
      <w:spacing w:before="200"/>
      <w:outlineLvl w:val="4"/>
    </w:pPr>
    <w:rPr>
      <w:rFonts w:ascii="Metropolis" w:hAnsi="Metropolis"/>
      <w:color w:val="6BA539"/>
    </w:rPr>
  </w:style>
  <w:style w:type="paragraph" w:styleId="Heading6">
    <w:name w:val="heading 6"/>
    <w:link w:val="Heading6Char"/>
    <w:uiPriority w:val="10"/>
    <w:qFormat/>
    <w:rsid w:val="00013184"/>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013184"/>
    <w:pPr>
      <w:spacing w:before="240" w:after="60"/>
      <w:outlineLvl w:val="6"/>
    </w:pPr>
  </w:style>
  <w:style w:type="paragraph" w:styleId="Heading8">
    <w:name w:val="heading 8"/>
    <w:basedOn w:val="Normal"/>
    <w:next w:val="Normal"/>
    <w:link w:val="Heading8Char"/>
    <w:uiPriority w:val="10"/>
    <w:semiHidden/>
    <w:rsid w:val="00013184"/>
    <w:pPr>
      <w:spacing w:before="240" w:after="60"/>
      <w:outlineLvl w:val="7"/>
    </w:pPr>
    <w:rPr>
      <w:i/>
      <w:iCs/>
    </w:rPr>
  </w:style>
  <w:style w:type="paragraph" w:styleId="Heading9">
    <w:name w:val="heading 9"/>
    <w:basedOn w:val="Normal"/>
    <w:next w:val="Normal"/>
    <w:link w:val="Heading9Char"/>
    <w:uiPriority w:val="10"/>
    <w:semiHidden/>
    <w:rsid w:val="00013184"/>
    <w:pPr>
      <w:spacing w:before="240" w:after="60"/>
      <w:outlineLvl w:val="8"/>
    </w:pPr>
    <w:rPr>
      <w:rFonts w:ascii="Arial" w:hAnsi="Arial" w:cs="Arial"/>
    </w:rPr>
  </w:style>
  <w:style w:type="character" w:default="1" w:styleId="DefaultParagraphFont">
    <w:name w:val="Default Paragraph Font"/>
    <w:uiPriority w:val="1"/>
    <w:semiHidden/>
    <w:unhideWhenUsed/>
    <w:rsid w:val="0001318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13184"/>
  </w:style>
  <w:style w:type="character" w:customStyle="1" w:styleId="Heading1Char">
    <w:name w:val="Heading 1 Char"/>
    <w:basedOn w:val="DefaultParagraphFont"/>
    <w:link w:val="Heading1"/>
    <w:uiPriority w:val="10"/>
    <w:rsid w:val="008D1F68"/>
    <w:rPr>
      <w:rFonts w:ascii="Metropolis Black" w:eastAsia="Times New Roman" w:hAnsi="Metropolis Black" w:cs="Times New Roman"/>
      <w:b/>
      <w:color w:val="73AB6E"/>
      <w:sz w:val="66"/>
      <w:szCs w:val="24"/>
      <w:lang w:val="en-NZ"/>
    </w:rPr>
  </w:style>
  <w:style w:type="character" w:customStyle="1" w:styleId="Heading2Char">
    <w:name w:val="Heading 2 Char"/>
    <w:basedOn w:val="DefaultParagraphFont"/>
    <w:link w:val="Heading2"/>
    <w:uiPriority w:val="5"/>
    <w:rsid w:val="008D1F68"/>
    <w:rPr>
      <w:rFonts w:ascii="Metropolis" w:eastAsia="Times New Roman" w:hAnsi="Metropolis" w:cs="Times New Roman"/>
      <w:b/>
      <w:caps/>
      <w:color w:val="73AB6E"/>
      <w:szCs w:val="24"/>
      <w:lang w:val="en-NZ" w:eastAsia="en-AU"/>
    </w:rPr>
  </w:style>
  <w:style w:type="character" w:customStyle="1" w:styleId="Heading3Char">
    <w:name w:val="Heading 3 Char"/>
    <w:basedOn w:val="DefaultParagraphFont"/>
    <w:link w:val="Heading3"/>
    <w:uiPriority w:val="5"/>
    <w:rsid w:val="008D1F68"/>
    <w:rPr>
      <w:rFonts w:ascii="Metropolis" w:eastAsia="Times New Roman" w:hAnsi="Metropolis" w:cs="Times New Roman"/>
      <w:b/>
      <w:color w:val="73AB6E"/>
      <w:szCs w:val="24"/>
      <w:lang w:val="en-NZ" w:eastAsia="en-AU"/>
    </w:rPr>
  </w:style>
  <w:style w:type="character" w:customStyle="1" w:styleId="Heading4Char">
    <w:name w:val="Heading 4 Char"/>
    <w:basedOn w:val="DefaultParagraphFont"/>
    <w:link w:val="Heading4"/>
    <w:uiPriority w:val="5"/>
    <w:rsid w:val="008D1F68"/>
    <w:rPr>
      <w:rFonts w:ascii="Metropolis" w:eastAsia="Times New Roman" w:hAnsi="Metropolis" w:cs="Times New Roman"/>
      <w:b/>
      <w:i/>
      <w:color w:val="73AB6E"/>
      <w:sz w:val="20"/>
      <w:szCs w:val="24"/>
      <w:lang w:val="en-NZ" w:eastAsia="en-AU"/>
    </w:rPr>
  </w:style>
  <w:style w:type="character" w:customStyle="1" w:styleId="Heading5Char">
    <w:name w:val="Heading 5 Char"/>
    <w:basedOn w:val="DefaultParagraphFont"/>
    <w:link w:val="Heading5"/>
    <w:uiPriority w:val="10"/>
    <w:rsid w:val="008D1F68"/>
    <w:rPr>
      <w:rFonts w:ascii="Metropolis" w:eastAsia="Times New Roman" w:hAnsi="Metropolis" w:cs="Times New Roman"/>
      <w:color w:val="6BA539"/>
      <w:sz w:val="20"/>
      <w:szCs w:val="24"/>
      <w:lang w:val="en-NZ" w:eastAsia="en-AU"/>
    </w:rPr>
  </w:style>
  <w:style w:type="character" w:customStyle="1" w:styleId="Heading6Char">
    <w:name w:val="Heading 6 Char"/>
    <w:basedOn w:val="DefaultParagraphFont"/>
    <w:link w:val="Heading6"/>
    <w:uiPriority w:val="10"/>
    <w:rsid w:val="008D1F68"/>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8D1F68"/>
    <w:rPr>
      <w:rFonts w:ascii="Metropolis Light" w:eastAsia="Times New Roman" w:hAnsi="Metropolis Light" w:cs="Times New Roman"/>
      <w:color w:val="0D0D0D" w:themeColor="text1" w:themeTint="F2"/>
      <w:sz w:val="20"/>
      <w:szCs w:val="24"/>
      <w:lang w:val="en-NZ" w:eastAsia="en-AU"/>
    </w:rPr>
  </w:style>
  <w:style w:type="character" w:customStyle="1" w:styleId="Heading8Char">
    <w:name w:val="Heading 8 Char"/>
    <w:basedOn w:val="DefaultParagraphFont"/>
    <w:link w:val="Heading8"/>
    <w:uiPriority w:val="10"/>
    <w:semiHidden/>
    <w:rsid w:val="008D1F68"/>
    <w:rPr>
      <w:rFonts w:ascii="Metropolis Light" w:eastAsia="Times New Roman" w:hAnsi="Metropolis Light" w:cs="Times New Roman"/>
      <w:i/>
      <w:iCs/>
      <w:color w:val="0D0D0D" w:themeColor="text1" w:themeTint="F2"/>
      <w:sz w:val="20"/>
      <w:szCs w:val="24"/>
      <w:lang w:val="en-NZ" w:eastAsia="en-AU"/>
    </w:rPr>
  </w:style>
  <w:style w:type="character" w:customStyle="1" w:styleId="Heading9Char">
    <w:name w:val="Heading 9 Char"/>
    <w:basedOn w:val="DefaultParagraphFont"/>
    <w:link w:val="Heading9"/>
    <w:uiPriority w:val="10"/>
    <w:semiHidden/>
    <w:rsid w:val="008D1F68"/>
    <w:rPr>
      <w:rFonts w:ascii="Arial" w:eastAsia="Times New Roman" w:hAnsi="Arial" w:cs="Arial"/>
      <w:color w:val="0D0D0D" w:themeColor="text1" w:themeTint="F2"/>
      <w:sz w:val="20"/>
      <w:szCs w:val="24"/>
      <w:lang w:val="en-NZ" w:eastAsia="en-AU"/>
    </w:rPr>
  </w:style>
  <w:style w:type="paragraph" w:styleId="BalloonText">
    <w:name w:val="Balloon Text"/>
    <w:basedOn w:val="Normal"/>
    <w:link w:val="BalloonTextChar1"/>
    <w:uiPriority w:val="99"/>
    <w:semiHidden/>
    <w:rsid w:val="00013184"/>
    <w:rPr>
      <w:rFonts w:ascii="Tahoma" w:hAnsi="Tahoma" w:cs="Tahoma"/>
      <w:sz w:val="16"/>
      <w:szCs w:val="16"/>
    </w:rPr>
  </w:style>
  <w:style w:type="character" w:customStyle="1" w:styleId="BalloonTextChar">
    <w:name w:val="Balloon Text Char"/>
    <w:basedOn w:val="DefaultParagraphFont"/>
    <w:uiPriority w:val="99"/>
    <w:semiHidden/>
    <w:rsid w:val="0001318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8D1F68"/>
    <w:rPr>
      <w:rFonts w:ascii="Tahoma" w:eastAsia="Times New Roman" w:hAnsi="Tahoma" w:cs="Tahoma"/>
      <w:color w:val="0D0D0D" w:themeColor="text1" w:themeTint="F2"/>
      <w:sz w:val="16"/>
      <w:szCs w:val="16"/>
      <w:lang w:val="en-NZ" w:eastAsia="en-AU"/>
    </w:rPr>
  </w:style>
  <w:style w:type="paragraph" w:styleId="Quote">
    <w:name w:val="Quote"/>
    <w:link w:val="QuoteChar"/>
    <w:uiPriority w:val="6"/>
    <w:qFormat/>
    <w:rsid w:val="00013184"/>
    <w:pPr>
      <w:widowControl/>
      <w:numPr>
        <w:numId w:val="12"/>
      </w:numPr>
      <w:spacing w:before="80" w:after="80" w:line="360" w:lineRule="auto"/>
      <w:ind w:firstLine="0"/>
      <w:jc w:val="both"/>
    </w:pPr>
    <w:rPr>
      <w:rFonts w:ascii="Metropolis Light" w:eastAsia="Times New Roman" w:hAnsi="Metropolis Light" w:cs="Times New Roman"/>
      <w:color w:val="0D0D0D" w:themeColor="text1" w:themeTint="F2"/>
      <w:sz w:val="18"/>
      <w:szCs w:val="24"/>
      <w:lang w:val="en-NZ" w:eastAsia="en-AU"/>
    </w:rPr>
  </w:style>
  <w:style w:type="character" w:customStyle="1" w:styleId="QuoteChar">
    <w:name w:val="Quote Char"/>
    <w:basedOn w:val="DefaultParagraphFont"/>
    <w:link w:val="Quote"/>
    <w:uiPriority w:val="6"/>
    <w:rsid w:val="008D1F68"/>
    <w:rPr>
      <w:rFonts w:ascii="Metropolis Light" w:eastAsia="Times New Roman" w:hAnsi="Metropolis Light" w:cs="Times New Roman"/>
      <w:color w:val="0D0D0D" w:themeColor="text1" w:themeTint="F2"/>
      <w:sz w:val="18"/>
      <w:szCs w:val="24"/>
      <w:lang w:val="en-NZ" w:eastAsia="en-AU"/>
    </w:rPr>
  </w:style>
  <w:style w:type="paragraph" w:styleId="List3">
    <w:name w:val="List 3"/>
    <w:basedOn w:val="Normal"/>
    <w:uiPriority w:val="99"/>
    <w:semiHidden/>
    <w:rsid w:val="00013184"/>
    <w:pPr>
      <w:spacing w:before="80" w:after="80"/>
      <w:ind w:left="849" w:hanging="283"/>
    </w:pPr>
  </w:style>
  <w:style w:type="paragraph" w:customStyle="1" w:styleId="InsideCoverTextspacebefore">
    <w:name w:val="Inside Cover Text space before"/>
    <w:basedOn w:val="InsideCoverText"/>
    <w:next w:val="InsideCoverText"/>
    <w:uiPriority w:val="22"/>
    <w:qFormat/>
    <w:rsid w:val="00013184"/>
    <w:pPr>
      <w:spacing w:before="280"/>
    </w:pPr>
  </w:style>
  <w:style w:type="character" w:styleId="CommentReference">
    <w:name w:val="annotation reference"/>
    <w:basedOn w:val="DefaultParagraphFont"/>
    <w:uiPriority w:val="99"/>
    <w:rsid w:val="00013184"/>
    <w:rPr>
      <w:sz w:val="16"/>
      <w:szCs w:val="16"/>
    </w:rPr>
  </w:style>
  <w:style w:type="paragraph" w:styleId="CommentText">
    <w:name w:val="annotation text"/>
    <w:basedOn w:val="Normal"/>
    <w:link w:val="CommentTextChar"/>
    <w:uiPriority w:val="99"/>
    <w:rsid w:val="00013184"/>
    <w:rPr>
      <w:szCs w:val="20"/>
    </w:rPr>
  </w:style>
  <w:style w:type="character" w:customStyle="1" w:styleId="CommentTextChar">
    <w:name w:val="Comment Text Char"/>
    <w:basedOn w:val="DefaultParagraphFont"/>
    <w:link w:val="CommentText"/>
    <w:uiPriority w:val="99"/>
    <w:rsid w:val="008D1F68"/>
    <w:rPr>
      <w:rFonts w:ascii="Metropolis Light" w:eastAsia="Times New Roman" w:hAnsi="Metropolis Light" w:cs="Times New Roman"/>
      <w:color w:val="0D0D0D" w:themeColor="text1" w:themeTint="F2"/>
      <w:sz w:val="20"/>
      <w:szCs w:val="20"/>
      <w:lang w:val="en-NZ" w:eastAsia="en-AU"/>
    </w:rPr>
  </w:style>
  <w:style w:type="paragraph" w:customStyle="1" w:styleId="RecommendationText">
    <w:name w:val="Recommendation Text"/>
    <w:uiPriority w:val="11"/>
    <w:qFormat/>
    <w:rsid w:val="00013184"/>
    <w:pPr>
      <w:widowControl/>
      <w:numPr>
        <w:numId w:val="1"/>
      </w:numPr>
      <w:shd w:val="clear" w:color="auto" w:fill="DFEFD1"/>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color w:val="262626" w:themeColor="text1" w:themeTint="D9"/>
      <w:sz w:val="20"/>
      <w:szCs w:val="20"/>
      <w:lang w:val="en-NZ"/>
    </w:rPr>
  </w:style>
  <w:style w:type="paragraph" w:customStyle="1" w:styleId="RecommendationText3">
    <w:name w:val="Recommendation Text 3"/>
    <w:basedOn w:val="RecommendationText"/>
    <w:uiPriority w:val="12"/>
    <w:qFormat/>
    <w:rsid w:val="00013184"/>
    <w:pPr>
      <w:numPr>
        <w:ilvl w:val="2"/>
      </w:numPr>
    </w:pPr>
  </w:style>
  <w:style w:type="paragraph" w:styleId="Footer">
    <w:name w:val="footer"/>
    <w:basedOn w:val="Normal"/>
    <w:link w:val="FooterChar"/>
    <w:uiPriority w:val="58"/>
    <w:unhideWhenUsed/>
    <w:rsid w:val="00013184"/>
    <w:pPr>
      <w:tabs>
        <w:tab w:val="center" w:pos="4536"/>
        <w:tab w:val="right" w:pos="9072"/>
      </w:tabs>
    </w:pPr>
  </w:style>
  <w:style w:type="character" w:customStyle="1" w:styleId="FooterChar">
    <w:name w:val="Footer Char"/>
    <w:basedOn w:val="DefaultParagraphFont"/>
    <w:link w:val="Footer"/>
    <w:uiPriority w:val="58"/>
    <w:rsid w:val="008D1F68"/>
    <w:rPr>
      <w:rFonts w:ascii="Metropolis Light" w:eastAsia="Times New Roman" w:hAnsi="Metropolis Light" w:cs="Times New Roman"/>
      <w:color w:val="0D0D0D" w:themeColor="text1" w:themeTint="F2"/>
      <w:sz w:val="20"/>
      <w:szCs w:val="24"/>
      <w:lang w:val="en-NZ" w:eastAsia="en-AU"/>
    </w:rPr>
  </w:style>
  <w:style w:type="character" w:styleId="FootnoteReference">
    <w:name w:val="footnote reference"/>
    <w:aliases w:val="4_G"/>
    <w:basedOn w:val="DefaultParagraphFont"/>
    <w:rsid w:val="00013184"/>
    <w:rPr>
      <w:rFonts w:ascii="Metropolis Light" w:hAnsi="Metropolis Light"/>
      <w:color w:val="262626" w:themeColor="text1" w:themeTint="D9"/>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
    <w:link w:val="FootnoteTextChar"/>
    <w:qFormat/>
    <w:rsid w:val="00013184"/>
    <w:pPr>
      <w:widowControl/>
      <w:spacing w:before="57" w:after="57" w:line="360" w:lineRule="auto"/>
      <w:ind w:left="709" w:hanging="454"/>
      <w:jc w:val="both"/>
    </w:pPr>
    <w:rPr>
      <w:rFonts w:ascii="Metropolis Light" w:eastAsia="Times New Roman" w:hAnsi="Metropolis Light" w:cs="Times New Roman"/>
      <w:color w:val="0D0D0D" w:themeColor="text1" w:themeTint="F2"/>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
    <w:basedOn w:val="DefaultParagraphFont"/>
    <w:link w:val="FootnoteText"/>
    <w:rsid w:val="008D1F68"/>
    <w:rPr>
      <w:rFonts w:ascii="Metropolis Light" w:eastAsia="Times New Roman" w:hAnsi="Metropolis Light" w:cs="Times New Roman"/>
      <w:color w:val="0D0D0D" w:themeColor="text1" w:themeTint="F2"/>
      <w:sz w:val="15"/>
      <w:szCs w:val="20"/>
      <w:lang w:val="en-NZ"/>
    </w:rPr>
  </w:style>
  <w:style w:type="paragraph" w:styleId="Header">
    <w:name w:val="header"/>
    <w:basedOn w:val="Normal"/>
    <w:link w:val="HeaderChar"/>
    <w:uiPriority w:val="99"/>
    <w:unhideWhenUsed/>
    <w:rsid w:val="00013184"/>
    <w:pPr>
      <w:tabs>
        <w:tab w:val="center" w:pos="4536"/>
        <w:tab w:val="right" w:pos="9072"/>
      </w:tabs>
    </w:pPr>
    <w:rPr>
      <w:color w:val="262626" w:themeColor="text1" w:themeTint="D9"/>
      <w:sz w:val="13"/>
    </w:rPr>
  </w:style>
  <w:style w:type="character" w:customStyle="1" w:styleId="HeaderChar">
    <w:name w:val="Header Char"/>
    <w:basedOn w:val="DefaultParagraphFont"/>
    <w:link w:val="Header"/>
    <w:uiPriority w:val="99"/>
    <w:rsid w:val="008D1F68"/>
    <w:rPr>
      <w:rFonts w:ascii="Metropolis Light" w:eastAsia="Times New Roman" w:hAnsi="Metropolis Light" w:cs="Times New Roman"/>
      <w:color w:val="262626" w:themeColor="text1" w:themeTint="D9"/>
      <w:sz w:val="13"/>
      <w:szCs w:val="24"/>
      <w:lang w:val="en-NZ" w:eastAsia="en-AU"/>
    </w:rPr>
  </w:style>
  <w:style w:type="paragraph" w:customStyle="1" w:styleId="ListRomanNumeral">
    <w:name w:val="List Roman Numeral"/>
    <w:uiPriority w:val="4"/>
    <w:qFormat/>
    <w:rsid w:val="00013184"/>
    <w:pPr>
      <w:widowControl/>
      <w:numPr>
        <w:numId w:val="11"/>
      </w:numPr>
      <w:spacing w:before="80" w:after="80" w:line="360" w:lineRule="auto"/>
    </w:pPr>
    <w:rPr>
      <w:rFonts w:ascii="Metropolis Light" w:eastAsia="Times New Roman" w:hAnsi="Metropolis Light" w:cs="Times New Roman"/>
      <w:color w:val="0D0D0D" w:themeColor="text1" w:themeTint="F2"/>
      <w:sz w:val="20"/>
      <w:szCs w:val="24"/>
      <w:lang w:val="en-NZ" w:eastAsia="en-AU"/>
    </w:rPr>
  </w:style>
  <w:style w:type="character" w:customStyle="1" w:styleId="QuoteBulletChar">
    <w:name w:val="Quote Bullet Char"/>
    <w:basedOn w:val="QuoteChar"/>
    <w:link w:val="QuoteBullet"/>
    <w:uiPriority w:val="7"/>
    <w:rsid w:val="008D1F68"/>
    <w:rPr>
      <w:rFonts w:ascii="Metropolis Light" w:eastAsia="Times New Roman" w:hAnsi="Metropolis Light" w:cs="Times New Roman"/>
      <w:color w:val="0D0D0D" w:themeColor="text1" w:themeTint="F2"/>
      <w:sz w:val="18"/>
      <w:szCs w:val="24"/>
      <w:lang w:val="en-NZ" w:eastAsia="en-AU"/>
    </w:rPr>
  </w:style>
  <w:style w:type="paragraph" w:customStyle="1" w:styleId="InsideCoverTextGreen">
    <w:name w:val="Inside Cover Text Green"/>
    <w:basedOn w:val="InsideCoverText"/>
    <w:uiPriority w:val="23"/>
    <w:qFormat/>
    <w:rsid w:val="00013184"/>
    <w:pPr>
      <w:spacing w:before="280"/>
    </w:pPr>
    <w:rPr>
      <w:color w:val="6BA539"/>
    </w:rPr>
  </w:style>
  <w:style w:type="paragraph" w:styleId="List4">
    <w:name w:val="List 4"/>
    <w:basedOn w:val="Normal"/>
    <w:uiPriority w:val="99"/>
    <w:semiHidden/>
    <w:rsid w:val="00013184"/>
    <w:pPr>
      <w:ind w:left="1132" w:hanging="283"/>
    </w:pPr>
  </w:style>
  <w:style w:type="paragraph" w:styleId="ListBullet">
    <w:name w:val="List Bullet"/>
    <w:uiPriority w:val="4"/>
    <w:qFormat/>
    <w:rsid w:val="00013184"/>
    <w:pPr>
      <w:widowControl/>
      <w:numPr>
        <w:numId w:val="3"/>
      </w:numPr>
      <w:spacing w:before="80" w:after="80" w:line="360" w:lineRule="auto"/>
      <w:ind w:left="1134" w:right="284"/>
      <w:jc w:val="both"/>
    </w:pPr>
    <w:rPr>
      <w:rFonts w:ascii="Metropolis Light" w:eastAsia="Times New Roman" w:hAnsi="Metropolis Light" w:cs="Times New Roman"/>
      <w:color w:val="0D0D0D" w:themeColor="text1" w:themeTint="F2"/>
      <w:sz w:val="20"/>
      <w:szCs w:val="24"/>
      <w:lang w:val="en-NZ" w:eastAsia="en-AU"/>
    </w:rPr>
  </w:style>
  <w:style w:type="paragraph" w:styleId="ListBullet2">
    <w:name w:val="List Bullet 2"/>
    <w:basedOn w:val="ListBullet"/>
    <w:uiPriority w:val="4"/>
    <w:rsid w:val="00013184"/>
    <w:pPr>
      <w:numPr>
        <w:ilvl w:val="1"/>
      </w:numPr>
    </w:pPr>
  </w:style>
  <w:style w:type="paragraph" w:styleId="ListBullet3">
    <w:name w:val="List Bullet 3"/>
    <w:basedOn w:val="ListBullet2"/>
    <w:uiPriority w:val="4"/>
    <w:rsid w:val="00013184"/>
    <w:pPr>
      <w:numPr>
        <w:ilvl w:val="2"/>
      </w:numPr>
      <w:ind w:left="1559"/>
    </w:pPr>
  </w:style>
  <w:style w:type="paragraph" w:styleId="ListBullet4">
    <w:name w:val="List Bullet 4"/>
    <w:basedOn w:val="ListBullet3"/>
    <w:uiPriority w:val="4"/>
    <w:semiHidden/>
    <w:rsid w:val="00013184"/>
    <w:pPr>
      <w:numPr>
        <w:ilvl w:val="3"/>
      </w:numPr>
    </w:pPr>
  </w:style>
  <w:style w:type="paragraph" w:styleId="ListContinue">
    <w:name w:val="List Continue"/>
    <w:basedOn w:val="Normal"/>
    <w:uiPriority w:val="99"/>
    <w:semiHidden/>
    <w:rsid w:val="00013184"/>
    <w:pPr>
      <w:numPr>
        <w:ilvl w:val="1"/>
        <w:numId w:val="2"/>
      </w:numPr>
    </w:pPr>
  </w:style>
  <w:style w:type="paragraph" w:styleId="ListContinue2">
    <w:name w:val="List Continue 2"/>
    <w:basedOn w:val="Normal"/>
    <w:uiPriority w:val="99"/>
    <w:semiHidden/>
    <w:rsid w:val="00013184"/>
    <w:pPr>
      <w:ind w:left="566"/>
    </w:pPr>
  </w:style>
  <w:style w:type="paragraph" w:styleId="ListContinue3">
    <w:name w:val="List Continue 3"/>
    <w:basedOn w:val="Normal"/>
    <w:uiPriority w:val="99"/>
    <w:semiHidden/>
    <w:rsid w:val="00013184"/>
    <w:pPr>
      <w:ind w:left="849"/>
    </w:pPr>
  </w:style>
  <w:style w:type="paragraph" w:styleId="ListContinue4">
    <w:name w:val="List Continue 4"/>
    <w:basedOn w:val="Normal"/>
    <w:uiPriority w:val="99"/>
    <w:semiHidden/>
    <w:rsid w:val="00013184"/>
    <w:pPr>
      <w:ind w:left="1132"/>
    </w:pPr>
  </w:style>
  <w:style w:type="paragraph" w:styleId="ListContinue5">
    <w:name w:val="List Continue 5"/>
    <w:basedOn w:val="Normal"/>
    <w:uiPriority w:val="99"/>
    <w:semiHidden/>
    <w:rsid w:val="00013184"/>
    <w:pPr>
      <w:ind w:left="1415"/>
    </w:pPr>
  </w:style>
  <w:style w:type="paragraph" w:styleId="ListNumber2">
    <w:name w:val="List Number 2"/>
    <w:basedOn w:val="ListNumber"/>
    <w:uiPriority w:val="4"/>
    <w:semiHidden/>
    <w:rsid w:val="00013184"/>
    <w:pPr>
      <w:numPr>
        <w:ilvl w:val="1"/>
      </w:numPr>
    </w:pPr>
  </w:style>
  <w:style w:type="paragraph" w:styleId="ListNumber3">
    <w:name w:val="List Number 3"/>
    <w:basedOn w:val="ListNumber"/>
    <w:uiPriority w:val="4"/>
    <w:semiHidden/>
    <w:rsid w:val="00013184"/>
    <w:pPr>
      <w:numPr>
        <w:ilvl w:val="2"/>
      </w:numPr>
    </w:pPr>
  </w:style>
  <w:style w:type="paragraph" w:styleId="ListNumber4">
    <w:name w:val="List Number 4"/>
    <w:basedOn w:val="ListNumber3"/>
    <w:uiPriority w:val="4"/>
    <w:semiHidden/>
    <w:rsid w:val="00013184"/>
    <w:pPr>
      <w:numPr>
        <w:ilvl w:val="3"/>
      </w:numPr>
    </w:pPr>
  </w:style>
  <w:style w:type="paragraph" w:styleId="ListNumber5">
    <w:name w:val="List Number 5"/>
    <w:basedOn w:val="ListNumber3"/>
    <w:uiPriority w:val="4"/>
    <w:semiHidden/>
    <w:rsid w:val="00013184"/>
    <w:pPr>
      <w:numPr>
        <w:ilvl w:val="4"/>
      </w:numPr>
    </w:pPr>
  </w:style>
  <w:style w:type="paragraph" w:customStyle="1" w:styleId="RecommendationQuote">
    <w:name w:val="Recommendation Quote"/>
    <w:basedOn w:val="RecommendationText2"/>
    <w:uiPriority w:val="14"/>
    <w:qFormat/>
    <w:rsid w:val="00013184"/>
    <w:pPr>
      <w:spacing w:before="100" w:after="100"/>
    </w:pPr>
    <w:rPr>
      <w:i/>
    </w:rPr>
  </w:style>
  <w:style w:type="paragraph" w:customStyle="1" w:styleId="PartAppendicesHeading">
    <w:name w:val="Part/Appendices Heading"/>
    <w:next w:val="Heading1"/>
    <w:uiPriority w:val="10"/>
    <w:qFormat/>
    <w:rsid w:val="00013184"/>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013184"/>
    <w:pPr>
      <w:numPr>
        <w:ilvl w:val="1"/>
      </w:numPr>
    </w:pPr>
  </w:style>
  <w:style w:type="paragraph" w:customStyle="1" w:styleId="RecommendationBullet">
    <w:name w:val="Recommendation Bullet"/>
    <w:basedOn w:val="RecommendationText2"/>
    <w:uiPriority w:val="15"/>
    <w:qFormat/>
    <w:rsid w:val="00013184"/>
    <w:pPr>
      <w:numPr>
        <w:ilvl w:val="0"/>
        <w:numId w:val="0"/>
      </w:numPr>
    </w:pPr>
  </w:style>
  <w:style w:type="paragraph" w:customStyle="1" w:styleId="QuoteBullet">
    <w:name w:val="Quote Bullet"/>
    <w:basedOn w:val="Quote"/>
    <w:link w:val="QuoteBulletChar"/>
    <w:uiPriority w:val="7"/>
    <w:qFormat/>
    <w:rsid w:val="00013184"/>
    <w:pPr>
      <w:numPr>
        <w:numId w:val="4"/>
      </w:numPr>
    </w:pPr>
  </w:style>
  <w:style w:type="paragraph" w:customStyle="1" w:styleId="QuoteBullet2">
    <w:name w:val="Quote Bullet 2"/>
    <w:basedOn w:val="QuoteBullet"/>
    <w:uiPriority w:val="7"/>
    <w:rsid w:val="00013184"/>
    <w:pPr>
      <w:numPr>
        <w:ilvl w:val="1"/>
      </w:numPr>
    </w:pPr>
  </w:style>
  <w:style w:type="paragraph" w:customStyle="1" w:styleId="QuoteBullet3">
    <w:name w:val="Quote Bullet 3"/>
    <w:basedOn w:val="QuoteBullet"/>
    <w:uiPriority w:val="7"/>
    <w:rsid w:val="00013184"/>
    <w:pPr>
      <w:numPr>
        <w:ilvl w:val="2"/>
      </w:numPr>
    </w:pPr>
  </w:style>
  <w:style w:type="paragraph" w:customStyle="1" w:styleId="RecommendationBullet2">
    <w:name w:val="Recommendation Bullet 2"/>
    <w:basedOn w:val="RecommendationBullet"/>
    <w:uiPriority w:val="15"/>
    <w:qFormat/>
    <w:rsid w:val="00013184"/>
    <w:pPr>
      <w:numPr>
        <w:ilvl w:val="1"/>
      </w:numPr>
    </w:pPr>
  </w:style>
  <w:style w:type="paragraph" w:styleId="TOC1">
    <w:name w:val="toc 1"/>
    <w:basedOn w:val="Normal"/>
    <w:next w:val="Normal"/>
    <w:uiPriority w:val="39"/>
    <w:unhideWhenUsed/>
    <w:qFormat/>
    <w:rsid w:val="00013184"/>
    <w:pPr>
      <w:tabs>
        <w:tab w:val="right" w:leader="dot" w:pos="9061"/>
      </w:tabs>
      <w:spacing w:before="200"/>
      <w:ind w:right="340"/>
    </w:pPr>
    <w:rPr>
      <w:b/>
      <w:color w:val="6BA539"/>
    </w:rPr>
  </w:style>
  <w:style w:type="paragraph" w:styleId="TOC2">
    <w:name w:val="toc 2"/>
    <w:basedOn w:val="TOC3"/>
    <w:next w:val="Normal"/>
    <w:uiPriority w:val="39"/>
    <w:unhideWhenUsed/>
    <w:qFormat/>
    <w:rsid w:val="00013184"/>
    <w:pPr>
      <w:spacing w:after="0"/>
      <w:ind w:left="567"/>
    </w:pPr>
  </w:style>
  <w:style w:type="paragraph" w:styleId="TOC3">
    <w:name w:val="toc 3"/>
    <w:basedOn w:val="Normal"/>
    <w:next w:val="Normal"/>
    <w:uiPriority w:val="39"/>
    <w:unhideWhenUsed/>
    <w:qFormat/>
    <w:rsid w:val="00013184"/>
    <w:pPr>
      <w:tabs>
        <w:tab w:val="right" w:leader="dot" w:pos="9072"/>
      </w:tabs>
      <w:ind w:right="340"/>
    </w:pPr>
  </w:style>
  <w:style w:type="paragraph" w:styleId="NoSpacing">
    <w:name w:val="No Spacing"/>
    <w:uiPriority w:val="99"/>
    <w:rsid w:val="00013184"/>
    <w:pPr>
      <w:widowControl/>
      <w:spacing w:after="0" w:line="240" w:lineRule="auto"/>
    </w:pPr>
    <w:rPr>
      <w:rFonts w:eastAsia="Times New Roman" w:cs="Times New Roman"/>
      <w:sz w:val="24"/>
      <w:szCs w:val="24"/>
      <w:lang w:val="en-NZ" w:eastAsia="en-AU"/>
    </w:rPr>
  </w:style>
  <w:style w:type="paragraph" w:customStyle="1" w:styleId="RecommendationBullet3">
    <w:name w:val="Recommendation Bullet 3"/>
    <w:basedOn w:val="RecommendationBullet"/>
    <w:uiPriority w:val="15"/>
    <w:qFormat/>
    <w:rsid w:val="00013184"/>
    <w:pPr>
      <w:numPr>
        <w:ilvl w:val="2"/>
      </w:numPr>
    </w:pPr>
  </w:style>
  <w:style w:type="paragraph" w:customStyle="1" w:styleId="RecommendationText4">
    <w:name w:val="Recommendation Text 4"/>
    <w:basedOn w:val="RecommendationText3"/>
    <w:uiPriority w:val="13"/>
    <w:qFormat/>
    <w:rsid w:val="00013184"/>
    <w:pPr>
      <w:numPr>
        <w:ilvl w:val="3"/>
      </w:numPr>
    </w:pPr>
  </w:style>
  <w:style w:type="paragraph" w:customStyle="1" w:styleId="RecommendationText5">
    <w:name w:val="Recommendation Text 5"/>
    <w:basedOn w:val="RecommendationText4"/>
    <w:uiPriority w:val="13"/>
    <w:qFormat/>
    <w:rsid w:val="00013184"/>
    <w:pPr>
      <w:numPr>
        <w:ilvl w:val="4"/>
      </w:numPr>
    </w:pPr>
  </w:style>
  <w:style w:type="paragraph" w:customStyle="1" w:styleId="QuestionText">
    <w:name w:val="Question Text"/>
    <w:basedOn w:val="RecommendationText"/>
    <w:uiPriority w:val="16"/>
    <w:qFormat/>
    <w:rsid w:val="00013184"/>
    <w:pPr>
      <w:numPr>
        <w:numId w:val="5"/>
      </w:numPr>
    </w:pPr>
    <w:rPr>
      <w:lang w:val="en-US" w:eastAsia="en-AU"/>
    </w:rPr>
  </w:style>
  <w:style w:type="paragraph" w:customStyle="1" w:styleId="CommentsText">
    <w:name w:val="Comments Text"/>
    <w:basedOn w:val="RecommendationText"/>
    <w:uiPriority w:val="17"/>
    <w:qFormat/>
    <w:rsid w:val="00013184"/>
    <w:pPr>
      <w:numPr>
        <w:numId w:val="6"/>
      </w:numPr>
      <w:ind w:left="709" w:hanging="425"/>
    </w:pPr>
    <w:rPr>
      <w:lang w:eastAsia="en-AU"/>
    </w:rPr>
  </w:style>
  <w:style w:type="paragraph" w:customStyle="1" w:styleId="ReferenceText">
    <w:name w:val="Reference Text"/>
    <w:uiPriority w:val="8"/>
    <w:qFormat/>
    <w:rsid w:val="00013184"/>
    <w:pPr>
      <w:widowControl/>
      <w:spacing w:before="60" w:after="60" w:line="260" w:lineRule="atLeast"/>
      <w:ind w:left="113"/>
    </w:pPr>
    <w:rPr>
      <w:rFonts w:ascii="Calibri" w:eastAsia="Times New Roman" w:hAnsi="Calibri" w:cstheme="majorHAnsi"/>
      <w:color w:val="6BA539"/>
      <w:sz w:val="16"/>
      <w:szCs w:val="16"/>
      <w:lang w:val="en-NZ" w:eastAsia="en-AU"/>
    </w:rPr>
  </w:style>
  <w:style w:type="table" w:customStyle="1" w:styleId="LCTable">
    <w:name w:val="LC Table"/>
    <w:basedOn w:val="TableNormal"/>
    <w:uiPriority w:val="99"/>
    <w:rsid w:val="00013184"/>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013184"/>
    <w:pPr>
      <w:keepNext/>
      <w:widowControl/>
      <w:pBdr>
        <w:top w:val="single" w:sz="18" w:space="7" w:color="6BA539"/>
      </w:pBdr>
      <w:suppressAutoHyphens/>
      <w:kinsoku w:val="0"/>
      <w:adjustRightInd w:val="0"/>
      <w:spacing w:before="240" w:after="170" w:line="280" w:lineRule="atLeast"/>
      <w:jc w:val="both"/>
    </w:pPr>
    <w:rPr>
      <w:rFonts w:ascii="Calibri" w:eastAsia="Times New Roman" w:hAnsi="Calibri" w:cs="Times New Roman"/>
      <w:b/>
      <w:caps/>
      <w:color w:val="6BA539"/>
      <w:spacing w:val="14"/>
      <w:sz w:val="20"/>
      <w:szCs w:val="20"/>
      <w:lang w:val="en-NZ" w:eastAsia="en-AU"/>
    </w:rPr>
  </w:style>
  <w:style w:type="paragraph" w:customStyle="1" w:styleId="Summaryboxtext">
    <w:name w:val="Summary box text"/>
    <w:uiPriority w:val="9"/>
    <w:qFormat/>
    <w:rsid w:val="00013184"/>
    <w:pPr>
      <w:widowControl/>
      <w:pBdr>
        <w:bottom w:val="single" w:sz="18" w:space="11" w:color="6BA539"/>
      </w:pBdr>
      <w:suppressAutoHyphens/>
      <w:kinsoku w:val="0"/>
      <w:adjustRightInd w:val="0"/>
      <w:spacing w:before="170" w:after="400" w:line="280" w:lineRule="atLeast"/>
      <w:jc w:val="both"/>
    </w:pPr>
    <w:rPr>
      <w:rFonts w:ascii="Calibri" w:eastAsia="Times New Roman" w:hAnsi="Calibri" w:cs="Times New Roman"/>
      <w:color w:val="6BA539"/>
      <w:sz w:val="20"/>
      <w:szCs w:val="20"/>
      <w:lang w:val="en-NZ" w:eastAsia="en-AU"/>
    </w:rPr>
  </w:style>
  <w:style w:type="paragraph" w:styleId="Caption">
    <w:name w:val="caption"/>
    <w:basedOn w:val="Normal"/>
    <w:next w:val="Normal"/>
    <w:uiPriority w:val="8"/>
    <w:unhideWhenUsed/>
    <w:rsid w:val="00013184"/>
    <w:pPr>
      <w:spacing w:before="120"/>
      <w:jc w:val="both"/>
    </w:pPr>
    <w:rPr>
      <w:rFonts w:ascii="Metropolis" w:hAnsi="Metropolis"/>
      <w:b/>
      <w:bCs/>
      <w:color w:val="262626" w:themeColor="text1" w:themeTint="D9"/>
      <w:sz w:val="18"/>
      <w:szCs w:val="18"/>
    </w:rPr>
  </w:style>
  <w:style w:type="character" w:customStyle="1" w:styleId="TableSubheadingWhite">
    <w:name w:val="Table Subheading White"/>
    <w:basedOn w:val="DefaultParagraphFont"/>
    <w:uiPriority w:val="1"/>
    <w:qFormat/>
    <w:rsid w:val="00013184"/>
    <w:rPr>
      <w:rFonts w:ascii="Metropolis" w:hAnsi="Metropolis"/>
      <w:caps/>
      <w:color w:val="0D0D0D" w:themeColor="text1" w:themeTint="F2"/>
      <w:sz w:val="18"/>
    </w:rPr>
  </w:style>
  <w:style w:type="paragraph" w:customStyle="1" w:styleId="TableSubheadingGreen">
    <w:name w:val="Table Subheading Green"/>
    <w:basedOn w:val="Normal"/>
    <w:uiPriority w:val="8"/>
    <w:qFormat/>
    <w:rsid w:val="00013184"/>
    <w:rPr>
      <w:b/>
      <w:color w:val="6BA539"/>
    </w:rPr>
  </w:style>
  <w:style w:type="character" w:styleId="Hyperlink">
    <w:name w:val="Hyperlink"/>
    <w:basedOn w:val="DefaultParagraphFont"/>
    <w:uiPriority w:val="99"/>
    <w:unhideWhenUsed/>
    <w:rsid w:val="00013184"/>
    <w:rPr>
      <w:color w:val="74B230"/>
      <w:u w:val="single"/>
    </w:rPr>
  </w:style>
  <w:style w:type="paragraph" w:styleId="BodyTextIndent3">
    <w:name w:val="Body Text Indent 3"/>
    <w:basedOn w:val="Normal"/>
    <w:link w:val="BodyTextIndent3Char"/>
    <w:uiPriority w:val="2"/>
    <w:semiHidden/>
    <w:rsid w:val="00013184"/>
    <w:pPr>
      <w:ind w:left="283"/>
    </w:pPr>
    <w:rPr>
      <w:sz w:val="16"/>
      <w:szCs w:val="16"/>
    </w:rPr>
  </w:style>
  <w:style w:type="character" w:customStyle="1" w:styleId="BodyTextIndent3Char">
    <w:name w:val="Body Text Indent 3 Char"/>
    <w:basedOn w:val="DefaultParagraphFont"/>
    <w:link w:val="BodyTextIndent3"/>
    <w:uiPriority w:val="2"/>
    <w:semiHidden/>
    <w:rsid w:val="008D1F68"/>
    <w:rPr>
      <w:rFonts w:ascii="Metropolis Light" w:eastAsia="Times New Roman" w:hAnsi="Metropolis Light" w:cs="Times New Roman"/>
      <w:color w:val="0D0D0D" w:themeColor="text1" w:themeTint="F2"/>
      <w:sz w:val="16"/>
      <w:szCs w:val="16"/>
      <w:lang w:val="en-NZ" w:eastAsia="en-AU"/>
    </w:rPr>
  </w:style>
  <w:style w:type="paragraph" w:styleId="BodyTextIndent2">
    <w:name w:val="Body Text Indent 2"/>
    <w:basedOn w:val="BodyText2"/>
    <w:link w:val="BodyTextIndent2Char"/>
    <w:uiPriority w:val="1"/>
    <w:qFormat/>
    <w:rsid w:val="00013184"/>
    <w:pPr>
      <w:numPr>
        <w:ilvl w:val="4"/>
      </w:numPr>
    </w:pPr>
  </w:style>
  <w:style w:type="character" w:customStyle="1" w:styleId="BodyTextIndent2Char">
    <w:name w:val="Body Text Indent 2 Char"/>
    <w:basedOn w:val="DefaultParagraphFont"/>
    <w:link w:val="BodyTextIndent2"/>
    <w:uiPriority w:val="1"/>
    <w:rsid w:val="008D1F68"/>
    <w:rPr>
      <w:rFonts w:ascii="Metropolis Light" w:eastAsia="Times New Roman" w:hAnsi="Metropolis Light" w:cs="Times New Roman"/>
      <w:color w:val="0D0D0D" w:themeColor="text1" w:themeTint="F2"/>
      <w:sz w:val="20"/>
      <w:szCs w:val="24"/>
      <w:lang w:val="en-NZ" w:eastAsia="en-AU"/>
    </w:rPr>
  </w:style>
  <w:style w:type="numbering" w:styleId="111111">
    <w:name w:val="Outline List 2"/>
    <w:basedOn w:val="NoList"/>
    <w:semiHidden/>
    <w:rsid w:val="00013184"/>
    <w:pPr>
      <w:numPr>
        <w:numId w:val="18"/>
      </w:numPr>
    </w:pPr>
  </w:style>
  <w:style w:type="numbering" w:styleId="1ai">
    <w:name w:val="Outline List 1"/>
    <w:basedOn w:val="NoList"/>
    <w:semiHidden/>
    <w:rsid w:val="00013184"/>
    <w:pPr>
      <w:numPr>
        <w:numId w:val="80"/>
      </w:numPr>
    </w:pPr>
  </w:style>
  <w:style w:type="numbering" w:styleId="ArticleSection">
    <w:name w:val="Outline List 3"/>
    <w:basedOn w:val="NoList"/>
    <w:semiHidden/>
    <w:rsid w:val="00013184"/>
    <w:pPr>
      <w:numPr>
        <w:numId w:val="17"/>
      </w:numPr>
    </w:pPr>
  </w:style>
  <w:style w:type="paragraph" w:styleId="BlockText">
    <w:name w:val="Block Text"/>
    <w:basedOn w:val="Normal"/>
    <w:uiPriority w:val="99"/>
    <w:semiHidden/>
    <w:rsid w:val="00013184"/>
    <w:pPr>
      <w:ind w:left="1440" w:right="1440"/>
    </w:pPr>
  </w:style>
  <w:style w:type="paragraph" w:styleId="BodyText">
    <w:name w:val="Body Text"/>
    <w:link w:val="BodyTextChar"/>
    <w:qFormat/>
    <w:rsid w:val="00013184"/>
    <w:pPr>
      <w:widowControl/>
      <w:numPr>
        <w:ilvl w:val="1"/>
        <w:numId w:val="107"/>
      </w:numPr>
      <w:tabs>
        <w:tab w:val="left" w:pos="709"/>
      </w:tabs>
      <w:spacing w:before="80" w:after="120" w:line="360" w:lineRule="auto"/>
      <w:ind w:hanging="709"/>
      <w:jc w:val="both"/>
    </w:pPr>
    <w:rPr>
      <w:rFonts w:ascii="Metropolis Light" w:eastAsia="Times New Roman" w:hAnsi="Metropolis Light" w:cs="Times New Roman"/>
      <w:color w:val="000000" w:themeColor="text1"/>
      <w:sz w:val="20"/>
      <w:szCs w:val="24"/>
      <w:lang w:val="en-NZ" w:eastAsia="en-AU"/>
    </w:rPr>
  </w:style>
  <w:style w:type="character" w:customStyle="1" w:styleId="BodyTextChar">
    <w:name w:val="Body Text Char"/>
    <w:basedOn w:val="DefaultParagraphFont"/>
    <w:link w:val="BodyText"/>
    <w:rsid w:val="008D1F68"/>
    <w:rPr>
      <w:rFonts w:ascii="Metropolis Light" w:eastAsia="Times New Roman" w:hAnsi="Metropolis Light" w:cs="Times New Roman"/>
      <w:color w:val="000000" w:themeColor="text1"/>
      <w:sz w:val="20"/>
      <w:szCs w:val="24"/>
      <w:lang w:val="en-NZ" w:eastAsia="en-AU"/>
    </w:rPr>
  </w:style>
  <w:style w:type="paragraph" w:styleId="BodyText2">
    <w:name w:val="Body Text 2"/>
    <w:link w:val="BodyText2Char"/>
    <w:uiPriority w:val="1"/>
    <w:qFormat/>
    <w:rsid w:val="00013184"/>
    <w:pPr>
      <w:widowControl/>
      <w:numPr>
        <w:ilvl w:val="3"/>
        <w:numId w:val="75"/>
      </w:numPr>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BodyText2Char">
    <w:name w:val="Body Text 2 Char"/>
    <w:basedOn w:val="DefaultParagraphFont"/>
    <w:link w:val="BodyText2"/>
    <w:uiPriority w:val="1"/>
    <w:rsid w:val="008D1F68"/>
    <w:rPr>
      <w:rFonts w:ascii="Metropolis Light" w:eastAsia="Times New Roman" w:hAnsi="Metropolis Light" w:cs="Times New Roman"/>
      <w:color w:val="0D0D0D" w:themeColor="text1" w:themeTint="F2"/>
      <w:sz w:val="20"/>
      <w:szCs w:val="24"/>
      <w:lang w:val="en-NZ" w:eastAsia="en-AU"/>
    </w:rPr>
  </w:style>
  <w:style w:type="paragraph" w:styleId="BodyText3">
    <w:name w:val="Body Text 3"/>
    <w:link w:val="BodyText3Char"/>
    <w:uiPriority w:val="1"/>
    <w:semiHidden/>
    <w:rsid w:val="00013184"/>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8D1F68"/>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013184"/>
    <w:pPr>
      <w:ind w:firstLine="210"/>
    </w:pPr>
  </w:style>
  <w:style w:type="character" w:customStyle="1" w:styleId="BodyTextFirstIndentChar">
    <w:name w:val="Body Text First Indent Char"/>
    <w:basedOn w:val="BodyTextChar"/>
    <w:link w:val="BodyTextFirstIndent"/>
    <w:uiPriority w:val="99"/>
    <w:semiHidden/>
    <w:rsid w:val="008D1F68"/>
    <w:rPr>
      <w:rFonts w:ascii="Metropolis Light" w:eastAsia="Times New Roman" w:hAnsi="Metropolis Light" w:cs="Times New Roman"/>
      <w:color w:val="000000" w:themeColor="text1"/>
      <w:sz w:val="20"/>
      <w:szCs w:val="24"/>
      <w:lang w:val="en-NZ" w:eastAsia="en-AU"/>
    </w:rPr>
  </w:style>
  <w:style w:type="paragraph" w:styleId="BodyTextIndent">
    <w:name w:val="Body Text Indent"/>
    <w:link w:val="BodyTextIndentChar"/>
    <w:rsid w:val="00013184"/>
    <w:pPr>
      <w:widowControl/>
      <w:numPr>
        <w:ilvl w:val="2"/>
        <w:numId w:val="75"/>
      </w:numPr>
      <w:spacing w:before="80" w:after="80" w:line="360" w:lineRule="auto"/>
      <w:jc w:val="both"/>
    </w:pPr>
    <w:rPr>
      <w:rFonts w:ascii="Metropolis Light" w:eastAsia="Times New Roman" w:hAnsi="Metropolis Light" w:cs="Times New Roman"/>
      <w:color w:val="262626" w:themeColor="text1" w:themeTint="D9"/>
      <w:sz w:val="20"/>
      <w:szCs w:val="24"/>
      <w:lang w:val="en-NZ" w:eastAsia="en-AU"/>
    </w:rPr>
  </w:style>
  <w:style w:type="character" w:customStyle="1" w:styleId="BodyTextIndentChar">
    <w:name w:val="Body Text Indent Char"/>
    <w:basedOn w:val="DefaultParagraphFont"/>
    <w:link w:val="BodyTextIndent"/>
    <w:rsid w:val="008D1F68"/>
    <w:rPr>
      <w:rFonts w:ascii="Metropolis Light" w:eastAsia="Times New Roman" w:hAnsi="Metropolis Light" w:cs="Times New Roman"/>
      <w:color w:val="262626" w:themeColor="text1" w:themeTint="D9"/>
      <w:sz w:val="20"/>
      <w:szCs w:val="24"/>
      <w:lang w:val="en-NZ" w:eastAsia="en-AU"/>
    </w:rPr>
  </w:style>
  <w:style w:type="paragraph" w:styleId="BodyTextFirstIndent2">
    <w:name w:val="Body Text First Indent 2"/>
    <w:basedOn w:val="BodyTextIndent"/>
    <w:link w:val="BodyTextFirstIndent2Char"/>
    <w:uiPriority w:val="99"/>
    <w:semiHidden/>
    <w:rsid w:val="00013184"/>
    <w:pPr>
      <w:ind w:firstLine="210"/>
    </w:pPr>
  </w:style>
  <w:style w:type="character" w:customStyle="1" w:styleId="BodyTextFirstIndent2Char">
    <w:name w:val="Body Text First Indent 2 Char"/>
    <w:basedOn w:val="BodyTextIndentChar"/>
    <w:link w:val="BodyTextFirstIndent2"/>
    <w:uiPriority w:val="99"/>
    <w:semiHidden/>
    <w:rsid w:val="008D1F68"/>
    <w:rPr>
      <w:rFonts w:ascii="Metropolis Light" w:eastAsia="Times New Roman" w:hAnsi="Metropolis Light" w:cs="Times New Roman"/>
      <w:color w:val="262626" w:themeColor="text1" w:themeTint="D9"/>
      <w:sz w:val="20"/>
      <w:szCs w:val="24"/>
      <w:lang w:val="en-NZ" w:eastAsia="en-AU"/>
    </w:rPr>
  </w:style>
  <w:style w:type="paragraph" w:styleId="Closing">
    <w:name w:val="Closing"/>
    <w:basedOn w:val="Normal"/>
    <w:link w:val="ClosingChar"/>
    <w:uiPriority w:val="99"/>
    <w:semiHidden/>
    <w:rsid w:val="00013184"/>
    <w:pPr>
      <w:ind w:left="4252"/>
    </w:pPr>
  </w:style>
  <w:style w:type="character" w:customStyle="1" w:styleId="ClosingChar">
    <w:name w:val="Closing Char"/>
    <w:basedOn w:val="DefaultParagraphFont"/>
    <w:link w:val="Closing"/>
    <w:uiPriority w:val="99"/>
    <w:semiHidden/>
    <w:rsid w:val="008D1F68"/>
    <w:rPr>
      <w:rFonts w:ascii="Metropolis Light" w:eastAsia="Times New Roman" w:hAnsi="Metropolis Light" w:cs="Times New Roman"/>
      <w:color w:val="0D0D0D" w:themeColor="text1" w:themeTint="F2"/>
      <w:sz w:val="20"/>
      <w:szCs w:val="24"/>
      <w:lang w:val="en-NZ" w:eastAsia="en-AU"/>
    </w:rPr>
  </w:style>
  <w:style w:type="numbering" w:customStyle="1" w:styleId="Chapter1">
    <w:name w:val="Chapter1"/>
    <w:uiPriority w:val="99"/>
    <w:rsid w:val="00013184"/>
    <w:pPr>
      <w:numPr>
        <w:numId w:val="82"/>
      </w:numPr>
    </w:pPr>
  </w:style>
  <w:style w:type="paragraph" w:styleId="E-mailSignature">
    <w:name w:val="E-mail Signature"/>
    <w:basedOn w:val="Normal"/>
    <w:link w:val="E-mailSignatureChar"/>
    <w:uiPriority w:val="99"/>
    <w:semiHidden/>
    <w:rsid w:val="00013184"/>
  </w:style>
  <w:style w:type="character" w:customStyle="1" w:styleId="E-mailSignatureChar">
    <w:name w:val="E-mail Signature Char"/>
    <w:basedOn w:val="DefaultParagraphFont"/>
    <w:link w:val="E-mailSignature"/>
    <w:uiPriority w:val="99"/>
    <w:semiHidden/>
    <w:rsid w:val="008D1F68"/>
    <w:rPr>
      <w:rFonts w:ascii="Metropolis Light" w:eastAsia="Times New Roman" w:hAnsi="Metropolis Light" w:cs="Times New Roman"/>
      <w:color w:val="0D0D0D" w:themeColor="text1" w:themeTint="F2"/>
      <w:sz w:val="20"/>
      <w:szCs w:val="24"/>
      <w:lang w:val="en-NZ" w:eastAsia="en-AU"/>
    </w:rPr>
  </w:style>
  <w:style w:type="character" w:styleId="Emphasis">
    <w:name w:val="Emphasis"/>
    <w:basedOn w:val="DefaultParagraphFont"/>
    <w:uiPriority w:val="5"/>
    <w:qFormat/>
    <w:rsid w:val="00013184"/>
    <w:rPr>
      <w:rFonts w:ascii="Calibri" w:hAnsi="Calibri"/>
      <w:i/>
      <w:iCs/>
      <w:color w:val="0D0D0D" w:themeColor="text1" w:themeTint="F2"/>
      <w:sz w:val="20"/>
    </w:rPr>
  </w:style>
  <w:style w:type="paragraph" w:styleId="EnvelopeAddress">
    <w:name w:val="envelope address"/>
    <w:basedOn w:val="Normal"/>
    <w:uiPriority w:val="99"/>
    <w:semiHidden/>
    <w:rsid w:val="0001318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13184"/>
    <w:rPr>
      <w:rFonts w:ascii="Arial" w:hAnsi="Arial" w:cs="Arial"/>
      <w:szCs w:val="20"/>
    </w:rPr>
  </w:style>
  <w:style w:type="character" w:styleId="FollowedHyperlink">
    <w:name w:val="FollowedHyperlink"/>
    <w:basedOn w:val="DefaultParagraphFont"/>
    <w:uiPriority w:val="59"/>
    <w:unhideWhenUsed/>
    <w:rsid w:val="00013184"/>
    <w:rPr>
      <w:color w:val="74B230"/>
      <w:u w:val="single"/>
    </w:rPr>
  </w:style>
  <w:style w:type="character" w:styleId="HTMLAcronym">
    <w:name w:val="HTML Acronym"/>
    <w:basedOn w:val="DefaultParagraphFont"/>
    <w:uiPriority w:val="99"/>
    <w:semiHidden/>
    <w:rsid w:val="00013184"/>
  </w:style>
  <w:style w:type="paragraph" w:styleId="HTMLAddress">
    <w:name w:val="HTML Address"/>
    <w:basedOn w:val="Normal"/>
    <w:link w:val="HTMLAddressChar"/>
    <w:uiPriority w:val="99"/>
    <w:semiHidden/>
    <w:rsid w:val="00013184"/>
    <w:rPr>
      <w:i/>
      <w:iCs/>
    </w:rPr>
  </w:style>
  <w:style w:type="character" w:customStyle="1" w:styleId="HTMLAddressChar">
    <w:name w:val="HTML Address Char"/>
    <w:basedOn w:val="DefaultParagraphFont"/>
    <w:link w:val="HTMLAddress"/>
    <w:uiPriority w:val="99"/>
    <w:semiHidden/>
    <w:rsid w:val="008D1F68"/>
    <w:rPr>
      <w:rFonts w:ascii="Metropolis Light" w:eastAsia="Times New Roman" w:hAnsi="Metropolis Light" w:cs="Times New Roman"/>
      <w:i/>
      <w:iCs/>
      <w:color w:val="0D0D0D" w:themeColor="text1" w:themeTint="F2"/>
      <w:sz w:val="20"/>
      <w:szCs w:val="24"/>
      <w:lang w:val="en-NZ" w:eastAsia="en-AU"/>
    </w:rPr>
  </w:style>
  <w:style w:type="character" w:styleId="HTMLCite">
    <w:name w:val="HTML Cite"/>
    <w:basedOn w:val="DefaultParagraphFont"/>
    <w:uiPriority w:val="99"/>
    <w:semiHidden/>
    <w:rsid w:val="00013184"/>
    <w:rPr>
      <w:i/>
      <w:iCs/>
    </w:rPr>
  </w:style>
  <w:style w:type="character" w:styleId="HTMLCode">
    <w:name w:val="HTML Code"/>
    <w:basedOn w:val="DefaultParagraphFont"/>
    <w:uiPriority w:val="99"/>
    <w:semiHidden/>
    <w:rsid w:val="00013184"/>
    <w:rPr>
      <w:rFonts w:ascii="Courier New" w:hAnsi="Courier New" w:cs="Courier New"/>
      <w:sz w:val="20"/>
      <w:szCs w:val="20"/>
    </w:rPr>
  </w:style>
  <w:style w:type="character" w:styleId="HTMLDefinition">
    <w:name w:val="HTML Definition"/>
    <w:basedOn w:val="DefaultParagraphFont"/>
    <w:uiPriority w:val="99"/>
    <w:semiHidden/>
    <w:rsid w:val="00013184"/>
    <w:rPr>
      <w:i/>
      <w:iCs/>
    </w:rPr>
  </w:style>
  <w:style w:type="character" w:styleId="HTMLKeyboard">
    <w:name w:val="HTML Keyboard"/>
    <w:basedOn w:val="DefaultParagraphFont"/>
    <w:uiPriority w:val="99"/>
    <w:semiHidden/>
    <w:rsid w:val="00013184"/>
    <w:rPr>
      <w:rFonts w:ascii="Courier New" w:hAnsi="Courier New" w:cs="Courier New"/>
      <w:sz w:val="20"/>
      <w:szCs w:val="20"/>
    </w:rPr>
  </w:style>
  <w:style w:type="paragraph" w:styleId="HTMLPreformatted">
    <w:name w:val="HTML Preformatted"/>
    <w:basedOn w:val="Normal"/>
    <w:link w:val="HTMLPreformattedChar"/>
    <w:uiPriority w:val="99"/>
    <w:semiHidden/>
    <w:rsid w:val="00013184"/>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8D1F68"/>
    <w:rPr>
      <w:rFonts w:ascii="Courier New" w:eastAsia="Times New Roman" w:hAnsi="Courier New" w:cs="Courier New"/>
      <w:color w:val="0D0D0D" w:themeColor="text1" w:themeTint="F2"/>
      <w:sz w:val="20"/>
      <w:szCs w:val="20"/>
      <w:lang w:val="en-NZ" w:eastAsia="en-AU"/>
    </w:rPr>
  </w:style>
  <w:style w:type="character" w:styleId="HTMLSample">
    <w:name w:val="HTML Sample"/>
    <w:basedOn w:val="DefaultParagraphFont"/>
    <w:uiPriority w:val="99"/>
    <w:semiHidden/>
    <w:rsid w:val="00013184"/>
    <w:rPr>
      <w:rFonts w:ascii="Courier New" w:hAnsi="Courier New" w:cs="Courier New"/>
    </w:rPr>
  </w:style>
  <w:style w:type="character" w:styleId="HTMLTypewriter">
    <w:name w:val="HTML Typewriter"/>
    <w:basedOn w:val="DefaultParagraphFont"/>
    <w:uiPriority w:val="99"/>
    <w:semiHidden/>
    <w:rsid w:val="00013184"/>
    <w:rPr>
      <w:rFonts w:ascii="Courier New" w:hAnsi="Courier New" w:cs="Courier New"/>
      <w:sz w:val="20"/>
      <w:szCs w:val="20"/>
    </w:rPr>
  </w:style>
  <w:style w:type="character" w:styleId="HTMLVariable">
    <w:name w:val="HTML Variable"/>
    <w:basedOn w:val="DefaultParagraphFont"/>
    <w:uiPriority w:val="99"/>
    <w:semiHidden/>
    <w:rsid w:val="00013184"/>
    <w:rPr>
      <w:i/>
      <w:iCs/>
    </w:rPr>
  </w:style>
  <w:style w:type="character" w:styleId="LineNumber">
    <w:name w:val="line number"/>
    <w:basedOn w:val="DefaultParagraphFont"/>
    <w:uiPriority w:val="99"/>
    <w:semiHidden/>
    <w:rsid w:val="00013184"/>
  </w:style>
  <w:style w:type="paragraph" w:styleId="List">
    <w:name w:val="List"/>
    <w:basedOn w:val="Normal"/>
    <w:uiPriority w:val="99"/>
    <w:semiHidden/>
    <w:rsid w:val="00013184"/>
    <w:pPr>
      <w:ind w:left="283" w:hanging="283"/>
    </w:pPr>
  </w:style>
  <w:style w:type="paragraph" w:styleId="List2">
    <w:name w:val="List 2"/>
    <w:basedOn w:val="Normal"/>
    <w:uiPriority w:val="99"/>
    <w:semiHidden/>
    <w:rsid w:val="00013184"/>
    <w:pPr>
      <w:ind w:left="566" w:hanging="283"/>
    </w:pPr>
  </w:style>
  <w:style w:type="paragraph" w:styleId="List5">
    <w:name w:val="List 5"/>
    <w:basedOn w:val="Normal"/>
    <w:uiPriority w:val="99"/>
    <w:semiHidden/>
    <w:rsid w:val="00013184"/>
    <w:pPr>
      <w:ind w:left="1415" w:hanging="283"/>
    </w:pPr>
  </w:style>
  <w:style w:type="paragraph" w:styleId="ListBullet5">
    <w:name w:val="List Bullet 5"/>
    <w:basedOn w:val="ListBullet3"/>
    <w:uiPriority w:val="4"/>
    <w:semiHidden/>
    <w:rsid w:val="00013184"/>
    <w:pPr>
      <w:numPr>
        <w:ilvl w:val="4"/>
      </w:numPr>
    </w:pPr>
  </w:style>
  <w:style w:type="paragraph" w:styleId="ListNumber">
    <w:name w:val="List Number"/>
    <w:uiPriority w:val="4"/>
    <w:qFormat/>
    <w:rsid w:val="00013184"/>
    <w:pPr>
      <w:widowControl/>
      <w:numPr>
        <w:numId w:val="21"/>
      </w:numPr>
      <w:spacing w:before="80" w:after="120" w:line="360" w:lineRule="auto"/>
      <w:ind w:left="567" w:hanging="567"/>
      <w:jc w:val="both"/>
    </w:pPr>
    <w:rPr>
      <w:rFonts w:ascii="Metropolis Light" w:eastAsia="Times New Roman" w:hAnsi="Metropolis Light" w:cs="Times New Roman"/>
      <w:color w:val="0D0D0D" w:themeColor="text1" w:themeTint="F2"/>
      <w:sz w:val="20"/>
      <w:szCs w:val="24"/>
      <w:lang w:val="en-NZ" w:eastAsia="en-AU"/>
    </w:rPr>
  </w:style>
  <w:style w:type="paragraph" w:styleId="MessageHeader">
    <w:name w:val="Message Header"/>
    <w:basedOn w:val="Normal"/>
    <w:link w:val="MessageHeaderChar"/>
    <w:uiPriority w:val="99"/>
    <w:semiHidden/>
    <w:rsid w:val="0001318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8D1F68"/>
    <w:rPr>
      <w:rFonts w:ascii="Arial" w:eastAsia="Times New Roman" w:hAnsi="Arial" w:cs="Arial"/>
      <w:color w:val="0D0D0D" w:themeColor="text1" w:themeTint="F2"/>
      <w:sz w:val="20"/>
      <w:szCs w:val="24"/>
      <w:shd w:val="pct20" w:color="auto" w:fill="auto"/>
      <w:lang w:val="en-NZ" w:eastAsia="en-AU"/>
    </w:rPr>
  </w:style>
  <w:style w:type="paragraph" w:styleId="NormalWeb">
    <w:name w:val="Normal (Web)"/>
    <w:basedOn w:val="Normal"/>
    <w:uiPriority w:val="99"/>
    <w:rsid w:val="00013184"/>
  </w:style>
  <w:style w:type="paragraph" w:styleId="NormalIndent">
    <w:name w:val="Normal Indent"/>
    <w:basedOn w:val="Normal"/>
    <w:uiPriority w:val="8"/>
    <w:semiHidden/>
    <w:rsid w:val="00013184"/>
    <w:pPr>
      <w:ind w:left="720"/>
    </w:pPr>
  </w:style>
  <w:style w:type="paragraph" w:styleId="NoteHeading">
    <w:name w:val="Note Heading"/>
    <w:basedOn w:val="Normal"/>
    <w:next w:val="Normal"/>
    <w:link w:val="NoteHeadingChar"/>
    <w:uiPriority w:val="99"/>
    <w:semiHidden/>
    <w:rsid w:val="00013184"/>
  </w:style>
  <w:style w:type="character" w:customStyle="1" w:styleId="NoteHeadingChar">
    <w:name w:val="Note Heading Char"/>
    <w:basedOn w:val="DefaultParagraphFont"/>
    <w:link w:val="NoteHeading"/>
    <w:uiPriority w:val="99"/>
    <w:semiHidden/>
    <w:rsid w:val="008D1F68"/>
    <w:rPr>
      <w:rFonts w:ascii="Metropolis Light" w:eastAsia="Times New Roman" w:hAnsi="Metropolis Light" w:cs="Times New Roman"/>
      <w:color w:val="0D0D0D" w:themeColor="text1" w:themeTint="F2"/>
      <w:sz w:val="20"/>
      <w:szCs w:val="24"/>
      <w:lang w:val="en-NZ" w:eastAsia="en-AU"/>
    </w:rPr>
  </w:style>
  <w:style w:type="character" w:styleId="PageNumber">
    <w:name w:val="page number"/>
    <w:uiPriority w:val="99"/>
    <w:rsid w:val="00013184"/>
    <w:rPr>
      <w:rFonts w:ascii="Metropolis Light" w:hAnsi="Metropolis Light"/>
      <w:color w:val="262626" w:themeColor="text1" w:themeTint="D9"/>
      <w:sz w:val="13"/>
    </w:rPr>
  </w:style>
  <w:style w:type="paragraph" w:styleId="PlainText">
    <w:name w:val="Plain Text"/>
    <w:basedOn w:val="Normal"/>
    <w:link w:val="PlainTextChar"/>
    <w:uiPriority w:val="99"/>
    <w:semiHidden/>
    <w:rsid w:val="00013184"/>
    <w:rPr>
      <w:rFonts w:ascii="Courier New" w:hAnsi="Courier New" w:cs="Courier New"/>
      <w:szCs w:val="20"/>
    </w:rPr>
  </w:style>
  <w:style w:type="character" w:customStyle="1" w:styleId="PlainTextChar">
    <w:name w:val="Plain Text Char"/>
    <w:basedOn w:val="DefaultParagraphFont"/>
    <w:link w:val="PlainText"/>
    <w:uiPriority w:val="99"/>
    <w:semiHidden/>
    <w:rsid w:val="008D1F68"/>
    <w:rPr>
      <w:rFonts w:ascii="Courier New" w:eastAsia="Times New Roman" w:hAnsi="Courier New" w:cs="Courier New"/>
      <w:color w:val="0D0D0D" w:themeColor="text1" w:themeTint="F2"/>
      <w:sz w:val="20"/>
      <w:szCs w:val="20"/>
      <w:lang w:val="en-NZ" w:eastAsia="en-AU"/>
    </w:rPr>
  </w:style>
  <w:style w:type="paragraph" w:styleId="Salutation">
    <w:name w:val="Salutation"/>
    <w:basedOn w:val="Normal"/>
    <w:next w:val="Normal"/>
    <w:link w:val="SalutationChar"/>
    <w:uiPriority w:val="99"/>
    <w:semiHidden/>
    <w:rsid w:val="00013184"/>
  </w:style>
  <w:style w:type="character" w:customStyle="1" w:styleId="SalutationChar">
    <w:name w:val="Salutation Char"/>
    <w:basedOn w:val="DefaultParagraphFont"/>
    <w:link w:val="Salutation"/>
    <w:uiPriority w:val="99"/>
    <w:semiHidden/>
    <w:rsid w:val="008D1F68"/>
    <w:rPr>
      <w:rFonts w:ascii="Metropolis Light" w:eastAsia="Times New Roman" w:hAnsi="Metropolis Light" w:cs="Times New Roman"/>
      <w:color w:val="0D0D0D" w:themeColor="text1" w:themeTint="F2"/>
      <w:sz w:val="20"/>
      <w:szCs w:val="24"/>
      <w:lang w:val="en-NZ" w:eastAsia="en-AU"/>
    </w:rPr>
  </w:style>
  <w:style w:type="paragraph" w:styleId="Signature">
    <w:name w:val="Signature"/>
    <w:basedOn w:val="Normal"/>
    <w:link w:val="SignatureChar"/>
    <w:uiPriority w:val="99"/>
    <w:semiHidden/>
    <w:rsid w:val="00013184"/>
    <w:pPr>
      <w:ind w:left="4252"/>
    </w:pPr>
  </w:style>
  <w:style w:type="character" w:customStyle="1" w:styleId="SignatureChar">
    <w:name w:val="Signature Char"/>
    <w:basedOn w:val="DefaultParagraphFont"/>
    <w:link w:val="Signature"/>
    <w:uiPriority w:val="99"/>
    <w:semiHidden/>
    <w:rsid w:val="008D1F68"/>
    <w:rPr>
      <w:rFonts w:ascii="Metropolis Light" w:eastAsia="Times New Roman" w:hAnsi="Metropolis Light" w:cs="Times New Roman"/>
      <w:color w:val="0D0D0D" w:themeColor="text1" w:themeTint="F2"/>
      <w:sz w:val="20"/>
      <w:szCs w:val="24"/>
      <w:lang w:val="en-NZ" w:eastAsia="en-AU"/>
    </w:rPr>
  </w:style>
  <w:style w:type="character" w:styleId="Strong">
    <w:name w:val="Strong"/>
    <w:basedOn w:val="DefaultParagraphFont"/>
    <w:uiPriority w:val="5"/>
    <w:qFormat/>
    <w:rsid w:val="00013184"/>
    <w:rPr>
      <w:rFonts w:ascii="Metropolis Light" w:hAnsi="Metropolis Light"/>
      <w:b/>
      <w:bCs/>
      <w:color w:val="0D0D0D" w:themeColor="text1" w:themeTint="F2"/>
      <w:sz w:val="20"/>
    </w:rPr>
  </w:style>
  <w:style w:type="paragraph" w:styleId="Subtitle">
    <w:name w:val="Subtitle"/>
    <w:basedOn w:val="Title"/>
    <w:link w:val="SubtitleChar"/>
    <w:uiPriority w:val="21"/>
    <w:qFormat/>
    <w:rsid w:val="00013184"/>
    <w:pPr>
      <w:pBdr>
        <w:top w:val="single" w:sz="4" w:space="12" w:color="1F497D" w:themeColor="text2"/>
      </w:pBdr>
    </w:pPr>
    <w:rPr>
      <w:sz w:val="48"/>
    </w:rPr>
  </w:style>
  <w:style w:type="character" w:customStyle="1" w:styleId="SubtitleChar">
    <w:name w:val="Subtitle Char"/>
    <w:basedOn w:val="DefaultParagraphFont"/>
    <w:link w:val="Subtitle"/>
    <w:uiPriority w:val="21"/>
    <w:rsid w:val="008D1F68"/>
    <w:rPr>
      <w:rFonts w:ascii="Calibri" w:eastAsia="Times New Roman" w:hAnsi="Calibri" w:cs="Arial"/>
      <w:b/>
      <w:bCs/>
      <w:caps/>
      <w:color w:val="6BA539"/>
      <w:sz w:val="48"/>
      <w:szCs w:val="32"/>
      <w:lang w:val="en-NZ" w:eastAsia="en-AU"/>
    </w:rPr>
  </w:style>
  <w:style w:type="table" w:styleId="Table3Deffects1">
    <w:name w:val="Table 3D effects 1"/>
    <w:basedOn w:val="TableNormal"/>
    <w:semiHidden/>
    <w:rsid w:val="00013184"/>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13184"/>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13184"/>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1318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1318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13184"/>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13184"/>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13184"/>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13184"/>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13184"/>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13184"/>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13184"/>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13184"/>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13184"/>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13184"/>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13184"/>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1318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1318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13184"/>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13184"/>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13184"/>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13184"/>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13184"/>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13184"/>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13184"/>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1318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1318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1318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13184"/>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1318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1318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13184"/>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13184"/>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13184"/>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13184"/>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1318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13184"/>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13184"/>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13184"/>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013184"/>
    <w:pPr>
      <w:spacing w:after="0" w:line="288" w:lineRule="auto"/>
      <w:jc w:val="right"/>
      <w:outlineLvl w:val="0"/>
    </w:pPr>
    <w:rPr>
      <w:rFonts w:ascii="Calibri" w:eastAsia="Times New Roman" w:hAnsi="Calibri" w:cs="Arial"/>
      <w:b/>
      <w:bCs/>
      <w:caps/>
      <w:color w:val="6BA539"/>
      <w:sz w:val="72"/>
      <w:szCs w:val="32"/>
      <w:lang w:val="en-NZ" w:eastAsia="en-AU"/>
    </w:rPr>
  </w:style>
  <w:style w:type="character" w:customStyle="1" w:styleId="TitleChar">
    <w:name w:val="Title Char"/>
    <w:basedOn w:val="DefaultParagraphFont"/>
    <w:link w:val="Title"/>
    <w:uiPriority w:val="20"/>
    <w:rsid w:val="008D1F68"/>
    <w:rPr>
      <w:rFonts w:ascii="Calibri" w:eastAsia="Times New Roman" w:hAnsi="Calibri" w:cs="Arial"/>
      <w:b/>
      <w:bCs/>
      <w:caps/>
      <w:color w:val="6BA539"/>
      <w:sz w:val="72"/>
      <w:szCs w:val="32"/>
      <w:lang w:val="en-NZ" w:eastAsia="en-AU"/>
    </w:rPr>
  </w:style>
  <w:style w:type="paragraph" w:customStyle="1" w:styleId="InsideCoverText">
    <w:name w:val="Inside Cover Text"/>
    <w:uiPriority w:val="22"/>
    <w:qFormat/>
    <w:rsid w:val="00013184"/>
    <w:pPr>
      <w:widowControl/>
      <w:spacing w:before="60" w:after="20" w:line="280" w:lineRule="atLeast"/>
      <w:jc w:val="both"/>
    </w:pPr>
    <w:rPr>
      <w:rFonts w:ascii="Metropolis Light" w:eastAsia="Times New Roman" w:hAnsi="Metropolis Light" w:cs="Times New Roman"/>
      <w:color w:val="0D0D0D" w:themeColor="text1" w:themeTint="F2"/>
      <w:sz w:val="20"/>
      <w:szCs w:val="24"/>
      <w:lang w:val="en-NZ" w:eastAsia="en-AU"/>
    </w:rPr>
  </w:style>
  <w:style w:type="paragraph" w:styleId="TOCHeading">
    <w:name w:val="TOC Heading"/>
    <w:basedOn w:val="Heading1"/>
    <w:next w:val="Normal"/>
    <w:uiPriority w:val="39"/>
    <w:unhideWhenUsed/>
    <w:qFormat/>
    <w:rsid w:val="00013184"/>
    <w:pPr>
      <w:keepLines/>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013184"/>
    <w:pPr>
      <w:keepNext/>
      <w:widowControl/>
      <w:spacing w:after="400" w:line="360" w:lineRule="auto"/>
    </w:pPr>
    <w:rPr>
      <w:rFonts w:ascii="Metropolis Black" w:eastAsia="Times New Roman" w:hAnsi="Metropolis Black" w:cs="Times New Roman"/>
      <w:b/>
      <w:color w:val="73AB6E"/>
      <w:sz w:val="56"/>
      <w:szCs w:val="24"/>
      <w:lang w:val="en-NZ" w:eastAsia="en-AU"/>
    </w:rPr>
  </w:style>
  <w:style w:type="paragraph" w:customStyle="1" w:styleId="QuoteIndent1">
    <w:name w:val="Quote Indent 1"/>
    <w:basedOn w:val="Quote"/>
    <w:uiPriority w:val="6"/>
    <w:qFormat/>
    <w:rsid w:val="00013184"/>
    <w:pPr>
      <w:numPr>
        <w:ilvl w:val="1"/>
      </w:numPr>
    </w:pPr>
  </w:style>
  <w:style w:type="paragraph" w:customStyle="1" w:styleId="QuoteIndent2">
    <w:name w:val="Quote Indent 2"/>
    <w:basedOn w:val="QuoteIndent1"/>
    <w:uiPriority w:val="6"/>
    <w:qFormat/>
    <w:rsid w:val="00013184"/>
    <w:pPr>
      <w:numPr>
        <w:ilvl w:val="2"/>
      </w:numPr>
    </w:pPr>
  </w:style>
  <w:style w:type="paragraph" w:customStyle="1" w:styleId="FootnoteBullet">
    <w:name w:val="Footnote Bullet"/>
    <w:basedOn w:val="FootnoteText"/>
    <w:uiPriority w:val="34"/>
    <w:qFormat/>
    <w:rsid w:val="00013184"/>
    <w:pPr>
      <w:numPr>
        <w:numId w:val="7"/>
      </w:numPr>
    </w:pPr>
    <w:rPr>
      <w:szCs w:val="17"/>
    </w:rPr>
  </w:style>
  <w:style w:type="paragraph" w:customStyle="1" w:styleId="FootnoteQuote">
    <w:name w:val="Footnote Quote"/>
    <w:basedOn w:val="FootnoteText"/>
    <w:uiPriority w:val="34"/>
    <w:qFormat/>
    <w:rsid w:val="00013184"/>
    <w:pPr>
      <w:ind w:left="851" w:firstLine="0"/>
    </w:pPr>
    <w:rPr>
      <w:sz w:val="13"/>
    </w:rPr>
  </w:style>
  <w:style w:type="paragraph" w:customStyle="1" w:styleId="FootnoteNumbered">
    <w:name w:val="Footnote Numbered"/>
    <w:basedOn w:val="FootnoteText"/>
    <w:uiPriority w:val="34"/>
    <w:qFormat/>
    <w:rsid w:val="00013184"/>
    <w:pPr>
      <w:numPr>
        <w:numId w:val="8"/>
      </w:numPr>
    </w:pPr>
  </w:style>
  <w:style w:type="paragraph" w:customStyle="1" w:styleId="FootnoteNumbered2">
    <w:name w:val="Footnote Numbered 2"/>
    <w:basedOn w:val="FootnoteNumbered"/>
    <w:uiPriority w:val="34"/>
    <w:qFormat/>
    <w:rsid w:val="00013184"/>
    <w:pPr>
      <w:numPr>
        <w:ilvl w:val="1"/>
      </w:numPr>
    </w:pPr>
  </w:style>
  <w:style w:type="paragraph" w:customStyle="1" w:styleId="FootnoteNumbered3">
    <w:name w:val="Footnote Numbered 3"/>
    <w:basedOn w:val="FootnoteNumbered"/>
    <w:uiPriority w:val="34"/>
    <w:qFormat/>
    <w:rsid w:val="00013184"/>
    <w:pPr>
      <w:numPr>
        <w:ilvl w:val="2"/>
      </w:numPr>
      <w:ind w:left="1418"/>
    </w:pPr>
  </w:style>
  <w:style w:type="paragraph" w:customStyle="1" w:styleId="Summarybodytext">
    <w:name w:val="Summary bodytext"/>
    <w:basedOn w:val="BodyText"/>
    <w:uiPriority w:val="8"/>
    <w:qFormat/>
    <w:rsid w:val="00013184"/>
    <w:pPr>
      <w:numPr>
        <w:numId w:val="9"/>
      </w:numPr>
      <w:tabs>
        <w:tab w:val="num" w:pos="709"/>
      </w:tabs>
    </w:pPr>
  </w:style>
  <w:style w:type="paragraph" w:customStyle="1" w:styleId="Recommendationheading">
    <w:name w:val="Recommendation heading"/>
    <w:next w:val="RecommendationText"/>
    <w:uiPriority w:val="8"/>
    <w:qFormat/>
    <w:rsid w:val="00013184"/>
    <w:pPr>
      <w:widowControl/>
      <w:shd w:val="clear" w:color="auto" w:fill="6BA539"/>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013184"/>
    <w:rPr>
      <w:rFonts w:ascii="Calibri" w:hAnsi="Calibri"/>
      <w:color w:val="262626" w:themeColor="text1" w:themeTint="D9"/>
      <w:spacing w:val="54"/>
    </w:rPr>
  </w:style>
  <w:style w:type="paragraph" w:customStyle="1" w:styleId="CoverTitle">
    <w:name w:val="Cover Title"/>
    <w:basedOn w:val="Title"/>
    <w:uiPriority w:val="8"/>
    <w:qFormat/>
    <w:rsid w:val="00013184"/>
    <w:rPr>
      <w:rFonts w:ascii="Metropolis" w:hAnsi="Metropolis"/>
    </w:rPr>
  </w:style>
  <w:style w:type="paragraph" w:customStyle="1" w:styleId="CoverSubtitle">
    <w:name w:val="Cover Subtitle"/>
    <w:basedOn w:val="Subtitle"/>
    <w:uiPriority w:val="8"/>
    <w:qFormat/>
    <w:rsid w:val="00013184"/>
    <w:rPr>
      <w:rFonts w:ascii="Metropolis" w:hAnsi="Metropolis"/>
    </w:rPr>
  </w:style>
  <w:style w:type="paragraph" w:customStyle="1" w:styleId="CoverDate">
    <w:name w:val="Cover Date"/>
    <w:basedOn w:val="Normal"/>
    <w:uiPriority w:val="8"/>
    <w:qFormat/>
    <w:rsid w:val="00013184"/>
    <w:pPr>
      <w:spacing w:before="57" w:after="57"/>
      <w:jc w:val="right"/>
    </w:pPr>
    <w:rPr>
      <w:color w:val="6BA539"/>
    </w:rPr>
  </w:style>
  <w:style w:type="table" w:customStyle="1" w:styleId="LCTableFinancial">
    <w:name w:val="LC Table Financial"/>
    <w:basedOn w:val="TableNormal"/>
    <w:uiPriority w:val="99"/>
    <w:rsid w:val="00013184"/>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uiPriority w:val="5"/>
    <w:qFormat/>
    <w:rsid w:val="00013184"/>
    <w:pPr>
      <w:keepNext/>
      <w:widowControl/>
      <w:spacing w:after="120" w:line="360" w:lineRule="auto"/>
      <w:ind w:left="17"/>
      <w:outlineLvl w:val="0"/>
    </w:pPr>
    <w:rPr>
      <w:rFonts w:ascii="Metropolis Black" w:eastAsia="Times New Roman" w:hAnsi="Metropolis Black" w:cs="Times New Roman"/>
      <w:b/>
      <w:color w:val="73AB6E"/>
      <w:sz w:val="66"/>
      <w:szCs w:val="24"/>
      <w:lang w:val="en-NZ" w:eastAsia="en-AU"/>
    </w:rPr>
  </w:style>
  <w:style w:type="paragraph" w:customStyle="1" w:styleId="BodyTextnonum">
    <w:name w:val="Body Text (no num)"/>
    <w:basedOn w:val="BodyText"/>
    <w:uiPriority w:val="1"/>
    <w:qFormat/>
    <w:rsid w:val="00013184"/>
    <w:pPr>
      <w:numPr>
        <w:ilvl w:val="2"/>
      </w:numPr>
      <w:ind w:left="0"/>
    </w:pPr>
  </w:style>
  <w:style w:type="paragraph" w:customStyle="1" w:styleId="BodyTextalphalist">
    <w:name w:val="Body Text (alpha list)"/>
    <w:basedOn w:val="BodyText"/>
    <w:uiPriority w:val="1"/>
    <w:qFormat/>
    <w:rsid w:val="00013184"/>
    <w:pPr>
      <w:numPr>
        <w:ilvl w:val="0"/>
        <w:numId w:val="0"/>
      </w:numPr>
      <w:tabs>
        <w:tab w:val="num" w:pos="1134"/>
      </w:tabs>
      <w:ind w:left="1134" w:hanging="425"/>
    </w:pPr>
  </w:style>
  <w:style w:type="paragraph" w:customStyle="1" w:styleId="QuoteIndent0">
    <w:name w:val="Quote Indent 0"/>
    <w:basedOn w:val="Quote"/>
    <w:uiPriority w:val="6"/>
    <w:qFormat/>
    <w:rsid w:val="00013184"/>
    <w:pPr>
      <w:ind w:hanging="284"/>
    </w:pPr>
  </w:style>
  <w:style w:type="paragraph" w:customStyle="1" w:styleId="TableHeading">
    <w:name w:val="Table Heading"/>
    <w:basedOn w:val="Normal"/>
    <w:uiPriority w:val="8"/>
    <w:qFormat/>
    <w:rsid w:val="00013184"/>
    <w:pPr>
      <w:spacing w:before="60"/>
    </w:pPr>
    <w:rPr>
      <w:caps/>
      <w:color w:val="FFFFFF"/>
      <w:sz w:val="18"/>
    </w:rPr>
  </w:style>
  <w:style w:type="paragraph" w:customStyle="1" w:styleId="LegislationIndent0">
    <w:name w:val="Legislation Indent 0"/>
    <w:basedOn w:val="LegislationBodytext"/>
    <w:uiPriority w:val="8"/>
    <w:qFormat/>
    <w:rsid w:val="00013184"/>
    <w:pPr>
      <w:ind w:left="1276" w:hanging="709"/>
    </w:pPr>
  </w:style>
  <w:style w:type="paragraph" w:customStyle="1" w:styleId="LegislationSubheading1">
    <w:name w:val="Legislation Subheading 1"/>
    <w:basedOn w:val="BodyText"/>
    <w:uiPriority w:val="8"/>
    <w:qFormat/>
    <w:rsid w:val="00013184"/>
    <w:pPr>
      <w:ind w:left="0" w:firstLine="0"/>
    </w:pPr>
    <w:rPr>
      <w:b/>
    </w:rPr>
  </w:style>
  <w:style w:type="paragraph" w:customStyle="1" w:styleId="LegislationNumberedSubheading">
    <w:name w:val="Legislation Numbered Subheading"/>
    <w:basedOn w:val="LegislationSubheading1"/>
    <w:uiPriority w:val="8"/>
    <w:qFormat/>
    <w:rsid w:val="00013184"/>
    <w:pPr>
      <w:ind w:left="709" w:hanging="709"/>
    </w:pPr>
  </w:style>
  <w:style w:type="paragraph" w:customStyle="1" w:styleId="LegislationBodytext">
    <w:name w:val="Legislation Bodytext"/>
    <w:basedOn w:val="Normal"/>
    <w:uiPriority w:val="8"/>
    <w:qFormat/>
    <w:rsid w:val="00013184"/>
    <w:pPr>
      <w:ind w:left="567"/>
    </w:pPr>
  </w:style>
  <w:style w:type="paragraph" w:customStyle="1" w:styleId="LegislationIndent1">
    <w:name w:val="Legislation Indent 1"/>
    <w:basedOn w:val="LegislationIndent0"/>
    <w:uiPriority w:val="8"/>
    <w:qFormat/>
    <w:rsid w:val="00013184"/>
    <w:pPr>
      <w:ind w:left="1843" w:hanging="567"/>
    </w:pPr>
  </w:style>
  <w:style w:type="paragraph" w:customStyle="1" w:styleId="LegislationSubheading2">
    <w:name w:val="Legislation Subheading 2"/>
    <w:basedOn w:val="LegislationSubheading1"/>
    <w:uiPriority w:val="8"/>
    <w:qFormat/>
    <w:rsid w:val="00013184"/>
    <w:pPr>
      <w:jc w:val="center"/>
    </w:pPr>
    <w:rPr>
      <w:b w:val="0"/>
      <w:i/>
    </w:rPr>
  </w:style>
  <w:style w:type="paragraph" w:customStyle="1" w:styleId="LegislationIndent2">
    <w:name w:val="Legislation Indent 2"/>
    <w:basedOn w:val="LegislationIndent1"/>
    <w:uiPriority w:val="8"/>
    <w:qFormat/>
    <w:rsid w:val="00013184"/>
    <w:pPr>
      <w:ind w:left="2268" w:hanging="425"/>
    </w:pPr>
  </w:style>
  <w:style w:type="paragraph" w:customStyle="1" w:styleId="G1GuidelinesText">
    <w:name w:val="G1 Guidelines Text"/>
    <w:basedOn w:val="RecommendationText"/>
    <w:uiPriority w:val="8"/>
    <w:qFormat/>
    <w:rsid w:val="00013184"/>
    <w:pPr>
      <w:framePr w:wrap="around" w:vAnchor="text" w:hAnchor="text" w:y="1"/>
      <w:numPr>
        <w:numId w:val="10"/>
      </w:numPr>
    </w:pPr>
  </w:style>
  <w:style w:type="paragraph" w:customStyle="1" w:styleId="RecommendationText1">
    <w:name w:val="Recommendation Text 1"/>
    <w:basedOn w:val="RecommendationText"/>
    <w:uiPriority w:val="8"/>
    <w:qFormat/>
    <w:rsid w:val="00013184"/>
    <w:pPr>
      <w:numPr>
        <w:numId w:val="0"/>
      </w:numPr>
      <w:ind w:left="709"/>
    </w:pPr>
  </w:style>
  <w:style w:type="paragraph" w:customStyle="1" w:styleId="Introindent">
    <w:name w:val="Intro indent"/>
    <w:basedOn w:val="Normal"/>
    <w:next w:val="Normal"/>
    <w:qFormat/>
    <w:rsid w:val="00013184"/>
    <w:pPr>
      <w:widowControl w:val="0"/>
      <w:ind w:left="680"/>
      <w:jc w:val="both"/>
    </w:pPr>
    <w:rPr>
      <w:lang w:val="en-US"/>
    </w:rPr>
  </w:style>
  <w:style w:type="paragraph" w:styleId="CommentSubject">
    <w:name w:val="annotation subject"/>
    <w:basedOn w:val="CommentText"/>
    <w:next w:val="CommentText"/>
    <w:link w:val="CommentSubjectChar"/>
    <w:uiPriority w:val="34"/>
    <w:rsid w:val="00013184"/>
    <w:pPr>
      <w:spacing w:line="240" w:lineRule="auto"/>
    </w:pPr>
    <w:rPr>
      <w:b/>
      <w:bCs/>
      <w:color w:val="262626" w:themeColor="text1" w:themeTint="D9"/>
    </w:rPr>
  </w:style>
  <w:style w:type="character" w:customStyle="1" w:styleId="CommentSubjectChar">
    <w:name w:val="Comment Subject Char"/>
    <w:basedOn w:val="CommentTextChar"/>
    <w:link w:val="CommentSubject"/>
    <w:uiPriority w:val="34"/>
    <w:rsid w:val="008D1F68"/>
    <w:rPr>
      <w:rFonts w:ascii="Metropolis Light" w:eastAsia="Times New Roman" w:hAnsi="Metropolis Light" w:cs="Times New Roman"/>
      <w:b/>
      <w:bCs/>
      <w:color w:val="262626" w:themeColor="text1" w:themeTint="D9"/>
      <w:sz w:val="20"/>
      <w:szCs w:val="20"/>
      <w:lang w:val="en-NZ" w:eastAsia="en-AU"/>
    </w:rPr>
  </w:style>
  <w:style w:type="paragraph" w:styleId="Revision">
    <w:name w:val="Revision"/>
    <w:hidden/>
    <w:rsid w:val="00013184"/>
    <w:pPr>
      <w:widowControl/>
      <w:spacing w:after="0" w:line="240" w:lineRule="auto"/>
    </w:pPr>
    <w:rPr>
      <w:rFonts w:eastAsia="Times New Roman" w:cs="Times New Roman"/>
      <w:sz w:val="24"/>
      <w:szCs w:val="24"/>
      <w:lang w:val="en-NZ" w:eastAsia="en-AU"/>
    </w:rPr>
  </w:style>
  <w:style w:type="paragraph" w:customStyle="1" w:styleId="paragraph">
    <w:name w:val="paragraph"/>
    <w:basedOn w:val="Normal"/>
    <w:rsid w:val="00013184"/>
    <w:pPr>
      <w:spacing w:before="100" w:beforeAutospacing="1" w:after="100" w:afterAutospacing="1" w:line="240" w:lineRule="auto"/>
    </w:pPr>
    <w:rPr>
      <w:color w:val="262626" w:themeColor="text1" w:themeTint="D9"/>
      <w:lang w:eastAsia="en-NZ"/>
    </w:rPr>
  </w:style>
  <w:style w:type="character" w:customStyle="1" w:styleId="normaltextrun">
    <w:name w:val="normaltextrun"/>
    <w:basedOn w:val="DefaultParagraphFont"/>
    <w:rsid w:val="00013184"/>
    <w:rPr>
      <w:rFonts w:ascii="Metropolis Light" w:hAnsi="Metropolis Light"/>
      <w:color w:val="262626" w:themeColor="text1" w:themeTint="D9"/>
    </w:rPr>
  </w:style>
  <w:style w:type="character" w:customStyle="1" w:styleId="eop">
    <w:name w:val="eop"/>
    <w:basedOn w:val="DefaultParagraphFont"/>
    <w:rsid w:val="00013184"/>
    <w:rPr>
      <w:rFonts w:ascii="Metropolis Light" w:hAnsi="Metropolis Light"/>
      <w:color w:val="262626" w:themeColor="text1" w:themeTint="D9"/>
    </w:rPr>
  </w:style>
  <w:style w:type="paragraph" w:styleId="ListParagraph">
    <w:name w:val="List Paragraph"/>
    <w:basedOn w:val="Normal"/>
    <w:uiPriority w:val="34"/>
    <w:qFormat/>
    <w:rsid w:val="00013184"/>
    <w:pPr>
      <w:ind w:left="720"/>
      <w:contextualSpacing/>
    </w:pPr>
    <w:rPr>
      <w:sz w:val="24"/>
    </w:rPr>
  </w:style>
  <w:style w:type="character" w:styleId="PlaceholderText">
    <w:name w:val="Placeholder Text"/>
    <w:basedOn w:val="DefaultParagraphFont"/>
    <w:uiPriority w:val="34"/>
    <w:rsid w:val="00013184"/>
    <w:rPr>
      <w:color w:val="808080"/>
    </w:rPr>
  </w:style>
  <w:style w:type="paragraph" w:customStyle="1" w:styleId="HEADING2topchapter-notinTOC">
    <w:name w:val="HEADING 2 ( top chapter - not in TOC)"/>
    <w:basedOn w:val="Normal"/>
    <w:link w:val="HEADING2topchapter-notinTOCChar"/>
    <w:uiPriority w:val="8"/>
    <w:qFormat/>
    <w:rsid w:val="00013184"/>
    <w:pPr>
      <w:pageBreakBefore/>
      <w:spacing w:after="240" w:line="240" w:lineRule="auto"/>
    </w:pPr>
    <w:rPr>
      <w:rFonts w:ascii="Metropolis" w:eastAsia="Metropolis" w:hAnsi="Metropolis" w:cs="Metropolis"/>
      <w:b/>
      <w:bCs/>
      <w:color w:val="73AB6E"/>
    </w:rPr>
  </w:style>
  <w:style w:type="character" w:customStyle="1" w:styleId="HEADING2topchapter-notinTOCChar">
    <w:name w:val="HEADING 2 ( top chapter - not in TOC) Char"/>
    <w:basedOn w:val="DefaultParagraphFont"/>
    <w:link w:val="HEADING2topchapter-notinTOC"/>
    <w:uiPriority w:val="8"/>
    <w:rsid w:val="008D1F68"/>
    <w:rPr>
      <w:rFonts w:ascii="Metropolis" w:eastAsia="Metropolis" w:hAnsi="Metropolis" w:cs="Metropolis"/>
      <w:b/>
      <w:bCs/>
      <w:color w:val="73AB6E"/>
      <w:sz w:val="20"/>
      <w:szCs w:val="24"/>
      <w:lang w:val="en-NZ" w:eastAsia="en-AU"/>
    </w:rPr>
  </w:style>
  <w:style w:type="character" w:styleId="BookTitle">
    <w:name w:val="Book Title"/>
    <w:basedOn w:val="DefaultParagraphFont"/>
    <w:uiPriority w:val="29"/>
    <w:rsid w:val="00013184"/>
    <w:rPr>
      <w:rFonts w:ascii="Metropolis Light" w:hAnsi="Metropolis Light"/>
      <w:b/>
      <w:bCs/>
      <w:smallCaps/>
      <w:color w:val="262626" w:themeColor="text1" w:themeTint="D9"/>
      <w:spacing w:val="5"/>
    </w:rPr>
  </w:style>
  <w:style w:type="paragraph" w:styleId="Date">
    <w:name w:val="Date"/>
    <w:basedOn w:val="Normal"/>
    <w:next w:val="Normal"/>
    <w:link w:val="DateChar"/>
    <w:uiPriority w:val="29"/>
    <w:rsid w:val="00013184"/>
    <w:rPr>
      <w:color w:val="262626" w:themeColor="text1" w:themeTint="D9"/>
    </w:rPr>
  </w:style>
  <w:style w:type="character" w:customStyle="1" w:styleId="DateChar">
    <w:name w:val="Date Char"/>
    <w:basedOn w:val="DefaultParagraphFont"/>
    <w:link w:val="Date"/>
    <w:uiPriority w:val="29"/>
    <w:rsid w:val="008D1F68"/>
    <w:rPr>
      <w:rFonts w:ascii="Metropolis Light" w:eastAsia="Times New Roman" w:hAnsi="Metropolis Light" w:cs="Times New Roman"/>
      <w:color w:val="262626" w:themeColor="text1" w:themeTint="D9"/>
      <w:sz w:val="20"/>
      <w:szCs w:val="24"/>
      <w:lang w:val="en-NZ" w:eastAsia="en-AU"/>
    </w:rPr>
  </w:style>
  <w:style w:type="paragraph" w:styleId="Bibliography">
    <w:name w:val="Bibliography"/>
    <w:basedOn w:val="Normal"/>
    <w:next w:val="Normal"/>
    <w:uiPriority w:val="34"/>
    <w:rsid w:val="00013184"/>
    <w:rPr>
      <w:color w:val="262626" w:themeColor="text1" w:themeTint="D9"/>
    </w:rPr>
  </w:style>
  <w:style w:type="character" w:styleId="EndnoteReference">
    <w:name w:val="endnote reference"/>
    <w:basedOn w:val="DefaultParagraphFont"/>
    <w:uiPriority w:val="34"/>
    <w:qFormat/>
    <w:rsid w:val="00013184"/>
    <w:rPr>
      <w:rFonts w:ascii="Metropolis Light" w:hAnsi="Metropolis Light"/>
      <w:color w:val="262626" w:themeColor="text1" w:themeTint="D9"/>
      <w:vertAlign w:val="superscript"/>
    </w:rPr>
  </w:style>
  <w:style w:type="paragraph" w:styleId="Index1">
    <w:name w:val="index 1"/>
    <w:basedOn w:val="Normal"/>
    <w:next w:val="Normal"/>
    <w:uiPriority w:val="34"/>
    <w:rsid w:val="00013184"/>
    <w:pPr>
      <w:spacing w:after="0" w:line="240" w:lineRule="auto"/>
      <w:ind w:left="200" w:hanging="200"/>
    </w:pPr>
    <w:rPr>
      <w:color w:val="262626" w:themeColor="text1" w:themeTint="D9"/>
    </w:rPr>
  </w:style>
  <w:style w:type="paragraph" w:styleId="IndexHeading">
    <w:name w:val="index heading"/>
    <w:basedOn w:val="Normal"/>
    <w:next w:val="Index1"/>
    <w:uiPriority w:val="34"/>
    <w:rsid w:val="00013184"/>
    <w:rPr>
      <w:rFonts w:ascii="Metropolis" w:eastAsiaTheme="majorEastAsia" w:hAnsi="Metropolis" w:cstheme="majorBidi"/>
      <w:b/>
      <w:bCs/>
    </w:rPr>
  </w:style>
  <w:style w:type="character" w:styleId="IntenseEmphasis">
    <w:name w:val="Intense Emphasis"/>
    <w:basedOn w:val="DefaultParagraphFont"/>
    <w:uiPriority w:val="34"/>
    <w:rsid w:val="00013184"/>
    <w:rPr>
      <w:rFonts w:ascii="Metropolis Light" w:hAnsi="Metropolis Light"/>
      <w:b/>
      <w:bCs/>
      <w:i/>
      <w:iCs/>
      <w:color w:val="4F81BD" w:themeColor="accent1"/>
    </w:rPr>
  </w:style>
  <w:style w:type="character" w:styleId="IntenseReference">
    <w:name w:val="Intense Reference"/>
    <w:basedOn w:val="DefaultParagraphFont"/>
    <w:uiPriority w:val="34"/>
    <w:rsid w:val="00013184"/>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013184"/>
    <w:pPr>
      <w:spacing w:before="120"/>
    </w:pPr>
    <w:rPr>
      <w:rFonts w:ascii="Metropolis" w:eastAsiaTheme="majorEastAsia" w:hAnsi="Metropolis" w:cstheme="majorBidi"/>
      <w:b/>
      <w:bCs/>
      <w:sz w:val="24"/>
    </w:rPr>
  </w:style>
  <w:style w:type="paragraph" w:styleId="TOC4">
    <w:name w:val="toc 4"/>
    <w:basedOn w:val="Normal"/>
    <w:next w:val="Normal"/>
    <w:uiPriority w:val="34"/>
    <w:rsid w:val="00013184"/>
    <w:pPr>
      <w:spacing w:after="100"/>
      <w:ind w:left="600"/>
    </w:pPr>
    <w:rPr>
      <w:color w:val="262626" w:themeColor="text1" w:themeTint="D9"/>
    </w:rPr>
  </w:style>
  <w:style w:type="paragraph" w:styleId="TOC5">
    <w:name w:val="toc 5"/>
    <w:basedOn w:val="Normal"/>
    <w:next w:val="Normal"/>
    <w:uiPriority w:val="34"/>
    <w:rsid w:val="00013184"/>
    <w:pPr>
      <w:spacing w:after="100"/>
      <w:ind w:left="800"/>
    </w:pPr>
    <w:rPr>
      <w:color w:val="262626" w:themeColor="text1" w:themeTint="D9"/>
    </w:rPr>
  </w:style>
  <w:style w:type="paragraph" w:styleId="TOC6">
    <w:name w:val="toc 6"/>
    <w:basedOn w:val="Normal"/>
    <w:next w:val="Normal"/>
    <w:uiPriority w:val="34"/>
    <w:rsid w:val="00013184"/>
    <w:pPr>
      <w:spacing w:after="100"/>
      <w:ind w:left="1000"/>
    </w:pPr>
    <w:rPr>
      <w:color w:val="262626" w:themeColor="text1" w:themeTint="D9"/>
    </w:rPr>
  </w:style>
  <w:style w:type="paragraph" w:styleId="TOC8">
    <w:name w:val="toc 8"/>
    <w:basedOn w:val="Normal"/>
    <w:next w:val="Normal"/>
    <w:uiPriority w:val="34"/>
    <w:rsid w:val="00013184"/>
    <w:pPr>
      <w:spacing w:after="100"/>
      <w:ind w:left="1400"/>
    </w:pPr>
    <w:rPr>
      <w:color w:val="262626" w:themeColor="text1" w:themeTint="D9"/>
    </w:rPr>
  </w:style>
  <w:style w:type="paragraph" w:styleId="TOC9">
    <w:name w:val="toc 9"/>
    <w:basedOn w:val="Normal"/>
    <w:next w:val="Normal"/>
    <w:uiPriority w:val="34"/>
    <w:rsid w:val="00013184"/>
    <w:pPr>
      <w:spacing w:after="100"/>
      <w:ind w:left="1600"/>
    </w:pPr>
    <w:rPr>
      <w:color w:val="262626" w:themeColor="text1" w:themeTint="D9"/>
    </w:rPr>
  </w:style>
  <w:style w:type="paragraph" w:styleId="TOC7">
    <w:name w:val="toc 7"/>
    <w:basedOn w:val="Normal"/>
    <w:next w:val="Normal"/>
    <w:uiPriority w:val="34"/>
    <w:rsid w:val="00013184"/>
    <w:pPr>
      <w:spacing w:after="100"/>
      <w:ind w:left="1200"/>
    </w:pPr>
    <w:rPr>
      <w:color w:val="262626" w:themeColor="text1" w:themeTint="D9"/>
    </w:rPr>
  </w:style>
  <w:style w:type="paragraph" w:styleId="DocumentMap">
    <w:name w:val="Document Map"/>
    <w:basedOn w:val="Normal"/>
    <w:link w:val="DocumentMapChar"/>
    <w:uiPriority w:val="34"/>
    <w:rsid w:val="00013184"/>
    <w:pPr>
      <w:spacing w:after="0" w:line="240" w:lineRule="auto"/>
    </w:pPr>
    <w:rPr>
      <w:rFonts w:ascii="Tahoma" w:hAnsi="Tahoma" w:cs="Tahoma"/>
      <w:color w:val="262626" w:themeColor="text1" w:themeTint="D9"/>
      <w:sz w:val="16"/>
      <w:szCs w:val="16"/>
    </w:rPr>
  </w:style>
  <w:style w:type="character" w:customStyle="1" w:styleId="DocumentMapChar">
    <w:name w:val="Document Map Char"/>
    <w:basedOn w:val="DefaultParagraphFont"/>
    <w:link w:val="DocumentMap"/>
    <w:uiPriority w:val="34"/>
    <w:rsid w:val="008D1F68"/>
    <w:rPr>
      <w:rFonts w:ascii="Tahoma" w:eastAsia="Times New Roman" w:hAnsi="Tahoma" w:cs="Tahoma"/>
      <w:color w:val="262626" w:themeColor="text1" w:themeTint="D9"/>
      <w:sz w:val="16"/>
      <w:szCs w:val="16"/>
      <w:lang w:val="en-NZ" w:eastAsia="en-AU"/>
    </w:rPr>
  </w:style>
  <w:style w:type="paragraph" w:styleId="EndnoteText">
    <w:name w:val="endnote text"/>
    <w:basedOn w:val="Normal"/>
    <w:link w:val="EndnoteTextChar"/>
    <w:uiPriority w:val="34"/>
    <w:rsid w:val="00013184"/>
    <w:pPr>
      <w:spacing w:after="0" w:line="240" w:lineRule="auto"/>
    </w:pPr>
    <w:rPr>
      <w:color w:val="262626" w:themeColor="text1" w:themeTint="D9"/>
      <w:szCs w:val="20"/>
    </w:rPr>
  </w:style>
  <w:style w:type="character" w:customStyle="1" w:styleId="EndnoteTextChar">
    <w:name w:val="Endnote Text Char"/>
    <w:basedOn w:val="DefaultParagraphFont"/>
    <w:link w:val="EndnoteText"/>
    <w:uiPriority w:val="34"/>
    <w:rsid w:val="008D1F68"/>
    <w:rPr>
      <w:rFonts w:ascii="Metropolis Light" w:eastAsia="Times New Roman" w:hAnsi="Metropolis Light" w:cs="Times New Roman"/>
      <w:color w:val="262626" w:themeColor="text1" w:themeTint="D9"/>
      <w:sz w:val="20"/>
      <w:szCs w:val="20"/>
      <w:lang w:val="en-NZ" w:eastAsia="en-AU"/>
    </w:rPr>
  </w:style>
  <w:style w:type="paragraph" w:styleId="Index2">
    <w:name w:val="index 2"/>
    <w:basedOn w:val="Normal"/>
    <w:next w:val="Normal"/>
    <w:uiPriority w:val="34"/>
    <w:rsid w:val="00013184"/>
    <w:pPr>
      <w:spacing w:after="0" w:line="240" w:lineRule="auto"/>
      <w:ind w:left="400" w:hanging="200"/>
    </w:pPr>
  </w:style>
  <w:style w:type="paragraph" w:styleId="Index3">
    <w:name w:val="index 3"/>
    <w:basedOn w:val="Normal"/>
    <w:next w:val="Normal"/>
    <w:uiPriority w:val="34"/>
    <w:rsid w:val="00013184"/>
    <w:pPr>
      <w:spacing w:after="0" w:line="240" w:lineRule="auto"/>
      <w:ind w:left="600" w:hanging="200"/>
    </w:pPr>
  </w:style>
  <w:style w:type="paragraph" w:styleId="Index4">
    <w:name w:val="index 4"/>
    <w:basedOn w:val="Normal"/>
    <w:next w:val="Normal"/>
    <w:uiPriority w:val="34"/>
    <w:rsid w:val="00013184"/>
    <w:pPr>
      <w:spacing w:after="0" w:line="240" w:lineRule="auto"/>
      <w:ind w:left="800" w:hanging="200"/>
    </w:pPr>
  </w:style>
  <w:style w:type="paragraph" w:styleId="Index5">
    <w:name w:val="index 5"/>
    <w:basedOn w:val="Normal"/>
    <w:next w:val="Normal"/>
    <w:uiPriority w:val="34"/>
    <w:rsid w:val="00013184"/>
    <w:pPr>
      <w:spacing w:after="0" w:line="240" w:lineRule="auto"/>
      <w:ind w:left="1000" w:hanging="200"/>
    </w:pPr>
  </w:style>
  <w:style w:type="paragraph" w:styleId="Index6">
    <w:name w:val="index 6"/>
    <w:basedOn w:val="Normal"/>
    <w:next w:val="Normal"/>
    <w:uiPriority w:val="34"/>
    <w:rsid w:val="00013184"/>
    <w:pPr>
      <w:spacing w:after="0" w:line="240" w:lineRule="auto"/>
      <w:ind w:left="1200" w:hanging="200"/>
    </w:pPr>
  </w:style>
  <w:style w:type="paragraph" w:styleId="Index7">
    <w:name w:val="index 7"/>
    <w:basedOn w:val="Normal"/>
    <w:next w:val="Normal"/>
    <w:uiPriority w:val="34"/>
    <w:rsid w:val="00013184"/>
    <w:pPr>
      <w:spacing w:after="0" w:line="240" w:lineRule="auto"/>
      <w:ind w:left="1400" w:hanging="200"/>
    </w:pPr>
  </w:style>
  <w:style w:type="paragraph" w:styleId="Index8">
    <w:name w:val="index 8"/>
    <w:basedOn w:val="Normal"/>
    <w:next w:val="Normal"/>
    <w:uiPriority w:val="34"/>
    <w:rsid w:val="00013184"/>
    <w:pPr>
      <w:spacing w:after="0" w:line="240" w:lineRule="auto"/>
      <w:ind w:left="1600" w:hanging="200"/>
    </w:pPr>
  </w:style>
  <w:style w:type="paragraph" w:styleId="Index9">
    <w:name w:val="index 9"/>
    <w:basedOn w:val="Normal"/>
    <w:next w:val="Normal"/>
    <w:uiPriority w:val="34"/>
    <w:rsid w:val="00013184"/>
    <w:pPr>
      <w:spacing w:after="0" w:line="240" w:lineRule="auto"/>
      <w:ind w:left="1800" w:hanging="200"/>
    </w:pPr>
  </w:style>
  <w:style w:type="paragraph" w:styleId="IntenseQuote">
    <w:name w:val="Intense Quote"/>
    <w:basedOn w:val="Normal"/>
    <w:next w:val="Normal"/>
    <w:link w:val="IntenseQuoteChar"/>
    <w:uiPriority w:val="34"/>
    <w:rsid w:val="000131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8D1F68"/>
    <w:rPr>
      <w:rFonts w:ascii="Metropolis Light" w:eastAsia="Times New Roman" w:hAnsi="Metropolis Light" w:cs="Times New Roman"/>
      <w:b/>
      <w:bCs/>
      <w:i/>
      <w:iCs/>
      <w:color w:val="4F81BD" w:themeColor="accent1"/>
      <w:sz w:val="20"/>
      <w:szCs w:val="24"/>
      <w:lang w:val="en-NZ" w:eastAsia="en-AU"/>
    </w:rPr>
  </w:style>
  <w:style w:type="paragraph" w:styleId="MacroText">
    <w:name w:val="macro"/>
    <w:link w:val="MacroTextChar"/>
    <w:uiPriority w:val="34"/>
    <w:rsid w:val="00013184"/>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color w:val="404040" w:themeColor="text1" w:themeTint="BF"/>
      <w:sz w:val="20"/>
      <w:szCs w:val="20"/>
      <w:lang w:val="en-NZ" w:eastAsia="en-AU"/>
    </w:rPr>
  </w:style>
  <w:style w:type="character" w:customStyle="1" w:styleId="MacroTextChar">
    <w:name w:val="Macro Text Char"/>
    <w:basedOn w:val="DefaultParagraphFont"/>
    <w:link w:val="MacroText"/>
    <w:uiPriority w:val="34"/>
    <w:rsid w:val="008D1F68"/>
    <w:rPr>
      <w:rFonts w:ascii="Consolas" w:eastAsia="Times New Roman" w:hAnsi="Consolas" w:cs="Times New Roman"/>
      <w:color w:val="404040" w:themeColor="text1" w:themeTint="BF"/>
      <w:sz w:val="20"/>
      <w:szCs w:val="20"/>
      <w:lang w:val="en-NZ" w:eastAsia="en-AU"/>
    </w:rPr>
  </w:style>
  <w:style w:type="paragraph" w:styleId="TableofAuthorities">
    <w:name w:val="table of authorities"/>
    <w:basedOn w:val="Normal"/>
    <w:next w:val="Normal"/>
    <w:uiPriority w:val="34"/>
    <w:rsid w:val="00013184"/>
    <w:pPr>
      <w:spacing w:after="0"/>
      <w:ind w:left="200" w:hanging="200"/>
    </w:pPr>
    <w:rPr>
      <w:color w:val="262626" w:themeColor="text1" w:themeTint="D9"/>
    </w:rPr>
  </w:style>
  <w:style w:type="paragraph" w:styleId="TableofFigures">
    <w:name w:val="table of figures"/>
    <w:basedOn w:val="Normal"/>
    <w:next w:val="Normal"/>
    <w:uiPriority w:val="34"/>
    <w:rsid w:val="00013184"/>
    <w:pPr>
      <w:spacing w:after="0"/>
    </w:pPr>
  </w:style>
  <w:style w:type="character" w:customStyle="1" w:styleId="UnresolvedMention1">
    <w:name w:val="Unresolved Mention1"/>
    <w:basedOn w:val="DefaultParagraphFont"/>
    <w:uiPriority w:val="99"/>
    <w:semiHidden/>
    <w:unhideWhenUsed/>
    <w:rsid w:val="00013184"/>
    <w:rPr>
      <w:color w:val="808080"/>
      <w:shd w:val="clear" w:color="auto" w:fill="E6E6E6"/>
    </w:rPr>
  </w:style>
  <w:style w:type="paragraph" w:customStyle="1" w:styleId="subsection2">
    <w:name w:val="subsection2"/>
    <w:basedOn w:val="Normal"/>
    <w:rsid w:val="00013184"/>
    <w:pPr>
      <w:spacing w:before="100" w:beforeAutospacing="1" w:after="100" w:afterAutospacing="1" w:line="240" w:lineRule="auto"/>
    </w:pPr>
    <w:rPr>
      <w:rFonts w:ascii="Times New Roman" w:hAnsi="Times New Roman"/>
      <w:sz w:val="24"/>
      <w:lang w:eastAsia="en-NZ"/>
    </w:rPr>
  </w:style>
  <w:style w:type="character" w:styleId="SubtleEmphasis">
    <w:name w:val="Subtle Emphasis"/>
    <w:basedOn w:val="DefaultParagraphFont"/>
    <w:uiPriority w:val="34"/>
    <w:rsid w:val="00013184"/>
    <w:rPr>
      <w:i/>
      <w:iCs/>
      <w:color w:val="808080" w:themeColor="text1" w:themeTint="7F"/>
    </w:rPr>
  </w:style>
  <w:style w:type="paragraph" w:customStyle="1" w:styleId="text">
    <w:name w:val="text"/>
    <w:basedOn w:val="Normal"/>
    <w:rsid w:val="00013184"/>
    <w:pPr>
      <w:spacing w:before="100" w:beforeAutospacing="1" w:after="100" w:afterAutospacing="1" w:line="240" w:lineRule="auto"/>
    </w:pPr>
    <w:rPr>
      <w:rFonts w:ascii="Times" w:hAnsi="Times"/>
      <w:szCs w:val="20"/>
    </w:rPr>
  </w:style>
  <w:style w:type="character" w:customStyle="1" w:styleId="insertwords">
    <w:name w:val="insertwords"/>
    <w:basedOn w:val="DefaultParagraphFont"/>
    <w:rsid w:val="00013184"/>
  </w:style>
  <w:style w:type="character" w:customStyle="1" w:styleId="label">
    <w:name w:val="label"/>
    <w:basedOn w:val="DefaultParagraphFont"/>
    <w:rsid w:val="00013184"/>
  </w:style>
  <w:style w:type="numbering" w:customStyle="1" w:styleId="1111111">
    <w:name w:val="1 / 1.1 / 1.1.11"/>
    <w:basedOn w:val="NoList"/>
    <w:next w:val="111111"/>
    <w:semiHidden/>
    <w:rsid w:val="00013184"/>
  </w:style>
  <w:style w:type="numbering" w:customStyle="1" w:styleId="1ai1">
    <w:name w:val="1 / a / i1"/>
    <w:basedOn w:val="NoList"/>
    <w:next w:val="1ai"/>
    <w:semiHidden/>
    <w:rsid w:val="00013184"/>
  </w:style>
  <w:style w:type="numbering" w:customStyle="1" w:styleId="ArticleSection1">
    <w:name w:val="Article / Section1"/>
    <w:basedOn w:val="NoList"/>
    <w:next w:val="ArticleSection"/>
    <w:semiHidden/>
    <w:rsid w:val="00013184"/>
  </w:style>
  <w:style w:type="numbering" w:customStyle="1" w:styleId="Chapter11">
    <w:name w:val="Chapter11"/>
    <w:uiPriority w:val="99"/>
    <w:rsid w:val="00013184"/>
  </w:style>
  <w:style w:type="paragraph" w:customStyle="1" w:styleId="Proposal">
    <w:name w:val="Proposal"/>
    <w:basedOn w:val="Normal"/>
    <w:link w:val="ProposalChar"/>
    <w:qFormat/>
    <w:rsid w:val="00013184"/>
    <w:pPr>
      <w:tabs>
        <w:tab w:val="left" w:pos="960"/>
      </w:tabs>
      <w:spacing w:before="59" w:after="0" w:line="290" w:lineRule="atLeast"/>
      <w:ind w:left="964" w:right="284" w:hanging="6"/>
      <w:jc w:val="both"/>
    </w:pPr>
    <w:rPr>
      <w:rFonts w:eastAsia="Metropolis Light" w:cs="Metropolis Light"/>
      <w:szCs w:val="19"/>
    </w:rPr>
  </w:style>
  <w:style w:type="character" w:customStyle="1" w:styleId="ProposalChar">
    <w:name w:val="Proposal Char"/>
    <w:basedOn w:val="DefaultParagraphFont"/>
    <w:link w:val="Proposal"/>
    <w:rsid w:val="008D1F68"/>
    <w:rPr>
      <w:rFonts w:ascii="Metropolis Light" w:eastAsia="Metropolis Light" w:hAnsi="Metropolis Light" w:cs="Metropolis Light"/>
      <w:color w:val="0D0D0D" w:themeColor="text1" w:themeTint="F2"/>
      <w:sz w:val="20"/>
      <w:szCs w:val="19"/>
      <w:lang w:val="en-NZ" w:eastAsia="en-AU"/>
    </w:rPr>
  </w:style>
  <w:style w:type="paragraph" w:customStyle="1" w:styleId="QuestionBox">
    <w:name w:val="Question Box"/>
    <w:basedOn w:val="BodyText"/>
    <w:link w:val="QuestionBoxChar"/>
    <w:uiPriority w:val="8"/>
    <w:qFormat/>
    <w:rsid w:val="00013184"/>
    <w:pPr>
      <w:numPr>
        <w:ilvl w:val="0"/>
        <w:numId w:val="0"/>
      </w:numPr>
      <w:ind w:left="1004" w:right="284"/>
    </w:pPr>
    <w:rPr>
      <w:rFonts w:eastAsia="Metropolis Light"/>
    </w:rPr>
  </w:style>
  <w:style w:type="character" w:customStyle="1" w:styleId="QuestionBoxChar">
    <w:name w:val="Question Box Char"/>
    <w:basedOn w:val="BodyTextChar"/>
    <w:link w:val="QuestionBox"/>
    <w:uiPriority w:val="8"/>
    <w:rsid w:val="008D1F68"/>
    <w:rPr>
      <w:rFonts w:ascii="Metropolis Light" w:eastAsia="Metropolis Light" w:hAnsi="Metropolis Light" w:cs="Times New Roman"/>
      <w:color w:val="000000" w:themeColor="text1"/>
      <w:sz w:val="20"/>
      <w:szCs w:val="24"/>
      <w:lang w:val="en-NZ" w:eastAsia="en-AU"/>
    </w:rPr>
  </w:style>
  <w:style w:type="character" w:customStyle="1" w:styleId="apple-converted-space">
    <w:name w:val="apple-converted-space"/>
    <w:basedOn w:val="DefaultParagraphFont"/>
    <w:rsid w:val="00013184"/>
  </w:style>
  <w:style w:type="paragraph" w:customStyle="1" w:styleId="BodyText1">
    <w:name w:val="Body Text1"/>
    <w:next w:val="BodyText"/>
    <w:link w:val="BodyText1Char"/>
    <w:uiPriority w:val="8"/>
    <w:qFormat/>
    <w:rsid w:val="00013184"/>
    <w:pPr>
      <w:widowControl/>
      <w:tabs>
        <w:tab w:val="num" w:pos="360"/>
      </w:tabs>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sslistitemcontent">
    <w:name w:val="ss_listitemcontent"/>
    <w:basedOn w:val="DefaultParagraphFont"/>
    <w:rsid w:val="00013184"/>
  </w:style>
  <w:style w:type="character" w:customStyle="1" w:styleId="BodyText1Char">
    <w:name w:val="Body Text1 Char"/>
    <w:basedOn w:val="BodyTextChar"/>
    <w:link w:val="BodyText1"/>
    <w:uiPriority w:val="8"/>
    <w:rsid w:val="008D1F68"/>
    <w:rPr>
      <w:rFonts w:ascii="Metropolis Light" w:eastAsia="Times New Roman" w:hAnsi="Metropolis Light" w:cs="Times New Roman"/>
      <w:color w:val="0D0D0D" w:themeColor="text1" w:themeTint="F2"/>
      <w:sz w:val="20"/>
      <w:szCs w:val="24"/>
      <w:lang w:val="en-NZ" w:eastAsia="en-AU"/>
    </w:rPr>
  </w:style>
  <w:style w:type="paragraph" w:customStyle="1" w:styleId="B2Recommendation">
    <w:name w:val="B2 Recommendation"/>
    <w:basedOn w:val="Normal"/>
    <w:rsid w:val="00013184"/>
    <w:pPr>
      <w:numPr>
        <w:numId w:val="13"/>
      </w:numPr>
      <w:tabs>
        <w:tab w:val="left" w:pos="2268"/>
      </w:tabs>
      <w:spacing w:after="0" w:line="240" w:lineRule="auto"/>
    </w:pPr>
    <w:rPr>
      <w:rFonts w:ascii="Times New Roman Mäori" w:hAnsi="Times New Roman Mäori"/>
      <w:b/>
      <w:bCs/>
      <w:color w:val="339966"/>
      <w:sz w:val="24"/>
      <w:szCs w:val="20"/>
      <w:lang w:val="en-GB" w:eastAsia="en-US"/>
    </w:rPr>
  </w:style>
  <w:style w:type="paragraph" w:customStyle="1" w:styleId="Default">
    <w:name w:val="Default"/>
    <w:rsid w:val="00013184"/>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table" w:customStyle="1" w:styleId="GridTable1Light-Accent11">
    <w:name w:val="Grid Table 1 Light - Accent 11"/>
    <w:basedOn w:val="TableNormal"/>
    <w:uiPriority w:val="46"/>
    <w:rsid w:val="00013184"/>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Chapter12">
    <w:name w:val="Chapter12"/>
    <w:uiPriority w:val="99"/>
    <w:rsid w:val="00013184"/>
  </w:style>
  <w:style w:type="character" w:customStyle="1" w:styleId="UnresolvedMention10">
    <w:name w:val="Unresolved Mention10"/>
    <w:basedOn w:val="DefaultParagraphFont"/>
    <w:uiPriority w:val="99"/>
    <w:semiHidden/>
    <w:unhideWhenUsed/>
    <w:rsid w:val="00013184"/>
    <w:rPr>
      <w:color w:val="605E5C"/>
      <w:shd w:val="clear" w:color="auto" w:fill="E1DFDD"/>
    </w:rPr>
  </w:style>
  <w:style w:type="paragraph" w:customStyle="1" w:styleId="Questionabc">
    <w:name w:val="Question abc"/>
    <w:basedOn w:val="Proposal"/>
    <w:next w:val="QuestionBox"/>
    <w:link w:val="QuestionabcChar"/>
    <w:uiPriority w:val="8"/>
    <w:qFormat/>
    <w:rsid w:val="00013184"/>
    <w:pPr>
      <w:numPr>
        <w:numId w:val="66"/>
      </w:numPr>
      <w:spacing w:before="80" w:after="120" w:line="360" w:lineRule="auto"/>
      <w:ind w:left="1429" w:hanging="425"/>
    </w:pPr>
  </w:style>
  <w:style w:type="character" w:customStyle="1" w:styleId="QuestionabcChar">
    <w:name w:val="Question abc Char"/>
    <w:basedOn w:val="ProposalChar"/>
    <w:link w:val="Questionabc"/>
    <w:uiPriority w:val="8"/>
    <w:rsid w:val="008D1F68"/>
    <w:rPr>
      <w:rFonts w:ascii="Metropolis Light" w:eastAsia="Metropolis Light" w:hAnsi="Metropolis Light" w:cs="Metropolis Light"/>
      <w:color w:val="0D0D0D" w:themeColor="text1" w:themeTint="F2"/>
      <w:sz w:val="20"/>
      <w:szCs w:val="19"/>
      <w:lang w:val="en-NZ" w:eastAsia="en-AU"/>
    </w:rPr>
  </w:style>
  <w:style w:type="character" w:customStyle="1" w:styleId="UnresolvedMention2">
    <w:name w:val="Unresolved Mention2"/>
    <w:basedOn w:val="DefaultParagraphFont"/>
    <w:uiPriority w:val="99"/>
    <w:semiHidden/>
    <w:unhideWhenUsed/>
    <w:rsid w:val="00013184"/>
    <w:rPr>
      <w:color w:val="605E5C"/>
      <w:shd w:val="clear" w:color="auto" w:fill="E1DFDD"/>
    </w:rPr>
  </w:style>
  <w:style w:type="character" w:customStyle="1" w:styleId="UnresolvedMention3">
    <w:name w:val="Unresolved Mention3"/>
    <w:basedOn w:val="DefaultParagraphFont"/>
    <w:uiPriority w:val="99"/>
    <w:semiHidden/>
    <w:unhideWhenUsed/>
    <w:rsid w:val="00013184"/>
    <w:rPr>
      <w:color w:val="605E5C"/>
      <w:shd w:val="clear" w:color="auto" w:fill="E1DFDD"/>
    </w:rPr>
  </w:style>
  <w:style w:type="paragraph" w:customStyle="1" w:styleId="Foreword">
    <w:name w:val="Foreword"/>
    <w:basedOn w:val="BodyTextIndent"/>
    <w:link w:val="ForewordChar"/>
    <w:uiPriority w:val="8"/>
    <w:qFormat/>
    <w:rsid w:val="00013184"/>
    <w:pPr>
      <w:spacing w:after="120"/>
      <w:ind w:left="0"/>
    </w:pPr>
    <w:rPr>
      <w:rFonts w:eastAsia="Metropolis Light"/>
      <w:color w:val="0D0D0D" w:themeColor="text1" w:themeTint="F2"/>
      <w:lang w:val="en-AU"/>
    </w:rPr>
  </w:style>
  <w:style w:type="character" w:customStyle="1" w:styleId="ForewordChar">
    <w:name w:val="Foreword Char"/>
    <w:basedOn w:val="BodyTextIndentChar"/>
    <w:link w:val="Foreword"/>
    <w:uiPriority w:val="8"/>
    <w:rsid w:val="008D1F68"/>
    <w:rPr>
      <w:rFonts w:ascii="Metropolis Light" w:eastAsia="Metropolis Light" w:hAnsi="Metropolis Light" w:cs="Times New Roman"/>
      <w:color w:val="0D0D0D" w:themeColor="text1" w:themeTint="F2"/>
      <w:sz w:val="20"/>
      <w:szCs w:val="24"/>
      <w:lang w:val="en-AU" w:eastAsia="en-AU"/>
    </w:rPr>
  </w:style>
  <w:style w:type="paragraph" w:customStyle="1" w:styleId="TableHeader">
    <w:name w:val="Table Header"/>
    <w:basedOn w:val="BodyText"/>
    <w:link w:val="TableHeaderChar"/>
    <w:uiPriority w:val="8"/>
    <w:qFormat/>
    <w:rsid w:val="00013184"/>
    <w:pPr>
      <w:numPr>
        <w:numId w:val="0"/>
      </w:numPr>
      <w:tabs>
        <w:tab w:val="left" w:pos="709"/>
      </w:tabs>
      <w:spacing w:line="240" w:lineRule="auto"/>
      <w:jc w:val="left"/>
    </w:pPr>
    <w:rPr>
      <w:b/>
      <w:bCs/>
      <w:color w:val="FFFFFF" w:themeColor="background1"/>
    </w:rPr>
  </w:style>
  <w:style w:type="paragraph" w:customStyle="1" w:styleId="TableText">
    <w:name w:val="Table Text"/>
    <w:basedOn w:val="BodyText"/>
    <w:link w:val="TableTextChar"/>
    <w:uiPriority w:val="8"/>
    <w:qFormat/>
    <w:rsid w:val="00013184"/>
    <w:pPr>
      <w:numPr>
        <w:numId w:val="0"/>
      </w:numPr>
      <w:tabs>
        <w:tab w:val="left" w:pos="709"/>
      </w:tabs>
      <w:spacing w:line="288" w:lineRule="auto"/>
      <w:jc w:val="left"/>
    </w:pPr>
    <w:rPr>
      <w:sz w:val="18"/>
    </w:rPr>
  </w:style>
  <w:style w:type="character" w:customStyle="1" w:styleId="TableHeaderChar">
    <w:name w:val="Table Header Char"/>
    <w:basedOn w:val="BodyTextChar"/>
    <w:link w:val="TableHeader"/>
    <w:uiPriority w:val="8"/>
    <w:rsid w:val="008D1F68"/>
    <w:rPr>
      <w:rFonts w:ascii="Metropolis Light" w:eastAsia="Times New Roman" w:hAnsi="Metropolis Light" w:cs="Times New Roman"/>
      <w:b/>
      <w:bCs/>
      <w:color w:val="FFFFFF" w:themeColor="background1"/>
      <w:sz w:val="20"/>
      <w:szCs w:val="24"/>
      <w:lang w:val="en-NZ" w:eastAsia="en-AU"/>
    </w:rPr>
  </w:style>
  <w:style w:type="table" w:customStyle="1" w:styleId="LCReportTable">
    <w:name w:val="LC Report Table"/>
    <w:basedOn w:val="LCTableFinancial"/>
    <w:uiPriority w:val="99"/>
    <w:rsid w:val="00013184"/>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Semibold" w:hAnsi="@Yu Gothic UI Semibold"/>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TableTextChar">
    <w:name w:val="Table Text Char"/>
    <w:basedOn w:val="BodyTextChar"/>
    <w:link w:val="TableText"/>
    <w:uiPriority w:val="8"/>
    <w:rsid w:val="008D1F68"/>
    <w:rPr>
      <w:rFonts w:ascii="Metropolis Light" w:eastAsia="Times New Roman" w:hAnsi="Metropolis Light" w:cs="Times New Roman"/>
      <w:color w:val="000000" w:themeColor="text1"/>
      <w:sz w:val="18"/>
      <w:szCs w:val="24"/>
      <w:lang w:val="en-NZ" w:eastAsia="en-AU"/>
    </w:rPr>
  </w:style>
  <w:style w:type="paragraph" w:customStyle="1" w:styleId="Prelimheadings">
    <w:name w:val="Prelim headings"/>
    <w:basedOn w:val="Heading1nonum"/>
    <w:link w:val="PrelimheadingsChar"/>
    <w:uiPriority w:val="8"/>
    <w:rsid w:val="00013184"/>
    <w:pPr>
      <w:pageBreakBefore/>
      <w:spacing w:before="480"/>
    </w:pPr>
    <w:rPr>
      <w:color w:val="5CA0B9"/>
    </w:rPr>
  </w:style>
  <w:style w:type="character" w:customStyle="1" w:styleId="PrelimheadingsChar">
    <w:name w:val="Prelim headings Char"/>
    <w:basedOn w:val="DefaultParagraphFont"/>
    <w:link w:val="Prelimheadings"/>
    <w:uiPriority w:val="8"/>
    <w:rsid w:val="008D1F68"/>
    <w:rPr>
      <w:rFonts w:ascii="Metropolis Black" w:eastAsia="Times New Roman" w:hAnsi="Metropolis Black" w:cs="Times New Roman"/>
      <w:b/>
      <w:color w:val="5CA0B9"/>
      <w:sz w:val="66"/>
      <w:szCs w:val="24"/>
      <w:lang w:val="en-NZ" w:eastAsia="en-AU"/>
    </w:rPr>
  </w:style>
  <w:style w:type="character" w:styleId="UnresolvedMention">
    <w:name w:val="Unresolved Mention"/>
    <w:basedOn w:val="DefaultParagraphFont"/>
    <w:uiPriority w:val="99"/>
    <w:unhideWhenUsed/>
    <w:rsid w:val="00013184"/>
    <w:rPr>
      <w:color w:val="605E5C"/>
      <w:shd w:val="clear" w:color="auto" w:fill="E1DFDD"/>
    </w:rPr>
  </w:style>
  <w:style w:type="character" w:customStyle="1" w:styleId="listlabel">
    <w:name w:val="listlabel"/>
    <w:basedOn w:val="DefaultParagraphFont"/>
    <w:rsid w:val="00013184"/>
  </w:style>
  <w:style w:type="character" w:customStyle="1" w:styleId="listbody">
    <w:name w:val="listbody"/>
    <w:basedOn w:val="DefaultParagraphFont"/>
    <w:rsid w:val="00013184"/>
  </w:style>
  <w:style w:type="character" w:customStyle="1" w:styleId="textrun">
    <w:name w:val="textrun"/>
    <w:basedOn w:val="DefaultParagraphFont"/>
    <w:rsid w:val="00013184"/>
  </w:style>
  <w:style w:type="paragraph" w:customStyle="1" w:styleId="B1Recommendation">
    <w:name w:val="B1 Recommendation"/>
    <w:basedOn w:val="Normal"/>
    <w:rsid w:val="00013184"/>
    <w:pPr>
      <w:numPr>
        <w:numId w:val="16"/>
      </w:numPr>
      <w:tabs>
        <w:tab w:val="left" w:pos="1701"/>
        <w:tab w:val="left" w:pos="2268"/>
      </w:tabs>
    </w:pPr>
    <w:rPr>
      <w:rFonts w:ascii="Times New Roman Mäori" w:hAnsi="Times New Roman Mäori"/>
      <w:b/>
      <w:bCs/>
      <w:color w:val="339966"/>
      <w:szCs w:val="20"/>
      <w:lang w:val="en-GB"/>
    </w:rPr>
  </w:style>
  <w:style w:type="character" w:customStyle="1" w:styleId="superscript">
    <w:name w:val="superscript"/>
    <w:basedOn w:val="DefaultParagraphFont"/>
    <w:rsid w:val="00013184"/>
  </w:style>
  <w:style w:type="character" w:customStyle="1" w:styleId="E-mailSignatureChar3">
    <w:name w:val="E-mail Signature Char3"/>
    <w:basedOn w:val="DefaultParagraphFont"/>
    <w:uiPriority w:val="99"/>
    <w:semiHidden/>
    <w:rsid w:val="00013184"/>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013184"/>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013184"/>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013184"/>
    <w:rPr>
      <w:rFonts w:ascii="Wingdings" w:eastAsia="Consolas" w:hAnsi="Wingdings" w:cs="Consolas"/>
      <w:color w:val="0D0D0D" w:themeColor="text1" w:themeTint="F2"/>
      <w:sz w:val="20"/>
      <w:szCs w:val="24"/>
      <w:lang w:val="en-NZ" w:eastAsia="en-AU"/>
    </w:rPr>
  </w:style>
  <w:style w:type="character" w:styleId="Mention">
    <w:name w:val="Mention"/>
    <w:basedOn w:val="DefaultParagraphFont"/>
    <w:uiPriority w:val="99"/>
    <w:unhideWhenUsed/>
    <w:rsid w:val="00013184"/>
    <w:rPr>
      <w:color w:val="2B579A"/>
      <w:shd w:val="clear" w:color="auto" w:fill="E1DFDD"/>
    </w:rPr>
  </w:style>
  <w:style w:type="character" w:customStyle="1" w:styleId="EmailSignatureChar3">
    <w:name w:val="Email Signature Char3"/>
    <w:basedOn w:val="DefaultParagraphFont"/>
    <w:uiPriority w:val="99"/>
    <w:semiHidden/>
    <w:rsid w:val="00013184"/>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013184"/>
    <w:rPr>
      <w:rFonts w:ascii="Wingdings" w:eastAsia="Consolas" w:hAnsi="Wingdings" w:cs="Consolas"/>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6">
    <w:name w:val="E-mail Signature Char26"/>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1">
    <w:name w:val="E-mail Signature Char11"/>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2">
    <w:name w:val="E-mail Signature Char12"/>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3">
    <w:name w:val="E-mail Signature Char13"/>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4">
    <w:name w:val="E-mail Signature Char14"/>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5">
    <w:name w:val="E-mail Signature Char25"/>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5">
    <w:name w:val="E-mail Signature Char15"/>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6">
    <w:name w:val="E-mail Signature Char16"/>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7">
    <w:name w:val="E-mail Signature Char17"/>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8">
    <w:name w:val="E-mail Signature Char18"/>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19">
    <w:name w:val="E-mail Signature Char19"/>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0">
    <w:name w:val="E-mail Signature Char20"/>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1">
    <w:name w:val="E-mail Signature Char21"/>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2">
    <w:name w:val="E-mail Signature Char22"/>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3">
    <w:name w:val="E-mail Signature Char23"/>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4">
    <w:name w:val="E-mail Signature Char24"/>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7">
    <w:name w:val="E-mail Signature Char27"/>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8">
    <w:name w:val="E-mail Signature Char28"/>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29">
    <w:name w:val="E-mail Signature Char29"/>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character" w:customStyle="1" w:styleId="E-mailSignatureChar30">
    <w:name w:val="E-mail Signature Char30"/>
    <w:basedOn w:val="DefaultParagraphFont"/>
    <w:uiPriority w:val="99"/>
    <w:semiHidden/>
    <w:rsid w:val="00013184"/>
    <w:rPr>
      <w:rFonts w:ascii="Wingdings" w:eastAsia="Yu Mincho Light" w:hAnsi="Wingdings" w:cs="Yu Mincho Light"/>
      <w:color w:val="0D0D0D" w:themeColor="text1" w:themeTint="F2"/>
      <w:sz w:val="20"/>
      <w:szCs w:val="24"/>
      <w:lang w:val="en-NZ" w:eastAsia="en-AU"/>
    </w:rPr>
  </w:style>
  <w:style w:type="paragraph" w:customStyle="1" w:styleId="Numberedpara">
    <w:name w:val="Numbered para"/>
    <w:basedOn w:val="Normal"/>
    <w:qFormat/>
    <w:rsid w:val="00013184"/>
    <w:pPr>
      <w:spacing w:before="80" w:after="80"/>
      <w:ind w:left="567"/>
      <w:jc w:val="both"/>
    </w:pPr>
    <w:rPr>
      <w:color w:val="000000" w:themeColor="text1"/>
    </w:rPr>
  </w:style>
  <w:style w:type="character" w:customStyle="1" w:styleId="E-mailSignatureChar34">
    <w:name w:val="E-mail Signature Char34"/>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31">
    <w:name w:val="E-mail Signature Char31"/>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32">
    <w:name w:val="E-mail Signature Char32"/>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33">
    <w:name w:val="E-mail Signature Char33"/>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35">
    <w:name w:val="E-mail Signature Char35"/>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36">
    <w:name w:val="E-mail Signature Char36"/>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37">
    <w:name w:val="E-mail Signature Char37"/>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38">
    <w:name w:val="E-mail Signature Char38"/>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39">
    <w:name w:val="E-mail Signature Char39"/>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0">
    <w:name w:val="E-mail Signature Char40"/>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4">
    <w:name w:val="E-mail Signature Char44"/>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1">
    <w:name w:val="E-mail Signature Char41"/>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2">
    <w:name w:val="E-mail Signature Char42"/>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3">
    <w:name w:val="E-mail Signature Char43"/>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0">
    <w:name w:val="E-mail Signature Char50"/>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5">
    <w:name w:val="E-mail Signature Char45"/>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6">
    <w:name w:val="E-mail Signature Char46"/>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7">
    <w:name w:val="E-mail Signature Char47"/>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8">
    <w:name w:val="E-mail Signature Char48"/>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9">
    <w:name w:val="E-mail Signature Char49"/>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1">
    <w:name w:val="E-mail Signature Char51"/>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2">
    <w:name w:val="E-mail Signature Char52"/>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3">
    <w:name w:val="E-mail Signature Char53"/>
    <w:basedOn w:val="DefaultParagraphFont"/>
    <w:uiPriority w:val="99"/>
    <w:semiHidden/>
    <w:rsid w:val="00013184"/>
    <w:rPr>
      <w:rFonts w:ascii="Tahoma" w:eastAsia="SimSun" w:hAnsi="Tahoma" w:cs="SimSun"/>
      <w:color w:val="0D0D0D" w:themeColor="text1" w:themeTint="F2"/>
      <w:sz w:val="20"/>
      <w:szCs w:val="24"/>
      <w:lang w:val="en-NZ" w:eastAsia="en-AU"/>
    </w:rPr>
  </w:style>
  <w:style w:type="paragraph" w:customStyle="1" w:styleId="BodyTextIndent1">
    <w:name w:val="Body Text Indent1"/>
    <w:basedOn w:val="Normal"/>
    <w:rsid w:val="00013184"/>
  </w:style>
  <w:style w:type="paragraph" w:customStyle="1" w:styleId="BodyText21">
    <w:name w:val="Body Text 21"/>
    <w:basedOn w:val="Normal"/>
    <w:rsid w:val="00013184"/>
  </w:style>
  <w:style w:type="paragraph" w:customStyle="1" w:styleId="BodyTextIndent21">
    <w:name w:val="Body Text Indent 21"/>
    <w:basedOn w:val="Normal"/>
    <w:rsid w:val="00013184"/>
  </w:style>
  <w:style w:type="character" w:customStyle="1" w:styleId="E-mailSignatureChar54">
    <w:name w:val="E-mail Signature Char54"/>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5">
    <w:name w:val="E-mail Signature Char55"/>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6">
    <w:name w:val="E-mail Signature Char56"/>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7">
    <w:name w:val="E-mail Signature Char57"/>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8">
    <w:name w:val="E-mail Signature Char58"/>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60">
    <w:name w:val="E-mail Signature Char60"/>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9">
    <w:name w:val="E-mail Signature Char59"/>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spellingerror">
    <w:name w:val="spellingerror"/>
    <w:basedOn w:val="DefaultParagraphFont"/>
    <w:rsid w:val="00013184"/>
  </w:style>
  <w:style w:type="character" w:customStyle="1" w:styleId="E-mailSignatureChar61">
    <w:name w:val="E-mail Signature Char61"/>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62">
    <w:name w:val="E-mail Signature Char62"/>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63">
    <w:name w:val="E-mail Signature Char63"/>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64">
    <w:name w:val="E-mail Signature Char64"/>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65">
    <w:name w:val="E-mail Signature Char65"/>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66">
    <w:name w:val="E-mail Signature Char66"/>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67">
    <w:name w:val="E-mail Signature Char67"/>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68">
    <w:name w:val="E-mail Signature Char68"/>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69">
    <w:name w:val="E-mail Signature Char69"/>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70">
    <w:name w:val="E-mail Signature Char70"/>
    <w:basedOn w:val="DefaultParagraphFont"/>
    <w:uiPriority w:val="99"/>
    <w:semiHidden/>
    <w:rsid w:val="00013184"/>
    <w:rPr>
      <w:rFonts w:ascii="Tahoma" w:eastAsia="SimSun" w:hAnsi="Tahoma" w:cs="SimSun"/>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1">
    <w:name w:val="E-mail Signature Char7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2">
    <w:name w:val="E-mail Signature Char7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3">
    <w:name w:val="E-mail Signature Char7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4">
    <w:name w:val="E-mail Signature Char7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5">
    <w:name w:val="E-mail Signature Char7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6">
    <w:name w:val="E-mail Signature Char7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7">
    <w:name w:val="E-mail Signature Char7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8">
    <w:name w:val="E-mail Signature Char7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9">
    <w:name w:val="E-mail Signature Char7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1">
    <w:name w:val="E-mail Signature Char8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0">
    <w:name w:val="E-mail Signature Char8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2">
    <w:name w:val="E-mail Signature Char8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3">
    <w:name w:val="E-mail Signature Char8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4">
    <w:name w:val="E-mail Signature Char8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6">
    <w:name w:val="E-mail Signature Char8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5">
    <w:name w:val="E-mail Signature Char8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7">
    <w:name w:val="E-mail Signature Char8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8">
    <w:name w:val="E-mail Signature Char8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9">
    <w:name w:val="E-mail Signature Char8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0">
    <w:name w:val="E-mail Signature Char9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3">
    <w:name w:val="E-mail Signature Char9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2">
    <w:name w:val="E-mail Signature Char9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1">
    <w:name w:val="E-mail Signature Char9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5">
    <w:name w:val="E-mail Signature Char9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4">
    <w:name w:val="E-mail Signature Char9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6">
    <w:name w:val="E-mail Signature Char9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7">
    <w:name w:val="E-mail Signature Char9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8">
    <w:name w:val="E-mail Signature Char9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9">
    <w:name w:val="E-mail Signature Char9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9">
    <w:name w:val="E-mail Signature Char10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8">
    <w:name w:val="E-mail Signature Char10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7">
    <w:name w:val="E-mail Signature Char10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0">
    <w:name w:val="E-mail Signature Char10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1">
    <w:name w:val="E-mail Signature Char10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2">
    <w:name w:val="E-mail Signature Char10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3">
    <w:name w:val="E-mail Signature Char10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4">
    <w:name w:val="E-mail Signature Char10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5">
    <w:name w:val="E-mail Signature Char10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6">
    <w:name w:val="E-mail Signature Char10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numbering" w:customStyle="1" w:styleId="NoList1">
    <w:name w:val="No List1"/>
    <w:next w:val="NoList"/>
    <w:uiPriority w:val="99"/>
    <w:semiHidden/>
    <w:unhideWhenUsed/>
    <w:rsid w:val="00013184"/>
  </w:style>
  <w:style w:type="table" w:customStyle="1" w:styleId="LCTable1">
    <w:name w:val="LC Table1"/>
    <w:basedOn w:val="TableNormal"/>
    <w:uiPriority w:val="99"/>
    <w:rsid w:val="00013184"/>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table" w:customStyle="1" w:styleId="Table3Deffects11">
    <w:name w:val="Table 3D effects 11"/>
    <w:basedOn w:val="TableNormal"/>
    <w:next w:val="Table3Deffects1"/>
    <w:semiHidden/>
    <w:rsid w:val="00013184"/>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013184"/>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013184"/>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01318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01318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013184"/>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013184"/>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013184"/>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013184"/>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013184"/>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013184"/>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013184"/>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013184"/>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013184"/>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013184"/>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013184"/>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01318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01318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013184"/>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013184"/>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013184"/>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013184"/>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013184"/>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013184"/>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013184"/>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01318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01318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01318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013184"/>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01318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01318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013184"/>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013184"/>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01318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013184"/>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013184"/>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01318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013184"/>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013184"/>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013184"/>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CTableFinancial1">
    <w:name w:val="LC Table Financial1"/>
    <w:basedOn w:val="TableNormal"/>
    <w:uiPriority w:val="99"/>
    <w:rsid w:val="00013184"/>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numbering" w:customStyle="1" w:styleId="11111111">
    <w:name w:val="1 / 1.1 / 1.1.111"/>
    <w:basedOn w:val="NoList"/>
    <w:next w:val="111111"/>
    <w:semiHidden/>
    <w:rsid w:val="00013184"/>
  </w:style>
  <w:style w:type="numbering" w:customStyle="1" w:styleId="1ai11">
    <w:name w:val="1 / a / i11"/>
    <w:basedOn w:val="NoList"/>
    <w:next w:val="1ai"/>
    <w:semiHidden/>
    <w:rsid w:val="00013184"/>
  </w:style>
  <w:style w:type="numbering" w:customStyle="1" w:styleId="ArticleSection11">
    <w:name w:val="Article / Section11"/>
    <w:basedOn w:val="NoList"/>
    <w:next w:val="ArticleSection"/>
    <w:semiHidden/>
    <w:rsid w:val="00013184"/>
  </w:style>
  <w:style w:type="numbering" w:customStyle="1" w:styleId="Chapter111">
    <w:name w:val="Chapter111"/>
    <w:uiPriority w:val="99"/>
    <w:rsid w:val="00013184"/>
  </w:style>
  <w:style w:type="table" w:customStyle="1" w:styleId="GridTable1Light-Accent111">
    <w:name w:val="Grid Table 1 Light - Accent 111"/>
    <w:basedOn w:val="TableNormal"/>
    <w:uiPriority w:val="46"/>
    <w:rsid w:val="00013184"/>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Chapter121">
    <w:name w:val="Chapter121"/>
    <w:uiPriority w:val="99"/>
    <w:rsid w:val="00013184"/>
  </w:style>
  <w:style w:type="table" w:customStyle="1" w:styleId="LCReportTable1">
    <w:name w:val="LC Report Table1"/>
    <w:basedOn w:val="LCTableFinancial"/>
    <w:uiPriority w:val="99"/>
    <w:rsid w:val="00013184"/>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Futura Lt BT" w:hAnsi="Futura Lt BT"/>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UnresolvedMention4">
    <w:name w:val="Unresolved Mention4"/>
    <w:basedOn w:val="DefaultParagraphFont"/>
    <w:uiPriority w:val="99"/>
    <w:unhideWhenUsed/>
    <w:rsid w:val="00013184"/>
    <w:rPr>
      <w:color w:val="605E5C"/>
      <w:shd w:val="clear" w:color="auto" w:fill="E1DFDD"/>
    </w:rPr>
  </w:style>
  <w:style w:type="character" w:customStyle="1" w:styleId="Mention1">
    <w:name w:val="Mention1"/>
    <w:basedOn w:val="DefaultParagraphFont"/>
    <w:uiPriority w:val="99"/>
    <w:unhideWhenUsed/>
    <w:rsid w:val="00013184"/>
    <w:rPr>
      <w:color w:val="2B579A"/>
      <w:shd w:val="clear" w:color="auto" w:fill="E1DFDD"/>
    </w:rPr>
  </w:style>
  <w:style w:type="character" w:customStyle="1" w:styleId="E-mailSignatureChar110">
    <w:name w:val="E-mail Signature Char11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1">
    <w:name w:val="E-mail Signature Char11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2">
    <w:name w:val="E-mail Signature Char11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3">
    <w:name w:val="E-mail Signature Char11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4">
    <w:name w:val="E-mail Signature Char11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5">
    <w:name w:val="E-mail Signature Char11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7">
    <w:name w:val="E-mail Signature Char11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6">
    <w:name w:val="E-mail Signature Char11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8">
    <w:name w:val="E-mail Signature Char11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9">
    <w:name w:val="E-mail Signature Char11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0">
    <w:name w:val="E-mail Signature Char12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1">
    <w:name w:val="E-mail Signature Char12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2">
    <w:name w:val="E-mail Signature Char12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3">
    <w:name w:val="E-mail Signature Char12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4">
    <w:name w:val="E-mail Signature Char12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5">
    <w:name w:val="E-mail Signature Char12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6">
    <w:name w:val="E-mail Signature Char12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7">
    <w:name w:val="E-mail Signature Char12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8">
    <w:name w:val="E-mail Signature Char12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9">
    <w:name w:val="E-mail Signature Char12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0">
    <w:name w:val="E-mail Signature Char13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1">
    <w:name w:val="E-mail Signature Char13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5">
    <w:name w:val="E-mail Signature Char13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FootnoteReference1">
    <w:name w:val="Footnote Reference1"/>
    <w:basedOn w:val="DefaultParagraphFont"/>
    <w:rsid w:val="00013184"/>
    <w:rPr>
      <w:rFonts w:ascii="Metropolis Light" w:hAnsi="Metropolis Light"/>
      <w:color w:val="262626"/>
      <w:vertAlign w:val="superscript"/>
    </w:rPr>
  </w:style>
  <w:style w:type="character" w:customStyle="1" w:styleId="E-mailSignatureChar133">
    <w:name w:val="E-mail Signature Char13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2">
    <w:name w:val="E-mail Signature Char13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6">
    <w:name w:val="E-mail Signature Char13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4">
    <w:name w:val="E-mail Signature Char13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7">
    <w:name w:val="E-mail Signature Char13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8">
    <w:name w:val="E-mail Signature Char13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9">
    <w:name w:val="E-mail Signature Char13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0">
    <w:name w:val="E-mail Signature Char14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3">
    <w:name w:val="E-mail Signature Char14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1">
    <w:name w:val="E-mail Signature Char14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2">
    <w:name w:val="E-mail Signature Char14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table" w:customStyle="1" w:styleId="TableGrid0">
    <w:name w:val="TableGrid"/>
    <w:rsid w:val="00013184"/>
    <w:pPr>
      <w:widowControl/>
      <w:spacing w:after="0" w:line="240" w:lineRule="auto"/>
    </w:pPr>
    <w:tblPr>
      <w:tblCellMar>
        <w:top w:w="0" w:type="dxa"/>
        <w:left w:w="0" w:type="dxa"/>
        <w:bottom w:w="0" w:type="dxa"/>
        <w:right w:w="0" w:type="dxa"/>
      </w:tblCellMar>
    </w:tblPr>
  </w:style>
  <w:style w:type="character" w:customStyle="1" w:styleId="E-mailSignatureChar144">
    <w:name w:val="E-mail Signature Char14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5">
    <w:name w:val="E-mail Signature Char14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7">
    <w:name w:val="E-mail Signature Char14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6">
    <w:name w:val="E-mail Signature Char14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8">
    <w:name w:val="E-mail Signature Char14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1">
    <w:name w:val="E-mail Signature Char15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9">
    <w:name w:val="E-mail Signature Char14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0">
    <w:name w:val="E-mail Signature Char15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2">
    <w:name w:val="E-mail Signature Char15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4">
    <w:name w:val="E-mail Signature Char15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3">
    <w:name w:val="E-mail Signature Char15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9">
    <w:name w:val="E-mail Signature Char15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5">
    <w:name w:val="E-mail Signature Char15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6">
    <w:name w:val="E-mail Signature Char15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7">
    <w:name w:val="E-mail Signature Char15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8">
    <w:name w:val="E-mail Signature Char15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3">
    <w:name w:val="E-mail Signature Char16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1">
    <w:name w:val="E-mail Signature Char16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0">
    <w:name w:val="E-mail Signature Char16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2">
    <w:name w:val="E-mail Signature Char16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5">
    <w:name w:val="E-mail Signature Char16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4">
    <w:name w:val="E-mail Signature Char16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0">
    <w:name w:val="E-mail Signature Char17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paragraph" w:customStyle="1" w:styleId="subsection">
    <w:name w:val="subsection"/>
    <w:basedOn w:val="Normal"/>
    <w:rsid w:val="00013184"/>
    <w:pPr>
      <w:spacing w:before="100" w:beforeAutospacing="1" w:after="100" w:afterAutospacing="1"/>
    </w:pPr>
    <w:rPr>
      <w:rFonts w:ascii="Times New Roman" w:hAnsi="Times New Roman"/>
      <w:sz w:val="24"/>
    </w:rPr>
  </w:style>
  <w:style w:type="character" w:customStyle="1" w:styleId="E-mailSignatureChar167">
    <w:name w:val="E-mail Signature Char16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6">
    <w:name w:val="E-mail Signature Char16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8">
    <w:name w:val="E-mail Signature Char16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9">
    <w:name w:val="E-mail Signature Char16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1">
    <w:name w:val="E-mail Signature Char17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2">
    <w:name w:val="E-mail Signature Char17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3">
    <w:name w:val="E-mail Signature Char17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4">
    <w:name w:val="E-mail Signature Char17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4">
    <w:name w:val="E-mail Signature Char19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paragraph" w:customStyle="1" w:styleId="acthead5">
    <w:name w:val="acthead5"/>
    <w:basedOn w:val="Normal"/>
    <w:rsid w:val="00013184"/>
    <w:pPr>
      <w:spacing w:before="100" w:beforeAutospacing="1" w:after="100" w:afterAutospacing="1"/>
    </w:pPr>
    <w:rPr>
      <w:rFonts w:ascii="Times New Roman" w:hAnsi="Times New Roman"/>
      <w:sz w:val="24"/>
    </w:rPr>
  </w:style>
  <w:style w:type="character" w:customStyle="1" w:styleId="charsectno">
    <w:name w:val="charsectno"/>
    <w:basedOn w:val="DefaultParagraphFont"/>
    <w:rsid w:val="00013184"/>
  </w:style>
  <w:style w:type="character" w:customStyle="1" w:styleId="E-mailSignatureChar188">
    <w:name w:val="E-mail Signature Char18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5">
    <w:name w:val="E-mail Signature Char17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6">
    <w:name w:val="E-mail Signature Char17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7">
    <w:name w:val="E-mail Signature Char17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8">
    <w:name w:val="E-mail Signature Char17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9">
    <w:name w:val="E-mail Signature Char17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0">
    <w:name w:val="E-mail Signature Char18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1">
    <w:name w:val="E-mail Signature Char18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2">
    <w:name w:val="E-mail Signature Char18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3">
    <w:name w:val="E-mail Signature Char18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4">
    <w:name w:val="E-mail Signature Char18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5">
    <w:name w:val="E-mail Signature Char18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7">
    <w:name w:val="E-mail Signature Char18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6">
    <w:name w:val="E-mail Signature Char18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0">
    <w:name w:val="E-mail Signature Char19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9">
    <w:name w:val="E-mail Signature Char18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findhit">
    <w:name w:val="findhit"/>
    <w:basedOn w:val="DefaultParagraphFont"/>
    <w:rsid w:val="00013184"/>
  </w:style>
  <w:style w:type="character" w:customStyle="1" w:styleId="E-mailSignatureChar191">
    <w:name w:val="E-mail Signature Char19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2">
    <w:name w:val="E-mail Signature Char19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3">
    <w:name w:val="E-mail Signature Char19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5">
    <w:name w:val="E-mail Signature Char19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6">
    <w:name w:val="E-mail Signature Char19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7">
    <w:name w:val="E-mail Signature Char19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8">
    <w:name w:val="E-mail Signature Char19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9">
    <w:name w:val="E-mail Signature Char19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0">
    <w:name w:val="E-mail Signature Char20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1">
    <w:name w:val="E-mail Signature Char20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3">
    <w:name w:val="E-mail Signature Char20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2">
    <w:name w:val="E-mail Signature Char20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4">
    <w:name w:val="E-mail Signature Char20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6">
    <w:name w:val="E-mail Signature Char20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5">
    <w:name w:val="E-mail Signature Char20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7">
    <w:name w:val="E-mail Signature Char20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8">
    <w:name w:val="E-mail Signature Char20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9">
    <w:name w:val="E-mail Signature Char20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4">
    <w:name w:val="E-mail Signature Char21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0">
    <w:name w:val="E-mail Signature Char21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2">
    <w:name w:val="E-mail Signature Char21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1">
    <w:name w:val="E-mail Signature Char21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3">
    <w:name w:val="E-mail Signature Char21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7">
    <w:name w:val="E-mail Signature Char21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5">
    <w:name w:val="E-mail Signature Char21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6">
    <w:name w:val="E-mail Signature Char21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8">
    <w:name w:val="E-mail Signature Char21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9">
    <w:name w:val="E-mail Signature Char21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0">
    <w:name w:val="E-mail Signature Char22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1">
    <w:name w:val="E-mail Signature Char22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2">
    <w:name w:val="E-mail Signature Char22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8">
    <w:name w:val="E-mail Signature Char22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3">
    <w:name w:val="E-mail Signature Char22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4">
    <w:name w:val="E-mail Signature Char22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5">
    <w:name w:val="E-mail Signature Char22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6">
    <w:name w:val="E-mail Signature Char22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7">
    <w:name w:val="E-mail Signature Char22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3">
    <w:name w:val="E-mail Signature Char23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9">
    <w:name w:val="E-mail Signature Char22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g">
    <w:name w:val="g"/>
    <w:basedOn w:val="DefaultParagraphFont"/>
    <w:rsid w:val="00013184"/>
  </w:style>
  <w:style w:type="character" w:customStyle="1" w:styleId="E-mailSignatureChar230">
    <w:name w:val="E-mail Signature Char23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1">
    <w:name w:val="E-mail Signature Char23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2">
    <w:name w:val="E-mail Signature Char23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5">
    <w:name w:val="E-mail Signature Char23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4">
    <w:name w:val="E-mail Signature Char23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6">
    <w:name w:val="E-mail Signature Char23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7">
    <w:name w:val="E-mail Signature Char23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0">
    <w:name w:val="E-mail Signature Char24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8">
    <w:name w:val="E-mail Signature Char23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9">
    <w:name w:val="E-mail Signature Char23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1">
    <w:name w:val="E-mail Signature Char24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3">
    <w:name w:val="E-mail Signature Char24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2">
    <w:name w:val="E-mail Signature Char24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9">
    <w:name w:val="E-mail Signature Char24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4">
    <w:name w:val="E-mail Signature Char24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6">
    <w:name w:val="E-mail Signature Char24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5">
    <w:name w:val="E-mail Signature Char24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7">
    <w:name w:val="E-mail Signature Char24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8">
    <w:name w:val="E-mail Signature Char24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0">
    <w:name w:val="E-mail Signature Char25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1">
    <w:name w:val="E-mail Signature Char25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3">
    <w:name w:val="E-mail Signature Char25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2">
    <w:name w:val="E-mail Signature Char25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4">
    <w:name w:val="E-mail Signature Char25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5">
    <w:name w:val="E-mail Signature Char25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6">
    <w:name w:val="E-mail Signature Char25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7">
    <w:name w:val="E-mail Signature Char257"/>
    <w:basedOn w:val="DefaultParagraphFont"/>
    <w:uiPriority w:val="99"/>
    <w:semiHidden/>
    <w:rsid w:val="00013184"/>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8">
    <w:name w:val="E-mail Signature Char258"/>
    <w:basedOn w:val="DefaultParagraphFont"/>
    <w:uiPriority w:val="99"/>
    <w:semiHidden/>
    <w:rsid w:val="00013184"/>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9">
    <w:name w:val="E-mail Signature Char259"/>
    <w:basedOn w:val="DefaultParagraphFont"/>
    <w:uiPriority w:val="99"/>
    <w:semiHidden/>
    <w:rsid w:val="00013184"/>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0">
    <w:name w:val="E-mail Signature Char260"/>
    <w:basedOn w:val="DefaultParagraphFont"/>
    <w:uiPriority w:val="99"/>
    <w:semiHidden/>
    <w:rsid w:val="00013184"/>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1">
    <w:name w:val="E-mail Signature Char261"/>
    <w:basedOn w:val="DefaultParagraphFont"/>
    <w:uiPriority w:val="99"/>
    <w:semiHidden/>
    <w:rsid w:val="00013184"/>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2">
    <w:name w:val="E-mail Signature Char262"/>
    <w:basedOn w:val="DefaultParagraphFont"/>
    <w:uiPriority w:val="99"/>
    <w:semiHidden/>
    <w:rsid w:val="00013184"/>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3">
    <w:name w:val="E-mail Signature Char263"/>
    <w:basedOn w:val="DefaultParagraphFont"/>
    <w:uiPriority w:val="99"/>
    <w:semiHidden/>
    <w:rsid w:val="00013184"/>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4">
    <w:name w:val="E-mail Signature Char264"/>
    <w:basedOn w:val="DefaultParagraphFont"/>
    <w:uiPriority w:val="99"/>
    <w:semiHidden/>
    <w:rsid w:val="00013184"/>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6">
    <w:name w:val="E-mail Signature Char26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paragraph" w:customStyle="1" w:styleId="mainparagraph">
    <w:name w:val="mainparagraph"/>
    <w:basedOn w:val="Normal"/>
    <w:rsid w:val="00013184"/>
    <w:pPr>
      <w:spacing w:before="100" w:beforeAutospacing="1" w:after="100" w:afterAutospacing="1"/>
    </w:pPr>
    <w:rPr>
      <w:rFonts w:ascii="Times New Roman" w:hAnsi="Times New Roman"/>
      <w:sz w:val="24"/>
    </w:rPr>
  </w:style>
  <w:style w:type="character" w:customStyle="1" w:styleId="E-mailSignatureChar265">
    <w:name w:val="E-mail Signature Char26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7">
    <w:name w:val="E-mail Signature Char26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9">
    <w:name w:val="E-mail Signature Char26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8">
    <w:name w:val="E-mail Signature Char26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0">
    <w:name w:val="E-mail Signature Char27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1">
    <w:name w:val="E-mail Signature Char27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2">
    <w:name w:val="E-mail Signature Char27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3">
    <w:name w:val="E-mail Signature Char27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4">
    <w:name w:val="E-mail Signature Char274"/>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5">
    <w:name w:val="E-mail Signature Char275"/>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6">
    <w:name w:val="E-mail Signature Char276"/>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8">
    <w:name w:val="E-mail Signature Char278"/>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7">
    <w:name w:val="E-mail Signature Char277"/>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9">
    <w:name w:val="E-mail Signature Char279"/>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
    <w:name w:val="Email Signature Char"/>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paragraph" w:customStyle="1" w:styleId="Proposal2">
    <w:name w:val="Proposal 2"/>
    <w:basedOn w:val="BodyText"/>
    <w:link w:val="Proposal2Char"/>
    <w:uiPriority w:val="8"/>
    <w:qFormat/>
    <w:rsid w:val="00013184"/>
    <w:pPr>
      <w:numPr>
        <w:ilvl w:val="0"/>
        <w:numId w:val="0"/>
      </w:numPr>
      <w:ind w:left="1004" w:right="284"/>
    </w:pPr>
    <w:rPr>
      <w:rFonts w:eastAsia="Metropolis Light"/>
    </w:rPr>
  </w:style>
  <w:style w:type="character" w:customStyle="1" w:styleId="Proposal2Char">
    <w:name w:val="Proposal 2 Char"/>
    <w:basedOn w:val="BodyTextChar"/>
    <w:link w:val="Proposal2"/>
    <w:uiPriority w:val="8"/>
    <w:rsid w:val="008D1F68"/>
    <w:rPr>
      <w:rFonts w:ascii="Metropolis Light" w:eastAsia="Metropolis Light" w:hAnsi="Metropolis Light" w:cs="Times New Roman"/>
      <w:color w:val="000000" w:themeColor="text1"/>
      <w:sz w:val="20"/>
      <w:szCs w:val="24"/>
      <w:lang w:val="en-NZ" w:eastAsia="en-AU"/>
    </w:rPr>
  </w:style>
  <w:style w:type="paragraph" w:customStyle="1" w:styleId="Proposal20">
    <w:name w:val="Proposal2"/>
    <w:basedOn w:val="Proposal"/>
    <w:link w:val="Proposal2Char0"/>
    <w:uiPriority w:val="8"/>
    <w:qFormat/>
    <w:rsid w:val="00013184"/>
    <w:pPr>
      <w:spacing w:before="0" w:line="260" w:lineRule="atLeast"/>
    </w:pPr>
  </w:style>
  <w:style w:type="character" w:customStyle="1" w:styleId="Proposal2Char0">
    <w:name w:val="Proposal2 Char"/>
    <w:basedOn w:val="ProposalChar"/>
    <w:link w:val="Proposal20"/>
    <w:uiPriority w:val="8"/>
    <w:rsid w:val="008D1F68"/>
    <w:rPr>
      <w:rFonts w:ascii="Metropolis Light" w:eastAsia="Metropolis Light" w:hAnsi="Metropolis Light" w:cs="Metropolis Light"/>
      <w:color w:val="0D0D0D" w:themeColor="text1" w:themeTint="F2"/>
      <w:sz w:val="20"/>
      <w:szCs w:val="19"/>
      <w:lang w:val="en-NZ" w:eastAsia="en-AU"/>
    </w:rPr>
  </w:style>
  <w:style w:type="character" w:customStyle="1" w:styleId="publication-italic">
    <w:name w:val="publication-italic"/>
    <w:basedOn w:val="DefaultParagraphFont"/>
    <w:rsid w:val="00013184"/>
  </w:style>
  <w:style w:type="character" w:customStyle="1" w:styleId="cf01">
    <w:name w:val="cf01"/>
    <w:basedOn w:val="DefaultParagraphFont"/>
    <w:rsid w:val="00013184"/>
    <w:rPr>
      <w:rFonts w:ascii="Segoe UI" w:hAnsi="Segoe UI" w:cs="Segoe UI" w:hint="default"/>
      <w:sz w:val="18"/>
      <w:szCs w:val="18"/>
    </w:rPr>
  </w:style>
  <w:style w:type="character" w:customStyle="1" w:styleId="ssit">
    <w:name w:val="ss_it"/>
    <w:basedOn w:val="DefaultParagraphFont"/>
    <w:rsid w:val="00013184"/>
  </w:style>
  <w:style w:type="character" w:customStyle="1" w:styleId="given-names">
    <w:name w:val="given-names"/>
    <w:basedOn w:val="DefaultParagraphFont"/>
    <w:rsid w:val="00013184"/>
  </w:style>
  <w:style w:type="character" w:customStyle="1" w:styleId="surname">
    <w:name w:val="surname"/>
    <w:basedOn w:val="DefaultParagraphFont"/>
    <w:rsid w:val="00013184"/>
  </w:style>
  <w:style w:type="character" w:customStyle="1" w:styleId="E-mailSignatureChar280">
    <w:name w:val="E-mail Signature Char28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1">
    <w:name w:val="E-mail Signature Char281"/>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2">
    <w:name w:val="E-mail Signature Char282"/>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3">
    <w:name w:val="E-mail Signature Char283"/>
    <w:basedOn w:val="DefaultParagraphFont"/>
    <w:uiPriority w:val="99"/>
    <w:semiHidden/>
    <w:rsid w:val="00013184"/>
    <w:rPr>
      <w:rFonts w:ascii="Metropolis Light" w:eastAsia="Times New Roman" w:hAnsi="Metropolis Light" w:cs="Times New Roman"/>
      <w:color w:val="0D0D0D" w:themeColor="text1" w:themeTint="F2"/>
      <w:sz w:val="20"/>
      <w:szCs w:val="24"/>
      <w:lang w:val="en-NZ" w:eastAsia="en-AU"/>
    </w:rPr>
  </w:style>
  <w:style w:type="paragraph" w:customStyle="1" w:styleId="BoxTitle">
    <w:name w:val="Box Title"/>
    <w:basedOn w:val="Normal"/>
    <w:link w:val="BoxTitleChar"/>
    <w:uiPriority w:val="8"/>
    <w:qFormat/>
    <w:rsid w:val="00013184"/>
    <w:pPr>
      <w:spacing w:before="100" w:beforeAutospacing="1" w:after="0" w:line="240" w:lineRule="auto"/>
    </w:pPr>
    <w:rPr>
      <w:rFonts w:ascii="Metropolis" w:eastAsia="Metropolis" w:hAnsi="Metropolis" w:cs="Metropolis"/>
      <w:b/>
      <w:color w:val="FFFFFF"/>
      <w:sz w:val="19"/>
      <w:szCs w:val="19"/>
    </w:rPr>
  </w:style>
  <w:style w:type="paragraph" w:customStyle="1" w:styleId="QuestionTitle">
    <w:name w:val="Question Title"/>
    <w:basedOn w:val="BoxTitle"/>
    <w:link w:val="QuestionTitleChar"/>
    <w:uiPriority w:val="8"/>
    <w:qFormat/>
    <w:rsid w:val="00013184"/>
  </w:style>
  <w:style w:type="character" w:customStyle="1" w:styleId="BoxTitleChar">
    <w:name w:val="Box Title Char"/>
    <w:basedOn w:val="DefaultParagraphFont"/>
    <w:link w:val="BoxTitle"/>
    <w:uiPriority w:val="8"/>
    <w:rsid w:val="008D1F68"/>
    <w:rPr>
      <w:rFonts w:ascii="Metropolis" w:eastAsia="Metropolis" w:hAnsi="Metropolis" w:cs="Metropolis"/>
      <w:b/>
      <w:color w:val="FFFFFF"/>
      <w:sz w:val="19"/>
      <w:szCs w:val="19"/>
      <w:lang w:val="en-NZ" w:eastAsia="en-AU"/>
    </w:rPr>
  </w:style>
  <w:style w:type="character" w:customStyle="1" w:styleId="QuestionTitleChar">
    <w:name w:val="Question Title Char"/>
    <w:basedOn w:val="BoxTitleChar"/>
    <w:link w:val="QuestionTitle"/>
    <w:uiPriority w:val="8"/>
    <w:rsid w:val="008D1F68"/>
    <w:rPr>
      <w:rFonts w:ascii="Metropolis" w:eastAsia="Metropolis" w:hAnsi="Metropolis" w:cs="Metropolis"/>
      <w:b/>
      <w:color w:val="FFFFFF"/>
      <w:sz w:val="19"/>
      <w:szCs w:val="19"/>
      <w:lang w:val="en-NZ" w:eastAsia="en-AU"/>
    </w:rPr>
  </w:style>
  <w:style w:type="paragraph" w:customStyle="1" w:styleId="up1tab">
    <w:name w:val="up1tab"/>
    <w:basedOn w:val="Normal"/>
    <w:rsid w:val="003D6A25"/>
    <w:pPr>
      <w:spacing w:before="100" w:beforeAutospacing="1" w:after="100" w:afterAutospacing="1"/>
    </w:pPr>
    <w:rPr>
      <w:rFonts w:ascii="Times New Roman" w:hAnsi="Times New Roman"/>
      <w:sz w:val="24"/>
    </w:rPr>
  </w:style>
  <w:style w:type="paragraph" w:customStyle="1" w:styleId="ind1c">
    <w:name w:val="ind1c"/>
    <w:basedOn w:val="Normal"/>
    <w:rsid w:val="003D6A25"/>
    <w:pPr>
      <w:spacing w:before="100" w:beforeAutospacing="1" w:after="100" w:afterAutospacing="1"/>
    </w:pPr>
    <w:rPr>
      <w:rFonts w:ascii="Times New Roman" w:hAnsi="Times New Roman"/>
      <w:sz w:val="24"/>
    </w:rPr>
  </w:style>
  <w:style w:type="character" w:customStyle="1" w:styleId="EmailSignatureChar13">
    <w:name w:val="Email Signature Char13"/>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2">
    <w:name w:val="Email Signature Char12"/>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284">
    <w:name w:val="E-mail Signature Char284"/>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1">
    <w:name w:val="Email Signature Char11"/>
    <w:basedOn w:val="DefaultParagraphFont"/>
    <w:uiPriority w:val="99"/>
    <w:semiHidden/>
    <w:rsid w:val="00D36A28"/>
    <w:rPr>
      <w:rFonts w:ascii="Metropolis Light" w:hAnsi="Metropolis Light"/>
      <w:color w:val="0D0D0D" w:themeColor="text1" w:themeTint="F2"/>
      <w:sz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10618412">
      <w:bodyDiv w:val="1"/>
      <w:marLeft w:val="0"/>
      <w:marRight w:val="0"/>
      <w:marTop w:val="0"/>
      <w:marBottom w:val="0"/>
      <w:divBdr>
        <w:top w:val="none" w:sz="0" w:space="0" w:color="auto"/>
        <w:left w:val="none" w:sz="0" w:space="0" w:color="auto"/>
        <w:bottom w:val="none" w:sz="0" w:space="0" w:color="auto"/>
        <w:right w:val="none" w:sz="0" w:space="0" w:color="auto"/>
      </w:divBdr>
    </w:div>
    <w:div w:id="10886651">
      <w:bodyDiv w:val="1"/>
      <w:marLeft w:val="0"/>
      <w:marRight w:val="0"/>
      <w:marTop w:val="0"/>
      <w:marBottom w:val="0"/>
      <w:divBdr>
        <w:top w:val="none" w:sz="0" w:space="0" w:color="auto"/>
        <w:left w:val="none" w:sz="0" w:space="0" w:color="auto"/>
        <w:bottom w:val="none" w:sz="0" w:space="0" w:color="auto"/>
        <w:right w:val="none" w:sz="0" w:space="0" w:color="auto"/>
      </w:divBdr>
    </w:div>
    <w:div w:id="11150361">
      <w:bodyDiv w:val="1"/>
      <w:marLeft w:val="0"/>
      <w:marRight w:val="0"/>
      <w:marTop w:val="0"/>
      <w:marBottom w:val="0"/>
      <w:divBdr>
        <w:top w:val="none" w:sz="0" w:space="0" w:color="auto"/>
        <w:left w:val="none" w:sz="0" w:space="0" w:color="auto"/>
        <w:bottom w:val="none" w:sz="0" w:space="0" w:color="auto"/>
        <w:right w:val="none" w:sz="0" w:space="0" w:color="auto"/>
      </w:divBdr>
    </w:div>
    <w:div w:id="32847865">
      <w:bodyDiv w:val="1"/>
      <w:marLeft w:val="0"/>
      <w:marRight w:val="0"/>
      <w:marTop w:val="0"/>
      <w:marBottom w:val="0"/>
      <w:divBdr>
        <w:top w:val="none" w:sz="0" w:space="0" w:color="auto"/>
        <w:left w:val="none" w:sz="0" w:space="0" w:color="auto"/>
        <w:bottom w:val="none" w:sz="0" w:space="0" w:color="auto"/>
        <w:right w:val="none" w:sz="0" w:space="0" w:color="auto"/>
      </w:divBdr>
    </w:div>
    <w:div w:id="42406339">
      <w:bodyDiv w:val="1"/>
      <w:marLeft w:val="0"/>
      <w:marRight w:val="0"/>
      <w:marTop w:val="0"/>
      <w:marBottom w:val="0"/>
      <w:divBdr>
        <w:top w:val="none" w:sz="0" w:space="0" w:color="auto"/>
        <w:left w:val="none" w:sz="0" w:space="0" w:color="auto"/>
        <w:bottom w:val="none" w:sz="0" w:space="0" w:color="auto"/>
        <w:right w:val="none" w:sz="0" w:space="0" w:color="auto"/>
      </w:divBdr>
      <w:divsChild>
        <w:div w:id="1085616969">
          <w:marLeft w:val="0"/>
          <w:marRight w:val="0"/>
          <w:marTop w:val="83"/>
          <w:marBottom w:val="0"/>
          <w:divBdr>
            <w:top w:val="none" w:sz="0" w:space="0" w:color="auto"/>
            <w:left w:val="none" w:sz="0" w:space="0" w:color="auto"/>
            <w:bottom w:val="none" w:sz="0" w:space="0" w:color="auto"/>
            <w:right w:val="none" w:sz="0" w:space="0" w:color="auto"/>
          </w:divBdr>
          <w:divsChild>
            <w:div w:id="1392266764">
              <w:marLeft w:val="0"/>
              <w:marRight w:val="0"/>
              <w:marTop w:val="83"/>
              <w:marBottom w:val="0"/>
              <w:divBdr>
                <w:top w:val="none" w:sz="0" w:space="0" w:color="auto"/>
                <w:left w:val="none" w:sz="0" w:space="0" w:color="auto"/>
                <w:bottom w:val="none" w:sz="0" w:space="0" w:color="auto"/>
                <w:right w:val="none" w:sz="0" w:space="0" w:color="auto"/>
              </w:divBdr>
            </w:div>
            <w:div w:id="18210720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66003229">
      <w:bodyDiv w:val="1"/>
      <w:marLeft w:val="0"/>
      <w:marRight w:val="0"/>
      <w:marTop w:val="0"/>
      <w:marBottom w:val="0"/>
      <w:divBdr>
        <w:top w:val="none" w:sz="0" w:space="0" w:color="auto"/>
        <w:left w:val="none" w:sz="0" w:space="0" w:color="auto"/>
        <w:bottom w:val="none" w:sz="0" w:space="0" w:color="auto"/>
        <w:right w:val="none" w:sz="0" w:space="0" w:color="auto"/>
      </w:divBdr>
    </w:div>
    <w:div w:id="73472731">
      <w:bodyDiv w:val="1"/>
      <w:marLeft w:val="0"/>
      <w:marRight w:val="0"/>
      <w:marTop w:val="0"/>
      <w:marBottom w:val="0"/>
      <w:divBdr>
        <w:top w:val="none" w:sz="0" w:space="0" w:color="auto"/>
        <w:left w:val="none" w:sz="0" w:space="0" w:color="auto"/>
        <w:bottom w:val="none" w:sz="0" w:space="0" w:color="auto"/>
        <w:right w:val="none" w:sz="0" w:space="0" w:color="auto"/>
      </w:divBdr>
    </w:div>
    <w:div w:id="96483919">
      <w:bodyDiv w:val="1"/>
      <w:marLeft w:val="0"/>
      <w:marRight w:val="0"/>
      <w:marTop w:val="0"/>
      <w:marBottom w:val="0"/>
      <w:divBdr>
        <w:top w:val="none" w:sz="0" w:space="0" w:color="auto"/>
        <w:left w:val="none" w:sz="0" w:space="0" w:color="auto"/>
        <w:bottom w:val="none" w:sz="0" w:space="0" w:color="auto"/>
        <w:right w:val="none" w:sz="0" w:space="0" w:color="auto"/>
      </w:divBdr>
      <w:divsChild>
        <w:div w:id="1147476900">
          <w:marLeft w:val="0"/>
          <w:marRight w:val="0"/>
          <w:marTop w:val="0"/>
          <w:marBottom w:val="0"/>
          <w:divBdr>
            <w:top w:val="none" w:sz="0" w:space="0" w:color="auto"/>
            <w:left w:val="none" w:sz="0" w:space="0" w:color="auto"/>
            <w:bottom w:val="none" w:sz="0" w:space="0" w:color="auto"/>
            <w:right w:val="none" w:sz="0" w:space="0" w:color="auto"/>
          </w:divBdr>
          <w:divsChild>
            <w:div w:id="1063716439">
              <w:marLeft w:val="0"/>
              <w:marRight w:val="0"/>
              <w:marTop w:val="0"/>
              <w:marBottom w:val="0"/>
              <w:divBdr>
                <w:top w:val="none" w:sz="0" w:space="0" w:color="auto"/>
                <w:left w:val="none" w:sz="0" w:space="0" w:color="auto"/>
                <w:bottom w:val="none" w:sz="0" w:space="0" w:color="auto"/>
                <w:right w:val="none" w:sz="0" w:space="0" w:color="auto"/>
              </w:divBdr>
              <w:divsChild>
                <w:div w:id="369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8233">
      <w:bodyDiv w:val="1"/>
      <w:marLeft w:val="0"/>
      <w:marRight w:val="0"/>
      <w:marTop w:val="0"/>
      <w:marBottom w:val="0"/>
      <w:divBdr>
        <w:top w:val="none" w:sz="0" w:space="0" w:color="auto"/>
        <w:left w:val="none" w:sz="0" w:space="0" w:color="auto"/>
        <w:bottom w:val="none" w:sz="0" w:space="0" w:color="auto"/>
        <w:right w:val="none" w:sz="0" w:space="0" w:color="auto"/>
      </w:divBdr>
    </w:div>
    <w:div w:id="105932311">
      <w:bodyDiv w:val="1"/>
      <w:marLeft w:val="0"/>
      <w:marRight w:val="0"/>
      <w:marTop w:val="0"/>
      <w:marBottom w:val="0"/>
      <w:divBdr>
        <w:top w:val="none" w:sz="0" w:space="0" w:color="auto"/>
        <w:left w:val="none" w:sz="0" w:space="0" w:color="auto"/>
        <w:bottom w:val="none" w:sz="0" w:space="0" w:color="auto"/>
        <w:right w:val="none" w:sz="0" w:space="0" w:color="auto"/>
      </w:divBdr>
    </w:div>
    <w:div w:id="125052739">
      <w:bodyDiv w:val="1"/>
      <w:marLeft w:val="0"/>
      <w:marRight w:val="0"/>
      <w:marTop w:val="0"/>
      <w:marBottom w:val="0"/>
      <w:divBdr>
        <w:top w:val="none" w:sz="0" w:space="0" w:color="auto"/>
        <w:left w:val="none" w:sz="0" w:space="0" w:color="auto"/>
        <w:bottom w:val="none" w:sz="0" w:space="0" w:color="auto"/>
        <w:right w:val="none" w:sz="0" w:space="0" w:color="auto"/>
      </w:divBdr>
    </w:div>
    <w:div w:id="133180384">
      <w:bodyDiv w:val="1"/>
      <w:marLeft w:val="0"/>
      <w:marRight w:val="0"/>
      <w:marTop w:val="0"/>
      <w:marBottom w:val="0"/>
      <w:divBdr>
        <w:top w:val="none" w:sz="0" w:space="0" w:color="auto"/>
        <w:left w:val="none" w:sz="0" w:space="0" w:color="auto"/>
        <w:bottom w:val="none" w:sz="0" w:space="0" w:color="auto"/>
        <w:right w:val="none" w:sz="0" w:space="0" w:color="auto"/>
      </w:divBdr>
    </w:div>
    <w:div w:id="143086192">
      <w:bodyDiv w:val="1"/>
      <w:marLeft w:val="0"/>
      <w:marRight w:val="0"/>
      <w:marTop w:val="0"/>
      <w:marBottom w:val="0"/>
      <w:divBdr>
        <w:top w:val="none" w:sz="0" w:space="0" w:color="auto"/>
        <w:left w:val="none" w:sz="0" w:space="0" w:color="auto"/>
        <w:bottom w:val="none" w:sz="0" w:space="0" w:color="auto"/>
        <w:right w:val="none" w:sz="0" w:space="0" w:color="auto"/>
      </w:divBdr>
    </w:div>
    <w:div w:id="158732794">
      <w:bodyDiv w:val="1"/>
      <w:marLeft w:val="0"/>
      <w:marRight w:val="0"/>
      <w:marTop w:val="0"/>
      <w:marBottom w:val="0"/>
      <w:divBdr>
        <w:top w:val="none" w:sz="0" w:space="0" w:color="auto"/>
        <w:left w:val="none" w:sz="0" w:space="0" w:color="auto"/>
        <w:bottom w:val="none" w:sz="0" w:space="0" w:color="auto"/>
        <w:right w:val="none" w:sz="0" w:space="0" w:color="auto"/>
      </w:divBdr>
    </w:div>
    <w:div w:id="164246888">
      <w:bodyDiv w:val="1"/>
      <w:marLeft w:val="0"/>
      <w:marRight w:val="0"/>
      <w:marTop w:val="0"/>
      <w:marBottom w:val="0"/>
      <w:divBdr>
        <w:top w:val="none" w:sz="0" w:space="0" w:color="auto"/>
        <w:left w:val="none" w:sz="0" w:space="0" w:color="auto"/>
        <w:bottom w:val="none" w:sz="0" w:space="0" w:color="auto"/>
        <w:right w:val="none" w:sz="0" w:space="0" w:color="auto"/>
      </w:divBdr>
    </w:div>
    <w:div w:id="181089160">
      <w:bodyDiv w:val="1"/>
      <w:marLeft w:val="0"/>
      <w:marRight w:val="0"/>
      <w:marTop w:val="0"/>
      <w:marBottom w:val="0"/>
      <w:divBdr>
        <w:top w:val="none" w:sz="0" w:space="0" w:color="auto"/>
        <w:left w:val="none" w:sz="0" w:space="0" w:color="auto"/>
        <w:bottom w:val="none" w:sz="0" w:space="0" w:color="auto"/>
        <w:right w:val="none" w:sz="0" w:space="0" w:color="auto"/>
      </w:divBdr>
    </w:div>
    <w:div w:id="187454080">
      <w:bodyDiv w:val="1"/>
      <w:marLeft w:val="0"/>
      <w:marRight w:val="0"/>
      <w:marTop w:val="0"/>
      <w:marBottom w:val="0"/>
      <w:divBdr>
        <w:top w:val="none" w:sz="0" w:space="0" w:color="auto"/>
        <w:left w:val="none" w:sz="0" w:space="0" w:color="auto"/>
        <w:bottom w:val="none" w:sz="0" w:space="0" w:color="auto"/>
        <w:right w:val="none" w:sz="0" w:space="0" w:color="auto"/>
      </w:divBdr>
      <w:divsChild>
        <w:div w:id="1711954020">
          <w:marLeft w:val="0"/>
          <w:marRight w:val="0"/>
          <w:marTop w:val="83"/>
          <w:marBottom w:val="0"/>
          <w:divBdr>
            <w:top w:val="none" w:sz="0" w:space="0" w:color="auto"/>
            <w:left w:val="none" w:sz="0" w:space="0" w:color="auto"/>
            <w:bottom w:val="none" w:sz="0" w:space="0" w:color="auto"/>
            <w:right w:val="none" w:sz="0" w:space="0" w:color="auto"/>
          </w:divBdr>
          <w:divsChild>
            <w:div w:id="240914330">
              <w:marLeft w:val="0"/>
              <w:marRight w:val="0"/>
              <w:marTop w:val="83"/>
              <w:marBottom w:val="0"/>
              <w:divBdr>
                <w:top w:val="none" w:sz="0" w:space="0" w:color="auto"/>
                <w:left w:val="none" w:sz="0" w:space="0" w:color="auto"/>
                <w:bottom w:val="none" w:sz="0" w:space="0" w:color="auto"/>
                <w:right w:val="none" w:sz="0" w:space="0" w:color="auto"/>
              </w:divBdr>
            </w:div>
            <w:div w:id="6144830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98318123">
      <w:bodyDiv w:val="1"/>
      <w:marLeft w:val="0"/>
      <w:marRight w:val="0"/>
      <w:marTop w:val="0"/>
      <w:marBottom w:val="0"/>
      <w:divBdr>
        <w:top w:val="none" w:sz="0" w:space="0" w:color="auto"/>
        <w:left w:val="none" w:sz="0" w:space="0" w:color="auto"/>
        <w:bottom w:val="none" w:sz="0" w:space="0" w:color="auto"/>
        <w:right w:val="none" w:sz="0" w:space="0" w:color="auto"/>
      </w:divBdr>
    </w:div>
    <w:div w:id="207570177">
      <w:bodyDiv w:val="1"/>
      <w:marLeft w:val="0"/>
      <w:marRight w:val="0"/>
      <w:marTop w:val="0"/>
      <w:marBottom w:val="0"/>
      <w:divBdr>
        <w:top w:val="none" w:sz="0" w:space="0" w:color="auto"/>
        <w:left w:val="none" w:sz="0" w:space="0" w:color="auto"/>
        <w:bottom w:val="none" w:sz="0" w:space="0" w:color="auto"/>
        <w:right w:val="none" w:sz="0" w:space="0" w:color="auto"/>
      </w:divBdr>
    </w:div>
    <w:div w:id="216400345">
      <w:bodyDiv w:val="1"/>
      <w:marLeft w:val="0"/>
      <w:marRight w:val="0"/>
      <w:marTop w:val="0"/>
      <w:marBottom w:val="0"/>
      <w:divBdr>
        <w:top w:val="none" w:sz="0" w:space="0" w:color="auto"/>
        <w:left w:val="none" w:sz="0" w:space="0" w:color="auto"/>
        <w:bottom w:val="none" w:sz="0" w:space="0" w:color="auto"/>
        <w:right w:val="none" w:sz="0" w:space="0" w:color="auto"/>
      </w:divBdr>
    </w:div>
    <w:div w:id="217084680">
      <w:bodyDiv w:val="1"/>
      <w:marLeft w:val="0"/>
      <w:marRight w:val="0"/>
      <w:marTop w:val="0"/>
      <w:marBottom w:val="0"/>
      <w:divBdr>
        <w:top w:val="none" w:sz="0" w:space="0" w:color="auto"/>
        <w:left w:val="none" w:sz="0" w:space="0" w:color="auto"/>
        <w:bottom w:val="none" w:sz="0" w:space="0" w:color="auto"/>
        <w:right w:val="none" w:sz="0" w:space="0" w:color="auto"/>
      </w:divBdr>
    </w:div>
    <w:div w:id="231085999">
      <w:bodyDiv w:val="1"/>
      <w:marLeft w:val="0"/>
      <w:marRight w:val="0"/>
      <w:marTop w:val="0"/>
      <w:marBottom w:val="0"/>
      <w:divBdr>
        <w:top w:val="none" w:sz="0" w:space="0" w:color="auto"/>
        <w:left w:val="none" w:sz="0" w:space="0" w:color="auto"/>
        <w:bottom w:val="none" w:sz="0" w:space="0" w:color="auto"/>
        <w:right w:val="none" w:sz="0" w:space="0" w:color="auto"/>
      </w:divBdr>
    </w:div>
    <w:div w:id="246614332">
      <w:bodyDiv w:val="1"/>
      <w:marLeft w:val="0"/>
      <w:marRight w:val="0"/>
      <w:marTop w:val="0"/>
      <w:marBottom w:val="0"/>
      <w:divBdr>
        <w:top w:val="none" w:sz="0" w:space="0" w:color="auto"/>
        <w:left w:val="none" w:sz="0" w:space="0" w:color="auto"/>
        <w:bottom w:val="none" w:sz="0" w:space="0" w:color="auto"/>
        <w:right w:val="none" w:sz="0" w:space="0" w:color="auto"/>
      </w:divBdr>
    </w:div>
    <w:div w:id="256720453">
      <w:bodyDiv w:val="1"/>
      <w:marLeft w:val="0"/>
      <w:marRight w:val="0"/>
      <w:marTop w:val="0"/>
      <w:marBottom w:val="0"/>
      <w:divBdr>
        <w:top w:val="none" w:sz="0" w:space="0" w:color="auto"/>
        <w:left w:val="none" w:sz="0" w:space="0" w:color="auto"/>
        <w:bottom w:val="none" w:sz="0" w:space="0" w:color="auto"/>
        <w:right w:val="none" w:sz="0" w:space="0" w:color="auto"/>
      </w:divBdr>
    </w:div>
    <w:div w:id="264920339">
      <w:bodyDiv w:val="1"/>
      <w:marLeft w:val="0"/>
      <w:marRight w:val="0"/>
      <w:marTop w:val="0"/>
      <w:marBottom w:val="0"/>
      <w:divBdr>
        <w:top w:val="none" w:sz="0" w:space="0" w:color="auto"/>
        <w:left w:val="none" w:sz="0" w:space="0" w:color="auto"/>
        <w:bottom w:val="none" w:sz="0" w:space="0" w:color="auto"/>
        <w:right w:val="none" w:sz="0" w:space="0" w:color="auto"/>
      </w:divBdr>
    </w:div>
    <w:div w:id="278530967">
      <w:bodyDiv w:val="1"/>
      <w:marLeft w:val="0"/>
      <w:marRight w:val="0"/>
      <w:marTop w:val="0"/>
      <w:marBottom w:val="0"/>
      <w:divBdr>
        <w:top w:val="none" w:sz="0" w:space="0" w:color="auto"/>
        <w:left w:val="none" w:sz="0" w:space="0" w:color="auto"/>
        <w:bottom w:val="none" w:sz="0" w:space="0" w:color="auto"/>
        <w:right w:val="none" w:sz="0" w:space="0" w:color="auto"/>
      </w:divBdr>
    </w:div>
    <w:div w:id="282808682">
      <w:bodyDiv w:val="1"/>
      <w:marLeft w:val="0"/>
      <w:marRight w:val="0"/>
      <w:marTop w:val="0"/>
      <w:marBottom w:val="0"/>
      <w:divBdr>
        <w:top w:val="none" w:sz="0" w:space="0" w:color="auto"/>
        <w:left w:val="none" w:sz="0" w:space="0" w:color="auto"/>
        <w:bottom w:val="none" w:sz="0" w:space="0" w:color="auto"/>
        <w:right w:val="none" w:sz="0" w:space="0" w:color="auto"/>
      </w:divBdr>
    </w:div>
    <w:div w:id="284577791">
      <w:bodyDiv w:val="1"/>
      <w:marLeft w:val="0"/>
      <w:marRight w:val="0"/>
      <w:marTop w:val="0"/>
      <w:marBottom w:val="0"/>
      <w:divBdr>
        <w:top w:val="none" w:sz="0" w:space="0" w:color="auto"/>
        <w:left w:val="none" w:sz="0" w:space="0" w:color="auto"/>
        <w:bottom w:val="none" w:sz="0" w:space="0" w:color="auto"/>
        <w:right w:val="none" w:sz="0" w:space="0" w:color="auto"/>
      </w:divBdr>
    </w:div>
    <w:div w:id="285620622">
      <w:bodyDiv w:val="1"/>
      <w:marLeft w:val="0"/>
      <w:marRight w:val="0"/>
      <w:marTop w:val="0"/>
      <w:marBottom w:val="0"/>
      <w:divBdr>
        <w:top w:val="none" w:sz="0" w:space="0" w:color="auto"/>
        <w:left w:val="none" w:sz="0" w:space="0" w:color="auto"/>
        <w:bottom w:val="none" w:sz="0" w:space="0" w:color="auto"/>
        <w:right w:val="none" w:sz="0" w:space="0" w:color="auto"/>
      </w:divBdr>
    </w:div>
    <w:div w:id="291715484">
      <w:bodyDiv w:val="1"/>
      <w:marLeft w:val="0"/>
      <w:marRight w:val="0"/>
      <w:marTop w:val="0"/>
      <w:marBottom w:val="0"/>
      <w:divBdr>
        <w:top w:val="none" w:sz="0" w:space="0" w:color="auto"/>
        <w:left w:val="none" w:sz="0" w:space="0" w:color="auto"/>
        <w:bottom w:val="none" w:sz="0" w:space="0" w:color="auto"/>
        <w:right w:val="none" w:sz="0" w:space="0" w:color="auto"/>
      </w:divBdr>
    </w:div>
    <w:div w:id="293485315">
      <w:bodyDiv w:val="1"/>
      <w:marLeft w:val="0"/>
      <w:marRight w:val="0"/>
      <w:marTop w:val="0"/>
      <w:marBottom w:val="0"/>
      <w:divBdr>
        <w:top w:val="none" w:sz="0" w:space="0" w:color="auto"/>
        <w:left w:val="none" w:sz="0" w:space="0" w:color="auto"/>
        <w:bottom w:val="none" w:sz="0" w:space="0" w:color="auto"/>
        <w:right w:val="none" w:sz="0" w:space="0" w:color="auto"/>
      </w:divBdr>
    </w:div>
    <w:div w:id="295109140">
      <w:bodyDiv w:val="1"/>
      <w:marLeft w:val="0"/>
      <w:marRight w:val="0"/>
      <w:marTop w:val="0"/>
      <w:marBottom w:val="0"/>
      <w:divBdr>
        <w:top w:val="none" w:sz="0" w:space="0" w:color="auto"/>
        <w:left w:val="none" w:sz="0" w:space="0" w:color="auto"/>
        <w:bottom w:val="none" w:sz="0" w:space="0" w:color="auto"/>
        <w:right w:val="none" w:sz="0" w:space="0" w:color="auto"/>
      </w:divBdr>
    </w:div>
    <w:div w:id="299848334">
      <w:bodyDiv w:val="1"/>
      <w:marLeft w:val="0"/>
      <w:marRight w:val="0"/>
      <w:marTop w:val="0"/>
      <w:marBottom w:val="0"/>
      <w:divBdr>
        <w:top w:val="none" w:sz="0" w:space="0" w:color="auto"/>
        <w:left w:val="none" w:sz="0" w:space="0" w:color="auto"/>
        <w:bottom w:val="none" w:sz="0" w:space="0" w:color="auto"/>
        <w:right w:val="none" w:sz="0" w:space="0" w:color="auto"/>
      </w:divBdr>
    </w:div>
    <w:div w:id="300577938">
      <w:bodyDiv w:val="1"/>
      <w:marLeft w:val="0"/>
      <w:marRight w:val="0"/>
      <w:marTop w:val="0"/>
      <w:marBottom w:val="0"/>
      <w:divBdr>
        <w:top w:val="none" w:sz="0" w:space="0" w:color="auto"/>
        <w:left w:val="none" w:sz="0" w:space="0" w:color="auto"/>
        <w:bottom w:val="none" w:sz="0" w:space="0" w:color="auto"/>
        <w:right w:val="none" w:sz="0" w:space="0" w:color="auto"/>
      </w:divBdr>
    </w:div>
    <w:div w:id="315306083">
      <w:bodyDiv w:val="1"/>
      <w:marLeft w:val="0"/>
      <w:marRight w:val="0"/>
      <w:marTop w:val="0"/>
      <w:marBottom w:val="0"/>
      <w:divBdr>
        <w:top w:val="none" w:sz="0" w:space="0" w:color="auto"/>
        <w:left w:val="none" w:sz="0" w:space="0" w:color="auto"/>
        <w:bottom w:val="none" w:sz="0" w:space="0" w:color="auto"/>
        <w:right w:val="none" w:sz="0" w:space="0" w:color="auto"/>
      </w:divBdr>
    </w:div>
    <w:div w:id="324286713">
      <w:bodyDiv w:val="1"/>
      <w:marLeft w:val="0"/>
      <w:marRight w:val="0"/>
      <w:marTop w:val="0"/>
      <w:marBottom w:val="0"/>
      <w:divBdr>
        <w:top w:val="none" w:sz="0" w:space="0" w:color="auto"/>
        <w:left w:val="none" w:sz="0" w:space="0" w:color="auto"/>
        <w:bottom w:val="none" w:sz="0" w:space="0" w:color="auto"/>
        <w:right w:val="none" w:sz="0" w:space="0" w:color="auto"/>
      </w:divBdr>
    </w:div>
    <w:div w:id="328021423">
      <w:bodyDiv w:val="1"/>
      <w:marLeft w:val="0"/>
      <w:marRight w:val="0"/>
      <w:marTop w:val="0"/>
      <w:marBottom w:val="0"/>
      <w:divBdr>
        <w:top w:val="none" w:sz="0" w:space="0" w:color="auto"/>
        <w:left w:val="none" w:sz="0" w:space="0" w:color="auto"/>
        <w:bottom w:val="none" w:sz="0" w:space="0" w:color="auto"/>
        <w:right w:val="none" w:sz="0" w:space="0" w:color="auto"/>
      </w:divBdr>
    </w:div>
    <w:div w:id="351960832">
      <w:bodyDiv w:val="1"/>
      <w:marLeft w:val="0"/>
      <w:marRight w:val="0"/>
      <w:marTop w:val="0"/>
      <w:marBottom w:val="0"/>
      <w:divBdr>
        <w:top w:val="none" w:sz="0" w:space="0" w:color="auto"/>
        <w:left w:val="none" w:sz="0" w:space="0" w:color="auto"/>
        <w:bottom w:val="none" w:sz="0" w:space="0" w:color="auto"/>
        <w:right w:val="none" w:sz="0" w:space="0" w:color="auto"/>
      </w:divBdr>
    </w:div>
    <w:div w:id="370693919">
      <w:bodyDiv w:val="1"/>
      <w:marLeft w:val="0"/>
      <w:marRight w:val="0"/>
      <w:marTop w:val="0"/>
      <w:marBottom w:val="0"/>
      <w:divBdr>
        <w:top w:val="none" w:sz="0" w:space="0" w:color="auto"/>
        <w:left w:val="none" w:sz="0" w:space="0" w:color="auto"/>
        <w:bottom w:val="none" w:sz="0" w:space="0" w:color="auto"/>
        <w:right w:val="none" w:sz="0" w:space="0" w:color="auto"/>
      </w:divBdr>
    </w:div>
    <w:div w:id="374626814">
      <w:bodyDiv w:val="1"/>
      <w:marLeft w:val="0"/>
      <w:marRight w:val="0"/>
      <w:marTop w:val="0"/>
      <w:marBottom w:val="0"/>
      <w:divBdr>
        <w:top w:val="none" w:sz="0" w:space="0" w:color="auto"/>
        <w:left w:val="none" w:sz="0" w:space="0" w:color="auto"/>
        <w:bottom w:val="none" w:sz="0" w:space="0" w:color="auto"/>
        <w:right w:val="none" w:sz="0" w:space="0" w:color="auto"/>
      </w:divBdr>
    </w:div>
    <w:div w:id="401022122">
      <w:bodyDiv w:val="1"/>
      <w:marLeft w:val="0"/>
      <w:marRight w:val="0"/>
      <w:marTop w:val="0"/>
      <w:marBottom w:val="0"/>
      <w:divBdr>
        <w:top w:val="none" w:sz="0" w:space="0" w:color="auto"/>
        <w:left w:val="none" w:sz="0" w:space="0" w:color="auto"/>
        <w:bottom w:val="none" w:sz="0" w:space="0" w:color="auto"/>
        <w:right w:val="none" w:sz="0" w:space="0" w:color="auto"/>
      </w:divBdr>
    </w:div>
    <w:div w:id="401492964">
      <w:bodyDiv w:val="1"/>
      <w:marLeft w:val="0"/>
      <w:marRight w:val="0"/>
      <w:marTop w:val="0"/>
      <w:marBottom w:val="0"/>
      <w:divBdr>
        <w:top w:val="none" w:sz="0" w:space="0" w:color="auto"/>
        <w:left w:val="none" w:sz="0" w:space="0" w:color="auto"/>
        <w:bottom w:val="none" w:sz="0" w:space="0" w:color="auto"/>
        <w:right w:val="none" w:sz="0" w:space="0" w:color="auto"/>
      </w:divBdr>
    </w:div>
    <w:div w:id="415323220">
      <w:bodyDiv w:val="1"/>
      <w:marLeft w:val="0"/>
      <w:marRight w:val="0"/>
      <w:marTop w:val="0"/>
      <w:marBottom w:val="0"/>
      <w:divBdr>
        <w:top w:val="none" w:sz="0" w:space="0" w:color="auto"/>
        <w:left w:val="none" w:sz="0" w:space="0" w:color="auto"/>
        <w:bottom w:val="none" w:sz="0" w:space="0" w:color="auto"/>
        <w:right w:val="none" w:sz="0" w:space="0" w:color="auto"/>
      </w:divBdr>
    </w:div>
    <w:div w:id="420105750">
      <w:bodyDiv w:val="1"/>
      <w:marLeft w:val="0"/>
      <w:marRight w:val="0"/>
      <w:marTop w:val="0"/>
      <w:marBottom w:val="0"/>
      <w:divBdr>
        <w:top w:val="none" w:sz="0" w:space="0" w:color="auto"/>
        <w:left w:val="none" w:sz="0" w:space="0" w:color="auto"/>
        <w:bottom w:val="none" w:sz="0" w:space="0" w:color="auto"/>
        <w:right w:val="none" w:sz="0" w:space="0" w:color="auto"/>
      </w:divBdr>
    </w:div>
    <w:div w:id="436023837">
      <w:bodyDiv w:val="1"/>
      <w:marLeft w:val="0"/>
      <w:marRight w:val="0"/>
      <w:marTop w:val="0"/>
      <w:marBottom w:val="0"/>
      <w:divBdr>
        <w:top w:val="none" w:sz="0" w:space="0" w:color="auto"/>
        <w:left w:val="none" w:sz="0" w:space="0" w:color="auto"/>
        <w:bottom w:val="none" w:sz="0" w:space="0" w:color="auto"/>
        <w:right w:val="none" w:sz="0" w:space="0" w:color="auto"/>
      </w:divBdr>
    </w:div>
    <w:div w:id="437718160">
      <w:bodyDiv w:val="1"/>
      <w:marLeft w:val="0"/>
      <w:marRight w:val="0"/>
      <w:marTop w:val="0"/>
      <w:marBottom w:val="0"/>
      <w:divBdr>
        <w:top w:val="none" w:sz="0" w:space="0" w:color="auto"/>
        <w:left w:val="none" w:sz="0" w:space="0" w:color="auto"/>
        <w:bottom w:val="none" w:sz="0" w:space="0" w:color="auto"/>
        <w:right w:val="none" w:sz="0" w:space="0" w:color="auto"/>
      </w:divBdr>
    </w:div>
    <w:div w:id="449127775">
      <w:bodyDiv w:val="1"/>
      <w:marLeft w:val="0"/>
      <w:marRight w:val="0"/>
      <w:marTop w:val="0"/>
      <w:marBottom w:val="0"/>
      <w:divBdr>
        <w:top w:val="none" w:sz="0" w:space="0" w:color="auto"/>
        <w:left w:val="none" w:sz="0" w:space="0" w:color="auto"/>
        <w:bottom w:val="none" w:sz="0" w:space="0" w:color="auto"/>
        <w:right w:val="none" w:sz="0" w:space="0" w:color="auto"/>
      </w:divBdr>
    </w:div>
    <w:div w:id="455834361">
      <w:bodyDiv w:val="1"/>
      <w:marLeft w:val="0"/>
      <w:marRight w:val="0"/>
      <w:marTop w:val="0"/>
      <w:marBottom w:val="0"/>
      <w:divBdr>
        <w:top w:val="none" w:sz="0" w:space="0" w:color="auto"/>
        <w:left w:val="none" w:sz="0" w:space="0" w:color="auto"/>
        <w:bottom w:val="none" w:sz="0" w:space="0" w:color="auto"/>
        <w:right w:val="none" w:sz="0" w:space="0" w:color="auto"/>
      </w:divBdr>
    </w:div>
    <w:div w:id="469324939">
      <w:bodyDiv w:val="1"/>
      <w:marLeft w:val="0"/>
      <w:marRight w:val="0"/>
      <w:marTop w:val="0"/>
      <w:marBottom w:val="0"/>
      <w:divBdr>
        <w:top w:val="none" w:sz="0" w:space="0" w:color="auto"/>
        <w:left w:val="none" w:sz="0" w:space="0" w:color="auto"/>
        <w:bottom w:val="none" w:sz="0" w:space="0" w:color="auto"/>
        <w:right w:val="none" w:sz="0" w:space="0" w:color="auto"/>
      </w:divBdr>
    </w:div>
    <w:div w:id="475143546">
      <w:bodyDiv w:val="1"/>
      <w:marLeft w:val="0"/>
      <w:marRight w:val="0"/>
      <w:marTop w:val="0"/>
      <w:marBottom w:val="0"/>
      <w:divBdr>
        <w:top w:val="none" w:sz="0" w:space="0" w:color="auto"/>
        <w:left w:val="none" w:sz="0" w:space="0" w:color="auto"/>
        <w:bottom w:val="none" w:sz="0" w:space="0" w:color="auto"/>
        <w:right w:val="none" w:sz="0" w:space="0" w:color="auto"/>
      </w:divBdr>
    </w:div>
    <w:div w:id="479421817">
      <w:bodyDiv w:val="1"/>
      <w:marLeft w:val="0"/>
      <w:marRight w:val="0"/>
      <w:marTop w:val="0"/>
      <w:marBottom w:val="0"/>
      <w:divBdr>
        <w:top w:val="none" w:sz="0" w:space="0" w:color="auto"/>
        <w:left w:val="none" w:sz="0" w:space="0" w:color="auto"/>
        <w:bottom w:val="none" w:sz="0" w:space="0" w:color="auto"/>
        <w:right w:val="none" w:sz="0" w:space="0" w:color="auto"/>
      </w:divBdr>
    </w:div>
    <w:div w:id="489564402">
      <w:bodyDiv w:val="1"/>
      <w:marLeft w:val="0"/>
      <w:marRight w:val="0"/>
      <w:marTop w:val="0"/>
      <w:marBottom w:val="0"/>
      <w:divBdr>
        <w:top w:val="none" w:sz="0" w:space="0" w:color="auto"/>
        <w:left w:val="none" w:sz="0" w:space="0" w:color="auto"/>
        <w:bottom w:val="none" w:sz="0" w:space="0" w:color="auto"/>
        <w:right w:val="none" w:sz="0" w:space="0" w:color="auto"/>
      </w:divBdr>
    </w:div>
    <w:div w:id="523708353">
      <w:bodyDiv w:val="1"/>
      <w:marLeft w:val="0"/>
      <w:marRight w:val="0"/>
      <w:marTop w:val="0"/>
      <w:marBottom w:val="0"/>
      <w:divBdr>
        <w:top w:val="none" w:sz="0" w:space="0" w:color="auto"/>
        <w:left w:val="none" w:sz="0" w:space="0" w:color="auto"/>
        <w:bottom w:val="none" w:sz="0" w:space="0" w:color="auto"/>
        <w:right w:val="none" w:sz="0" w:space="0" w:color="auto"/>
      </w:divBdr>
    </w:div>
    <w:div w:id="536892543">
      <w:bodyDiv w:val="1"/>
      <w:marLeft w:val="0"/>
      <w:marRight w:val="0"/>
      <w:marTop w:val="0"/>
      <w:marBottom w:val="0"/>
      <w:divBdr>
        <w:top w:val="none" w:sz="0" w:space="0" w:color="auto"/>
        <w:left w:val="none" w:sz="0" w:space="0" w:color="auto"/>
        <w:bottom w:val="none" w:sz="0" w:space="0" w:color="auto"/>
        <w:right w:val="none" w:sz="0" w:space="0" w:color="auto"/>
      </w:divBdr>
    </w:div>
    <w:div w:id="537278913">
      <w:bodyDiv w:val="1"/>
      <w:marLeft w:val="0"/>
      <w:marRight w:val="0"/>
      <w:marTop w:val="0"/>
      <w:marBottom w:val="0"/>
      <w:divBdr>
        <w:top w:val="none" w:sz="0" w:space="0" w:color="auto"/>
        <w:left w:val="none" w:sz="0" w:space="0" w:color="auto"/>
        <w:bottom w:val="none" w:sz="0" w:space="0" w:color="auto"/>
        <w:right w:val="none" w:sz="0" w:space="0" w:color="auto"/>
      </w:divBdr>
    </w:div>
    <w:div w:id="538054325">
      <w:bodyDiv w:val="1"/>
      <w:marLeft w:val="0"/>
      <w:marRight w:val="0"/>
      <w:marTop w:val="0"/>
      <w:marBottom w:val="0"/>
      <w:divBdr>
        <w:top w:val="none" w:sz="0" w:space="0" w:color="auto"/>
        <w:left w:val="none" w:sz="0" w:space="0" w:color="auto"/>
        <w:bottom w:val="none" w:sz="0" w:space="0" w:color="auto"/>
        <w:right w:val="none" w:sz="0" w:space="0" w:color="auto"/>
      </w:divBdr>
      <w:divsChild>
        <w:div w:id="1938951009">
          <w:marLeft w:val="0"/>
          <w:marRight w:val="0"/>
          <w:marTop w:val="0"/>
          <w:marBottom w:val="0"/>
          <w:divBdr>
            <w:top w:val="none" w:sz="0" w:space="0" w:color="auto"/>
            <w:left w:val="none" w:sz="0" w:space="0" w:color="auto"/>
            <w:bottom w:val="none" w:sz="0" w:space="0" w:color="auto"/>
            <w:right w:val="none" w:sz="0" w:space="0" w:color="auto"/>
          </w:divBdr>
          <w:divsChild>
            <w:div w:id="1556623900">
              <w:marLeft w:val="0"/>
              <w:marRight w:val="0"/>
              <w:marTop w:val="0"/>
              <w:marBottom w:val="0"/>
              <w:divBdr>
                <w:top w:val="none" w:sz="0" w:space="0" w:color="auto"/>
                <w:left w:val="none" w:sz="0" w:space="0" w:color="auto"/>
                <w:bottom w:val="none" w:sz="0" w:space="0" w:color="auto"/>
                <w:right w:val="none" w:sz="0" w:space="0" w:color="auto"/>
              </w:divBdr>
              <w:divsChild>
                <w:div w:id="19633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2708">
      <w:bodyDiv w:val="1"/>
      <w:marLeft w:val="0"/>
      <w:marRight w:val="0"/>
      <w:marTop w:val="0"/>
      <w:marBottom w:val="0"/>
      <w:divBdr>
        <w:top w:val="none" w:sz="0" w:space="0" w:color="auto"/>
        <w:left w:val="none" w:sz="0" w:space="0" w:color="auto"/>
        <w:bottom w:val="none" w:sz="0" w:space="0" w:color="auto"/>
        <w:right w:val="none" w:sz="0" w:space="0" w:color="auto"/>
      </w:divBdr>
    </w:div>
    <w:div w:id="541789679">
      <w:bodyDiv w:val="1"/>
      <w:marLeft w:val="0"/>
      <w:marRight w:val="0"/>
      <w:marTop w:val="0"/>
      <w:marBottom w:val="0"/>
      <w:divBdr>
        <w:top w:val="none" w:sz="0" w:space="0" w:color="auto"/>
        <w:left w:val="none" w:sz="0" w:space="0" w:color="auto"/>
        <w:bottom w:val="none" w:sz="0" w:space="0" w:color="auto"/>
        <w:right w:val="none" w:sz="0" w:space="0" w:color="auto"/>
      </w:divBdr>
    </w:div>
    <w:div w:id="541987591">
      <w:bodyDiv w:val="1"/>
      <w:marLeft w:val="0"/>
      <w:marRight w:val="0"/>
      <w:marTop w:val="0"/>
      <w:marBottom w:val="0"/>
      <w:divBdr>
        <w:top w:val="none" w:sz="0" w:space="0" w:color="auto"/>
        <w:left w:val="none" w:sz="0" w:space="0" w:color="auto"/>
        <w:bottom w:val="none" w:sz="0" w:space="0" w:color="auto"/>
        <w:right w:val="none" w:sz="0" w:space="0" w:color="auto"/>
      </w:divBdr>
    </w:div>
    <w:div w:id="544413695">
      <w:bodyDiv w:val="1"/>
      <w:marLeft w:val="0"/>
      <w:marRight w:val="0"/>
      <w:marTop w:val="0"/>
      <w:marBottom w:val="0"/>
      <w:divBdr>
        <w:top w:val="none" w:sz="0" w:space="0" w:color="auto"/>
        <w:left w:val="none" w:sz="0" w:space="0" w:color="auto"/>
        <w:bottom w:val="none" w:sz="0" w:space="0" w:color="auto"/>
        <w:right w:val="none" w:sz="0" w:space="0" w:color="auto"/>
      </w:divBdr>
    </w:div>
    <w:div w:id="550045732">
      <w:bodyDiv w:val="1"/>
      <w:marLeft w:val="0"/>
      <w:marRight w:val="0"/>
      <w:marTop w:val="0"/>
      <w:marBottom w:val="0"/>
      <w:divBdr>
        <w:top w:val="none" w:sz="0" w:space="0" w:color="auto"/>
        <w:left w:val="none" w:sz="0" w:space="0" w:color="auto"/>
        <w:bottom w:val="none" w:sz="0" w:space="0" w:color="auto"/>
        <w:right w:val="none" w:sz="0" w:space="0" w:color="auto"/>
      </w:divBdr>
      <w:divsChild>
        <w:div w:id="127171281">
          <w:marLeft w:val="0"/>
          <w:marRight w:val="0"/>
          <w:marTop w:val="0"/>
          <w:marBottom w:val="0"/>
          <w:divBdr>
            <w:top w:val="none" w:sz="0" w:space="0" w:color="auto"/>
            <w:left w:val="none" w:sz="0" w:space="0" w:color="auto"/>
            <w:bottom w:val="none" w:sz="0" w:space="0" w:color="auto"/>
            <w:right w:val="none" w:sz="0" w:space="0" w:color="auto"/>
          </w:divBdr>
        </w:div>
        <w:div w:id="1336834601">
          <w:marLeft w:val="0"/>
          <w:marRight w:val="0"/>
          <w:marTop w:val="0"/>
          <w:marBottom w:val="0"/>
          <w:divBdr>
            <w:top w:val="none" w:sz="0" w:space="0" w:color="auto"/>
            <w:left w:val="none" w:sz="0" w:space="0" w:color="auto"/>
            <w:bottom w:val="none" w:sz="0" w:space="0" w:color="auto"/>
            <w:right w:val="none" w:sz="0" w:space="0" w:color="auto"/>
          </w:divBdr>
        </w:div>
      </w:divsChild>
    </w:div>
    <w:div w:id="575164499">
      <w:bodyDiv w:val="1"/>
      <w:marLeft w:val="0"/>
      <w:marRight w:val="0"/>
      <w:marTop w:val="0"/>
      <w:marBottom w:val="0"/>
      <w:divBdr>
        <w:top w:val="none" w:sz="0" w:space="0" w:color="auto"/>
        <w:left w:val="none" w:sz="0" w:space="0" w:color="auto"/>
        <w:bottom w:val="none" w:sz="0" w:space="0" w:color="auto"/>
        <w:right w:val="none" w:sz="0" w:space="0" w:color="auto"/>
      </w:divBdr>
    </w:div>
    <w:div w:id="579098312">
      <w:bodyDiv w:val="1"/>
      <w:marLeft w:val="0"/>
      <w:marRight w:val="0"/>
      <w:marTop w:val="0"/>
      <w:marBottom w:val="0"/>
      <w:divBdr>
        <w:top w:val="none" w:sz="0" w:space="0" w:color="auto"/>
        <w:left w:val="none" w:sz="0" w:space="0" w:color="auto"/>
        <w:bottom w:val="none" w:sz="0" w:space="0" w:color="auto"/>
        <w:right w:val="none" w:sz="0" w:space="0" w:color="auto"/>
      </w:divBdr>
    </w:div>
    <w:div w:id="587085345">
      <w:bodyDiv w:val="1"/>
      <w:marLeft w:val="0"/>
      <w:marRight w:val="0"/>
      <w:marTop w:val="0"/>
      <w:marBottom w:val="0"/>
      <w:divBdr>
        <w:top w:val="none" w:sz="0" w:space="0" w:color="auto"/>
        <w:left w:val="none" w:sz="0" w:space="0" w:color="auto"/>
        <w:bottom w:val="none" w:sz="0" w:space="0" w:color="auto"/>
        <w:right w:val="none" w:sz="0" w:space="0" w:color="auto"/>
      </w:divBdr>
    </w:div>
    <w:div w:id="591741522">
      <w:bodyDiv w:val="1"/>
      <w:marLeft w:val="0"/>
      <w:marRight w:val="0"/>
      <w:marTop w:val="0"/>
      <w:marBottom w:val="0"/>
      <w:divBdr>
        <w:top w:val="none" w:sz="0" w:space="0" w:color="auto"/>
        <w:left w:val="none" w:sz="0" w:space="0" w:color="auto"/>
        <w:bottom w:val="none" w:sz="0" w:space="0" w:color="auto"/>
        <w:right w:val="none" w:sz="0" w:space="0" w:color="auto"/>
      </w:divBdr>
    </w:div>
    <w:div w:id="598417270">
      <w:bodyDiv w:val="1"/>
      <w:marLeft w:val="0"/>
      <w:marRight w:val="0"/>
      <w:marTop w:val="0"/>
      <w:marBottom w:val="0"/>
      <w:divBdr>
        <w:top w:val="none" w:sz="0" w:space="0" w:color="auto"/>
        <w:left w:val="none" w:sz="0" w:space="0" w:color="auto"/>
        <w:bottom w:val="none" w:sz="0" w:space="0" w:color="auto"/>
        <w:right w:val="none" w:sz="0" w:space="0" w:color="auto"/>
      </w:divBdr>
    </w:div>
    <w:div w:id="602614092">
      <w:bodyDiv w:val="1"/>
      <w:marLeft w:val="0"/>
      <w:marRight w:val="0"/>
      <w:marTop w:val="0"/>
      <w:marBottom w:val="0"/>
      <w:divBdr>
        <w:top w:val="none" w:sz="0" w:space="0" w:color="auto"/>
        <w:left w:val="none" w:sz="0" w:space="0" w:color="auto"/>
        <w:bottom w:val="none" w:sz="0" w:space="0" w:color="auto"/>
        <w:right w:val="none" w:sz="0" w:space="0" w:color="auto"/>
      </w:divBdr>
    </w:div>
    <w:div w:id="610088773">
      <w:bodyDiv w:val="1"/>
      <w:marLeft w:val="0"/>
      <w:marRight w:val="0"/>
      <w:marTop w:val="0"/>
      <w:marBottom w:val="0"/>
      <w:divBdr>
        <w:top w:val="none" w:sz="0" w:space="0" w:color="auto"/>
        <w:left w:val="none" w:sz="0" w:space="0" w:color="auto"/>
        <w:bottom w:val="none" w:sz="0" w:space="0" w:color="auto"/>
        <w:right w:val="none" w:sz="0" w:space="0" w:color="auto"/>
      </w:divBdr>
    </w:div>
    <w:div w:id="616569357">
      <w:bodyDiv w:val="1"/>
      <w:marLeft w:val="0"/>
      <w:marRight w:val="0"/>
      <w:marTop w:val="0"/>
      <w:marBottom w:val="0"/>
      <w:divBdr>
        <w:top w:val="none" w:sz="0" w:space="0" w:color="auto"/>
        <w:left w:val="none" w:sz="0" w:space="0" w:color="auto"/>
        <w:bottom w:val="none" w:sz="0" w:space="0" w:color="auto"/>
        <w:right w:val="none" w:sz="0" w:space="0" w:color="auto"/>
      </w:divBdr>
    </w:div>
    <w:div w:id="622463094">
      <w:bodyDiv w:val="1"/>
      <w:marLeft w:val="0"/>
      <w:marRight w:val="0"/>
      <w:marTop w:val="0"/>
      <w:marBottom w:val="0"/>
      <w:divBdr>
        <w:top w:val="none" w:sz="0" w:space="0" w:color="auto"/>
        <w:left w:val="none" w:sz="0" w:space="0" w:color="auto"/>
        <w:bottom w:val="none" w:sz="0" w:space="0" w:color="auto"/>
        <w:right w:val="none" w:sz="0" w:space="0" w:color="auto"/>
      </w:divBdr>
    </w:div>
    <w:div w:id="624193138">
      <w:bodyDiv w:val="1"/>
      <w:marLeft w:val="0"/>
      <w:marRight w:val="0"/>
      <w:marTop w:val="0"/>
      <w:marBottom w:val="0"/>
      <w:divBdr>
        <w:top w:val="none" w:sz="0" w:space="0" w:color="auto"/>
        <w:left w:val="none" w:sz="0" w:space="0" w:color="auto"/>
        <w:bottom w:val="none" w:sz="0" w:space="0" w:color="auto"/>
        <w:right w:val="none" w:sz="0" w:space="0" w:color="auto"/>
      </w:divBdr>
    </w:div>
    <w:div w:id="654190047">
      <w:bodyDiv w:val="1"/>
      <w:marLeft w:val="0"/>
      <w:marRight w:val="0"/>
      <w:marTop w:val="0"/>
      <w:marBottom w:val="0"/>
      <w:divBdr>
        <w:top w:val="none" w:sz="0" w:space="0" w:color="auto"/>
        <w:left w:val="none" w:sz="0" w:space="0" w:color="auto"/>
        <w:bottom w:val="none" w:sz="0" w:space="0" w:color="auto"/>
        <w:right w:val="none" w:sz="0" w:space="0" w:color="auto"/>
      </w:divBdr>
    </w:div>
    <w:div w:id="666060858">
      <w:bodyDiv w:val="1"/>
      <w:marLeft w:val="0"/>
      <w:marRight w:val="0"/>
      <w:marTop w:val="0"/>
      <w:marBottom w:val="0"/>
      <w:divBdr>
        <w:top w:val="none" w:sz="0" w:space="0" w:color="auto"/>
        <w:left w:val="none" w:sz="0" w:space="0" w:color="auto"/>
        <w:bottom w:val="none" w:sz="0" w:space="0" w:color="auto"/>
        <w:right w:val="none" w:sz="0" w:space="0" w:color="auto"/>
      </w:divBdr>
    </w:div>
    <w:div w:id="672949924">
      <w:bodyDiv w:val="1"/>
      <w:marLeft w:val="0"/>
      <w:marRight w:val="0"/>
      <w:marTop w:val="0"/>
      <w:marBottom w:val="0"/>
      <w:divBdr>
        <w:top w:val="none" w:sz="0" w:space="0" w:color="auto"/>
        <w:left w:val="none" w:sz="0" w:space="0" w:color="auto"/>
        <w:bottom w:val="none" w:sz="0" w:space="0" w:color="auto"/>
        <w:right w:val="none" w:sz="0" w:space="0" w:color="auto"/>
      </w:divBdr>
    </w:div>
    <w:div w:id="674111345">
      <w:bodyDiv w:val="1"/>
      <w:marLeft w:val="0"/>
      <w:marRight w:val="0"/>
      <w:marTop w:val="0"/>
      <w:marBottom w:val="0"/>
      <w:divBdr>
        <w:top w:val="none" w:sz="0" w:space="0" w:color="auto"/>
        <w:left w:val="none" w:sz="0" w:space="0" w:color="auto"/>
        <w:bottom w:val="none" w:sz="0" w:space="0" w:color="auto"/>
        <w:right w:val="none" w:sz="0" w:space="0" w:color="auto"/>
      </w:divBdr>
    </w:div>
    <w:div w:id="675307252">
      <w:bodyDiv w:val="1"/>
      <w:marLeft w:val="0"/>
      <w:marRight w:val="0"/>
      <w:marTop w:val="0"/>
      <w:marBottom w:val="0"/>
      <w:divBdr>
        <w:top w:val="none" w:sz="0" w:space="0" w:color="auto"/>
        <w:left w:val="none" w:sz="0" w:space="0" w:color="auto"/>
        <w:bottom w:val="none" w:sz="0" w:space="0" w:color="auto"/>
        <w:right w:val="none" w:sz="0" w:space="0" w:color="auto"/>
      </w:divBdr>
    </w:div>
    <w:div w:id="685643696">
      <w:bodyDiv w:val="1"/>
      <w:marLeft w:val="0"/>
      <w:marRight w:val="0"/>
      <w:marTop w:val="0"/>
      <w:marBottom w:val="0"/>
      <w:divBdr>
        <w:top w:val="none" w:sz="0" w:space="0" w:color="auto"/>
        <w:left w:val="none" w:sz="0" w:space="0" w:color="auto"/>
        <w:bottom w:val="none" w:sz="0" w:space="0" w:color="auto"/>
        <w:right w:val="none" w:sz="0" w:space="0" w:color="auto"/>
      </w:divBdr>
      <w:divsChild>
        <w:div w:id="1206479864">
          <w:marLeft w:val="0"/>
          <w:marRight w:val="0"/>
          <w:marTop w:val="0"/>
          <w:marBottom w:val="0"/>
          <w:divBdr>
            <w:top w:val="none" w:sz="0" w:space="0" w:color="auto"/>
            <w:left w:val="none" w:sz="0" w:space="0" w:color="auto"/>
            <w:bottom w:val="none" w:sz="0" w:space="0" w:color="auto"/>
            <w:right w:val="none" w:sz="0" w:space="0" w:color="auto"/>
          </w:divBdr>
          <w:divsChild>
            <w:div w:id="1032464936">
              <w:marLeft w:val="0"/>
              <w:marRight w:val="0"/>
              <w:marTop w:val="0"/>
              <w:marBottom w:val="0"/>
              <w:divBdr>
                <w:top w:val="none" w:sz="0" w:space="0" w:color="auto"/>
                <w:left w:val="none" w:sz="0" w:space="0" w:color="auto"/>
                <w:bottom w:val="none" w:sz="0" w:space="0" w:color="auto"/>
                <w:right w:val="none" w:sz="0" w:space="0" w:color="auto"/>
              </w:divBdr>
              <w:divsChild>
                <w:div w:id="17296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90638">
      <w:bodyDiv w:val="1"/>
      <w:marLeft w:val="0"/>
      <w:marRight w:val="0"/>
      <w:marTop w:val="0"/>
      <w:marBottom w:val="0"/>
      <w:divBdr>
        <w:top w:val="none" w:sz="0" w:space="0" w:color="auto"/>
        <w:left w:val="none" w:sz="0" w:space="0" w:color="auto"/>
        <w:bottom w:val="none" w:sz="0" w:space="0" w:color="auto"/>
        <w:right w:val="none" w:sz="0" w:space="0" w:color="auto"/>
      </w:divBdr>
    </w:div>
    <w:div w:id="688415409">
      <w:bodyDiv w:val="1"/>
      <w:marLeft w:val="0"/>
      <w:marRight w:val="0"/>
      <w:marTop w:val="0"/>
      <w:marBottom w:val="0"/>
      <w:divBdr>
        <w:top w:val="none" w:sz="0" w:space="0" w:color="auto"/>
        <w:left w:val="none" w:sz="0" w:space="0" w:color="auto"/>
        <w:bottom w:val="none" w:sz="0" w:space="0" w:color="auto"/>
        <w:right w:val="none" w:sz="0" w:space="0" w:color="auto"/>
      </w:divBdr>
    </w:div>
    <w:div w:id="691415626">
      <w:bodyDiv w:val="1"/>
      <w:marLeft w:val="0"/>
      <w:marRight w:val="0"/>
      <w:marTop w:val="0"/>
      <w:marBottom w:val="0"/>
      <w:divBdr>
        <w:top w:val="none" w:sz="0" w:space="0" w:color="auto"/>
        <w:left w:val="none" w:sz="0" w:space="0" w:color="auto"/>
        <w:bottom w:val="none" w:sz="0" w:space="0" w:color="auto"/>
        <w:right w:val="none" w:sz="0" w:space="0" w:color="auto"/>
      </w:divBdr>
      <w:divsChild>
        <w:div w:id="1746537809">
          <w:marLeft w:val="0"/>
          <w:marRight w:val="0"/>
          <w:marTop w:val="0"/>
          <w:marBottom w:val="0"/>
          <w:divBdr>
            <w:top w:val="none" w:sz="0" w:space="0" w:color="auto"/>
            <w:left w:val="none" w:sz="0" w:space="0" w:color="auto"/>
            <w:bottom w:val="none" w:sz="0" w:space="0" w:color="auto"/>
            <w:right w:val="none" w:sz="0" w:space="0" w:color="auto"/>
          </w:divBdr>
        </w:div>
        <w:div w:id="2043742757">
          <w:marLeft w:val="0"/>
          <w:marRight w:val="0"/>
          <w:marTop w:val="0"/>
          <w:marBottom w:val="0"/>
          <w:divBdr>
            <w:top w:val="none" w:sz="0" w:space="0" w:color="auto"/>
            <w:left w:val="none" w:sz="0" w:space="0" w:color="auto"/>
            <w:bottom w:val="none" w:sz="0" w:space="0" w:color="auto"/>
            <w:right w:val="none" w:sz="0" w:space="0" w:color="auto"/>
          </w:divBdr>
        </w:div>
      </w:divsChild>
    </w:div>
    <w:div w:id="692191630">
      <w:bodyDiv w:val="1"/>
      <w:marLeft w:val="0"/>
      <w:marRight w:val="0"/>
      <w:marTop w:val="0"/>
      <w:marBottom w:val="0"/>
      <w:divBdr>
        <w:top w:val="none" w:sz="0" w:space="0" w:color="auto"/>
        <w:left w:val="none" w:sz="0" w:space="0" w:color="auto"/>
        <w:bottom w:val="none" w:sz="0" w:space="0" w:color="auto"/>
        <w:right w:val="none" w:sz="0" w:space="0" w:color="auto"/>
      </w:divBdr>
      <w:divsChild>
        <w:div w:id="825821139">
          <w:marLeft w:val="0"/>
          <w:marRight w:val="0"/>
          <w:marTop w:val="0"/>
          <w:marBottom w:val="0"/>
          <w:divBdr>
            <w:top w:val="none" w:sz="0" w:space="0" w:color="auto"/>
            <w:left w:val="none" w:sz="0" w:space="0" w:color="auto"/>
            <w:bottom w:val="none" w:sz="0" w:space="0" w:color="auto"/>
            <w:right w:val="none" w:sz="0" w:space="0" w:color="auto"/>
          </w:divBdr>
        </w:div>
        <w:div w:id="1973944765">
          <w:marLeft w:val="0"/>
          <w:marRight w:val="0"/>
          <w:marTop w:val="0"/>
          <w:marBottom w:val="0"/>
          <w:divBdr>
            <w:top w:val="none" w:sz="0" w:space="0" w:color="auto"/>
            <w:left w:val="none" w:sz="0" w:space="0" w:color="auto"/>
            <w:bottom w:val="none" w:sz="0" w:space="0" w:color="auto"/>
            <w:right w:val="none" w:sz="0" w:space="0" w:color="auto"/>
          </w:divBdr>
        </w:div>
      </w:divsChild>
    </w:div>
    <w:div w:id="701442810">
      <w:bodyDiv w:val="1"/>
      <w:marLeft w:val="0"/>
      <w:marRight w:val="0"/>
      <w:marTop w:val="0"/>
      <w:marBottom w:val="0"/>
      <w:divBdr>
        <w:top w:val="none" w:sz="0" w:space="0" w:color="auto"/>
        <w:left w:val="none" w:sz="0" w:space="0" w:color="auto"/>
        <w:bottom w:val="none" w:sz="0" w:space="0" w:color="auto"/>
        <w:right w:val="none" w:sz="0" w:space="0" w:color="auto"/>
      </w:divBdr>
    </w:div>
    <w:div w:id="703485623">
      <w:bodyDiv w:val="1"/>
      <w:marLeft w:val="0"/>
      <w:marRight w:val="0"/>
      <w:marTop w:val="0"/>
      <w:marBottom w:val="0"/>
      <w:divBdr>
        <w:top w:val="none" w:sz="0" w:space="0" w:color="auto"/>
        <w:left w:val="none" w:sz="0" w:space="0" w:color="auto"/>
        <w:bottom w:val="none" w:sz="0" w:space="0" w:color="auto"/>
        <w:right w:val="none" w:sz="0" w:space="0" w:color="auto"/>
      </w:divBdr>
    </w:div>
    <w:div w:id="738207029">
      <w:bodyDiv w:val="1"/>
      <w:marLeft w:val="0"/>
      <w:marRight w:val="0"/>
      <w:marTop w:val="0"/>
      <w:marBottom w:val="0"/>
      <w:divBdr>
        <w:top w:val="none" w:sz="0" w:space="0" w:color="auto"/>
        <w:left w:val="none" w:sz="0" w:space="0" w:color="auto"/>
        <w:bottom w:val="none" w:sz="0" w:space="0" w:color="auto"/>
        <w:right w:val="none" w:sz="0" w:space="0" w:color="auto"/>
      </w:divBdr>
    </w:div>
    <w:div w:id="770128772">
      <w:bodyDiv w:val="1"/>
      <w:marLeft w:val="0"/>
      <w:marRight w:val="0"/>
      <w:marTop w:val="0"/>
      <w:marBottom w:val="0"/>
      <w:divBdr>
        <w:top w:val="none" w:sz="0" w:space="0" w:color="auto"/>
        <w:left w:val="none" w:sz="0" w:space="0" w:color="auto"/>
        <w:bottom w:val="none" w:sz="0" w:space="0" w:color="auto"/>
        <w:right w:val="none" w:sz="0" w:space="0" w:color="auto"/>
      </w:divBdr>
    </w:div>
    <w:div w:id="783503017">
      <w:bodyDiv w:val="1"/>
      <w:marLeft w:val="0"/>
      <w:marRight w:val="0"/>
      <w:marTop w:val="0"/>
      <w:marBottom w:val="0"/>
      <w:divBdr>
        <w:top w:val="none" w:sz="0" w:space="0" w:color="auto"/>
        <w:left w:val="none" w:sz="0" w:space="0" w:color="auto"/>
        <w:bottom w:val="none" w:sz="0" w:space="0" w:color="auto"/>
        <w:right w:val="none" w:sz="0" w:space="0" w:color="auto"/>
      </w:divBdr>
    </w:div>
    <w:div w:id="793597279">
      <w:bodyDiv w:val="1"/>
      <w:marLeft w:val="0"/>
      <w:marRight w:val="0"/>
      <w:marTop w:val="0"/>
      <w:marBottom w:val="0"/>
      <w:divBdr>
        <w:top w:val="none" w:sz="0" w:space="0" w:color="auto"/>
        <w:left w:val="none" w:sz="0" w:space="0" w:color="auto"/>
        <w:bottom w:val="none" w:sz="0" w:space="0" w:color="auto"/>
        <w:right w:val="none" w:sz="0" w:space="0" w:color="auto"/>
      </w:divBdr>
    </w:div>
    <w:div w:id="808206081">
      <w:bodyDiv w:val="1"/>
      <w:marLeft w:val="0"/>
      <w:marRight w:val="0"/>
      <w:marTop w:val="0"/>
      <w:marBottom w:val="0"/>
      <w:divBdr>
        <w:top w:val="none" w:sz="0" w:space="0" w:color="auto"/>
        <w:left w:val="none" w:sz="0" w:space="0" w:color="auto"/>
        <w:bottom w:val="none" w:sz="0" w:space="0" w:color="auto"/>
        <w:right w:val="none" w:sz="0" w:space="0" w:color="auto"/>
      </w:divBdr>
    </w:div>
    <w:div w:id="815488223">
      <w:bodyDiv w:val="1"/>
      <w:marLeft w:val="0"/>
      <w:marRight w:val="0"/>
      <w:marTop w:val="0"/>
      <w:marBottom w:val="0"/>
      <w:divBdr>
        <w:top w:val="none" w:sz="0" w:space="0" w:color="auto"/>
        <w:left w:val="none" w:sz="0" w:space="0" w:color="auto"/>
        <w:bottom w:val="none" w:sz="0" w:space="0" w:color="auto"/>
        <w:right w:val="none" w:sz="0" w:space="0" w:color="auto"/>
      </w:divBdr>
    </w:div>
    <w:div w:id="823009371">
      <w:bodyDiv w:val="1"/>
      <w:marLeft w:val="0"/>
      <w:marRight w:val="0"/>
      <w:marTop w:val="0"/>
      <w:marBottom w:val="0"/>
      <w:divBdr>
        <w:top w:val="none" w:sz="0" w:space="0" w:color="auto"/>
        <w:left w:val="none" w:sz="0" w:space="0" w:color="auto"/>
        <w:bottom w:val="none" w:sz="0" w:space="0" w:color="auto"/>
        <w:right w:val="none" w:sz="0" w:space="0" w:color="auto"/>
      </w:divBdr>
    </w:div>
    <w:div w:id="827134709">
      <w:bodyDiv w:val="1"/>
      <w:marLeft w:val="0"/>
      <w:marRight w:val="0"/>
      <w:marTop w:val="0"/>
      <w:marBottom w:val="0"/>
      <w:divBdr>
        <w:top w:val="none" w:sz="0" w:space="0" w:color="auto"/>
        <w:left w:val="none" w:sz="0" w:space="0" w:color="auto"/>
        <w:bottom w:val="none" w:sz="0" w:space="0" w:color="auto"/>
        <w:right w:val="none" w:sz="0" w:space="0" w:color="auto"/>
      </w:divBdr>
    </w:div>
    <w:div w:id="832373512">
      <w:bodyDiv w:val="1"/>
      <w:marLeft w:val="0"/>
      <w:marRight w:val="0"/>
      <w:marTop w:val="0"/>
      <w:marBottom w:val="0"/>
      <w:divBdr>
        <w:top w:val="none" w:sz="0" w:space="0" w:color="auto"/>
        <w:left w:val="none" w:sz="0" w:space="0" w:color="auto"/>
        <w:bottom w:val="none" w:sz="0" w:space="0" w:color="auto"/>
        <w:right w:val="none" w:sz="0" w:space="0" w:color="auto"/>
      </w:divBdr>
    </w:div>
    <w:div w:id="853956221">
      <w:bodyDiv w:val="1"/>
      <w:marLeft w:val="0"/>
      <w:marRight w:val="0"/>
      <w:marTop w:val="0"/>
      <w:marBottom w:val="0"/>
      <w:divBdr>
        <w:top w:val="none" w:sz="0" w:space="0" w:color="auto"/>
        <w:left w:val="none" w:sz="0" w:space="0" w:color="auto"/>
        <w:bottom w:val="none" w:sz="0" w:space="0" w:color="auto"/>
        <w:right w:val="none" w:sz="0" w:space="0" w:color="auto"/>
      </w:divBdr>
    </w:div>
    <w:div w:id="853958464">
      <w:bodyDiv w:val="1"/>
      <w:marLeft w:val="0"/>
      <w:marRight w:val="0"/>
      <w:marTop w:val="0"/>
      <w:marBottom w:val="0"/>
      <w:divBdr>
        <w:top w:val="none" w:sz="0" w:space="0" w:color="auto"/>
        <w:left w:val="none" w:sz="0" w:space="0" w:color="auto"/>
        <w:bottom w:val="none" w:sz="0" w:space="0" w:color="auto"/>
        <w:right w:val="none" w:sz="0" w:space="0" w:color="auto"/>
      </w:divBdr>
    </w:div>
    <w:div w:id="876626273">
      <w:bodyDiv w:val="1"/>
      <w:marLeft w:val="0"/>
      <w:marRight w:val="0"/>
      <w:marTop w:val="0"/>
      <w:marBottom w:val="0"/>
      <w:divBdr>
        <w:top w:val="none" w:sz="0" w:space="0" w:color="auto"/>
        <w:left w:val="none" w:sz="0" w:space="0" w:color="auto"/>
        <w:bottom w:val="none" w:sz="0" w:space="0" w:color="auto"/>
        <w:right w:val="none" w:sz="0" w:space="0" w:color="auto"/>
      </w:divBdr>
    </w:div>
    <w:div w:id="879364488">
      <w:bodyDiv w:val="1"/>
      <w:marLeft w:val="0"/>
      <w:marRight w:val="0"/>
      <w:marTop w:val="0"/>
      <w:marBottom w:val="0"/>
      <w:divBdr>
        <w:top w:val="none" w:sz="0" w:space="0" w:color="auto"/>
        <w:left w:val="none" w:sz="0" w:space="0" w:color="auto"/>
        <w:bottom w:val="none" w:sz="0" w:space="0" w:color="auto"/>
        <w:right w:val="none" w:sz="0" w:space="0" w:color="auto"/>
      </w:divBdr>
    </w:div>
    <w:div w:id="880284334">
      <w:bodyDiv w:val="1"/>
      <w:marLeft w:val="0"/>
      <w:marRight w:val="0"/>
      <w:marTop w:val="0"/>
      <w:marBottom w:val="0"/>
      <w:divBdr>
        <w:top w:val="none" w:sz="0" w:space="0" w:color="auto"/>
        <w:left w:val="none" w:sz="0" w:space="0" w:color="auto"/>
        <w:bottom w:val="none" w:sz="0" w:space="0" w:color="auto"/>
        <w:right w:val="none" w:sz="0" w:space="0" w:color="auto"/>
      </w:divBdr>
    </w:div>
    <w:div w:id="880898927">
      <w:bodyDiv w:val="1"/>
      <w:marLeft w:val="0"/>
      <w:marRight w:val="0"/>
      <w:marTop w:val="0"/>
      <w:marBottom w:val="0"/>
      <w:divBdr>
        <w:top w:val="none" w:sz="0" w:space="0" w:color="auto"/>
        <w:left w:val="none" w:sz="0" w:space="0" w:color="auto"/>
        <w:bottom w:val="none" w:sz="0" w:space="0" w:color="auto"/>
        <w:right w:val="none" w:sz="0" w:space="0" w:color="auto"/>
      </w:divBdr>
    </w:div>
    <w:div w:id="886649518">
      <w:bodyDiv w:val="1"/>
      <w:marLeft w:val="0"/>
      <w:marRight w:val="0"/>
      <w:marTop w:val="0"/>
      <w:marBottom w:val="0"/>
      <w:divBdr>
        <w:top w:val="none" w:sz="0" w:space="0" w:color="auto"/>
        <w:left w:val="none" w:sz="0" w:space="0" w:color="auto"/>
        <w:bottom w:val="none" w:sz="0" w:space="0" w:color="auto"/>
        <w:right w:val="none" w:sz="0" w:space="0" w:color="auto"/>
      </w:divBdr>
    </w:div>
    <w:div w:id="891887898">
      <w:bodyDiv w:val="1"/>
      <w:marLeft w:val="0"/>
      <w:marRight w:val="0"/>
      <w:marTop w:val="0"/>
      <w:marBottom w:val="0"/>
      <w:divBdr>
        <w:top w:val="none" w:sz="0" w:space="0" w:color="auto"/>
        <w:left w:val="none" w:sz="0" w:space="0" w:color="auto"/>
        <w:bottom w:val="none" w:sz="0" w:space="0" w:color="auto"/>
        <w:right w:val="none" w:sz="0" w:space="0" w:color="auto"/>
      </w:divBdr>
    </w:div>
    <w:div w:id="892545685">
      <w:bodyDiv w:val="1"/>
      <w:marLeft w:val="0"/>
      <w:marRight w:val="0"/>
      <w:marTop w:val="0"/>
      <w:marBottom w:val="0"/>
      <w:divBdr>
        <w:top w:val="none" w:sz="0" w:space="0" w:color="auto"/>
        <w:left w:val="none" w:sz="0" w:space="0" w:color="auto"/>
        <w:bottom w:val="none" w:sz="0" w:space="0" w:color="auto"/>
        <w:right w:val="none" w:sz="0" w:space="0" w:color="auto"/>
      </w:divBdr>
    </w:div>
    <w:div w:id="897010997">
      <w:bodyDiv w:val="1"/>
      <w:marLeft w:val="0"/>
      <w:marRight w:val="0"/>
      <w:marTop w:val="0"/>
      <w:marBottom w:val="0"/>
      <w:divBdr>
        <w:top w:val="none" w:sz="0" w:space="0" w:color="auto"/>
        <w:left w:val="none" w:sz="0" w:space="0" w:color="auto"/>
        <w:bottom w:val="none" w:sz="0" w:space="0" w:color="auto"/>
        <w:right w:val="none" w:sz="0" w:space="0" w:color="auto"/>
      </w:divBdr>
    </w:div>
    <w:div w:id="914053732">
      <w:bodyDiv w:val="1"/>
      <w:marLeft w:val="0"/>
      <w:marRight w:val="0"/>
      <w:marTop w:val="0"/>
      <w:marBottom w:val="0"/>
      <w:divBdr>
        <w:top w:val="none" w:sz="0" w:space="0" w:color="auto"/>
        <w:left w:val="none" w:sz="0" w:space="0" w:color="auto"/>
        <w:bottom w:val="none" w:sz="0" w:space="0" w:color="auto"/>
        <w:right w:val="none" w:sz="0" w:space="0" w:color="auto"/>
      </w:divBdr>
      <w:divsChild>
        <w:div w:id="418137835">
          <w:marLeft w:val="0"/>
          <w:marRight w:val="0"/>
          <w:marTop w:val="0"/>
          <w:marBottom w:val="0"/>
          <w:divBdr>
            <w:top w:val="none" w:sz="0" w:space="0" w:color="auto"/>
            <w:left w:val="none" w:sz="0" w:space="0" w:color="auto"/>
            <w:bottom w:val="none" w:sz="0" w:space="0" w:color="auto"/>
            <w:right w:val="none" w:sz="0" w:space="0" w:color="auto"/>
          </w:divBdr>
        </w:div>
      </w:divsChild>
    </w:div>
    <w:div w:id="916590888">
      <w:bodyDiv w:val="1"/>
      <w:marLeft w:val="0"/>
      <w:marRight w:val="0"/>
      <w:marTop w:val="0"/>
      <w:marBottom w:val="0"/>
      <w:divBdr>
        <w:top w:val="none" w:sz="0" w:space="0" w:color="auto"/>
        <w:left w:val="none" w:sz="0" w:space="0" w:color="auto"/>
        <w:bottom w:val="none" w:sz="0" w:space="0" w:color="auto"/>
        <w:right w:val="none" w:sz="0" w:space="0" w:color="auto"/>
      </w:divBdr>
    </w:div>
    <w:div w:id="926885940">
      <w:bodyDiv w:val="1"/>
      <w:marLeft w:val="0"/>
      <w:marRight w:val="0"/>
      <w:marTop w:val="0"/>
      <w:marBottom w:val="0"/>
      <w:divBdr>
        <w:top w:val="none" w:sz="0" w:space="0" w:color="auto"/>
        <w:left w:val="none" w:sz="0" w:space="0" w:color="auto"/>
        <w:bottom w:val="none" w:sz="0" w:space="0" w:color="auto"/>
        <w:right w:val="none" w:sz="0" w:space="0" w:color="auto"/>
      </w:divBdr>
      <w:divsChild>
        <w:div w:id="975062177">
          <w:marLeft w:val="0"/>
          <w:marRight w:val="0"/>
          <w:marTop w:val="0"/>
          <w:marBottom w:val="0"/>
          <w:divBdr>
            <w:top w:val="none" w:sz="0" w:space="0" w:color="auto"/>
            <w:left w:val="none" w:sz="0" w:space="0" w:color="auto"/>
            <w:bottom w:val="none" w:sz="0" w:space="0" w:color="auto"/>
            <w:right w:val="none" w:sz="0" w:space="0" w:color="auto"/>
          </w:divBdr>
        </w:div>
        <w:div w:id="1868909431">
          <w:marLeft w:val="0"/>
          <w:marRight w:val="0"/>
          <w:marTop w:val="0"/>
          <w:marBottom w:val="0"/>
          <w:divBdr>
            <w:top w:val="none" w:sz="0" w:space="0" w:color="auto"/>
            <w:left w:val="none" w:sz="0" w:space="0" w:color="auto"/>
            <w:bottom w:val="none" w:sz="0" w:space="0" w:color="auto"/>
            <w:right w:val="none" w:sz="0" w:space="0" w:color="auto"/>
          </w:divBdr>
        </w:div>
      </w:divsChild>
    </w:div>
    <w:div w:id="929504005">
      <w:bodyDiv w:val="1"/>
      <w:marLeft w:val="0"/>
      <w:marRight w:val="0"/>
      <w:marTop w:val="0"/>
      <w:marBottom w:val="0"/>
      <w:divBdr>
        <w:top w:val="none" w:sz="0" w:space="0" w:color="auto"/>
        <w:left w:val="none" w:sz="0" w:space="0" w:color="auto"/>
        <w:bottom w:val="none" w:sz="0" w:space="0" w:color="auto"/>
        <w:right w:val="none" w:sz="0" w:space="0" w:color="auto"/>
      </w:divBdr>
    </w:div>
    <w:div w:id="952055841">
      <w:bodyDiv w:val="1"/>
      <w:marLeft w:val="0"/>
      <w:marRight w:val="0"/>
      <w:marTop w:val="0"/>
      <w:marBottom w:val="0"/>
      <w:divBdr>
        <w:top w:val="none" w:sz="0" w:space="0" w:color="auto"/>
        <w:left w:val="none" w:sz="0" w:space="0" w:color="auto"/>
        <w:bottom w:val="none" w:sz="0" w:space="0" w:color="auto"/>
        <w:right w:val="none" w:sz="0" w:space="0" w:color="auto"/>
      </w:divBdr>
    </w:div>
    <w:div w:id="955067619">
      <w:bodyDiv w:val="1"/>
      <w:marLeft w:val="0"/>
      <w:marRight w:val="0"/>
      <w:marTop w:val="0"/>
      <w:marBottom w:val="0"/>
      <w:divBdr>
        <w:top w:val="none" w:sz="0" w:space="0" w:color="auto"/>
        <w:left w:val="none" w:sz="0" w:space="0" w:color="auto"/>
        <w:bottom w:val="none" w:sz="0" w:space="0" w:color="auto"/>
        <w:right w:val="none" w:sz="0" w:space="0" w:color="auto"/>
      </w:divBdr>
    </w:div>
    <w:div w:id="969820692">
      <w:bodyDiv w:val="1"/>
      <w:marLeft w:val="0"/>
      <w:marRight w:val="0"/>
      <w:marTop w:val="0"/>
      <w:marBottom w:val="0"/>
      <w:divBdr>
        <w:top w:val="none" w:sz="0" w:space="0" w:color="auto"/>
        <w:left w:val="none" w:sz="0" w:space="0" w:color="auto"/>
        <w:bottom w:val="none" w:sz="0" w:space="0" w:color="auto"/>
        <w:right w:val="none" w:sz="0" w:space="0" w:color="auto"/>
      </w:divBdr>
    </w:div>
    <w:div w:id="976841302">
      <w:bodyDiv w:val="1"/>
      <w:marLeft w:val="0"/>
      <w:marRight w:val="0"/>
      <w:marTop w:val="0"/>
      <w:marBottom w:val="0"/>
      <w:divBdr>
        <w:top w:val="none" w:sz="0" w:space="0" w:color="auto"/>
        <w:left w:val="none" w:sz="0" w:space="0" w:color="auto"/>
        <w:bottom w:val="none" w:sz="0" w:space="0" w:color="auto"/>
        <w:right w:val="none" w:sz="0" w:space="0" w:color="auto"/>
      </w:divBdr>
    </w:div>
    <w:div w:id="985596208">
      <w:bodyDiv w:val="1"/>
      <w:marLeft w:val="0"/>
      <w:marRight w:val="0"/>
      <w:marTop w:val="0"/>
      <w:marBottom w:val="0"/>
      <w:divBdr>
        <w:top w:val="none" w:sz="0" w:space="0" w:color="auto"/>
        <w:left w:val="none" w:sz="0" w:space="0" w:color="auto"/>
        <w:bottom w:val="none" w:sz="0" w:space="0" w:color="auto"/>
        <w:right w:val="none" w:sz="0" w:space="0" w:color="auto"/>
      </w:divBdr>
    </w:div>
    <w:div w:id="1003970999">
      <w:bodyDiv w:val="1"/>
      <w:marLeft w:val="0"/>
      <w:marRight w:val="0"/>
      <w:marTop w:val="0"/>
      <w:marBottom w:val="0"/>
      <w:divBdr>
        <w:top w:val="none" w:sz="0" w:space="0" w:color="auto"/>
        <w:left w:val="none" w:sz="0" w:space="0" w:color="auto"/>
        <w:bottom w:val="none" w:sz="0" w:space="0" w:color="auto"/>
        <w:right w:val="none" w:sz="0" w:space="0" w:color="auto"/>
      </w:divBdr>
    </w:div>
    <w:div w:id="1013259945">
      <w:bodyDiv w:val="1"/>
      <w:marLeft w:val="0"/>
      <w:marRight w:val="0"/>
      <w:marTop w:val="0"/>
      <w:marBottom w:val="0"/>
      <w:divBdr>
        <w:top w:val="none" w:sz="0" w:space="0" w:color="auto"/>
        <w:left w:val="none" w:sz="0" w:space="0" w:color="auto"/>
        <w:bottom w:val="none" w:sz="0" w:space="0" w:color="auto"/>
        <w:right w:val="none" w:sz="0" w:space="0" w:color="auto"/>
      </w:divBdr>
    </w:div>
    <w:div w:id="1013262170">
      <w:bodyDiv w:val="1"/>
      <w:marLeft w:val="0"/>
      <w:marRight w:val="0"/>
      <w:marTop w:val="0"/>
      <w:marBottom w:val="0"/>
      <w:divBdr>
        <w:top w:val="none" w:sz="0" w:space="0" w:color="auto"/>
        <w:left w:val="none" w:sz="0" w:space="0" w:color="auto"/>
        <w:bottom w:val="none" w:sz="0" w:space="0" w:color="auto"/>
        <w:right w:val="none" w:sz="0" w:space="0" w:color="auto"/>
      </w:divBdr>
    </w:div>
    <w:div w:id="1034161749">
      <w:bodyDiv w:val="1"/>
      <w:marLeft w:val="0"/>
      <w:marRight w:val="0"/>
      <w:marTop w:val="0"/>
      <w:marBottom w:val="0"/>
      <w:divBdr>
        <w:top w:val="none" w:sz="0" w:space="0" w:color="auto"/>
        <w:left w:val="none" w:sz="0" w:space="0" w:color="auto"/>
        <w:bottom w:val="none" w:sz="0" w:space="0" w:color="auto"/>
        <w:right w:val="none" w:sz="0" w:space="0" w:color="auto"/>
      </w:divBdr>
    </w:div>
    <w:div w:id="1053384334">
      <w:bodyDiv w:val="1"/>
      <w:marLeft w:val="0"/>
      <w:marRight w:val="0"/>
      <w:marTop w:val="0"/>
      <w:marBottom w:val="0"/>
      <w:divBdr>
        <w:top w:val="none" w:sz="0" w:space="0" w:color="auto"/>
        <w:left w:val="none" w:sz="0" w:space="0" w:color="auto"/>
        <w:bottom w:val="none" w:sz="0" w:space="0" w:color="auto"/>
        <w:right w:val="none" w:sz="0" w:space="0" w:color="auto"/>
      </w:divBdr>
    </w:div>
    <w:div w:id="1064136049">
      <w:bodyDiv w:val="1"/>
      <w:marLeft w:val="0"/>
      <w:marRight w:val="0"/>
      <w:marTop w:val="0"/>
      <w:marBottom w:val="0"/>
      <w:divBdr>
        <w:top w:val="none" w:sz="0" w:space="0" w:color="auto"/>
        <w:left w:val="none" w:sz="0" w:space="0" w:color="auto"/>
        <w:bottom w:val="none" w:sz="0" w:space="0" w:color="auto"/>
        <w:right w:val="none" w:sz="0" w:space="0" w:color="auto"/>
      </w:divBdr>
    </w:div>
    <w:div w:id="1066296552">
      <w:bodyDiv w:val="1"/>
      <w:marLeft w:val="0"/>
      <w:marRight w:val="0"/>
      <w:marTop w:val="0"/>
      <w:marBottom w:val="0"/>
      <w:divBdr>
        <w:top w:val="none" w:sz="0" w:space="0" w:color="auto"/>
        <w:left w:val="none" w:sz="0" w:space="0" w:color="auto"/>
        <w:bottom w:val="none" w:sz="0" w:space="0" w:color="auto"/>
        <w:right w:val="none" w:sz="0" w:space="0" w:color="auto"/>
      </w:divBdr>
    </w:div>
    <w:div w:id="1070956003">
      <w:bodyDiv w:val="1"/>
      <w:marLeft w:val="0"/>
      <w:marRight w:val="0"/>
      <w:marTop w:val="0"/>
      <w:marBottom w:val="0"/>
      <w:divBdr>
        <w:top w:val="none" w:sz="0" w:space="0" w:color="auto"/>
        <w:left w:val="none" w:sz="0" w:space="0" w:color="auto"/>
        <w:bottom w:val="none" w:sz="0" w:space="0" w:color="auto"/>
        <w:right w:val="none" w:sz="0" w:space="0" w:color="auto"/>
      </w:divBdr>
    </w:div>
    <w:div w:id="1078552017">
      <w:bodyDiv w:val="1"/>
      <w:marLeft w:val="0"/>
      <w:marRight w:val="0"/>
      <w:marTop w:val="0"/>
      <w:marBottom w:val="0"/>
      <w:divBdr>
        <w:top w:val="none" w:sz="0" w:space="0" w:color="auto"/>
        <w:left w:val="none" w:sz="0" w:space="0" w:color="auto"/>
        <w:bottom w:val="none" w:sz="0" w:space="0" w:color="auto"/>
        <w:right w:val="none" w:sz="0" w:space="0" w:color="auto"/>
      </w:divBdr>
    </w:div>
    <w:div w:id="1080056977">
      <w:bodyDiv w:val="1"/>
      <w:marLeft w:val="0"/>
      <w:marRight w:val="0"/>
      <w:marTop w:val="0"/>
      <w:marBottom w:val="0"/>
      <w:divBdr>
        <w:top w:val="none" w:sz="0" w:space="0" w:color="auto"/>
        <w:left w:val="none" w:sz="0" w:space="0" w:color="auto"/>
        <w:bottom w:val="none" w:sz="0" w:space="0" w:color="auto"/>
        <w:right w:val="none" w:sz="0" w:space="0" w:color="auto"/>
      </w:divBdr>
    </w:div>
    <w:div w:id="1081416946">
      <w:bodyDiv w:val="1"/>
      <w:marLeft w:val="0"/>
      <w:marRight w:val="0"/>
      <w:marTop w:val="0"/>
      <w:marBottom w:val="0"/>
      <w:divBdr>
        <w:top w:val="none" w:sz="0" w:space="0" w:color="auto"/>
        <w:left w:val="none" w:sz="0" w:space="0" w:color="auto"/>
        <w:bottom w:val="none" w:sz="0" w:space="0" w:color="auto"/>
        <w:right w:val="none" w:sz="0" w:space="0" w:color="auto"/>
      </w:divBdr>
    </w:div>
    <w:div w:id="1095438679">
      <w:bodyDiv w:val="1"/>
      <w:marLeft w:val="0"/>
      <w:marRight w:val="0"/>
      <w:marTop w:val="0"/>
      <w:marBottom w:val="0"/>
      <w:divBdr>
        <w:top w:val="none" w:sz="0" w:space="0" w:color="auto"/>
        <w:left w:val="none" w:sz="0" w:space="0" w:color="auto"/>
        <w:bottom w:val="none" w:sz="0" w:space="0" w:color="auto"/>
        <w:right w:val="none" w:sz="0" w:space="0" w:color="auto"/>
      </w:divBdr>
    </w:div>
    <w:div w:id="1097477998">
      <w:bodyDiv w:val="1"/>
      <w:marLeft w:val="0"/>
      <w:marRight w:val="0"/>
      <w:marTop w:val="0"/>
      <w:marBottom w:val="0"/>
      <w:divBdr>
        <w:top w:val="none" w:sz="0" w:space="0" w:color="auto"/>
        <w:left w:val="none" w:sz="0" w:space="0" w:color="auto"/>
        <w:bottom w:val="none" w:sz="0" w:space="0" w:color="auto"/>
        <w:right w:val="none" w:sz="0" w:space="0" w:color="auto"/>
      </w:divBdr>
    </w:div>
    <w:div w:id="1106072944">
      <w:bodyDiv w:val="1"/>
      <w:marLeft w:val="0"/>
      <w:marRight w:val="0"/>
      <w:marTop w:val="0"/>
      <w:marBottom w:val="0"/>
      <w:divBdr>
        <w:top w:val="none" w:sz="0" w:space="0" w:color="auto"/>
        <w:left w:val="none" w:sz="0" w:space="0" w:color="auto"/>
        <w:bottom w:val="none" w:sz="0" w:space="0" w:color="auto"/>
        <w:right w:val="none" w:sz="0" w:space="0" w:color="auto"/>
      </w:divBdr>
    </w:div>
    <w:div w:id="1136600754">
      <w:bodyDiv w:val="1"/>
      <w:marLeft w:val="0"/>
      <w:marRight w:val="0"/>
      <w:marTop w:val="0"/>
      <w:marBottom w:val="0"/>
      <w:divBdr>
        <w:top w:val="none" w:sz="0" w:space="0" w:color="auto"/>
        <w:left w:val="none" w:sz="0" w:space="0" w:color="auto"/>
        <w:bottom w:val="none" w:sz="0" w:space="0" w:color="auto"/>
        <w:right w:val="none" w:sz="0" w:space="0" w:color="auto"/>
      </w:divBdr>
    </w:div>
    <w:div w:id="1136726522">
      <w:bodyDiv w:val="1"/>
      <w:marLeft w:val="0"/>
      <w:marRight w:val="0"/>
      <w:marTop w:val="0"/>
      <w:marBottom w:val="0"/>
      <w:divBdr>
        <w:top w:val="none" w:sz="0" w:space="0" w:color="auto"/>
        <w:left w:val="none" w:sz="0" w:space="0" w:color="auto"/>
        <w:bottom w:val="none" w:sz="0" w:space="0" w:color="auto"/>
        <w:right w:val="none" w:sz="0" w:space="0" w:color="auto"/>
      </w:divBdr>
    </w:div>
    <w:div w:id="1152520427">
      <w:bodyDiv w:val="1"/>
      <w:marLeft w:val="0"/>
      <w:marRight w:val="0"/>
      <w:marTop w:val="0"/>
      <w:marBottom w:val="0"/>
      <w:divBdr>
        <w:top w:val="none" w:sz="0" w:space="0" w:color="auto"/>
        <w:left w:val="none" w:sz="0" w:space="0" w:color="auto"/>
        <w:bottom w:val="none" w:sz="0" w:space="0" w:color="auto"/>
        <w:right w:val="none" w:sz="0" w:space="0" w:color="auto"/>
      </w:divBdr>
    </w:div>
    <w:div w:id="1152599982">
      <w:bodyDiv w:val="1"/>
      <w:marLeft w:val="0"/>
      <w:marRight w:val="0"/>
      <w:marTop w:val="0"/>
      <w:marBottom w:val="0"/>
      <w:divBdr>
        <w:top w:val="none" w:sz="0" w:space="0" w:color="auto"/>
        <w:left w:val="none" w:sz="0" w:space="0" w:color="auto"/>
        <w:bottom w:val="none" w:sz="0" w:space="0" w:color="auto"/>
        <w:right w:val="none" w:sz="0" w:space="0" w:color="auto"/>
      </w:divBdr>
    </w:div>
    <w:div w:id="1152795259">
      <w:bodyDiv w:val="1"/>
      <w:marLeft w:val="0"/>
      <w:marRight w:val="0"/>
      <w:marTop w:val="0"/>
      <w:marBottom w:val="0"/>
      <w:divBdr>
        <w:top w:val="none" w:sz="0" w:space="0" w:color="auto"/>
        <w:left w:val="none" w:sz="0" w:space="0" w:color="auto"/>
        <w:bottom w:val="none" w:sz="0" w:space="0" w:color="auto"/>
        <w:right w:val="none" w:sz="0" w:space="0" w:color="auto"/>
      </w:divBdr>
    </w:div>
    <w:div w:id="1163009592">
      <w:bodyDiv w:val="1"/>
      <w:marLeft w:val="0"/>
      <w:marRight w:val="0"/>
      <w:marTop w:val="0"/>
      <w:marBottom w:val="0"/>
      <w:divBdr>
        <w:top w:val="none" w:sz="0" w:space="0" w:color="auto"/>
        <w:left w:val="none" w:sz="0" w:space="0" w:color="auto"/>
        <w:bottom w:val="none" w:sz="0" w:space="0" w:color="auto"/>
        <w:right w:val="none" w:sz="0" w:space="0" w:color="auto"/>
      </w:divBdr>
      <w:divsChild>
        <w:div w:id="462623352">
          <w:marLeft w:val="0"/>
          <w:marRight w:val="0"/>
          <w:marTop w:val="0"/>
          <w:marBottom w:val="0"/>
          <w:divBdr>
            <w:top w:val="none" w:sz="0" w:space="0" w:color="auto"/>
            <w:left w:val="none" w:sz="0" w:space="0" w:color="auto"/>
            <w:bottom w:val="none" w:sz="0" w:space="0" w:color="auto"/>
            <w:right w:val="none" w:sz="0" w:space="0" w:color="auto"/>
          </w:divBdr>
        </w:div>
        <w:div w:id="954167528">
          <w:marLeft w:val="0"/>
          <w:marRight w:val="0"/>
          <w:marTop w:val="0"/>
          <w:marBottom w:val="0"/>
          <w:divBdr>
            <w:top w:val="none" w:sz="0" w:space="0" w:color="auto"/>
            <w:left w:val="none" w:sz="0" w:space="0" w:color="auto"/>
            <w:bottom w:val="none" w:sz="0" w:space="0" w:color="auto"/>
            <w:right w:val="none" w:sz="0" w:space="0" w:color="auto"/>
          </w:divBdr>
        </w:div>
        <w:div w:id="1121076137">
          <w:marLeft w:val="0"/>
          <w:marRight w:val="0"/>
          <w:marTop w:val="0"/>
          <w:marBottom w:val="0"/>
          <w:divBdr>
            <w:top w:val="none" w:sz="0" w:space="0" w:color="auto"/>
            <w:left w:val="none" w:sz="0" w:space="0" w:color="auto"/>
            <w:bottom w:val="none" w:sz="0" w:space="0" w:color="auto"/>
            <w:right w:val="none" w:sz="0" w:space="0" w:color="auto"/>
          </w:divBdr>
          <w:divsChild>
            <w:div w:id="1859342610">
              <w:marLeft w:val="0"/>
              <w:marRight w:val="0"/>
              <w:marTop w:val="0"/>
              <w:marBottom w:val="0"/>
              <w:divBdr>
                <w:top w:val="none" w:sz="0" w:space="0" w:color="auto"/>
                <w:left w:val="none" w:sz="0" w:space="0" w:color="auto"/>
                <w:bottom w:val="none" w:sz="0" w:space="0" w:color="auto"/>
                <w:right w:val="none" w:sz="0" w:space="0" w:color="auto"/>
              </w:divBdr>
              <w:divsChild>
                <w:div w:id="1331370782">
                  <w:marLeft w:val="0"/>
                  <w:marRight w:val="0"/>
                  <w:marTop w:val="0"/>
                  <w:marBottom w:val="0"/>
                  <w:divBdr>
                    <w:top w:val="none" w:sz="0" w:space="0" w:color="auto"/>
                    <w:left w:val="none" w:sz="0" w:space="0" w:color="auto"/>
                    <w:bottom w:val="none" w:sz="0" w:space="0" w:color="auto"/>
                    <w:right w:val="none" w:sz="0" w:space="0" w:color="auto"/>
                  </w:divBdr>
                </w:div>
                <w:div w:id="1856918796">
                  <w:marLeft w:val="0"/>
                  <w:marRight w:val="0"/>
                  <w:marTop w:val="0"/>
                  <w:marBottom w:val="0"/>
                  <w:divBdr>
                    <w:top w:val="none" w:sz="0" w:space="0" w:color="auto"/>
                    <w:left w:val="none" w:sz="0" w:space="0" w:color="auto"/>
                    <w:bottom w:val="none" w:sz="0" w:space="0" w:color="auto"/>
                    <w:right w:val="none" w:sz="0" w:space="0" w:color="auto"/>
                  </w:divBdr>
                  <w:divsChild>
                    <w:div w:id="76828744">
                      <w:marLeft w:val="0"/>
                      <w:marRight w:val="0"/>
                      <w:marTop w:val="0"/>
                      <w:marBottom w:val="0"/>
                      <w:divBdr>
                        <w:top w:val="none" w:sz="0" w:space="0" w:color="auto"/>
                        <w:left w:val="none" w:sz="0" w:space="0" w:color="auto"/>
                        <w:bottom w:val="none" w:sz="0" w:space="0" w:color="auto"/>
                        <w:right w:val="none" w:sz="0" w:space="0" w:color="auto"/>
                      </w:divBdr>
                    </w:div>
                    <w:div w:id="2154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18917">
      <w:bodyDiv w:val="1"/>
      <w:marLeft w:val="0"/>
      <w:marRight w:val="0"/>
      <w:marTop w:val="0"/>
      <w:marBottom w:val="0"/>
      <w:divBdr>
        <w:top w:val="none" w:sz="0" w:space="0" w:color="auto"/>
        <w:left w:val="none" w:sz="0" w:space="0" w:color="auto"/>
        <w:bottom w:val="none" w:sz="0" w:space="0" w:color="auto"/>
        <w:right w:val="none" w:sz="0" w:space="0" w:color="auto"/>
      </w:divBdr>
    </w:div>
    <w:div w:id="1165439745">
      <w:bodyDiv w:val="1"/>
      <w:marLeft w:val="0"/>
      <w:marRight w:val="0"/>
      <w:marTop w:val="0"/>
      <w:marBottom w:val="0"/>
      <w:divBdr>
        <w:top w:val="none" w:sz="0" w:space="0" w:color="auto"/>
        <w:left w:val="none" w:sz="0" w:space="0" w:color="auto"/>
        <w:bottom w:val="none" w:sz="0" w:space="0" w:color="auto"/>
        <w:right w:val="none" w:sz="0" w:space="0" w:color="auto"/>
      </w:divBdr>
    </w:div>
    <w:div w:id="1182739008">
      <w:bodyDiv w:val="1"/>
      <w:marLeft w:val="0"/>
      <w:marRight w:val="0"/>
      <w:marTop w:val="0"/>
      <w:marBottom w:val="0"/>
      <w:divBdr>
        <w:top w:val="none" w:sz="0" w:space="0" w:color="auto"/>
        <w:left w:val="none" w:sz="0" w:space="0" w:color="auto"/>
        <w:bottom w:val="none" w:sz="0" w:space="0" w:color="auto"/>
        <w:right w:val="none" w:sz="0" w:space="0" w:color="auto"/>
      </w:divBdr>
    </w:div>
    <w:div w:id="1187865327">
      <w:bodyDiv w:val="1"/>
      <w:marLeft w:val="0"/>
      <w:marRight w:val="0"/>
      <w:marTop w:val="0"/>
      <w:marBottom w:val="0"/>
      <w:divBdr>
        <w:top w:val="none" w:sz="0" w:space="0" w:color="auto"/>
        <w:left w:val="none" w:sz="0" w:space="0" w:color="auto"/>
        <w:bottom w:val="none" w:sz="0" w:space="0" w:color="auto"/>
        <w:right w:val="none" w:sz="0" w:space="0" w:color="auto"/>
      </w:divBdr>
    </w:div>
    <w:div w:id="1189102774">
      <w:bodyDiv w:val="1"/>
      <w:marLeft w:val="0"/>
      <w:marRight w:val="0"/>
      <w:marTop w:val="0"/>
      <w:marBottom w:val="0"/>
      <w:divBdr>
        <w:top w:val="none" w:sz="0" w:space="0" w:color="auto"/>
        <w:left w:val="none" w:sz="0" w:space="0" w:color="auto"/>
        <w:bottom w:val="none" w:sz="0" w:space="0" w:color="auto"/>
        <w:right w:val="none" w:sz="0" w:space="0" w:color="auto"/>
      </w:divBdr>
    </w:div>
    <w:div w:id="1201866607">
      <w:bodyDiv w:val="1"/>
      <w:marLeft w:val="0"/>
      <w:marRight w:val="0"/>
      <w:marTop w:val="0"/>
      <w:marBottom w:val="0"/>
      <w:divBdr>
        <w:top w:val="none" w:sz="0" w:space="0" w:color="auto"/>
        <w:left w:val="none" w:sz="0" w:space="0" w:color="auto"/>
        <w:bottom w:val="none" w:sz="0" w:space="0" w:color="auto"/>
        <w:right w:val="none" w:sz="0" w:space="0" w:color="auto"/>
      </w:divBdr>
    </w:div>
    <w:div w:id="1210603932">
      <w:bodyDiv w:val="1"/>
      <w:marLeft w:val="0"/>
      <w:marRight w:val="0"/>
      <w:marTop w:val="0"/>
      <w:marBottom w:val="0"/>
      <w:divBdr>
        <w:top w:val="none" w:sz="0" w:space="0" w:color="auto"/>
        <w:left w:val="none" w:sz="0" w:space="0" w:color="auto"/>
        <w:bottom w:val="none" w:sz="0" w:space="0" w:color="auto"/>
        <w:right w:val="none" w:sz="0" w:space="0" w:color="auto"/>
      </w:divBdr>
    </w:div>
    <w:div w:id="1212766678">
      <w:bodyDiv w:val="1"/>
      <w:marLeft w:val="0"/>
      <w:marRight w:val="0"/>
      <w:marTop w:val="0"/>
      <w:marBottom w:val="0"/>
      <w:divBdr>
        <w:top w:val="none" w:sz="0" w:space="0" w:color="auto"/>
        <w:left w:val="none" w:sz="0" w:space="0" w:color="auto"/>
        <w:bottom w:val="none" w:sz="0" w:space="0" w:color="auto"/>
        <w:right w:val="none" w:sz="0" w:space="0" w:color="auto"/>
      </w:divBdr>
      <w:divsChild>
        <w:div w:id="272827798">
          <w:marLeft w:val="0"/>
          <w:marRight w:val="0"/>
          <w:marTop w:val="240"/>
          <w:marBottom w:val="0"/>
          <w:divBdr>
            <w:top w:val="none" w:sz="0" w:space="0" w:color="auto"/>
            <w:left w:val="none" w:sz="0" w:space="0" w:color="auto"/>
            <w:bottom w:val="none" w:sz="0" w:space="0" w:color="auto"/>
            <w:right w:val="none" w:sz="0" w:space="0" w:color="auto"/>
          </w:divBdr>
        </w:div>
      </w:divsChild>
    </w:div>
    <w:div w:id="1239245397">
      <w:bodyDiv w:val="1"/>
      <w:marLeft w:val="0"/>
      <w:marRight w:val="0"/>
      <w:marTop w:val="0"/>
      <w:marBottom w:val="0"/>
      <w:divBdr>
        <w:top w:val="none" w:sz="0" w:space="0" w:color="auto"/>
        <w:left w:val="none" w:sz="0" w:space="0" w:color="auto"/>
        <w:bottom w:val="none" w:sz="0" w:space="0" w:color="auto"/>
        <w:right w:val="none" w:sz="0" w:space="0" w:color="auto"/>
      </w:divBdr>
    </w:div>
    <w:div w:id="1241645064">
      <w:bodyDiv w:val="1"/>
      <w:marLeft w:val="0"/>
      <w:marRight w:val="0"/>
      <w:marTop w:val="0"/>
      <w:marBottom w:val="0"/>
      <w:divBdr>
        <w:top w:val="none" w:sz="0" w:space="0" w:color="auto"/>
        <w:left w:val="none" w:sz="0" w:space="0" w:color="auto"/>
        <w:bottom w:val="none" w:sz="0" w:space="0" w:color="auto"/>
        <w:right w:val="none" w:sz="0" w:space="0" w:color="auto"/>
      </w:divBdr>
    </w:div>
    <w:div w:id="1243222911">
      <w:bodyDiv w:val="1"/>
      <w:marLeft w:val="0"/>
      <w:marRight w:val="0"/>
      <w:marTop w:val="0"/>
      <w:marBottom w:val="0"/>
      <w:divBdr>
        <w:top w:val="none" w:sz="0" w:space="0" w:color="auto"/>
        <w:left w:val="none" w:sz="0" w:space="0" w:color="auto"/>
        <w:bottom w:val="none" w:sz="0" w:space="0" w:color="auto"/>
        <w:right w:val="none" w:sz="0" w:space="0" w:color="auto"/>
      </w:divBdr>
    </w:div>
    <w:div w:id="1251692295">
      <w:bodyDiv w:val="1"/>
      <w:marLeft w:val="0"/>
      <w:marRight w:val="0"/>
      <w:marTop w:val="0"/>
      <w:marBottom w:val="0"/>
      <w:divBdr>
        <w:top w:val="none" w:sz="0" w:space="0" w:color="auto"/>
        <w:left w:val="none" w:sz="0" w:space="0" w:color="auto"/>
        <w:bottom w:val="none" w:sz="0" w:space="0" w:color="auto"/>
        <w:right w:val="none" w:sz="0" w:space="0" w:color="auto"/>
      </w:divBdr>
    </w:div>
    <w:div w:id="1252813893">
      <w:bodyDiv w:val="1"/>
      <w:marLeft w:val="0"/>
      <w:marRight w:val="0"/>
      <w:marTop w:val="0"/>
      <w:marBottom w:val="0"/>
      <w:divBdr>
        <w:top w:val="none" w:sz="0" w:space="0" w:color="auto"/>
        <w:left w:val="none" w:sz="0" w:space="0" w:color="auto"/>
        <w:bottom w:val="none" w:sz="0" w:space="0" w:color="auto"/>
        <w:right w:val="none" w:sz="0" w:space="0" w:color="auto"/>
      </w:divBdr>
      <w:divsChild>
        <w:div w:id="83887216">
          <w:marLeft w:val="0"/>
          <w:marRight w:val="0"/>
          <w:marTop w:val="0"/>
          <w:marBottom w:val="0"/>
          <w:divBdr>
            <w:top w:val="none" w:sz="0" w:space="0" w:color="auto"/>
            <w:left w:val="none" w:sz="0" w:space="0" w:color="auto"/>
            <w:bottom w:val="none" w:sz="0" w:space="0" w:color="auto"/>
            <w:right w:val="none" w:sz="0" w:space="0" w:color="auto"/>
          </w:divBdr>
        </w:div>
        <w:div w:id="563954933">
          <w:marLeft w:val="0"/>
          <w:marRight w:val="0"/>
          <w:marTop w:val="0"/>
          <w:marBottom w:val="0"/>
          <w:divBdr>
            <w:top w:val="none" w:sz="0" w:space="0" w:color="auto"/>
            <w:left w:val="none" w:sz="0" w:space="0" w:color="auto"/>
            <w:bottom w:val="none" w:sz="0" w:space="0" w:color="auto"/>
            <w:right w:val="none" w:sz="0" w:space="0" w:color="auto"/>
          </w:divBdr>
        </w:div>
      </w:divsChild>
    </w:div>
    <w:div w:id="1277981522">
      <w:bodyDiv w:val="1"/>
      <w:marLeft w:val="0"/>
      <w:marRight w:val="0"/>
      <w:marTop w:val="0"/>
      <w:marBottom w:val="0"/>
      <w:divBdr>
        <w:top w:val="none" w:sz="0" w:space="0" w:color="auto"/>
        <w:left w:val="none" w:sz="0" w:space="0" w:color="auto"/>
        <w:bottom w:val="none" w:sz="0" w:space="0" w:color="auto"/>
        <w:right w:val="none" w:sz="0" w:space="0" w:color="auto"/>
      </w:divBdr>
    </w:div>
    <w:div w:id="1278486319">
      <w:bodyDiv w:val="1"/>
      <w:marLeft w:val="0"/>
      <w:marRight w:val="0"/>
      <w:marTop w:val="0"/>
      <w:marBottom w:val="0"/>
      <w:divBdr>
        <w:top w:val="none" w:sz="0" w:space="0" w:color="auto"/>
        <w:left w:val="none" w:sz="0" w:space="0" w:color="auto"/>
        <w:bottom w:val="none" w:sz="0" w:space="0" w:color="auto"/>
        <w:right w:val="none" w:sz="0" w:space="0" w:color="auto"/>
      </w:divBdr>
    </w:div>
    <w:div w:id="1286497351">
      <w:bodyDiv w:val="1"/>
      <w:marLeft w:val="0"/>
      <w:marRight w:val="0"/>
      <w:marTop w:val="0"/>
      <w:marBottom w:val="0"/>
      <w:divBdr>
        <w:top w:val="none" w:sz="0" w:space="0" w:color="auto"/>
        <w:left w:val="none" w:sz="0" w:space="0" w:color="auto"/>
        <w:bottom w:val="none" w:sz="0" w:space="0" w:color="auto"/>
        <w:right w:val="none" w:sz="0" w:space="0" w:color="auto"/>
      </w:divBdr>
    </w:div>
    <w:div w:id="1289555021">
      <w:bodyDiv w:val="1"/>
      <w:marLeft w:val="0"/>
      <w:marRight w:val="0"/>
      <w:marTop w:val="0"/>
      <w:marBottom w:val="0"/>
      <w:divBdr>
        <w:top w:val="none" w:sz="0" w:space="0" w:color="auto"/>
        <w:left w:val="none" w:sz="0" w:space="0" w:color="auto"/>
        <w:bottom w:val="none" w:sz="0" w:space="0" w:color="auto"/>
        <w:right w:val="none" w:sz="0" w:space="0" w:color="auto"/>
      </w:divBdr>
    </w:div>
    <w:div w:id="1292859055">
      <w:bodyDiv w:val="1"/>
      <w:marLeft w:val="0"/>
      <w:marRight w:val="0"/>
      <w:marTop w:val="0"/>
      <w:marBottom w:val="0"/>
      <w:divBdr>
        <w:top w:val="none" w:sz="0" w:space="0" w:color="auto"/>
        <w:left w:val="none" w:sz="0" w:space="0" w:color="auto"/>
        <w:bottom w:val="none" w:sz="0" w:space="0" w:color="auto"/>
        <w:right w:val="none" w:sz="0" w:space="0" w:color="auto"/>
      </w:divBdr>
    </w:div>
    <w:div w:id="1306005820">
      <w:bodyDiv w:val="1"/>
      <w:marLeft w:val="0"/>
      <w:marRight w:val="0"/>
      <w:marTop w:val="0"/>
      <w:marBottom w:val="0"/>
      <w:divBdr>
        <w:top w:val="none" w:sz="0" w:space="0" w:color="auto"/>
        <w:left w:val="none" w:sz="0" w:space="0" w:color="auto"/>
        <w:bottom w:val="none" w:sz="0" w:space="0" w:color="auto"/>
        <w:right w:val="none" w:sz="0" w:space="0" w:color="auto"/>
      </w:divBdr>
    </w:div>
    <w:div w:id="1309170953">
      <w:bodyDiv w:val="1"/>
      <w:marLeft w:val="0"/>
      <w:marRight w:val="0"/>
      <w:marTop w:val="0"/>
      <w:marBottom w:val="0"/>
      <w:divBdr>
        <w:top w:val="none" w:sz="0" w:space="0" w:color="auto"/>
        <w:left w:val="none" w:sz="0" w:space="0" w:color="auto"/>
        <w:bottom w:val="none" w:sz="0" w:space="0" w:color="auto"/>
        <w:right w:val="none" w:sz="0" w:space="0" w:color="auto"/>
      </w:divBdr>
    </w:div>
    <w:div w:id="1312556985">
      <w:bodyDiv w:val="1"/>
      <w:marLeft w:val="0"/>
      <w:marRight w:val="0"/>
      <w:marTop w:val="0"/>
      <w:marBottom w:val="0"/>
      <w:divBdr>
        <w:top w:val="none" w:sz="0" w:space="0" w:color="auto"/>
        <w:left w:val="none" w:sz="0" w:space="0" w:color="auto"/>
        <w:bottom w:val="none" w:sz="0" w:space="0" w:color="auto"/>
        <w:right w:val="none" w:sz="0" w:space="0" w:color="auto"/>
      </w:divBdr>
    </w:div>
    <w:div w:id="1336154902">
      <w:bodyDiv w:val="1"/>
      <w:marLeft w:val="0"/>
      <w:marRight w:val="0"/>
      <w:marTop w:val="0"/>
      <w:marBottom w:val="0"/>
      <w:divBdr>
        <w:top w:val="none" w:sz="0" w:space="0" w:color="auto"/>
        <w:left w:val="none" w:sz="0" w:space="0" w:color="auto"/>
        <w:bottom w:val="none" w:sz="0" w:space="0" w:color="auto"/>
        <w:right w:val="none" w:sz="0" w:space="0" w:color="auto"/>
      </w:divBdr>
    </w:div>
    <w:div w:id="1345206015">
      <w:bodyDiv w:val="1"/>
      <w:marLeft w:val="0"/>
      <w:marRight w:val="0"/>
      <w:marTop w:val="0"/>
      <w:marBottom w:val="0"/>
      <w:divBdr>
        <w:top w:val="none" w:sz="0" w:space="0" w:color="auto"/>
        <w:left w:val="none" w:sz="0" w:space="0" w:color="auto"/>
        <w:bottom w:val="none" w:sz="0" w:space="0" w:color="auto"/>
        <w:right w:val="none" w:sz="0" w:space="0" w:color="auto"/>
      </w:divBdr>
    </w:div>
    <w:div w:id="1345985143">
      <w:bodyDiv w:val="1"/>
      <w:marLeft w:val="0"/>
      <w:marRight w:val="0"/>
      <w:marTop w:val="0"/>
      <w:marBottom w:val="0"/>
      <w:divBdr>
        <w:top w:val="none" w:sz="0" w:space="0" w:color="auto"/>
        <w:left w:val="none" w:sz="0" w:space="0" w:color="auto"/>
        <w:bottom w:val="none" w:sz="0" w:space="0" w:color="auto"/>
        <w:right w:val="none" w:sz="0" w:space="0" w:color="auto"/>
      </w:divBdr>
    </w:div>
    <w:div w:id="1350375553">
      <w:bodyDiv w:val="1"/>
      <w:marLeft w:val="0"/>
      <w:marRight w:val="0"/>
      <w:marTop w:val="0"/>
      <w:marBottom w:val="0"/>
      <w:divBdr>
        <w:top w:val="none" w:sz="0" w:space="0" w:color="auto"/>
        <w:left w:val="none" w:sz="0" w:space="0" w:color="auto"/>
        <w:bottom w:val="none" w:sz="0" w:space="0" w:color="auto"/>
        <w:right w:val="none" w:sz="0" w:space="0" w:color="auto"/>
      </w:divBdr>
    </w:div>
    <w:div w:id="1356417970">
      <w:bodyDiv w:val="1"/>
      <w:marLeft w:val="0"/>
      <w:marRight w:val="0"/>
      <w:marTop w:val="0"/>
      <w:marBottom w:val="0"/>
      <w:divBdr>
        <w:top w:val="none" w:sz="0" w:space="0" w:color="auto"/>
        <w:left w:val="none" w:sz="0" w:space="0" w:color="auto"/>
        <w:bottom w:val="none" w:sz="0" w:space="0" w:color="auto"/>
        <w:right w:val="none" w:sz="0" w:space="0" w:color="auto"/>
      </w:divBdr>
    </w:div>
    <w:div w:id="1364676334">
      <w:bodyDiv w:val="1"/>
      <w:marLeft w:val="0"/>
      <w:marRight w:val="0"/>
      <w:marTop w:val="0"/>
      <w:marBottom w:val="0"/>
      <w:divBdr>
        <w:top w:val="none" w:sz="0" w:space="0" w:color="auto"/>
        <w:left w:val="none" w:sz="0" w:space="0" w:color="auto"/>
        <w:bottom w:val="none" w:sz="0" w:space="0" w:color="auto"/>
        <w:right w:val="none" w:sz="0" w:space="0" w:color="auto"/>
      </w:divBdr>
    </w:div>
    <w:div w:id="1366057748">
      <w:bodyDiv w:val="1"/>
      <w:marLeft w:val="0"/>
      <w:marRight w:val="0"/>
      <w:marTop w:val="0"/>
      <w:marBottom w:val="0"/>
      <w:divBdr>
        <w:top w:val="none" w:sz="0" w:space="0" w:color="auto"/>
        <w:left w:val="none" w:sz="0" w:space="0" w:color="auto"/>
        <w:bottom w:val="none" w:sz="0" w:space="0" w:color="auto"/>
        <w:right w:val="none" w:sz="0" w:space="0" w:color="auto"/>
      </w:divBdr>
    </w:div>
    <w:div w:id="1367750566">
      <w:bodyDiv w:val="1"/>
      <w:marLeft w:val="0"/>
      <w:marRight w:val="0"/>
      <w:marTop w:val="0"/>
      <w:marBottom w:val="0"/>
      <w:divBdr>
        <w:top w:val="none" w:sz="0" w:space="0" w:color="auto"/>
        <w:left w:val="none" w:sz="0" w:space="0" w:color="auto"/>
        <w:bottom w:val="none" w:sz="0" w:space="0" w:color="auto"/>
        <w:right w:val="none" w:sz="0" w:space="0" w:color="auto"/>
      </w:divBdr>
    </w:div>
    <w:div w:id="1377663934">
      <w:bodyDiv w:val="1"/>
      <w:marLeft w:val="0"/>
      <w:marRight w:val="0"/>
      <w:marTop w:val="0"/>
      <w:marBottom w:val="0"/>
      <w:divBdr>
        <w:top w:val="none" w:sz="0" w:space="0" w:color="auto"/>
        <w:left w:val="none" w:sz="0" w:space="0" w:color="auto"/>
        <w:bottom w:val="none" w:sz="0" w:space="0" w:color="auto"/>
        <w:right w:val="none" w:sz="0" w:space="0" w:color="auto"/>
      </w:divBdr>
    </w:div>
    <w:div w:id="1383553745">
      <w:bodyDiv w:val="1"/>
      <w:marLeft w:val="0"/>
      <w:marRight w:val="0"/>
      <w:marTop w:val="0"/>
      <w:marBottom w:val="0"/>
      <w:divBdr>
        <w:top w:val="none" w:sz="0" w:space="0" w:color="auto"/>
        <w:left w:val="none" w:sz="0" w:space="0" w:color="auto"/>
        <w:bottom w:val="none" w:sz="0" w:space="0" w:color="auto"/>
        <w:right w:val="none" w:sz="0" w:space="0" w:color="auto"/>
      </w:divBdr>
    </w:div>
    <w:div w:id="1394890451">
      <w:bodyDiv w:val="1"/>
      <w:marLeft w:val="0"/>
      <w:marRight w:val="0"/>
      <w:marTop w:val="0"/>
      <w:marBottom w:val="0"/>
      <w:divBdr>
        <w:top w:val="none" w:sz="0" w:space="0" w:color="auto"/>
        <w:left w:val="none" w:sz="0" w:space="0" w:color="auto"/>
        <w:bottom w:val="none" w:sz="0" w:space="0" w:color="auto"/>
        <w:right w:val="none" w:sz="0" w:space="0" w:color="auto"/>
      </w:divBdr>
    </w:div>
    <w:div w:id="1397360375">
      <w:bodyDiv w:val="1"/>
      <w:marLeft w:val="0"/>
      <w:marRight w:val="0"/>
      <w:marTop w:val="0"/>
      <w:marBottom w:val="0"/>
      <w:divBdr>
        <w:top w:val="none" w:sz="0" w:space="0" w:color="auto"/>
        <w:left w:val="none" w:sz="0" w:space="0" w:color="auto"/>
        <w:bottom w:val="none" w:sz="0" w:space="0" w:color="auto"/>
        <w:right w:val="none" w:sz="0" w:space="0" w:color="auto"/>
      </w:divBdr>
    </w:div>
    <w:div w:id="1398045085">
      <w:bodyDiv w:val="1"/>
      <w:marLeft w:val="0"/>
      <w:marRight w:val="0"/>
      <w:marTop w:val="0"/>
      <w:marBottom w:val="0"/>
      <w:divBdr>
        <w:top w:val="none" w:sz="0" w:space="0" w:color="auto"/>
        <w:left w:val="none" w:sz="0" w:space="0" w:color="auto"/>
        <w:bottom w:val="none" w:sz="0" w:space="0" w:color="auto"/>
        <w:right w:val="none" w:sz="0" w:space="0" w:color="auto"/>
      </w:divBdr>
    </w:div>
    <w:div w:id="1401057928">
      <w:bodyDiv w:val="1"/>
      <w:marLeft w:val="0"/>
      <w:marRight w:val="0"/>
      <w:marTop w:val="0"/>
      <w:marBottom w:val="0"/>
      <w:divBdr>
        <w:top w:val="none" w:sz="0" w:space="0" w:color="auto"/>
        <w:left w:val="none" w:sz="0" w:space="0" w:color="auto"/>
        <w:bottom w:val="none" w:sz="0" w:space="0" w:color="auto"/>
        <w:right w:val="none" w:sz="0" w:space="0" w:color="auto"/>
      </w:divBdr>
    </w:div>
    <w:div w:id="1402871662">
      <w:bodyDiv w:val="1"/>
      <w:marLeft w:val="0"/>
      <w:marRight w:val="0"/>
      <w:marTop w:val="0"/>
      <w:marBottom w:val="0"/>
      <w:divBdr>
        <w:top w:val="none" w:sz="0" w:space="0" w:color="auto"/>
        <w:left w:val="none" w:sz="0" w:space="0" w:color="auto"/>
        <w:bottom w:val="none" w:sz="0" w:space="0" w:color="auto"/>
        <w:right w:val="none" w:sz="0" w:space="0" w:color="auto"/>
      </w:divBdr>
    </w:div>
    <w:div w:id="1402946365">
      <w:bodyDiv w:val="1"/>
      <w:marLeft w:val="0"/>
      <w:marRight w:val="0"/>
      <w:marTop w:val="0"/>
      <w:marBottom w:val="0"/>
      <w:divBdr>
        <w:top w:val="none" w:sz="0" w:space="0" w:color="auto"/>
        <w:left w:val="none" w:sz="0" w:space="0" w:color="auto"/>
        <w:bottom w:val="none" w:sz="0" w:space="0" w:color="auto"/>
        <w:right w:val="none" w:sz="0" w:space="0" w:color="auto"/>
      </w:divBdr>
    </w:div>
    <w:div w:id="1422028554">
      <w:bodyDiv w:val="1"/>
      <w:marLeft w:val="0"/>
      <w:marRight w:val="0"/>
      <w:marTop w:val="0"/>
      <w:marBottom w:val="0"/>
      <w:divBdr>
        <w:top w:val="none" w:sz="0" w:space="0" w:color="auto"/>
        <w:left w:val="none" w:sz="0" w:space="0" w:color="auto"/>
        <w:bottom w:val="none" w:sz="0" w:space="0" w:color="auto"/>
        <w:right w:val="none" w:sz="0" w:space="0" w:color="auto"/>
      </w:divBdr>
    </w:div>
    <w:div w:id="1431244601">
      <w:bodyDiv w:val="1"/>
      <w:marLeft w:val="0"/>
      <w:marRight w:val="0"/>
      <w:marTop w:val="0"/>
      <w:marBottom w:val="0"/>
      <w:divBdr>
        <w:top w:val="none" w:sz="0" w:space="0" w:color="auto"/>
        <w:left w:val="none" w:sz="0" w:space="0" w:color="auto"/>
        <w:bottom w:val="none" w:sz="0" w:space="0" w:color="auto"/>
        <w:right w:val="none" w:sz="0" w:space="0" w:color="auto"/>
      </w:divBdr>
    </w:div>
    <w:div w:id="1452017581">
      <w:bodyDiv w:val="1"/>
      <w:marLeft w:val="0"/>
      <w:marRight w:val="0"/>
      <w:marTop w:val="0"/>
      <w:marBottom w:val="0"/>
      <w:divBdr>
        <w:top w:val="none" w:sz="0" w:space="0" w:color="auto"/>
        <w:left w:val="none" w:sz="0" w:space="0" w:color="auto"/>
        <w:bottom w:val="none" w:sz="0" w:space="0" w:color="auto"/>
        <w:right w:val="none" w:sz="0" w:space="0" w:color="auto"/>
      </w:divBdr>
    </w:div>
    <w:div w:id="1457597562">
      <w:bodyDiv w:val="1"/>
      <w:marLeft w:val="0"/>
      <w:marRight w:val="0"/>
      <w:marTop w:val="0"/>
      <w:marBottom w:val="0"/>
      <w:divBdr>
        <w:top w:val="none" w:sz="0" w:space="0" w:color="auto"/>
        <w:left w:val="none" w:sz="0" w:space="0" w:color="auto"/>
        <w:bottom w:val="none" w:sz="0" w:space="0" w:color="auto"/>
        <w:right w:val="none" w:sz="0" w:space="0" w:color="auto"/>
      </w:divBdr>
    </w:div>
    <w:div w:id="1461610030">
      <w:bodyDiv w:val="1"/>
      <w:marLeft w:val="0"/>
      <w:marRight w:val="0"/>
      <w:marTop w:val="0"/>
      <w:marBottom w:val="0"/>
      <w:divBdr>
        <w:top w:val="none" w:sz="0" w:space="0" w:color="auto"/>
        <w:left w:val="none" w:sz="0" w:space="0" w:color="auto"/>
        <w:bottom w:val="none" w:sz="0" w:space="0" w:color="auto"/>
        <w:right w:val="none" w:sz="0" w:space="0" w:color="auto"/>
      </w:divBdr>
    </w:div>
    <w:div w:id="1474056950">
      <w:bodyDiv w:val="1"/>
      <w:marLeft w:val="0"/>
      <w:marRight w:val="0"/>
      <w:marTop w:val="0"/>
      <w:marBottom w:val="0"/>
      <w:divBdr>
        <w:top w:val="none" w:sz="0" w:space="0" w:color="auto"/>
        <w:left w:val="none" w:sz="0" w:space="0" w:color="auto"/>
        <w:bottom w:val="none" w:sz="0" w:space="0" w:color="auto"/>
        <w:right w:val="none" w:sz="0" w:space="0" w:color="auto"/>
      </w:divBdr>
    </w:div>
    <w:div w:id="1474329449">
      <w:bodyDiv w:val="1"/>
      <w:marLeft w:val="0"/>
      <w:marRight w:val="0"/>
      <w:marTop w:val="0"/>
      <w:marBottom w:val="0"/>
      <w:divBdr>
        <w:top w:val="none" w:sz="0" w:space="0" w:color="auto"/>
        <w:left w:val="none" w:sz="0" w:space="0" w:color="auto"/>
        <w:bottom w:val="none" w:sz="0" w:space="0" w:color="auto"/>
        <w:right w:val="none" w:sz="0" w:space="0" w:color="auto"/>
      </w:divBdr>
    </w:div>
    <w:div w:id="1479489852">
      <w:bodyDiv w:val="1"/>
      <w:marLeft w:val="0"/>
      <w:marRight w:val="0"/>
      <w:marTop w:val="0"/>
      <w:marBottom w:val="0"/>
      <w:divBdr>
        <w:top w:val="none" w:sz="0" w:space="0" w:color="auto"/>
        <w:left w:val="none" w:sz="0" w:space="0" w:color="auto"/>
        <w:bottom w:val="none" w:sz="0" w:space="0" w:color="auto"/>
        <w:right w:val="none" w:sz="0" w:space="0" w:color="auto"/>
      </w:divBdr>
    </w:div>
    <w:div w:id="1494026764">
      <w:bodyDiv w:val="1"/>
      <w:marLeft w:val="0"/>
      <w:marRight w:val="0"/>
      <w:marTop w:val="0"/>
      <w:marBottom w:val="0"/>
      <w:divBdr>
        <w:top w:val="none" w:sz="0" w:space="0" w:color="auto"/>
        <w:left w:val="none" w:sz="0" w:space="0" w:color="auto"/>
        <w:bottom w:val="none" w:sz="0" w:space="0" w:color="auto"/>
        <w:right w:val="none" w:sz="0" w:space="0" w:color="auto"/>
      </w:divBdr>
    </w:div>
    <w:div w:id="1501459187">
      <w:bodyDiv w:val="1"/>
      <w:marLeft w:val="0"/>
      <w:marRight w:val="0"/>
      <w:marTop w:val="0"/>
      <w:marBottom w:val="0"/>
      <w:divBdr>
        <w:top w:val="none" w:sz="0" w:space="0" w:color="auto"/>
        <w:left w:val="none" w:sz="0" w:space="0" w:color="auto"/>
        <w:bottom w:val="none" w:sz="0" w:space="0" w:color="auto"/>
        <w:right w:val="none" w:sz="0" w:space="0" w:color="auto"/>
      </w:divBdr>
    </w:div>
    <w:div w:id="1515068707">
      <w:bodyDiv w:val="1"/>
      <w:marLeft w:val="0"/>
      <w:marRight w:val="0"/>
      <w:marTop w:val="0"/>
      <w:marBottom w:val="0"/>
      <w:divBdr>
        <w:top w:val="none" w:sz="0" w:space="0" w:color="auto"/>
        <w:left w:val="none" w:sz="0" w:space="0" w:color="auto"/>
        <w:bottom w:val="none" w:sz="0" w:space="0" w:color="auto"/>
        <w:right w:val="none" w:sz="0" w:space="0" w:color="auto"/>
      </w:divBdr>
    </w:div>
    <w:div w:id="1557468880">
      <w:bodyDiv w:val="1"/>
      <w:marLeft w:val="0"/>
      <w:marRight w:val="0"/>
      <w:marTop w:val="0"/>
      <w:marBottom w:val="0"/>
      <w:divBdr>
        <w:top w:val="none" w:sz="0" w:space="0" w:color="auto"/>
        <w:left w:val="none" w:sz="0" w:space="0" w:color="auto"/>
        <w:bottom w:val="none" w:sz="0" w:space="0" w:color="auto"/>
        <w:right w:val="none" w:sz="0" w:space="0" w:color="auto"/>
      </w:divBdr>
    </w:div>
    <w:div w:id="1569457509">
      <w:bodyDiv w:val="1"/>
      <w:marLeft w:val="0"/>
      <w:marRight w:val="0"/>
      <w:marTop w:val="0"/>
      <w:marBottom w:val="0"/>
      <w:divBdr>
        <w:top w:val="none" w:sz="0" w:space="0" w:color="auto"/>
        <w:left w:val="none" w:sz="0" w:space="0" w:color="auto"/>
        <w:bottom w:val="none" w:sz="0" w:space="0" w:color="auto"/>
        <w:right w:val="none" w:sz="0" w:space="0" w:color="auto"/>
      </w:divBdr>
    </w:div>
    <w:div w:id="1581215733">
      <w:bodyDiv w:val="1"/>
      <w:marLeft w:val="0"/>
      <w:marRight w:val="0"/>
      <w:marTop w:val="0"/>
      <w:marBottom w:val="0"/>
      <w:divBdr>
        <w:top w:val="none" w:sz="0" w:space="0" w:color="auto"/>
        <w:left w:val="none" w:sz="0" w:space="0" w:color="auto"/>
        <w:bottom w:val="none" w:sz="0" w:space="0" w:color="auto"/>
        <w:right w:val="none" w:sz="0" w:space="0" w:color="auto"/>
      </w:divBdr>
    </w:div>
    <w:div w:id="1581712302">
      <w:bodyDiv w:val="1"/>
      <w:marLeft w:val="0"/>
      <w:marRight w:val="0"/>
      <w:marTop w:val="0"/>
      <w:marBottom w:val="0"/>
      <w:divBdr>
        <w:top w:val="none" w:sz="0" w:space="0" w:color="auto"/>
        <w:left w:val="none" w:sz="0" w:space="0" w:color="auto"/>
        <w:bottom w:val="none" w:sz="0" w:space="0" w:color="auto"/>
        <w:right w:val="none" w:sz="0" w:space="0" w:color="auto"/>
      </w:divBdr>
    </w:div>
    <w:div w:id="1586526927">
      <w:bodyDiv w:val="1"/>
      <w:marLeft w:val="0"/>
      <w:marRight w:val="0"/>
      <w:marTop w:val="0"/>
      <w:marBottom w:val="0"/>
      <w:divBdr>
        <w:top w:val="none" w:sz="0" w:space="0" w:color="auto"/>
        <w:left w:val="none" w:sz="0" w:space="0" w:color="auto"/>
        <w:bottom w:val="none" w:sz="0" w:space="0" w:color="auto"/>
        <w:right w:val="none" w:sz="0" w:space="0" w:color="auto"/>
      </w:divBdr>
    </w:div>
    <w:div w:id="1592347768">
      <w:bodyDiv w:val="1"/>
      <w:marLeft w:val="0"/>
      <w:marRight w:val="0"/>
      <w:marTop w:val="0"/>
      <w:marBottom w:val="0"/>
      <w:divBdr>
        <w:top w:val="none" w:sz="0" w:space="0" w:color="auto"/>
        <w:left w:val="none" w:sz="0" w:space="0" w:color="auto"/>
        <w:bottom w:val="none" w:sz="0" w:space="0" w:color="auto"/>
        <w:right w:val="none" w:sz="0" w:space="0" w:color="auto"/>
      </w:divBdr>
    </w:div>
    <w:div w:id="1603026798">
      <w:bodyDiv w:val="1"/>
      <w:marLeft w:val="0"/>
      <w:marRight w:val="0"/>
      <w:marTop w:val="0"/>
      <w:marBottom w:val="0"/>
      <w:divBdr>
        <w:top w:val="none" w:sz="0" w:space="0" w:color="auto"/>
        <w:left w:val="none" w:sz="0" w:space="0" w:color="auto"/>
        <w:bottom w:val="none" w:sz="0" w:space="0" w:color="auto"/>
        <w:right w:val="none" w:sz="0" w:space="0" w:color="auto"/>
      </w:divBdr>
      <w:divsChild>
        <w:div w:id="1789199152">
          <w:marLeft w:val="0"/>
          <w:marRight w:val="0"/>
          <w:marTop w:val="0"/>
          <w:marBottom w:val="0"/>
          <w:divBdr>
            <w:top w:val="none" w:sz="0" w:space="0" w:color="auto"/>
            <w:left w:val="none" w:sz="0" w:space="0" w:color="auto"/>
            <w:bottom w:val="none" w:sz="0" w:space="0" w:color="auto"/>
            <w:right w:val="none" w:sz="0" w:space="0" w:color="auto"/>
          </w:divBdr>
          <w:divsChild>
            <w:div w:id="1364012018">
              <w:marLeft w:val="0"/>
              <w:marRight w:val="0"/>
              <w:marTop w:val="0"/>
              <w:marBottom w:val="0"/>
              <w:divBdr>
                <w:top w:val="none" w:sz="0" w:space="0" w:color="auto"/>
                <w:left w:val="none" w:sz="0" w:space="0" w:color="auto"/>
                <w:bottom w:val="none" w:sz="0" w:space="0" w:color="auto"/>
                <w:right w:val="none" w:sz="0" w:space="0" w:color="auto"/>
              </w:divBdr>
              <w:divsChild>
                <w:div w:id="675617629">
                  <w:marLeft w:val="0"/>
                  <w:marRight w:val="0"/>
                  <w:marTop w:val="0"/>
                  <w:marBottom w:val="0"/>
                  <w:divBdr>
                    <w:top w:val="none" w:sz="0" w:space="0" w:color="auto"/>
                    <w:left w:val="none" w:sz="0" w:space="0" w:color="auto"/>
                    <w:bottom w:val="none" w:sz="0" w:space="0" w:color="auto"/>
                    <w:right w:val="none" w:sz="0" w:space="0" w:color="auto"/>
                  </w:divBdr>
                  <w:divsChild>
                    <w:div w:id="17063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484">
      <w:bodyDiv w:val="1"/>
      <w:marLeft w:val="0"/>
      <w:marRight w:val="0"/>
      <w:marTop w:val="0"/>
      <w:marBottom w:val="0"/>
      <w:divBdr>
        <w:top w:val="none" w:sz="0" w:space="0" w:color="auto"/>
        <w:left w:val="none" w:sz="0" w:space="0" w:color="auto"/>
        <w:bottom w:val="none" w:sz="0" w:space="0" w:color="auto"/>
        <w:right w:val="none" w:sz="0" w:space="0" w:color="auto"/>
      </w:divBdr>
    </w:div>
    <w:div w:id="1619945257">
      <w:bodyDiv w:val="1"/>
      <w:marLeft w:val="0"/>
      <w:marRight w:val="0"/>
      <w:marTop w:val="0"/>
      <w:marBottom w:val="0"/>
      <w:divBdr>
        <w:top w:val="none" w:sz="0" w:space="0" w:color="auto"/>
        <w:left w:val="none" w:sz="0" w:space="0" w:color="auto"/>
        <w:bottom w:val="none" w:sz="0" w:space="0" w:color="auto"/>
        <w:right w:val="none" w:sz="0" w:space="0" w:color="auto"/>
      </w:divBdr>
    </w:div>
    <w:div w:id="1622764292">
      <w:bodyDiv w:val="1"/>
      <w:marLeft w:val="0"/>
      <w:marRight w:val="0"/>
      <w:marTop w:val="0"/>
      <w:marBottom w:val="0"/>
      <w:divBdr>
        <w:top w:val="none" w:sz="0" w:space="0" w:color="auto"/>
        <w:left w:val="none" w:sz="0" w:space="0" w:color="auto"/>
        <w:bottom w:val="none" w:sz="0" w:space="0" w:color="auto"/>
        <w:right w:val="none" w:sz="0" w:space="0" w:color="auto"/>
      </w:divBdr>
      <w:divsChild>
        <w:div w:id="582957285">
          <w:marLeft w:val="0"/>
          <w:marRight w:val="0"/>
          <w:marTop w:val="0"/>
          <w:marBottom w:val="0"/>
          <w:divBdr>
            <w:top w:val="none" w:sz="0" w:space="0" w:color="auto"/>
            <w:left w:val="none" w:sz="0" w:space="0" w:color="auto"/>
            <w:bottom w:val="none" w:sz="0" w:space="0" w:color="auto"/>
            <w:right w:val="none" w:sz="0" w:space="0" w:color="auto"/>
          </w:divBdr>
        </w:div>
        <w:div w:id="2035694835">
          <w:marLeft w:val="0"/>
          <w:marRight w:val="0"/>
          <w:marTop w:val="0"/>
          <w:marBottom w:val="0"/>
          <w:divBdr>
            <w:top w:val="none" w:sz="0" w:space="0" w:color="auto"/>
            <w:left w:val="none" w:sz="0" w:space="0" w:color="auto"/>
            <w:bottom w:val="none" w:sz="0" w:space="0" w:color="auto"/>
            <w:right w:val="none" w:sz="0" w:space="0" w:color="auto"/>
          </w:divBdr>
        </w:div>
      </w:divsChild>
    </w:div>
    <w:div w:id="1627010069">
      <w:bodyDiv w:val="1"/>
      <w:marLeft w:val="0"/>
      <w:marRight w:val="0"/>
      <w:marTop w:val="0"/>
      <w:marBottom w:val="0"/>
      <w:divBdr>
        <w:top w:val="none" w:sz="0" w:space="0" w:color="auto"/>
        <w:left w:val="none" w:sz="0" w:space="0" w:color="auto"/>
        <w:bottom w:val="none" w:sz="0" w:space="0" w:color="auto"/>
        <w:right w:val="none" w:sz="0" w:space="0" w:color="auto"/>
      </w:divBdr>
    </w:div>
    <w:div w:id="1627199542">
      <w:bodyDiv w:val="1"/>
      <w:marLeft w:val="0"/>
      <w:marRight w:val="0"/>
      <w:marTop w:val="0"/>
      <w:marBottom w:val="0"/>
      <w:divBdr>
        <w:top w:val="none" w:sz="0" w:space="0" w:color="auto"/>
        <w:left w:val="none" w:sz="0" w:space="0" w:color="auto"/>
        <w:bottom w:val="none" w:sz="0" w:space="0" w:color="auto"/>
        <w:right w:val="none" w:sz="0" w:space="0" w:color="auto"/>
      </w:divBdr>
    </w:div>
    <w:div w:id="1628972337">
      <w:bodyDiv w:val="1"/>
      <w:marLeft w:val="0"/>
      <w:marRight w:val="0"/>
      <w:marTop w:val="0"/>
      <w:marBottom w:val="0"/>
      <w:divBdr>
        <w:top w:val="none" w:sz="0" w:space="0" w:color="auto"/>
        <w:left w:val="none" w:sz="0" w:space="0" w:color="auto"/>
        <w:bottom w:val="none" w:sz="0" w:space="0" w:color="auto"/>
        <w:right w:val="none" w:sz="0" w:space="0" w:color="auto"/>
      </w:divBdr>
    </w:div>
    <w:div w:id="1642273044">
      <w:bodyDiv w:val="1"/>
      <w:marLeft w:val="0"/>
      <w:marRight w:val="0"/>
      <w:marTop w:val="0"/>
      <w:marBottom w:val="0"/>
      <w:divBdr>
        <w:top w:val="none" w:sz="0" w:space="0" w:color="auto"/>
        <w:left w:val="none" w:sz="0" w:space="0" w:color="auto"/>
        <w:bottom w:val="none" w:sz="0" w:space="0" w:color="auto"/>
        <w:right w:val="none" w:sz="0" w:space="0" w:color="auto"/>
      </w:divBdr>
    </w:div>
    <w:div w:id="1654068867">
      <w:bodyDiv w:val="1"/>
      <w:marLeft w:val="0"/>
      <w:marRight w:val="0"/>
      <w:marTop w:val="0"/>
      <w:marBottom w:val="0"/>
      <w:divBdr>
        <w:top w:val="none" w:sz="0" w:space="0" w:color="auto"/>
        <w:left w:val="none" w:sz="0" w:space="0" w:color="auto"/>
        <w:bottom w:val="none" w:sz="0" w:space="0" w:color="auto"/>
        <w:right w:val="none" w:sz="0" w:space="0" w:color="auto"/>
      </w:divBdr>
    </w:div>
    <w:div w:id="1657026204">
      <w:bodyDiv w:val="1"/>
      <w:marLeft w:val="0"/>
      <w:marRight w:val="0"/>
      <w:marTop w:val="0"/>
      <w:marBottom w:val="0"/>
      <w:divBdr>
        <w:top w:val="none" w:sz="0" w:space="0" w:color="auto"/>
        <w:left w:val="none" w:sz="0" w:space="0" w:color="auto"/>
        <w:bottom w:val="none" w:sz="0" w:space="0" w:color="auto"/>
        <w:right w:val="none" w:sz="0" w:space="0" w:color="auto"/>
      </w:divBdr>
    </w:div>
    <w:div w:id="1671522455">
      <w:bodyDiv w:val="1"/>
      <w:marLeft w:val="0"/>
      <w:marRight w:val="0"/>
      <w:marTop w:val="0"/>
      <w:marBottom w:val="0"/>
      <w:divBdr>
        <w:top w:val="none" w:sz="0" w:space="0" w:color="auto"/>
        <w:left w:val="none" w:sz="0" w:space="0" w:color="auto"/>
        <w:bottom w:val="none" w:sz="0" w:space="0" w:color="auto"/>
        <w:right w:val="none" w:sz="0" w:space="0" w:color="auto"/>
      </w:divBdr>
    </w:div>
    <w:div w:id="1689989384">
      <w:bodyDiv w:val="1"/>
      <w:marLeft w:val="0"/>
      <w:marRight w:val="0"/>
      <w:marTop w:val="0"/>
      <w:marBottom w:val="0"/>
      <w:divBdr>
        <w:top w:val="none" w:sz="0" w:space="0" w:color="auto"/>
        <w:left w:val="none" w:sz="0" w:space="0" w:color="auto"/>
        <w:bottom w:val="none" w:sz="0" w:space="0" w:color="auto"/>
        <w:right w:val="none" w:sz="0" w:space="0" w:color="auto"/>
      </w:divBdr>
    </w:div>
    <w:div w:id="1691878278">
      <w:bodyDiv w:val="1"/>
      <w:marLeft w:val="0"/>
      <w:marRight w:val="0"/>
      <w:marTop w:val="0"/>
      <w:marBottom w:val="0"/>
      <w:divBdr>
        <w:top w:val="none" w:sz="0" w:space="0" w:color="auto"/>
        <w:left w:val="none" w:sz="0" w:space="0" w:color="auto"/>
        <w:bottom w:val="none" w:sz="0" w:space="0" w:color="auto"/>
        <w:right w:val="none" w:sz="0" w:space="0" w:color="auto"/>
      </w:divBdr>
    </w:div>
    <w:div w:id="1693338979">
      <w:bodyDiv w:val="1"/>
      <w:marLeft w:val="0"/>
      <w:marRight w:val="0"/>
      <w:marTop w:val="0"/>
      <w:marBottom w:val="0"/>
      <w:divBdr>
        <w:top w:val="none" w:sz="0" w:space="0" w:color="auto"/>
        <w:left w:val="none" w:sz="0" w:space="0" w:color="auto"/>
        <w:bottom w:val="none" w:sz="0" w:space="0" w:color="auto"/>
        <w:right w:val="none" w:sz="0" w:space="0" w:color="auto"/>
      </w:divBdr>
    </w:div>
    <w:div w:id="1693454057">
      <w:bodyDiv w:val="1"/>
      <w:marLeft w:val="0"/>
      <w:marRight w:val="0"/>
      <w:marTop w:val="0"/>
      <w:marBottom w:val="0"/>
      <w:divBdr>
        <w:top w:val="none" w:sz="0" w:space="0" w:color="auto"/>
        <w:left w:val="none" w:sz="0" w:space="0" w:color="auto"/>
        <w:bottom w:val="none" w:sz="0" w:space="0" w:color="auto"/>
        <w:right w:val="none" w:sz="0" w:space="0" w:color="auto"/>
      </w:divBdr>
    </w:div>
    <w:div w:id="1693605944">
      <w:bodyDiv w:val="1"/>
      <w:marLeft w:val="0"/>
      <w:marRight w:val="0"/>
      <w:marTop w:val="0"/>
      <w:marBottom w:val="0"/>
      <w:divBdr>
        <w:top w:val="none" w:sz="0" w:space="0" w:color="auto"/>
        <w:left w:val="none" w:sz="0" w:space="0" w:color="auto"/>
        <w:bottom w:val="none" w:sz="0" w:space="0" w:color="auto"/>
        <w:right w:val="none" w:sz="0" w:space="0" w:color="auto"/>
      </w:divBdr>
    </w:div>
    <w:div w:id="1694186077">
      <w:bodyDiv w:val="1"/>
      <w:marLeft w:val="0"/>
      <w:marRight w:val="0"/>
      <w:marTop w:val="0"/>
      <w:marBottom w:val="0"/>
      <w:divBdr>
        <w:top w:val="none" w:sz="0" w:space="0" w:color="auto"/>
        <w:left w:val="none" w:sz="0" w:space="0" w:color="auto"/>
        <w:bottom w:val="none" w:sz="0" w:space="0" w:color="auto"/>
        <w:right w:val="none" w:sz="0" w:space="0" w:color="auto"/>
      </w:divBdr>
      <w:divsChild>
        <w:div w:id="913125545">
          <w:marLeft w:val="0"/>
          <w:marRight w:val="0"/>
          <w:marTop w:val="0"/>
          <w:marBottom w:val="0"/>
          <w:divBdr>
            <w:top w:val="none" w:sz="0" w:space="0" w:color="auto"/>
            <w:left w:val="none" w:sz="0" w:space="0" w:color="auto"/>
            <w:bottom w:val="none" w:sz="0" w:space="0" w:color="auto"/>
            <w:right w:val="none" w:sz="0" w:space="0" w:color="auto"/>
          </w:divBdr>
        </w:div>
        <w:div w:id="2004506075">
          <w:marLeft w:val="0"/>
          <w:marRight w:val="0"/>
          <w:marTop w:val="0"/>
          <w:marBottom w:val="0"/>
          <w:divBdr>
            <w:top w:val="none" w:sz="0" w:space="0" w:color="auto"/>
            <w:left w:val="none" w:sz="0" w:space="0" w:color="auto"/>
            <w:bottom w:val="none" w:sz="0" w:space="0" w:color="auto"/>
            <w:right w:val="none" w:sz="0" w:space="0" w:color="auto"/>
          </w:divBdr>
          <w:divsChild>
            <w:div w:id="244146301">
              <w:marLeft w:val="0"/>
              <w:marRight w:val="0"/>
              <w:marTop w:val="0"/>
              <w:marBottom w:val="0"/>
              <w:divBdr>
                <w:top w:val="none" w:sz="0" w:space="0" w:color="auto"/>
                <w:left w:val="none" w:sz="0" w:space="0" w:color="auto"/>
                <w:bottom w:val="none" w:sz="0" w:space="0" w:color="auto"/>
                <w:right w:val="none" w:sz="0" w:space="0" w:color="auto"/>
              </w:divBdr>
            </w:div>
            <w:div w:id="667294988">
              <w:marLeft w:val="0"/>
              <w:marRight w:val="0"/>
              <w:marTop w:val="0"/>
              <w:marBottom w:val="0"/>
              <w:divBdr>
                <w:top w:val="none" w:sz="0" w:space="0" w:color="auto"/>
                <w:left w:val="none" w:sz="0" w:space="0" w:color="auto"/>
                <w:bottom w:val="none" w:sz="0" w:space="0" w:color="auto"/>
                <w:right w:val="none" w:sz="0" w:space="0" w:color="auto"/>
              </w:divBdr>
            </w:div>
            <w:div w:id="745029857">
              <w:marLeft w:val="0"/>
              <w:marRight w:val="0"/>
              <w:marTop w:val="0"/>
              <w:marBottom w:val="0"/>
              <w:divBdr>
                <w:top w:val="none" w:sz="0" w:space="0" w:color="auto"/>
                <w:left w:val="none" w:sz="0" w:space="0" w:color="auto"/>
                <w:bottom w:val="none" w:sz="0" w:space="0" w:color="auto"/>
                <w:right w:val="none" w:sz="0" w:space="0" w:color="auto"/>
              </w:divBdr>
            </w:div>
            <w:div w:id="1028406302">
              <w:marLeft w:val="0"/>
              <w:marRight w:val="0"/>
              <w:marTop w:val="0"/>
              <w:marBottom w:val="0"/>
              <w:divBdr>
                <w:top w:val="none" w:sz="0" w:space="0" w:color="auto"/>
                <w:left w:val="none" w:sz="0" w:space="0" w:color="auto"/>
                <w:bottom w:val="none" w:sz="0" w:space="0" w:color="auto"/>
                <w:right w:val="none" w:sz="0" w:space="0" w:color="auto"/>
              </w:divBdr>
            </w:div>
            <w:div w:id="2000383399">
              <w:marLeft w:val="0"/>
              <w:marRight w:val="0"/>
              <w:marTop w:val="0"/>
              <w:marBottom w:val="0"/>
              <w:divBdr>
                <w:top w:val="none" w:sz="0" w:space="0" w:color="auto"/>
                <w:left w:val="none" w:sz="0" w:space="0" w:color="auto"/>
                <w:bottom w:val="none" w:sz="0" w:space="0" w:color="auto"/>
                <w:right w:val="none" w:sz="0" w:space="0" w:color="auto"/>
              </w:divBdr>
            </w:div>
          </w:divsChild>
        </w:div>
        <w:div w:id="2056080791">
          <w:marLeft w:val="0"/>
          <w:marRight w:val="0"/>
          <w:marTop w:val="0"/>
          <w:marBottom w:val="0"/>
          <w:divBdr>
            <w:top w:val="none" w:sz="0" w:space="0" w:color="auto"/>
            <w:left w:val="none" w:sz="0" w:space="0" w:color="auto"/>
            <w:bottom w:val="none" w:sz="0" w:space="0" w:color="auto"/>
            <w:right w:val="none" w:sz="0" w:space="0" w:color="auto"/>
          </w:divBdr>
          <w:divsChild>
            <w:div w:id="514030634">
              <w:marLeft w:val="0"/>
              <w:marRight w:val="0"/>
              <w:marTop w:val="0"/>
              <w:marBottom w:val="0"/>
              <w:divBdr>
                <w:top w:val="none" w:sz="0" w:space="0" w:color="auto"/>
                <w:left w:val="none" w:sz="0" w:space="0" w:color="auto"/>
                <w:bottom w:val="none" w:sz="0" w:space="0" w:color="auto"/>
                <w:right w:val="none" w:sz="0" w:space="0" w:color="auto"/>
              </w:divBdr>
            </w:div>
            <w:div w:id="718479340">
              <w:marLeft w:val="0"/>
              <w:marRight w:val="0"/>
              <w:marTop w:val="0"/>
              <w:marBottom w:val="0"/>
              <w:divBdr>
                <w:top w:val="none" w:sz="0" w:space="0" w:color="auto"/>
                <w:left w:val="none" w:sz="0" w:space="0" w:color="auto"/>
                <w:bottom w:val="none" w:sz="0" w:space="0" w:color="auto"/>
                <w:right w:val="none" w:sz="0" w:space="0" w:color="auto"/>
              </w:divBdr>
            </w:div>
            <w:div w:id="999389326">
              <w:marLeft w:val="0"/>
              <w:marRight w:val="0"/>
              <w:marTop w:val="0"/>
              <w:marBottom w:val="0"/>
              <w:divBdr>
                <w:top w:val="none" w:sz="0" w:space="0" w:color="auto"/>
                <w:left w:val="none" w:sz="0" w:space="0" w:color="auto"/>
                <w:bottom w:val="none" w:sz="0" w:space="0" w:color="auto"/>
                <w:right w:val="none" w:sz="0" w:space="0" w:color="auto"/>
              </w:divBdr>
            </w:div>
            <w:div w:id="1039862509">
              <w:marLeft w:val="0"/>
              <w:marRight w:val="0"/>
              <w:marTop w:val="0"/>
              <w:marBottom w:val="0"/>
              <w:divBdr>
                <w:top w:val="none" w:sz="0" w:space="0" w:color="auto"/>
                <w:left w:val="none" w:sz="0" w:space="0" w:color="auto"/>
                <w:bottom w:val="none" w:sz="0" w:space="0" w:color="auto"/>
                <w:right w:val="none" w:sz="0" w:space="0" w:color="auto"/>
              </w:divBdr>
            </w:div>
            <w:div w:id="17306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440">
      <w:bodyDiv w:val="1"/>
      <w:marLeft w:val="0"/>
      <w:marRight w:val="0"/>
      <w:marTop w:val="0"/>
      <w:marBottom w:val="0"/>
      <w:divBdr>
        <w:top w:val="none" w:sz="0" w:space="0" w:color="auto"/>
        <w:left w:val="none" w:sz="0" w:space="0" w:color="auto"/>
        <w:bottom w:val="none" w:sz="0" w:space="0" w:color="auto"/>
        <w:right w:val="none" w:sz="0" w:space="0" w:color="auto"/>
      </w:divBdr>
    </w:div>
    <w:div w:id="1716587279">
      <w:bodyDiv w:val="1"/>
      <w:marLeft w:val="0"/>
      <w:marRight w:val="0"/>
      <w:marTop w:val="0"/>
      <w:marBottom w:val="0"/>
      <w:divBdr>
        <w:top w:val="none" w:sz="0" w:space="0" w:color="auto"/>
        <w:left w:val="none" w:sz="0" w:space="0" w:color="auto"/>
        <w:bottom w:val="none" w:sz="0" w:space="0" w:color="auto"/>
        <w:right w:val="none" w:sz="0" w:space="0" w:color="auto"/>
      </w:divBdr>
    </w:div>
    <w:div w:id="1725132182">
      <w:bodyDiv w:val="1"/>
      <w:marLeft w:val="0"/>
      <w:marRight w:val="0"/>
      <w:marTop w:val="0"/>
      <w:marBottom w:val="0"/>
      <w:divBdr>
        <w:top w:val="none" w:sz="0" w:space="0" w:color="auto"/>
        <w:left w:val="none" w:sz="0" w:space="0" w:color="auto"/>
        <w:bottom w:val="none" w:sz="0" w:space="0" w:color="auto"/>
        <w:right w:val="none" w:sz="0" w:space="0" w:color="auto"/>
      </w:divBdr>
    </w:div>
    <w:div w:id="1733845518">
      <w:bodyDiv w:val="1"/>
      <w:marLeft w:val="0"/>
      <w:marRight w:val="0"/>
      <w:marTop w:val="0"/>
      <w:marBottom w:val="0"/>
      <w:divBdr>
        <w:top w:val="none" w:sz="0" w:space="0" w:color="auto"/>
        <w:left w:val="none" w:sz="0" w:space="0" w:color="auto"/>
        <w:bottom w:val="none" w:sz="0" w:space="0" w:color="auto"/>
        <w:right w:val="none" w:sz="0" w:space="0" w:color="auto"/>
      </w:divBdr>
    </w:div>
    <w:div w:id="1740205808">
      <w:bodyDiv w:val="1"/>
      <w:marLeft w:val="0"/>
      <w:marRight w:val="0"/>
      <w:marTop w:val="0"/>
      <w:marBottom w:val="0"/>
      <w:divBdr>
        <w:top w:val="none" w:sz="0" w:space="0" w:color="auto"/>
        <w:left w:val="none" w:sz="0" w:space="0" w:color="auto"/>
        <w:bottom w:val="none" w:sz="0" w:space="0" w:color="auto"/>
        <w:right w:val="none" w:sz="0" w:space="0" w:color="auto"/>
      </w:divBdr>
    </w:div>
    <w:div w:id="1741321398">
      <w:bodyDiv w:val="1"/>
      <w:marLeft w:val="0"/>
      <w:marRight w:val="0"/>
      <w:marTop w:val="0"/>
      <w:marBottom w:val="0"/>
      <w:divBdr>
        <w:top w:val="none" w:sz="0" w:space="0" w:color="auto"/>
        <w:left w:val="none" w:sz="0" w:space="0" w:color="auto"/>
        <w:bottom w:val="none" w:sz="0" w:space="0" w:color="auto"/>
        <w:right w:val="none" w:sz="0" w:space="0" w:color="auto"/>
      </w:divBdr>
    </w:div>
    <w:div w:id="1747991124">
      <w:bodyDiv w:val="1"/>
      <w:marLeft w:val="0"/>
      <w:marRight w:val="0"/>
      <w:marTop w:val="0"/>
      <w:marBottom w:val="0"/>
      <w:divBdr>
        <w:top w:val="none" w:sz="0" w:space="0" w:color="auto"/>
        <w:left w:val="none" w:sz="0" w:space="0" w:color="auto"/>
        <w:bottom w:val="none" w:sz="0" w:space="0" w:color="auto"/>
        <w:right w:val="none" w:sz="0" w:space="0" w:color="auto"/>
      </w:divBdr>
    </w:div>
    <w:div w:id="1752384373">
      <w:bodyDiv w:val="1"/>
      <w:marLeft w:val="0"/>
      <w:marRight w:val="0"/>
      <w:marTop w:val="0"/>
      <w:marBottom w:val="0"/>
      <w:divBdr>
        <w:top w:val="none" w:sz="0" w:space="0" w:color="auto"/>
        <w:left w:val="none" w:sz="0" w:space="0" w:color="auto"/>
        <w:bottom w:val="none" w:sz="0" w:space="0" w:color="auto"/>
        <w:right w:val="none" w:sz="0" w:space="0" w:color="auto"/>
      </w:divBdr>
    </w:div>
    <w:div w:id="1773938452">
      <w:bodyDiv w:val="1"/>
      <w:marLeft w:val="0"/>
      <w:marRight w:val="0"/>
      <w:marTop w:val="0"/>
      <w:marBottom w:val="0"/>
      <w:divBdr>
        <w:top w:val="none" w:sz="0" w:space="0" w:color="auto"/>
        <w:left w:val="none" w:sz="0" w:space="0" w:color="auto"/>
        <w:bottom w:val="none" w:sz="0" w:space="0" w:color="auto"/>
        <w:right w:val="none" w:sz="0" w:space="0" w:color="auto"/>
      </w:divBdr>
      <w:divsChild>
        <w:div w:id="1131940113">
          <w:marLeft w:val="0"/>
          <w:marRight w:val="0"/>
          <w:marTop w:val="82"/>
          <w:marBottom w:val="0"/>
          <w:divBdr>
            <w:top w:val="none" w:sz="0" w:space="0" w:color="auto"/>
            <w:left w:val="none" w:sz="0" w:space="0" w:color="auto"/>
            <w:bottom w:val="none" w:sz="0" w:space="0" w:color="auto"/>
            <w:right w:val="none" w:sz="0" w:space="0" w:color="auto"/>
          </w:divBdr>
        </w:div>
        <w:div w:id="1426533794">
          <w:marLeft w:val="0"/>
          <w:marRight w:val="0"/>
          <w:marTop w:val="82"/>
          <w:marBottom w:val="0"/>
          <w:divBdr>
            <w:top w:val="none" w:sz="0" w:space="0" w:color="auto"/>
            <w:left w:val="none" w:sz="0" w:space="0" w:color="auto"/>
            <w:bottom w:val="none" w:sz="0" w:space="0" w:color="auto"/>
            <w:right w:val="none" w:sz="0" w:space="0" w:color="auto"/>
          </w:divBdr>
        </w:div>
        <w:div w:id="1668559695">
          <w:marLeft w:val="0"/>
          <w:marRight w:val="0"/>
          <w:marTop w:val="82"/>
          <w:marBottom w:val="0"/>
          <w:divBdr>
            <w:top w:val="none" w:sz="0" w:space="0" w:color="auto"/>
            <w:left w:val="none" w:sz="0" w:space="0" w:color="auto"/>
            <w:bottom w:val="none" w:sz="0" w:space="0" w:color="auto"/>
            <w:right w:val="none" w:sz="0" w:space="0" w:color="auto"/>
          </w:divBdr>
        </w:div>
      </w:divsChild>
    </w:div>
    <w:div w:id="1776517111">
      <w:bodyDiv w:val="1"/>
      <w:marLeft w:val="0"/>
      <w:marRight w:val="0"/>
      <w:marTop w:val="0"/>
      <w:marBottom w:val="0"/>
      <w:divBdr>
        <w:top w:val="none" w:sz="0" w:space="0" w:color="auto"/>
        <w:left w:val="none" w:sz="0" w:space="0" w:color="auto"/>
        <w:bottom w:val="none" w:sz="0" w:space="0" w:color="auto"/>
        <w:right w:val="none" w:sz="0" w:space="0" w:color="auto"/>
      </w:divBdr>
    </w:div>
    <w:div w:id="1778133829">
      <w:bodyDiv w:val="1"/>
      <w:marLeft w:val="0"/>
      <w:marRight w:val="0"/>
      <w:marTop w:val="0"/>
      <w:marBottom w:val="0"/>
      <w:divBdr>
        <w:top w:val="none" w:sz="0" w:space="0" w:color="auto"/>
        <w:left w:val="none" w:sz="0" w:space="0" w:color="auto"/>
        <w:bottom w:val="none" w:sz="0" w:space="0" w:color="auto"/>
        <w:right w:val="none" w:sz="0" w:space="0" w:color="auto"/>
      </w:divBdr>
    </w:div>
    <w:div w:id="1779717620">
      <w:bodyDiv w:val="1"/>
      <w:marLeft w:val="0"/>
      <w:marRight w:val="0"/>
      <w:marTop w:val="0"/>
      <w:marBottom w:val="0"/>
      <w:divBdr>
        <w:top w:val="none" w:sz="0" w:space="0" w:color="auto"/>
        <w:left w:val="none" w:sz="0" w:space="0" w:color="auto"/>
        <w:bottom w:val="none" w:sz="0" w:space="0" w:color="auto"/>
        <w:right w:val="none" w:sz="0" w:space="0" w:color="auto"/>
      </w:divBdr>
    </w:div>
    <w:div w:id="1786269635">
      <w:bodyDiv w:val="1"/>
      <w:marLeft w:val="0"/>
      <w:marRight w:val="0"/>
      <w:marTop w:val="0"/>
      <w:marBottom w:val="0"/>
      <w:divBdr>
        <w:top w:val="none" w:sz="0" w:space="0" w:color="auto"/>
        <w:left w:val="none" w:sz="0" w:space="0" w:color="auto"/>
        <w:bottom w:val="none" w:sz="0" w:space="0" w:color="auto"/>
        <w:right w:val="none" w:sz="0" w:space="0" w:color="auto"/>
      </w:divBdr>
    </w:div>
    <w:div w:id="1789816786">
      <w:bodyDiv w:val="1"/>
      <w:marLeft w:val="0"/>
      <w:marRight w:val="0"/>
      <w:marTop w:val="0"/>
      <w:marBottom w:val="0"/>
      <w:divBdr>
        <w:top w:val="none" w:sz="0" w:space="0" w:color="auto"/>
        <w:left w:val="none" w:sz="0" w:space="0" w:color="auto"/>
        <w:bottom w:val="none" w:sz="0" w:space="0" w:color="auto"/>
        <w:right w:val="none" w:sz="0" w:space="0" w:color="auto"/>
      </w:divBdr>
    </w:div>
    <w:div w:id="1789859769">
      <w:bodyDiv w:val="1"/>
      <w:marLeft w:val="0"/>
      <w:marRight w:val="0"/>
      <w:marTop w:val="0"/>
      <w:marBottom w:val="0"/>
      <w:divBdr>
        <w:top w:val="none" w:sz="0" w:space="0" w:color="auto"/>
        <w:left w:val="none" w:sz="0" w:space="0" w:color="auto"/>
        <w:bottom w:val="none" w:sz="0" w:space="0" w:color="auto"/>
        <w:right w:val="none" w:sz="0" w:space="0" w:color="auto"/>
      </w:divBdr>
    </w:div>
    <w:div w:id="1798335143">
      <w:bodyDiv w:val="1"/>
      <w:marLeft w:val="0"/>
      <w:marRight w:val="0"/>
      <w:marTop w:val="0"/>
      <w:marBottom w:val="0"/>
      <w:divBdr>
        <w:top w:val="none" w:sz="0" w:space="0" w:color="auto"/>
        <w:left w:val="none" w:sz="0" w:space="0" w:color="auto"/>
        <w:bottom w:val="none" w:sz="0" w:space="0" w:color="auto"/>
        <w:right w:val="none" w:sz="0" w:space="0" w:color="auto"/>
      </w:divBdr>
    </w:div>
    <w:div w:id="1800102253">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21581522">
      <w:bodyDiv w:val="1"/>
      <w:marLeft w:val="0"/>
      <w:marRight w:val="0"/>
      <w:marTop w:val="0"/>
      <w:marBottom w:val="0"/>
      <w:divBdr>
        <w:top w:val="none" w:sz="0" w:space="0" w:color="auto"/>
        <w:left w:val="none" w:sz="0" w:space="0" w:color="auto"/>
        <w:bottom w:val="none" w:sz="0" w:space="0" w:color="auto"/>
        <w:right w:val="none" w:sz="0" w:space="0" w:color="auto"/>
      </w:divBdr>
    </w:div>
    <w:div w:id="1827555290">
      <w:bodyDiv w:val="1"/>
      <w:marLeft w:val="0"/>
      <w:marRight w:val="0"/>
      <w:marTop w:val="0"/>
      <w:marBottom w:val="0"/>
      <w:divBdr>
        <w:top w:val="none" w:sz="0" w:space="0" w:color="auto"/>
        <w:left w:val="none" w:sz="0" w:space="0" w:color="auto"/>
        <w:bottom w:val="none" w:sz="0" w:space="0" w:color="auto"/>
        <w:right w:val="none" w:sz="0" w:space="0" w:color="auto"/>
      </w:divBdr>
    </w:div>
    <w:div w:id="1839222638">
      <w:bodyDiv w:val="1"/>
      <w:marLeft w:val="0"/>
      <w:marRight w:val="0"/>
      <w:marTop w:val="0"/>
      <w:marBottom w:val="0"/>
      <w:divBdr>
        <w:top w:val="none" w:sz="0" w:space="0" w:color="auto"/>
        <w:left w:val="none" w:sz="0" w:space="0" w:color="auto"/>
        <w:bottom w:val="none" w:sz="0" w:space="0" w:color="auto"/>
        <w:right w:val="none" w:sz="0" w:space="0" w:color="auto"/>
      </w:divBdr>
    </w:div>
    <w:div w:id="1843011132">
      <w:bodyDiv w:val="1"/>
      <w:marLeft w:val="0"/>
      <w:marRight w:val="0"/>
      <w:marTop w:val="0"/>
      <w:marBottom w:val="0"/>
      <w:divBdr>
        <w:top w:val="none" w:sz="0" w:space="0" w:color="auto"/>
        <w:left w:val="none" w:sz="0" w:space="0" w:color="auto"/>
        <w:bottom w:val="none" w:sz="0" w:space="0" w:color="auto"/>
        <w:right w:val="none" w:sz="0" w:space="0" w:color="auto"/>
      </w:divBdr>
    </w:div>
    <w:div w:id="1843161265">
      <w:bodyDiv w:val="1"/>
      <w:marLeft w:val="0"/>
      <w:marRight w:val="0"/>
      <w:marTop w:val="0"/>
      <w:marBottom w:val="0"/>
      <w:divBdr>
        <w:top w:val="none" w:sz="0" w:space="0" w:color="auto"/>
        <w:left w:val="none" w:sz="0" w:space="0" w:color="auto"/>
        <w:bottom w:val="none" w:sz="0" w:space="0" w:color="auto"/>
        <w:right w:val="none" w:sz="0" w:space="0" w:color="auto"/>
      </w:divBdr>
    </w:div>
    <w:div w:id="1849441168">
      <w:bodyDiv w:val="1"/>
      <w:marLeft w:val="0"/>
      <w:marRight w:val="0"/>
      <w:marTop w:val="0"/>
      <w:marBottom w:val="0"/>
      <w:divBdr>
        <w:top w:val="none" w:sz="0" w:space="0" w:color="auto"/>
        <w:left w:val="none" w:sz="0" w:space="0" w:color="auto"/>
        <w:bottom w:val="none" w:sz="0" w:space="0" w:color="auto"/>
        <w:right w:val="none" w:sz="0" w:space="0" w:color="auto"/>
      </w:divBdr>
    </w:div>
    <w:div w:id="1850290849">
      <w:bodyDiv w:val="1"/>
      <w:marLeft w:val="0"/>
      <w:marRight w:val="0"/>
      <w:marTop w:val="0"/>
      <w:marBottom w:val="0"/>
      <w:divBdr>
        <w:top w:val="none" w:sz="0" w:space="0" w:color="auto"/>
        <w:left w:val="none" w:sz="0" w:space="0" w:color="auto"/>
        <w:bottom w:val="none" w:sz="0" w:space="0" w:color="auto"/>
        <w:right w:val="none" w:sz="0" w:space="0" w:color="auto"/>
      </w:divBdr>
      <w:divsChild>
        <w:div w:id="440493681">
          <w:marLeft w:val="0"/>
          <w:marRight w:val="0"/>
          <w:marTop w:val="0"/>
          <w:marBottom w:val="0"/>
          <w:divBdr>
            <w:top w:val="none" w:sz="0" w:space="0" w:color="auto"/>
            <w:left w:val="none" w:sz="0" w:space="0" w:color="auto"/>
            <w:bottom w:val="none" w:sz="0" w:space="0" w:color="auto"/>
            <w:right w:val="none" w:sz="0" w:space="0" w:color="auto"/>
          </w:divBdr>
        </w:div>
        <w:div w:id="817696922">
          <w:marLeft w:val="0"/>
          <w:marRight w:val="0"/>
          <w:marTop w:val="0"/>
          <w:marBottom w:val="0"/>
          <w:divBdr>
            <w:top w:val="none" w:sz="0" w:space="0" w:color="auto"/>
            <w:left w:val="none" w:sz="0" w:space="0" w:color="auto"/>
            <w:bottom w:val="none" w:sz="0" w:space="0" w:color="auto"/>
            <w:right w:val="none" w:sz="0" w:space="0" w:color="auto"/>
          </w:divBdr>
        </w:div>
        <w:div w:id="1001733951">
          <w:marLeft w:val="0"/>
          <w:marRight w:val="0"/>
          <w:marTop w:val="0"/>
          <w:marBottom w:val="0"/>
          <w:divBdr>
            <w:top w:val="none" w:sz="0" w:space="0" w:color="auto"/>
            <w:left w:val="none" w:sz="0" w:space="0" w:color="auto"/>
            <w:bottom w:val="none" w:sz="0" w:space="0" w:color="auto"/>
            <w:right w:val="none" w:sz="0" w:space="0" w:color="auto"/>
          </w:divBdr>
        </w:div>
        <w:div w:id="1160461250">
          <w:marLeft w:val="0"/>
          <w:marRight w:val="0"/>
          <w:marTop w:val="0"/>
          <w:marBottom w:val="0"/>
          <w:divBdr>
            <w:top w:val="none" w:sz="0" w:space="0" w:color="auto"/>
            <w:left w:val="none" w:sz="0" w:space="0" w:color="auto"/>
            <w:bottom w:val="none" w:sz="0" w:space="0" w:color="auto"/>
            <w:right w:val="none" w:sz="0" w:space="0" w:color="auto"/>
          </w:divBdr>
        </w:div>
        <w:div w:id="2111777133">
          <w:marLeft w:val="0"/>
          <w:marRight w:val="0"/>
          <w:marTop w:val="0"/>
          <w:marBottom w:val="0"/>
          <w:divBdr>
            <w:top w:val="none" w:sz="0" w:space="0" w:color="auto"/>
            <w:left w:val="none" w:sz="0" w:space="0" w:color="auto"/>
            <w:bottom w:val="none" w:sz="0" w:space="0" w:color="auto"/>
            <w:right w:val="none" w:sz="0" w:space="0" w:color="auto"/>
          </w:divBdr>
        </w:div>
      </w:divsChild>
    </w:div>
    <w:div w:id="1851675415">
      <w:bodyDiv w:val="1"/>
      <w:marLeft w:val="0"/>
      <w:marRight w:val="0"/>
      <w:marTop w:val="0"/>
      <w:marBottom w:val="0"/>
      <w:divBdr>
        <w:top w:val="none" w:sz="0" w:space="0" w:color="auto"/>
        <w:left w:val="none" w:sz="0" w:space="0" w:color="auto"/>
        <w:bottom w:val="none" w:sz="0" w:space="0" w:color="auto"/>
        <w:right w:val="none" w:sz="0" w:space="0" w:color="auto"/>
      </w:divBdr>
    </w:div>
    <w:div w:id="1858039593">
      <w:bodyDiv w:val="1"/>
      <w:marLeft w:val="0"/>
      <w:marRight w:val="0"/>
      <w:marTop w:val="0"/>
      <w:marBottom w:val="0"/>
      <w:divBdr>
        <w:top w:val="none" w:sz="0" w:space="0" w:color="auto"/>
        <w:left w:val="none" w:sz="0" w:space="0" w:color="auto"/>
        <w:bottom w:val="none" w:sz="0" w:space="0" w:color="auto"/>
        <w:right w:val="none" w:sz="0" w:space="0" w:color="auto"/>
      </w:divBdr>
    </w:div>
    <w:div w:id="1870794630">
      <w:bodyDiv w:val="1"/>
      <w:marLeft w:val="0"/>
      <w:marRight w:val="0"/>
      <w:marTop w:val="0"/>
      <w:marBottom w:val="0"/>
      <w:divBdr>
        <w:top w:val="none" w:sz="0" w:space="0" w:color="auto"/>
        <w:left w:val="none" w:sz="0" w:space="0" w:color="auto"/>
        <w:bottom w:val="none" w:sz="0" w:space="0" w:color="auto"/>
        <w:right w:val="none" w:sz="0" w:space="0" w:color="auto"/>
      </w:divBdr>
    </w:div>
    <w:div w:id="1877041984">
      <w:bodyDiv w:val="1"/>
      <w:marLeft w:val="0"/>
      <w:marRight w:val="0"/>
      <w:marTop w:val="0"/>
      <w:marBottom w:val="0"/>
      <w:divBdr>
        <w:top w:val="none" w:sz="0" w:space="0" w:color="auto"/>
        <w:left w:val="none" w:sz="0" w:space="0" w:color="auto"/>
        <w:bottom w:val="none" w:sz="0" w:space="0" w:color="auto"/>
        <w:right w:val="none" w:sz="0" w:space="0" w:color="auto"/>
      </w:divBdr>
    </w:div>
    <w:div w:id="1895192663">
      <w:bodyDiv w:val="1"/>
      <w:marLeft w:val="0"/>
      <w:marRight w:val="0"/>
      <w:marTop w:val="0"/>
      <w:marBottom w:val="0"/>
      <w:divBdr>
        <w:top w:val="none" w:sz="0" w:space="0" w:color="auto"/>
        <w:left w:val="none" w:sz="0" w:space="0" w:color="auto"/>
        <w:bottom w:val="none" w:sz="0" w:space="0" w:color="auto"/>
        <w:right w:val="none" w:sz="0" w:space="0" w:color="auto"/>
      </w:divBdr>
    </w:div>
    <w:div w:id="1895919779">
      <w:bodyDiv w:val="1"/>
      <w:marLeft w:val="0"/>
      <w:marRight w:val="0"/>
      <w:marTop w:val="0"/>
      <w:marBottom w:val="0"/>
      <w:divBdr>
        <w:top w:val="none" w:sz="0" w:space="0" w:color="auto"/>
        <w:left w:val="none" w:sz="0" w:space="0" w:color="auto"/>
        <w:bottom w:val="none" w:sz="0" w:space="0" w:color="auto"/>
        <w:right w:val="none" w:sz="0" w:space="0" w:color="auto"/>
      </w:divBdr>
      <w:divsChild>
        <w:div w:id="1053577048">
          <w:marLeft w:val="0"/>
          <w:marRight w:val="0"/>
          <w:marTop w:val="0"/>
          <w:marBottom w:val="0"/>
          <w:divBdr>
            <w:top w:val="none" w:sz="0" w:space="0" w:color="auto"/>
            <w:left w:val="none" w:sz="0" w:space="0" w:color="auto"/>
            <w:bottom w:val="none" w:sz="0" w:space="0" w:color="auto"/>
            <w:right w:val="none" w:sz="0" w:space="0" w:color="auto"/>
          </w:divBdr>
        </w:div>
        <w:div w:id="1361855344">
          <w:marLeft w:val="0"/>
          <w:marRight w:val="0"/>
          <w:marTop w:val="0"/>
          <w:marBottom w:val="0"/>
          <w:divBdr>
            <w:top w:val="none" w:sz="0" w:space="0" w:color="auto"/>
            <w:left w:val="none" w:sz="0" w:space="0" w:color="auto"/>
            <w:bottom w:val="none" w:sz="0" w:space="0" w:color="auto"/>
            <w:right w:val="none" w:sz="0" w:space="0" w:color="auto"/>
          </w:divBdr>
          <w:divsChild>
            <w:div w:id="12517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2943">
      <w:bodyDiv w:val="1"/>
      <w:marLeft w:val="0"/>
      <w:marRight w:val="0"/>
      <w:marTop w:val="0"/>
      <w:marBottom w:val="0"/>
      <w:divBdr>
        <w:top w:val="none" w:sz="0" w:space="0" w:color="auto"/>
        <w:left w:val="none" w:sz="0" w:space="0" w:color="auto"/>
        <w:bottom w:val="none" w:sz="0" w:space="0" w:color="auto"/>
        <w:right w:val="none" w:sz="0" w:space="0" w:color="auto"/>
      </w:divBdr>
    </w:div>
    <w:div w:id="1899364463">
      <w:bodyDiv w:val="1"/>
      <w:marLeft w:val="0"/>
      <w:marRight w:val="0"/>
      <w:marTop w:val="0"/>
      <w:marBottom w:val="0"/>
      <w:divBdr>
        <w:top w:val="none" w:sz="0" w:space="0" w:color="auto"/>
        <w:left w:val="none" w:sz="0" w:space="0" w:color="auto"/>
        <w:bottom w:val="none" w:sz="0" w:space="0" w:color="auto"/>
        <w:right w:val="none" w:sz="0" w:space="0" w:color="auto"/>
      </w:divBdr>
    </w:div>
    <w:div w:id="1916166136">
      <w:bodyDiv w:val="1"/>
      <w:marLeft w:val="0"/>
      <w:marRight w:val="0"/>
      <w:marTop w:val="0"/>
      <w:marBottom w:val="0"/>
      <w:divBdr>
        <w:top w:val="none" w:sz="0" w:space="0" w:color="auto"/>
        <w:left w:val="none" w:sz="0" w:space="0" w:color="auto"/>
        <w:bottom w:val="none" w:sz="0" w:space="0" w:color="auto"/>
        <w:right w:val="none" w:sz="0" w:space="0" w:color="auto"/>
      </w:divBdr>
    </w:div>
    <w:div w:id="1920364264">
      <w:bodyDiv w:val="1"/>
      <w:marLeft w:val="0"/>
      <w:marRight w:val="0"/>
      <w:marTop w:val="0"/>
      <w:marBottom w:val="0"/>
      <w:divBdr>
        <w:top w:val="none" w:sz="0" w:space="0" w:color="auto"/>
        <w:left w:val="none" w:sz="0" w:space="0" w:color="auto"/>
        <w:bottom w:val="none" w:sz="0" w:space="0" w:color="auto"/>
        <w:right w:val="none" w:sz="0" w:space="0" w:color="auto"/>
      </w:divBdr>
    </w:div>
    <w:div w:id="1960839367">
      <w:bodyDiv w:val="1"/>
      <w:marLeft w:val="0"/>
      <w:marRight w:val="0"/>
      <w:marTop w:val="0"/>
      <w:marBottom w:val="0"/>
      <w:divBdr>
        <w:top w:val="none" w:sz="0" w:space="0" w:color="auto"/>
        <w:left w:val="none" w:sz="0" w:space="0" w:color="auto"/>
        <w:bottom w:val="none" w:sz="0" w:space="0" w:color="auto"/>
        <w:right w:val="none" w:sz="0" w:space="0" w:color="auto"/>
      </w:divBdr>
    </w:div>
    <w:div w:id="1961036442">
      <w:bodyDiv w:val="1"/>
      <w:marLeft w:val="0"/>
      <w:marRight w:val="0"/>
      <w:marTop w:val="0"/>
      <w:marBottom w:val="0"/>
      <w:divBdr>
        <w:top w:val="none" w:sz="0" w:space="0" w:color="auto"/>
        <w:left w:val="none" w:sz="0" w:space="0" w:color="auto"/>
        <w:bottom w:val="none" w:sz="0" w:space="0" w:color="auto"/>
        <w:right w:val="none" w:sz="0" w:space="0" w:color="auto"/>
      </w:divBdr>
      <w:divsChild>
        <w:div w:id="82646247">
          <w:marLeft w:val="0"/>
          <w:marRight w:val="0"/>
          <w:marTop w:val="0"/>
          <w:marBottom w:val="0"/>
          <w:divBdr>
            <w:top w:val="none" w:sz="0" w:space="0" w:color="auto"/>
            <w:left w:val="none" w:sz="0" w:space="0" w:color="auto"/>
            <w:bottom w:val="none" w:sz="0" w:space="0" w:color="auto"/>
            <w:right w:val="none" w:sz="0" w:space="0" w:color="auto"/>
          </w:divBdr>
        </w:div>
        <w:div w:id="1822234155">
          <w:marLeft w:val="0"/>
          <w:marRight w:val="0"/>
          <w:marTop w:val="0"/>
          <w:marBottom w:val="0"/>
          <w:divBdr>
            <w:top w:val="none" w:sz="0" w:space="0" w:color="auto"/>
            <w:left w:val="none" w:sz="0" w:space="0" w:color="auto"/>
            <w:bottom w:val="none" w:sz="0" w:space="0" w:color="auto"/>
            <w:right w:val="none" w:sz="0" w:space="0" w:color="auto"/>
          </w:divBdr>
          <w:divsChild>
            <w:div w:id="736779480">
              <w:marLeft w:val="0"/>
              <w:marRight w:val="0"/>
              <w:marTop w:val="0"/>
              <w:marBottom w:val="0"/>
              <w:divBdr>
                <w:top w:val="none" w:sz="0" w:space="0" w:color="auto"/>
                <w:left w:val="none" w:sz="0" w:space="0" w:color="auto"/>
                <w:bottom w:val="none" w:sz="0" w:space="0" w:color="auto"/>
                <w:right w:val="none" w:sz="0" w:space="0" w:color="auto"/>
              </w:divBdr>
              <w:divsChild>
                <w:div w:id="432826286">
                  <w:marLeft w:val="0"/>
                  <w:marRight w:val="0"/>
                  <w:marTop w:val="0"/>
                  <w:marBottom w:val="0"/>
                  <w:divBdr>
                    <w:top w:val="none" w:sz="0" w:space="0" w:color="auto"/>
                    <w:left w:val="none" w:sz="0" w:space="0" w:color="auto"/>
                    <w:bottom w:val="none" w:sz="0" w:space="0" w:color="auto"/>
                    <w:right w:val="none" w:sz="0" w:space="0" w:color="auto"/>
                  </w:divBdr>
                  <w:divsChild>
                    <w:div w:id="1549956174">
                      <w:marLeft w:val="0"/>
                      <w:marRight w:val="0"/>
                      <w:marTop w:val="0"/>
                      <w:marBottom w:val="0"/>
                      <w:divBdr>
                        <w:top w:val="none" w:sz="0" w:space="0" w:color="auto"/>
                        <w:left w:val="none" w:sz="0" w:space="0" w:color="auto"/>
                        <w:bottom w:val="none" w:sz="0" w:space="0" w:color="auto"/>
                        <w:right w:val="none" w:sz="0" w:space="0" w:color="auto"/>
                      </w:divBdr>
                    </w:div>
                    <w:div w:id="19995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4568">
          <w:marLeft w:val="0"/>
          <w:marRight w:val="0"/>
          <w:marTop w:val="0"/>
          <w:marBottom w:val="0"/>
          <w:divBdr>
            <w:top w:val="none" w:sz="0" w:space="0" w:color="auto"/>
            <w:left w:val="none" w:sz="0" w:space="0" w:color="auto"/>
            <w:bottom w:val="none" w:sz="0" w:space="0" w:color="auto"/>
            <w:right w:val="none" w:sz="0" w:space="0" w:color="auto"/>
          </w:divBdr>
        </w:div>
      </w:divsChild>
    </w:div>
    <w:div w:id="1965037229">
      <w:bodyDiv w:val="1"/>
      <w:marLeft w:val="0"/>
      <w:marRight w:val="0"/>
      <w:marTop w:val="0"/>
      <w:marBottom w:val="0"/>
      <w:divBdr>
        <w:top w:val="none" w:sz="0" w:space="0" w:color="auto"/>
        <w:left w:val="none" w:sz="0" w:space="0" w:color="auto"/>
        <w:bottom w:val="none" w:sz="0" w:space="0" w:color="auto"/>
        <w:right w:val="none" w:sz="0" w:space="0" w:color="auto"/>
      </w:divBdr>
    </w:div>
    <w:div w:id="1968925124">
      <w:bodyDiv w:val="1"/>
      <w:marLeft w:val="0"/>
      <w:marRight w:val="0"/>
      <w:marTop w:val="0"/>
      <w:marBottom w:val="0"/>
      <w:divBdr>
        <w:top w:val="none" w:sz="0" w:space="0" w:color="auto"/>
        <w:left w:val="none" w:sz="0" w:space="0" w:color="auto"/>
        <w:bottom w:val="none" w:sz="0" w:space="0" w:color="auto"/>
        <w:right w:val="none" w:sz="0" w:space="0" w:color="auto"/>
      </w:divBdr>
    </w:div>
    <w:div w:id="1974796450">
      <w:bodyDiv w:val="1"/>
      <w:marLeft w:val="0"/>
      <w:marRight w:val="0"/>
      <w:marTop w:val="0"/>
      <w:marBottom w:val="0"/>
      <w:divBdr>
        <w:top w:val="none" w:sz="0" w:space="0" w:color="auto"/>
        <w:left w:val="none" w:sz="0" w:space="0" w:color="auto"/>
        <w:bottom w:val="none" w:sz="0" w:space="0" w:color="auto"/>
        <w:right w:val="none" w:sz="0" w:space="0" w:color="auto"/>
      </w:divBdr>
    </w:div>
    <w:div w:id="1982884404">
      <w:bodyDiv w:val="1"/>
      <w:marLeft w:val="0"/>
      <w:marRight w:val="0"/>
      <w:marTop w:val="0"/>
      <w:marBottom w:val="0"/>
      <w:divBdr>
        <w:top w:val="none" w:sz="0" w:space="0" w:color="auto"/>
        <w:left w:val="none" w:sz="0" w:space="0" w:color="auto"/>
        <w:bottom w:val="none" w:sz="0" w:space="0" w:color="auto"/>
        <w:right w:val="none" w:sz="0" w:space="0" w:color="auto"/>
      </w:divBdr>
    </w:div>
    <w:div w:id="1988707870">
      <w:bodyDiv w:val="1"/>
      <w:marLeft w:val="0"/>
      <w:marRight w:val="0"/>
      <w:marTop w:val="0"/>
      <w:marBottom w:val="0"/>
      <w:divBdr>
        <w:top w:val="none" w:sz="0" w:space="0" w:color="auto"/>
        <w:left w:val="none" w:sz="0" w:space="0" w:color="auto"/>
        <w:bottom w:val="none" w:sz="0" w:space="0" w:color="auto"/>
        <w:right w:val="none" w:sz="0" w:space="0" w:color="auto"/>
      </w:divBdr>
    </w:div>
    <w:div w:id="1990019508">
      <w:bodyDiv w:val="1"/>
      <w:marLeft w:val="0"/>
      <w:marRight w:val="0"/>
      <w:marTop w:val="0"/>
      <w:marBottom w:val="0"/>
      <w:divBdr>
        <w:top w:val="none" w:sz="0" w:space="0" w:color="auto"/>
        <w:left w:val="none" w:sz="0" w:space="0" w:color="auto"/>
        <w:bottom w:val="none" w:sz="0" w:space="0" w:color="auto"/>
        <w:right w:val="none" w:sz="0" w:space="0" w:color="auto"/>
      </w:divBdr>
    </w:div>
    <w:div w:id="1997488857">
      <w:bodyDiv w:val="1"/>
      <w:marLeft w:val="0"/>
      <w:marRight w:val="0"/>
      <w:marTop w:val="0"/>
      <w:marBottom w:val="0"/>
      <w:divBdr>
        <w:top w:val="none" w:sz="0" w:space="0" w:color="auto"/>
        <w:left w:val="none" w:sz="0" w:space="0" w:color="auto"/>
        <w:bottom w:val="none" w:sz="0" w:space="0" w:color="auto"/>
        <w:right w:val="none" w:sz="0" w:space="0" w:color="auto"/>
      </w:divBdr>
    </w:div>
    <w:div w:id="2006932827">
      <w:bodyDiv w:val="1"/>
      <w:marLeft w:val="0"/>
      <w:marRight w:val="0"/>
      <w:marTop w:val="0"/>
      <w:marBottom w:val="0"/>
      <w:divBdr>
        <w:top w:val="none" w:sz="0" w:space="0" w:color="auto"/>
        <w:left w:val="none" w:sz="0" w:space="0" w:color="auto"/>
        <w:bottom w:val="none" w:sz="0" w:space="0" w:color="auto"/>
        <w:right w:val="none" w:sz="0" w:space="0" w:color="auto"/>
      </w:divBdr>
    </w:div>
    <w:div w:id="2025521383">
      <w:bodyDiv w:val="1"/>
      <w:marLeft w:val="0"/>
      <w:marRight w:val="0"/>
      <w:marTop w:val="0"/>
      <w:marBottom w:val="0"/>
      <w:divBdr>
        <w:top w:val="none" w:sz="0" w:space="0" w:color="auto"/>
        <w:left w:val="none" w:sz="0" w:space="0" w:color="auto"/>
        <w:bottom w:val="none" w:sz="0" w:space="0" w:color="auto"/>
        <w:right w:val="none" w:sz="0" w:space="0" w:color="auto"/>
      </w:divBdr>
    </w:div>
    <w:div w:id="2029410395">
      <w:bodyDiv w:val="1"/>
      <w:marLeft w:val="0"/>
      <w:marRight w:val="0"/>
      <w:marTop w:val="0"/>
      <w:marBottom w:val="0"/>
      <w:divBdr>
        <w:top w:val="none" w:sz="0" w:space="0" w:color="auto"/>
        <w:left w:val="none" w:sz="0" w:space="0" w:color="auto"/>
        <w:bottom w:val="none" w:sz="0" w:space="0" w:color="auto"/>
        <w:right w:val="none" w:sz="0" w:space="0" w:color="auto"/>
      </w:divBdr>
    </w:div>
    <w:div w:id="2029912456">
      <w:bodyDiv w:val="1"/>
      <w:marLeft w:val="0"/>
      <w:marRight w:val="0"/>
      <w:marTop w:val="0"/>
      <w:marBottom w:val="0"/>
      <w:divBdr>
        <w:top w:val="none" w:sz="0" w:space="0" w:color="auto"/>
        <w:left w:val="none" w:sz="0" w:space="0" w:color="auto"/>
        <w:bottom w:val="none" w:sz="0" w:space="0" w:color="auto"/>
        <w:right w:val="none" w:sz="0" w:space="0" w:color="auto"/>
      </w:divBdr>
    </w:div>
    <w:div w:id="2040541297">
      <w:bodyDiv w:val="1"/>
      <w:marLeft w:val="0"/>
      <w:marRight w:val="0"/>
      <w:marTop w:val="0"/>
      <w:marBottom w:val="0"/>
      <w:divBdr>
        <w:top w:val="none" w:sz="0" w:space="0" w:color="auto"/>
        <w:left w:val="none" w:sz="0" w:space="0" w:color="auto"/>
        <w:bottom w:val="none" w:sz="0" w:space="0" w:color="auto"/>
        <w:right w:val="none" w:sz="0" w:space="0" w:color="auto"/>
      </w:divBdr>
    </w:div>
    <w:div w:id="2041858717">
      <w:bodyDiv w:val="1"/>
      <w:marLeft w:val="0"/>
      <w:marRight w:val="0"/>
      <w:marTop w:val="0"/>
      <w:marBottom w:val="0"/>
      <w:divBdr>
        <w:top w:val="none" w:sz="0" w:space="0" w:color="auto"/>
        <w:left w:val="none" w:sz="0" w:space="0" w:color="auto"/>
        <w:bottom w:val="none" w:sz="0" w:space="0" w:color="auto"/>
        <w:right w:val="none" w:sz="0" w:space="0" w:color="auto"/>
      </w:divBdr>
    </w:div>
    <w:div w:id="2050716305">
      <w:bodyDiv w:val="1"/>
      <w:marLeft w:val="0"/>
      <w:marRight w:val="0"/>
      <w:marTop w:val="0"/>
      <w:marBottom w:val="0"/>
      <w:divBdr>
        <w:top w:val="none" w:sz="0" w:space="0" w:color="auto"/>
        <w:left w:val="none" w:sz="0" w:space="0" w:color="auto"/>
        <w:bottom w:val="none" w:sz="0" w:space="0" w:color="auto"/>
        <w:right w:val="none" w:sz="0" w:space="0" w:color="auto"/>
      </w:divBdr>
    </w:div>
    <w:div w:id="2055232883">
      <w:bodyDiv w:val="1"/>
      <w:marLeft w:val="0"/>
      <w:marRight w:val="0"/>
      <w:marTop w:val="0"/>
      <w:marBottom w:val="0"/>
      <w:divBdr>
        <w:top w:val="none" w:sz="0" w:space="0" w:color="auto"/>
        <w:left w:val="none" w:sz="0" w:space="0" w:color="auto"/>
        <w:bottom w:val="none" w:sz="0" w:space="0" w:color="auto"/>
        <w:right w:val="none" w:sz="0" w:space="0" w:color="auto"/>
      </w:divBdr>
    </w:div>
    <w:div w:id="2056536082">
      <w:bodyDiv w:val="1"/>
      <w:marLeft w:val="0"/>
      <w:marRight w:val="0"/>
      <w:marTop w:val="0"/>
      <w:marBottom w:val="0"/>
      <w:divBdr>
        <w:top w:val="none" w:sz="0" w:space="0" w:color="auto"/>
        <w:left w:val="none" w:sz="0" w:space="0" w:color="auto"/>
        <w:bottom w:val="none" w:sz="0" w:space="0" w:color="auto"/>
        <w:right w:val="none" w:sz="0" w:space="0" w:color="auto"/>
      </w:divBdr>
    </w:div>
    <w:div w:id="2071344293">
      <w:bodyDiv w:val="1"/>
      <w:marLeft w:val="0"/>
      <w:marRight w:val="0"/>
      <w:marTop w:val="0"/>
      <w:marBottom w:val="0"/>
      <w:divBdr>
        <w:top w:val="none" w:sz="0" w:space="0" w:color="auto"/>
        <w:left w:val="none" w:sz="0" w:space="0" w:color="auto"/>
        <w:bottom w:val="none" w:sz="0" w:space="0" w:color="auto"/>
        <w:right w:val="none" w:sz="0" w:space="0" w:color="auto"/>
      </w:divBdr>
    </w:div>
    <w:div w:id="2079279349">
      <w:bodyDiv w:val="1"/>
      <w:marLeft w:val="0"/>
      <w:marRight w:val="0"/>
      <w:marTop w:val="0"/>
      <w:marBottom w:val="0"/>
      <w:divBdr>
        <w:top w:val="none" w:sz="0" w:space="0" w:color="auto"/>
        <w:left w:val="none" w:sz="0" w:space="0" w:color="auto"/>
        <w:bottom w:val="none" w:sz="0" w:space="0" w:color="auto"/>
        <w:right w:val="none" w:sz="0" w:space="0" w:color="auto"/>
      </w:divBdr>
    </w:div>
    <w:div w:id="2087797303">
      <w:bodyDiv w:val="1"/>
      <w:marLeft w:val="0"/>
      <w:marRight w:val="0"/>
      <w:marTop w:val="0"/>
      <w:marBottom w:val="0"/>
      <w:divBdr>
        <w:top w:val="none" w:sz="0" w:space="0" w:color="auto"/>
        <w:left w:val="none" w:sz="0" w:space="0" w:color="auto"/>
        <w:bottom w:val="none" w:sz="0" w:space="0" w:color="auto"/>
        <w:right w:val="none" w:sz="0" w:space="0" w:color="auto"/>
      </w:divBdr>
    </w:div>
    <w:div w:id="2090688332">
      <w:bodyDiv w:val="1"/>
      <w:marLeft w:val="0"/>
      <w:marRight w:val="0"/>
      <w:marTop w:val="0"/>
      <w:marBottom w:val="0"/>
      <w:divBdr>
        <w:top w:val="none" w:sz="0" w:space="0" w:color="auto"/>
        <w:left w:val="none" w:sz="0" w:space="0" w:color="auto"/>
        <w:bottom w:val="none" w:sz="0" w:space="0" w:color="auto"/>
        <w:right w:val="none" w:sz="0" w:space="0" w:color="auto"/>
      </w:divBdr>
    </w:div>
    <w:div w:id="2101289127">
      <w:bodyDiv w:val="1"/>
      <w:marLeft w:val="0"/>
      <w:marRight w:val="0"/>
      <w:marTop w:val="0"/>
      <w:marBottom w:val="0"/>
      <w:divBdr>
        <w:top w:val="none" w:sz="0" w:space="0" w:color="auto"/>
        <w:left w:val="none" w:sz="0" w:space="0" w:color="auto"/>
        <w:bottom w:val="none" w:sz="0" w:space="0" w:color="auto"/>
        <w:right w:val="none" w:sz="0" w:space="0" w:color="auto"/>
      </w:divBdr>
      <w:divsChild>
        <w:div w:id="226035542">
          <w:marLeft w:val="0"/>
          <w:marRight w:val="0"/>
          <w:marTop w:val="0"/>
          <w:marBottom w:val="0"/>
          <w:divBdr>
            <w:top w:val="none" w:sz="0" w:space="0" w:color="auto"/>
            <w:left w:val="none" w:sz="0" w:space="0" w:color="auto"/>
            <w:bottom w:val="none" w:sz="0" w:space="0" w:color="auto"/>
            <w:right w:val="none" w:sz="0" w:space="0" w:color="auto"/>
          </w:divBdr>
        </w:div>
        <w:div w:id="1730835303">
          <w:marLeft w:val="0"/>
          <w:marRight w:val="0"/>
          <w:marTop w:val="0"/>
          <w:marBottom w:val="0"/>
          <w:divBdr>
            <w:top w:val="none" w:sz="0" w:space="0" w:color="auto"/>
            <w:left w:val="none" w:sz="0" w:space="0" w:color="auto"/>
            <w:bottom w:val="none" w:sz="0" w:space="0" w:color="auto"/>
            <w:right w:val="none" w:sz="0" w:space="0" w:color="auto"/>
          </w:divBdr>
        </w:div>
      </w:divsChild>
    </w:div>
    <w:div w:id="2126461648">
      <w:bodyDiv w:val="1"/>
      <w:marLeft w:val="0"/>
      <w:marRight w:val="0"/>
      <w:marTop w:val="0"/>
      <w:marBottom w:val="0"/>
      <w:divBdr>
        <w:top w:val="none" w:sz="0" w:space="0" w:color="auto"/>
        <w:left w:val="none" w:sz="0" w:space="0" w:color="auto"/>
        <w:bottom w:val="none" w:sz="0" w:space="0" w:color="auto"/>
        <w:right w:val="none" w:sz="0" w:space="0" w:color="auto"/>
      </w:divBdr>
    </w:div>
    <w:div w:id="2138405188">
      <w:bodyDiv w:val="1"/>
      <w:marLeft w:val="0"/>
      <w:marRight w:val="0"/>
      <w:marTop w:val="0"/>
      <w:marBottom w:val="0"/>
      <w:divBdr>
        <w:top w:val="none" w:sz="0" w:space="0" w:color="auto"/>
        <w:left w:val="none" w:sz="0" w:space="0" w:color="auto"/>
        <w:bottom w:val="none" w:sz="0" w:space="0" w:color="auto"/>
        <w:right w:val="none" w:sz="0" w:space="0" w:color="auto"/>
      </w:divBdr>
    </w:div>
    <w:div w:id="2139256054">
      <w:bodyDiv w:val="1"/>
      <w:marLeft w:val="0"/>
      <w:marRight w:val="0"/>
      <w:marTop w:val="0"/>
      <w:marBottom w:val="0"/>
      <w:divBdr>
        <w:top w:val="none" w:sz="0" w:space="0" w:color="auto"/>
        <w:left w:val="none" w:sz="0" w:space="0" w:color="auto"/>
        <w:bottom w:val="none" w:sz="0" w:space="0" w:color="auto"/>
        <w:right w:val="none" w:sz="0" w:space="0" w:color="auto"/>
      </w:divBdr>
    </w:div>
    <w:div w:id="2146073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awcom.govt.nz" TargetMode="External"/><Relationship Id="rId26" Type="http://schemas.openxmlformats.org/officeDocument/2006/relationships/header" Target="header4.xml"/><Relationship Id="rId39" Type="http://schemas.openxmlformats.org/officeDocument/2006/relationships/footer" Target="footer7.xml"/><Relationship Id="rId21" Type="http://schemas.openxmlformats.org/officeDocument/2006/relationships/header" Target="header2.xml"/><Relationship Id="rId34" Type="http://schemas.openxmlformats.org/officeDocument/2006/relationships/footer" Target="footer5.xml"/><Relationship Id="rId42" Type="http://schemas.openxmlformats.org/officeDocument/2006/relationships/header" Target="header15.xml"/><Relationship Id="rId47" Type="http://schemas.openxmlformats.org/officeDocument/2006/relationships/header" Target="header18.xml"/><Relationship Id="rId50" Type="http://schemas.openxmlformats.org/officeDocument/2006/relationships/hyperlink" Target="http://www.lawcom.govt.nz"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m@lawcom.govt.nz" TargetMode="Externa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hyperlink" Target="mailto:cal@lawcom.govt.nz" TargetMode="External"/><Relationship Id="rId32" Type="http://schemas.openxmlformats.org/officeDocument/2006/relationships/header" Target="header9.xml"/><Relationship Id="rId37" Type="http://schemas.openxmlformats.org/officeDocument/2006/relationships/footer" Target="footer6.xml"/><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8.xml"/><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lawcom.govt.nz/" TargetMode="External"/><Relationship Id="rId25" Type="http://schemas.openxmlformats.org/officeDocument/2006/relationships/header" Target="header3.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footer" Target="footer10.xml"/><Relationship Id="rId20" Type="http://schemas.openxmlformats.org/officeDocument/2006/relationships/image" Target="media/image6.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eader" Target="header12.xml"/><Relationship Id="rId49" Type="http://schemas.openxmlformats.org/officeDocument/2006/relationships/hyperlink" Target="mailto:com@lawcom.govt.n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www.supremecourt.vic.gov.au/law-and-practice/areas-of-the-court/common-law-division" TargetMode="External"/><Relationship Id="rId3" Type="http://schemas.openxmlformats.org/officeDocument/2006/relationships/hyperlink" Target="https://www.catribunal.org.uk/cases/13297719-michael-ohiggins-fx-class-representative-lim" TargetMode="External"/><Relationship Id="rId7" Type="http://schemas.openxmlformats.org/officeDocument/2006/relationships/hyperlink" Target="https://classactionclinic.com/our-mission-and-services/" TargetMode="External"/><Relationship Id="rId2" Type="http://schemas.openxmlformats.org/officeDocument/2006/relationships/hyperlink" Target="https://www.lawsociety.org.nz/news/legal-news/access-to-justice-survey-of-the-profession/" TargetMode="External"/><Relationship Id="rId1" Type="http://schemas.openxmlformats.org/officeDocument/2006/relationships/hyperlink" Target="https://www.courtsofnz.govt.nz/about-the-judiciary/rules-committee/access-to-civil-justice-consultation/" TargetMode="External"/><Relationship Id="rId6" Type="http://schemas.openxmlformats.org/officeDocument/2006/relationships/hyperlink" Target="https://content.next.westlaw.com/2-618-0466?__lrTS=20200920131404993&amp;transitionType=Default&amp;contextData=%28sc.Default%29" TargetMode="External"/><Relationship Id="rId5" Type="http://schemas.openxmlformats.org/officeDocument/2006/relationships/hyperlink" Target="https://www.nbr.co.nz/story/anz-settles-class-action-claim-ross-fraud" TargetMode="External"/><Relationship Id="rId4" Type="http://schemas.openxmlformats.org/officeDocument/2006/relationships/hyperlink" Target="https://1.next.westlaw.com/Link/Document/FullText?findType=Y&amp;serNum=1997071092&amp;pubNum=0000506&amp;originatingDoc=I22416ebffd1e11d9816eac1887e4612d&amp;refType=RP&amp;fi=co_pp_sp_506_345&amp;originationContext=document&amp;transitionType=DocumentItem&amp;contextData=(sc.Catego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my.sharepoint.com/personal/dnguyen_lawcom_govt_nz/Documents/LC%20-%20Issue%20Paper%20-%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d2b5a89-398c-4e7a-9df8-2a27fff0454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C311EA22BA744E97E9DD3E651B02BA" ma:contentTypeVersion="14" ma:contentTypeDescription="Create a new document." ma:contentTypeScope="" ma:versionID="d4abf7d2e826c17b7372b0ccd6e45ed2">
  <xsd:schema xmlns:xsd="http://www.w3.org/2001/XMLSchema" xmlns:xs="http://www.w3.org/2001/XMLSchema" xmlns:p="http://schemas.microsoft.com/office/2006/metadata/properties" xmlns:ns3="95eb1ff5-88a4-4700-969e-1a04faab3dd4" xmlns:ns4="ed2b5a89-398c-4e7a-9df8-2a27fff0454a" targetNamespace="http://schemas.microsoft.com/office/2006/metadata/properties" ma:root="true" ma:fieldsID="49de3b8a2580e9e947d8eb67794f1687" ns3:_="" ns4:_="">
    <xsd:import namespace="95eb1ff5-88a4-4700-969e-1a04faab3dd4"/>
    <xsd:import namespace="ed2b5a89-398c-4e7a-9df8-2a27fff045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b1ff5-88a4-4700-969e-1a04faab3d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2b5a89-398c-4e7a-9df8-2a27fff045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5D17D-13AF-4FAC-9EF1-D5342562857D}">
  <ds:schemaRefs>
    <ds:schemaRef ds:uri="ed2b5a89-398c-4e7a-9df8-2a27fff0454a"/>
    <ds:schemaRef ds:uri="http://www.w3.org/XML/1998/namespace"/>
    <ds:schemaRef ds:uri="http://purl.org/dc/terms/"/>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95eb1ff5-88a4-4700-969e-1a04faab3dd4"/>
  </ds:schemaRefs>
</ds:datastoreItem>
</file>

<file path=customXml/itemProps2.xml><?xml version="1.0" encoding="utf-8"?>
<ds:datastoreItem xmlns:ds="http://schemas.openxmlformats.org/officeDocument/2006/customXml" ds:itemID="{B70C7991-87CD-4DD0-8378-FFD2945F38C5}">
  <ds:schemaRefs>
    <ds:schemaRef ds:uri="http://schemas.microsoft.com/sharepoint/v3/contenttype/forms"/>
  </ds:schemaRefs>
</ds:datastoreItem>
</file>

<file path=customXml/itemProps3.xml><?xml version="1.0" encoding="utf-8"?>
<ds:datastoreItem xmlns:ds="http://schemas.openxmlformats.org/officeDocument/2006/customXml" ds:itemID="{D46017D0-0BC6-42CE-91EF-C94D68FED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b1ff5-88a4-4700-969e-1a04faab3dd4"/>
    <ds:schemaRef ds:uri="ed2b5a89-398c-4e7a-9df8-2a27fff04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01C479-6561-497C-9698-2CD70FF37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LC%20-%20Issue%20Paper%20-%20Template%202021.dotx</Template>
  <TotalTime>1</TotalTime>
  <Pages>186</Pages>
  <Words>61171</Words>
  <Characters>346392</Characters>
  <Application>Microsoft Office Word</Application>
  <DocSecurity>2</DocSecurity>
  <Lines>2886</Lines>
  <Paragraphs>813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406750</CharactersWithSpaces>
  <SharedDoc>false</SharedDoc>
  <HLinks>
    <vt:vector size="396" baseType="variant">
      <vt:variant>
        <vt:i4>2818170</vt:i4>
      </vt:variant>
      <vt:variant>
        <vt:i4>405</vt:i4>
      </vt:variant>
      <vt:variant>
        <vt:i4>0</vt:i4>
      </vt:variant>
      <vt:variant>
        <vt:i4>5</vt:i4>
      </vt:variant>
      <vt:variant>
        <vt:lpwstr>http://www.lawcom.govt.nz/</vt:lpwstr>
      </vt:variant>
      <vt:variant>
        <vt:lpwstr/>
      </vt:variant>
      <vt:variant>
        <vt:i4>4390965</vt:i4>
      </vt:variant>
      <vt:variant>
        <vt:i4>402</vt:i4>
      </vt:variant>
      <vt:variant>
        <vt:i4>0</vt:i4>
      </vt:variant>
      <vt:variant>
        <vt:i4>5</vt:i4>
      </vt:variant>
      <vt:variant>
        <vt:lpwstr>mailto:com@lawcom.govt.nz</vt:lpwstr>
      </vt:variant>
      <vt:variant>
        <vt:lpwstr/>
      </vt:variant>
      <vt:variant>
        <vt:i4>1703992</vt:i4>
      </vt:variant>
      <vt:variant>
        <vt:i4>266</vt:i4>
      </vt:variant>
      <vt:variant>
        <vt:i4>0</vt:i4>
      </vt:variant>
      <vt:variant>
        <vt:i4>5</vt:i4>
      </vt:variant>
      <vt:variant>
        <vt:lpwstr/>
      </vt:variant>
      <vt:variant>
        <vt:lpwstr>_Toc83732855</vt:lpwstr>
      </vt:variant>
      <vt:variant>
        <vt:i4>1769528</vt:i4>
      </vt:variant>
      <vt:variant>
        <vt:i4>260</vt:i4>
      </vt:variant>
      <vt:variant>
        <vt:i4>0</vt:i4>
      </vt:variant>
      <vt:variant>
        <vt:i4>5</vt:i4>
      </vt:variant>
      <vt:variant>
        <vt:lpwstr/>
      </vt:variant>
      <vt:variant>
        <vt:lpwstr>_Toc83732854</vt:lpwstr>
      </vt:variant>
      <vt:variant>
        <vt:i4>1835064</vt:i4>
      </vt:variant>
      <vt:variant>
        <vt:i4>254</vt:i4>
      </vt:variant>
      <vt:variant>
        <vt:i4>0</vt:i4>
      </vt:variant>
      <vt:variant>
        <vt:i4>5</vt:i4>
      </vt:variant>
      <vt:variant>
        <vt:lpwstr/>
      </vt:variant>
      <vt:variant>
        <vt:lpwstr>_Toc83732853</vt:lpwstr>
      </vt:variant>
      <vt:variant>
        <vt:i4>1900600</vt:i4>
      </vt:variant>
      <vt:variant>
        <vt:i4>248</vt:i4>
      </vt:variant>
      <vt:variant>
        <vt:i4>0</vt:i4>
      </vt:variant>
      <vt:variant>
        <vt:i4>5</vt:i4>
      </vt:variant>
      <vt:variant>
        <vt:lpwstr/>
      </vt:variant>
      <vt:variant>
        <vt:lpwstr>_Toc83732852</vt:lpwstr>
      </vt:variant>
      <vt:variant>
        <vt:i4>1966136</vt:i4>
      </vt:variant>
      <vt:variant>
        <vt:i4>242</vt:i4>
      </vt:variant>
      <vt:variant>
        <vt:i4>0</vt:i4>
      </vt:variant>
      <vt:variant>
        <vt:i4>5</vt:i4>
      </vt:variant>
      <vt:variant>
        <vt:lpwstr/>
      </vt:variant>
      <vt:variant>
        <vt:lpwstr>_Toc83732851</vt:lpwstr>
      </vt:variant>
      <vt:variant>
        <vt:i4>2031672</vt:i4>
      </vt:variant>
      <vt:variant>
        <vt:i4>236</vt:i4>
      </vt:variant>
      <vt:variant>
        <vt:i4>0</vt:i4>
      </vt:variant>
      <vt:variant>
        <vt:i4>5</vt:i4>
      </vt:variant>
      <vt:variant>
        <vt:lpwstr/>
      </vt:variant>
      <vt:variant>
        <vt:lpwstr>_Toc83732850</vt:lpwstr>
      </vt:variant>
      <vt:variant>
        <vt:i4>1441849</vt:i4>
      </vt:variant>
      <vt:variant>
        <vt:i4>230</vt:i4>
      </vt:variant>
      <vt:variant>
        <vt:i4>0</vt:i4>
      </vt:variant>
      <vt:variant>
        <vt:i4>5</vt:i4>
      </vt:variant>
      <vt:variant>
        <vt:lpwstr/>
      </vt:variant>
      <vt:variant>
        <vt:lpwstr>_Toc83732849</vt:lpwstr>
      </vt:variant>
      <vt:variant>
        <vt:i4>1507385</vt:i4>
      </vt:variant>
      <vt:variant>
        <vt:i4>224</vt:i4>
      </vt:variant>
      <vt:variant>
        <vt:i4>0</vt:i4>
      </vt:variant>
      <vt:variant>
        <vt:i4>5</vt:i4>
      </vt:variant>
      <vt:variant>
        <vt:lpwstr/>
      </vt:variant>
      <vt:variant>
        <vt:lpwstr>_Toc83732848</vt:lpwstr>
      </vt:variant>
      <vt:variant>
        <vt:i4>1572921</vt:i4>
      </vt:variant>
      <vt:variant>
        <vt:i4>218</vt:i4>
      </vt:variant>
      <vt:variant>
        <vt:i4>0</vt:i4>
      </vt:variant>
      <vt:variant>
        <vt:i4>5</vt:i4>
      </vt:variant>
      <vt:variant>
        <vt:lpwstr/>
      </vt:variant>
      <vt:variant>
        <vt:lpwstr>_Toc83732847</vt:lpwstr>
      </vt:variant>
      <vt:variant>
        <vt:i4>1638457</vt:i4>
      </vt:variant>
      <vt:variant>
        <vt:i4>212</vt:i4>
      </vt:variant>
      <vt:variant>
        <vt:i4>0</vt:i4>
      </vt:variant>
      <vt:variant>
        <vt:i4>5</vt:i4>
      </vt:variant>
      <vt:variant>
        <vt:lpwstr/>
      </vt:variant>
      <vt:variant>
        <vt:lpwstr>_Toc83732846</vt:lpwstr>
      </vt:variant>
      <vt:variant>
        <vt:i4>1703993</vt:i4>
      </vt:variant>
      <vt:variant>
        <vt:i4>206</vt:i4>
      </vt:variant>
      <vt:variant>
        <vt:i4>0</vt:i4>
      </vt:variant>
      <vt:variant>
        <vt:i4>5</vt:i4>
      </vt:variant>
      <vt:variant>
        <vt:lpwstr/>
      </vt:variant>
      <vt:variant>
        <vt:lpwstr>_Toc83732845</vt:lpwstr>
      </vt:variant>
      <vt:variant>
        <vt:i4>1769529</vt:i4>
      </vt:variant>
      <vt:variant>
        <vt:i4>200</vt:i4>
      </vt:variant>
      <vt:variant>
        <vt:i4>0</vt:i4>
      </vt:variant>
      <vt:variant>
        <vt:i4>5</vt:i4>
      </vt:variant>
      <vt:variant>
        <vt:lpwstr/>
      </vt:variant>
      <vt:variant>
        <vt:lpwstr>_Toc83732844</vt:lpwstr>
      </vt:variant>
      <vt:variant>
        <vt:i4>1835065</vt:i4>
      </vt:variant>
      <vt:variant>
        <vt:i4>194</vt:i4>
      </vt:variant>
      <vt:variant>
        <vt:i4>0</vt:i4>
      </vt:variant>
      <vt:variant>
        <vt:i4>5</vt:i4>
      </vt:variant>
      <vt:variant>
        <vt:lpwstr/>
      </vt:variant>
      <vt:variant>
        <vt:lpwstr>_Toc83732843</vt:lpwstr>
      </vt:variant>
      <vt:variant>
        <vt:i4>1900601</vt:i4>
      </vt:variant>
      <vt:variant>
        <vt:i4>188</vt:i4>
      </vt:variant>
      <vt:variant>
        <vt:i4>0</vt:i4>
      </vt:variant>
      <vt:variant>
        <vt:i4>5</vt:i4>
      </vt:variant>
      <vt:variant>
        <vt:lpwstr/>
      </vt:variant>
      <vt:variant>
        <vt:lpwstr>_Toc83732842</vt:lpwstr>
      </vt:variant>
      <vt:variant>
        <vt:i4>1966137</vt:i4>
      </vt:variant>
      <vt:variant>
        <vt:i4>182</vt:i4>
      </vt:variant>
      <vt:variant>
        <vt:i4>0</vt:i4>
      </vt:variant>
      <vt:variant>
        <vt:i4>5</vt:i4>
      </vt:variant>
      <vt:variant>
        <vt:lpwstr/>
      </vt:variant>
      <vt:variant>
        <vt:lpwstr>_Toc83732841</vt:lpwstr>
      </vt:variant>
      <vt:variant>
        <vt:i4>2031673</vt:i4>
      </vt:variant>
      <vt:variant>
        <vt:i4>176</vt:i4>
      </vt:variant>
      <vt:variant>
        <vt:i4>0</vt:i4>
      </vt:variant>
      <vt:variant>
        <vt:i4>5</vt:i4>
      </vt:variant>
      <vt:variant>
        <vt:lpwstr/>
      </vt:variant>
      <vt:variant>
        <vt:lpwstr>_Toc83732840</vt:lpwstr>
      </vt:variant>
      <vt:variant>
        <vt:i4>1441854</vt:i4>
      </vt:variant>
      <vt:variant>
        <vt:i4>170</vt:i4>
      </vt:variant>
      <vt:variant>
        <vt:i4>0</vt:i4>
      </vt:variant>
      <vt:variant>
        <vt:i4>5</vt:i4>
      </vt:variant>
      <vt:variant>
        <vt:lpwstr/>
      </vt:variant>
      <vt:variant>
        <vt:lpwstr>_Toc83732839</vt:lpwstr>
      </vt:variant>
      <vt:variant>
        <vt:i4>1507390</vt:i4>
      </vt:variant>
      <vt:variant>
        <vt:i4>164</vt:i4>
      </vt:variant>
      <vt:variant>
        <vt:i4>0</vt:i4>
      </vt:variant>
      <vt:variant>
        <vt:i4>5</vt:i4>
      </vt:variant>
      <vt:variant>
        <vt:lpwstr/>
      </vt:variant>
      <vt:variant>
        <vt:lpwstr>_Toc83732838</vt:lpwstr>
      </vt:variant>
      <vt:variant>
        <vt:i4>1572926</vt:i4>
      </vt:variant>
      <vt:variant>
        <vt:i4>158</vt:i4>
      </vt:variant>
      <vt:variant>
        <vt:i4>0</vt:i4>
      </vt:variant>
      <vt:variant>
        <vt:i4>5</vt:i4>
      </vt:variant>
      <vt:variant>
        <vt:lpwstr/>
      </vt:variant>
      <vt:variant>
        <vt:lpwstr>_Toc83732837</vt:lpwstr>
      </vt:variant>
      <vt:variant>
        <vt:i4>1638462</vt:i4>
      </vt:variant>
      <vt:variant>
        <vt:i4>152</vt:i4>
      </vt:variant>
      <vt:variant>
        <vt:i4>0</vt:i4>
      </vt:variant>
      <vt:variant>
        <vt:i4>5</vt:i4>
      </vt:variant>
      <vt:variant>
        <vt:lpwstr/>
      </vt:variant>
      <vt:variant>
        <vt:lpwstr>_Toc83732836</vt:lpwstr>
      </vt:variant>
      <vt:variant>
        <vt:i4>1703998</vt:i4>
      </vt:variant>
      <vt:variant>
        <vt:i4>146</vt:i4>
      </vt:variant>
      <vt:variant>
        <vt:i4>0</vt:i4>
      </vt:variant>
      <vt:variant>
        <vt:i4>5</vt:i4>
      </vt:variant>
      <vt:variant>
        <vt:lpwstr/>
      </vt:variant>
      <vt:variant>
        <vt:lpwstr>_Toc83732835</vt:lpwstr>
      </vt:variant>
      <vt:variant>
        <vt:i4>1769534</vt:i4>
      </vt:variant>
      <vt:variant>
        <vt:i4>140</vt:i4>
      </vt:variant>
      <vt:variant>
        <vt:i4>0</vt:i4>
      </vt:variant>
      <vt:variant>
        <vt:i4>5</vt:i4>
      </vt:variant>
      <vt:variant>
        <vt:lpwstr/>
      </vt:variant>
      <vt:variant>
        <vt:lpwstr>_Toc83732834</vt:lpwstr>
      </vt:variant>
      <vt:variant>
        <vt:i4>1835070</vt:i4>
      </vt:variant>
      <vt:variant>
        <vt:i4>134</vt:i4>
      </vt:variant>
      <vt:variant>
        <vt:i4>0</vt:i4>
      </vt:variant>
      <vt:variant>
        <vt:i4>5</vt:i4>
      </vt:variant>
      <vt:variant>
        <vt:lpwstr/>
      </vt:variant>
      <vt:variant>
        <vt:lpwstr>_Toc83732833</vt:lpwstr>
      </vt:variant>
      <vt:variant>
        <vt:i4>1900606</vt:i4>
      </vt:variant>
      <vt:variant>
        <vt:i4>128</vt:i4>
      </vt:variant>
      <vt:variant>
        <vt:i4>0</vt:i4>
      </vt:variant>
      <vt:variant>
        <vt:i4>5</vt:i4>
      </vt:variant>
      <vt:variant>
        <vt:lpwstr/>
      </vt:variant>
      <vt:variant>
        <vt:lpwstr>_Toc83732832</vt:lpwstr>
      </vt:variant>
      <vt:variant>
        <vt:i4>1966142</vt:i4>
      </vt:variant>
      <vt:variant>
        <vt:i4>122</vt:i4>
      </vt:variant>
      <vt:variant>
        <vt:i4>0</vt:i4>
      </vt:variant>
      <vt:variant>
        <vt:i4>5</vt:i4>
      </vt:variant>
      <vt:variant>
        <vt:lpwstr/>
      </vt:variant>
      <vt:variant>
        <vt:lpwstr>_Toc83732831</vt:lpwstr>
      </vt:variant>
      <vt:variant>
        <vt:i4>2031678</vt:i4>
      </vt:variant>
      <vt:variant>
        <vt:i4>116</vt:i4>
      </vt:variant>
      <vt:variant>
        <vt:i4>0</vt:i4>
      </vt:variant>
      <vt:variant>
        <vt:i4>5</vt:i4>
      </vt:variant>
      <vt:variant>
        <vt:lpwstr/>
      </vt:variant>
      <vt:variant>
        <vt:lpwstr>_Toc83732830</vt:lpwstr>
      </vt:variant>
      <vt:variant>
        <vt:i4>1441855</vt:i4>
      </vt:variant>
      <vt:variant>
        <vt:i4>110</vt:i4>
      </vt:variant>
      <vt:variant>
        <vt:i4>0</vt:i4>
      </vt:variant>
      <vt:variant>
        <vt:i4>5</vt:i4>
      </vt:variant>
      <vt:variant>
        <vt:lpwstr/>
      </vt:variant>
      <vt:variant>
        <vt:lpwstr>_Toc83732829</vt:lpwstr>
      </vt:variant>
      <vt:variant>
        <vt:i4>1507391</vt:i4>
      </vt:variant>
      <vt:variant>
        <vt:i4>104</vt:i4>
      </vt:variant>
      <vt:variant>
        <vt:i4>0</vt:i4>
      </vt:variant>
      <vt:variant>
        <vt:i4>5</vt:i4>
      </vt:variant>
      <vt:variant>
        <vt:lpwstr/>
      </vt:variant>
      <vt:variant>
        <vt:lpwstr>_Toc83732828</vt:lpwstr>
      </vt:variant>
      <vt:variant>
        <vt:i4>1572927</vt:i4>
      </vt:variant>
      <vt:variant>
        <vt:i4>98</vt:i4>
      </vt:variant>
      <vt:variant>
        <vt:i4>0</vt:i4>
      </vt:variant>
      <vt:variant>
        <vt:i4>5</vt:i4>
      </vt:variant>
      <vt:variant>
        <vt:lpwstr/>
      </vt:variant>
      <vt:variant>
        <vt:lpwstr>_Toc83732827</vt:lpwstr>
      </vt:variant>
      <vt:variant>
        <vt:i4>1638463</vt:i4>
      </vt:variant>
      <vt:variant>
        <vt:i4>92</vt:i4>
      </vt:variant>
      <vt:variant>
        <vt:i4>0</vt:i4>
      </vt:variant>
      <vt:variant>
        <vt:i4>5</vt:i4>
      </vt:variant>
      <vt:variant>
        <vt:lpwstr/>
      </vt:variant>
      <vt:variant>
        <vt:lpwstr>_Toc83732826</vt:lpwstr>
      </vt:variant>
      <vt:variant>
        <vt:i4>1703999</vt:i4>
      </vt:variant>
      <vt:variant>
        <vt:i4>86</vt:i4>
      </vt:variant>
      <vt:variant>
        <vt:i4>0</vt:i4>
      </vt:variant>
      <vt:variant>
        <vt:i4>5</vt:i4>
      </vt:variant>
      <vt:variant>
        <vt:lpwstr/>
      </vt:variant>
      <vt:variant>
        <vt:lpwstr>_Toc83732825</vt:lpwstr>
      </vt:variant>
      <vt:variant>
        <vt:i4>1769535</vt:i4>
      </vt:variant>
      <vt:variant>
        <vt:i4>80</vt:i4>
      </vt:variant>
      <vt:variant>
        <vt:i4>0</vt:i4>
      </vt:variant>
      <vt:variant>
        <vt:i4>5</vt:i4>
      </vt:variant>
      <vt:variant>
        <vt:lpwstr/>
      </vt:variant>
      <vt:variant>
        <vt:lpwstr>_Toc83732824</vt:lpwstr>
      </vt:variant>
      <vt:variant>
        <vt:i4>1835071</vt:i4>
      </vt:variant>
      <vt:variant>
        <vt:i4>74</vt:i4>
      </vt:variant>
      <vt:variant>
        <vt:i4>0</vt:i4>
      </vt:variant>
      <vt:variant>
        <vt:i4>5</vt:i4>
      </vt:variant>
      <vt:variant>
        <vt:lpwstr/>
      </vt:variant>
      <vt:variant>
        <vt:lpwstr>_Toc83732823</vt:lpwstr>
      </vt:variant>
      <vt:variant>
        <vt:i4>1900607</vt:i4>
      </vt:variant>
      <vt:variant>
        <vt:i4>68</vt:i4>
      </vt:variant>
      <vt:variant>
        <vt:i4>0</vt:i4>
      </vt:variant>
      <vt:variant>
        <vt:i4>5</vt:i4>
      </vt:variant>
      <vt:variant>
        <vt:lpwstr/>
      </vt:variant>
      <vt:variant>
        <vt:lpwstr>_Toc83732822</vt:lpwstr>
      </vt:variant>
      <vt:variant>
        <vt:i4>1966143</vt:i4>
      </vt:variant>
      <vt:variant>
        <vt:i4>62</vt:i4>
      </vt:variant>
      <vt:variant>
        <vt:i4>0</vt:i4>
      </vt:variant>
      <vt:variant>
        <vt:i4>5</vt:i4>
      </vt:variant>
      <vt:variant>
        <vt:lpwstr/>
      </vt:variant>
      <vt:variant>
        <vt:lpwstr>_Toc83732821</vt:lpwstr>
      </vt:variant>
      <vt:variant>
        <vt:i4>2031679</vt:i4>
      </vt:variant>
      <vt:variant>
        <vt:i4>56</vt:i4>
      </vt:variant>
      <vt:variant>
        <vt:i4>0</vt:i4>
      </vt:variant>
      <vt:variant>
        <vt:i4>5</vt:i4>
      </vt:variant>
      <vt:variant>
        <vt:lpwstr/>
      </vt:variant>
      <vt:variant>
        <vt:lpwstr>_Toc83732820</vt:lpwstr>
      </vt:variant>
      <vt:variant>
        <vt:i4>1441852</vt:i4>
      </vt:variant>
      <vt:variant>
        <vt:i4>50</vt:i4>
      </vt:variant>
      <vt:variant>
        <vt:i4>0</vt:i4>
      </vt:variant>
      <vt:variant>
        <vt:i4>5</vt:i4>
      </vt:variant>
      <vt:variant>
        <vt:lpwstr/>
      </vt:variant>
      <vt:variant>
        <vt:lpwstr>_Toc83732819</vt:lpwstr>
      </vt:variant>
      <vt:variant>
        <vt:i4>1507388</vt:i4>
      </vt:variant>
      <vt:variant>
        <vt:i4>44</vt:i4>
      </vt:variant>
      <vt:variant>
        <vt:i4>0</vt:i4>
      </vt:variant>
      <vt:variant>
        <vt:i4>5</vt:i4>
      </vt:variant>
      <vt:variant>
        <vt:lpwstr/>
      </vt:variant>
      <vt:variant>
        <vt:lpwstr>_Toc83732818</vt:lpwstr>
      </vt:variant>
      <vt:variant>
        <vt:i4>1572924</vt:i4>
      </vt:variant>
      <vt:variant>
        <vt:i4>38</vt:i4>
      </vt:variant>
      <vt:variant>
        <vt:i4>0</vt:i4>
      </vt:variant>
      <vt:variant>
        <vt:i4>5</vt:i4>
      </vt:variant>
      <vt:variant>
        <vt:lpwstr/>
      </vt:variant>
      <vt:variant>
        <vt:lpwstr>_Toc83732817</vt:lpwstr>
      </vt:variant>
      <vt:variant>
        <vt:i4>1703996</vt:i4>
      </vt:variant>
      <vt:variant>
        <vt:i4>32</vt:i4>
      </vt:variant>
      <vt:variant>
        <vt:i4>0</vt:i4>
      </vt:variant>
      <vt:variant>
        <vt:i4>5</vt:i4>
      </vt:variant>
      <vt:variant>
        <vt:lpwstr/>
      </vt:variant>
      <vt:variant>
        <vt:lpwstr>_Toc83732815</vt:lpwstr>
      </vt:variant>
      <vt:variant>
        <vt:i4>1769532</vt:i4>
      </vt:variant>
      <vt:variant>
        <vt:i4>26</vt:i4>
      </vt:variant>
      <vt:variant>
        <vt:i4>0</vt:i4>
      </vt:variant>
      <vt:variant>
        <vt:i4>5</vt:i4>
      </vt:variant>
      <vt:variant>
        <vt:lpwstr/>
      </vt:variant>
      <vt:variant>
        <vt:lpwstr>_Toc83732814</vt:lpwstr>
      </vt:variant>
      <vt:variant>
        <vt:i4>1835068</vt:i4>
      </vt:variant>
      <vt:variant>
        <vt:i4>20</vt:i4>
      </vt:variant>
      <vt:variant>
        <vt:i4>0</vt:i4>
      </vt:variant>
      <vt:variant>
        <vt:i4>5</vt:i4>
      </vt:variant>
      <vt:variant>
        <vt:lpwstr/>
      </vt:variant>
      <vt:variant>
        <vt:lpwstr>_Toc83732813</vt:lpwstr>
      </vt:variant>
      <vt:variant>
        <vt:i4>1900604</vt:i4>
      </vt:variant>
      <vt:variant>
        <vt:i4>14</vt:i4>
      </vt:variant>
      <vt:variant>
        <vt:i4>0</vt:i4>
      </vt:variant>
      <vt:variant>
        <vt:i4>5</vt:i4>
      </vt:variant>
      <vt:variant>
        <vt:lpwstr/>
      </vt:variant>
      <vt:variant>
        <vt:lpwstr>_Toc83732812</vt:lpwstr>
      </vt:variant>
      <vt:variant>
        <vt:i4>4325435</vt:i4>
      </vt:variant>
      <vt:variant>
        <vt:i4>9</vt:i4>
      </vt:variant>
      <vt:variant>
        <vt:i4>0</vt:i4>
      </vt:variant>
      <vt:variant>
        <vt:i4>5</vt:i4>
      </vt:variant>
      <vt:variant>
        <vt:lpwstr>mailto:cal@lawcom.govt.nz</vt:lpwstr>
      </vt:variant>
      <vt:variant>
        <vt:lpwstr/>
      </vt:variant>
      <vt:variant>
        <vt:i4>2818170</vt:i4>
      </vt:variant>
      <vt:variant>
        <vt:i4>6</vt:i4>
      </vt:variant>
      <vt:variant>
        <vt:i4>0</vt:i4>
      </vt:variant>
      <vt:variant>
        <vt:i4>5</vt:i4>
      </vt:variant>
      <vt:variant>
        <vt:lpwstr>http://www.lawcom.govt.nz/</vt:lpwstr>
      </vt:variant>
      <vt:variant>
        <vt:lpwstr/>
      </vt:variant>
      <vt:variant>
        <vt:i4>2818170</vt:i4>
      </vt:variant>
      <vt:variant>
        <vt:i4>3</vt:i4>
      </vt:variant>
      <vt:variant>
        <vt:i4>0</vt:i4>
      </vt:variant>
      <vt:variant>
        <vt:i4>5</vt:i4>
      </vt:variant>
      <vt:variant>
        <vt:lpwstr>http://www.lawcom.govt.nz/</vt:lpwstr>
      </vt:variant>
      <vt:variant>
        <vt:lpwstr/>
      </vt:variant>
      <vt:variant>
        <vt:i4>4390965</vt:i4>
      </vt:variant>
      <vt:variant>
        <vt:i4>0</vt:i4>
      </vt:variant>
      <vt:variant>
        <vt:i4>0</vt:i4>
      </vt:variant>
      <vt:variant>
        <vt:i4>5</vt:i4>
      </vt:variant>
      <vt:variant>
        <vt:lpwstr>mailto:com@lawcom.govt.nz</vt:lpwstr>
      </vt:variant>
      <vt:variant>
        <vt:lpwstr/>
      </vt:variant>
      <vt:variant>
        <vt:i4>2293878</vt:i4>
      </vt:variant>
      <vt:variant>
        <vt:i4>24</vt:i4>
      </vt:variant>
      <vt:variant>
        <vt:i4>0</vt:i4>
      </vt:variant>
      <vt:variant>
        <vt:i4>5</vt:i4>
      </vt:variant>
      <vt:variant>
        <vt:lpwstr>https://www.supremecourt.vic.gov.au/law-and-practice/areas-of-the-court/common-law-division</vt:lpwstr>
      </vt:variant>
      <vt:variant>
        <vt:lpwstr/>
      </vt:variant>
      <vt:variant>
        <vt:i4>3735606</vt:i4>
      </vt:variant>
      <vt:variant>
        <vt:i4>21</vt:i4>
      </vt:variant>
      <vt:variant>
        <vt:i4>0</vt:i4>
      </vt:variant>
      <vt:variant>
        <vt:i4>5</vt:i4>
      </vt:variant>
      <vt:variant>
        <vt:lpwstr>https://classactionclinic.com/our-mission-and-services/</vt:lpwstr>
      </vt:variant>
      <vt:variant>
        <vt:lpwstr/>
      </vt:variant>
      <vt:variant>
        <vt:i4>5439503</vt:i4>
      </vt:variant>
      <vt:variant>
        <vt:i4>18</vt:i4>
      </vt:variant>
      <vt:variant>
        <vt:i4>0</vt:i4>
      </vt:variant>
      <vt:variant>
        <vt:i4>5</vt:i4>
      </vt:variant>
      <vt:variant>
        <vt:lpwstr>https://content.next.westlaw.com/2-618-0466?__lrTS=20200920131404993&amp;transitionType=Default&amp;contextData=%28sc.Default%29</vt:lpwstr>
      </vt:variant>
      <vt:variant>
        <vt:lpwstr>:~:text=the%20current%20trends%3F-,Definition%20of%20class%2Fcollective%20actions,individuals%20who%20have%20similar%20claims.</vt:lpwstr>
      </vt:variant>
      <vt:variant>
        <vt:i4>3932206</vt:i4>
      </vt:variant>
      <vt:variant>
        <vt:i4>15</vt:i4>
      </vt:variant>
      <vt:variant>
        <vt:i4>0</vt:i4>
      </vt:variant>
      <vt:variant>
        <vt:i4>5</vt:i4>
      </vt:variant>
      <vt:variant>
        <vt:lpwstr>https://www.nbr.co.nz/story/anz-settles-class-action-claim-ross-fraud</vt:lpwstr>
      </vt:variant>
      <vt:variant>
        <vt:lpwstr>:~:text=A%20%24100%20million%20class%20action,court%20for%20a%20confidential%20sum.</vt:lpwstr>
      </vt:variant>
      <vt:variant>
        <vt:i4>2818145</vt:i4>
      </vt:variant>
      <vt:variant>
        <vt:i4>12</vt:i4>
      </vt:variant>
      <vt:variant>
        <vt:i4>0</vt:i4>
      </vt:variant>
      <vt:variant>
        <vt:i4>5</vt:i4>
      </vt:variant>
      <vt:variant>
        <vt:lpwstr>https://1.next.westlaw.com/Link/Document/FullText?findType=Y&amp;serNum=1997071092&amp;pubNum=0000506&amp;originatingDoc=I22416ebffd1e11d9816eac1887e4612d&amp;refType=RP&amp;fi=co_pp_sp_506_345&amp;originationContext=document&amp;transitionType=DocumentItem&amp;contextData=(sc.Category)</vt:lpwstr>
      </vt:variant>
      <vt:variant>
        <vt:lpwstr>co_pp_sp_506_345</vt:lpwstr>
      </vt:variant>
      <vt:variant>
        <vt:i4>6160470</vt:i4>
      </vt:variant>
      <vt:variant>
        <vt:i4>9</vt:i4>
      </vt:variant>
      <vt:variant>
        <vt:i4>0</vt:i4>
      </vt:variant>
      <vt:variant>
        <vt:i4>5</vt:i4>
      </vt:variant>
      <vt:variant>
        <vt:lpwstr>https://www.catribunal.org.uk/cases/13297719-michael-ohiggins-fx-class-representative-lim</vt:lpwstr>
      </vt:variant>
      <vt:variant>
        <vt:lpwstr/>
      </vt:variant>
      <vt:variant>
        <vt:i4>5570646</vt:i4>
      </vt:variant>
      <vt:variant>
        <vt:i4>3</vt:i4>
      </vt:variant>
      <vt:variant>
        <vt:i4>0</vt:i4>
      </vt:variant>
      <vt:variant>
        <vt:i4>5</vt:i4>
      </vt:variant>
      <vt:variant>
        <vt:lpwstr>https://www.lawsociety.org.nz/news/legal-news/access-to-justice-survey-of-the-profession/</vt:lpwstr>
      </vt:variant>
      <vt:variant>
        <vt:lpwstr/>
      </vt:variant>
      <vt:variant>
        <vt:i4>1900633</vt:i4>
      </vt:variant>
      <vt:variant>
        <vt:i4>0</vt:i4>
      </vt:variant>
      <vt:variant>
        <vt:i4>0</vt:i4>
      </vt:variant>
      <vt:variant>
        <vt:i4>5</vt:i4>
      </vt:variant>
      <vt:variant>
        <vt:lpwstr>https://www.courtsofnz.govt.nz/about-the-judiciary/rules-committee/access-to-civil-justice-consultation/</vt:lpwstr>
      </vt:variant>
      <vt:variant>
        <vt:lpwstr/>
      </vt:variant>
      <vt:variant>
        <vt:i4>3145801</vt:i4>
      </vt:variant>
      <vt:variant>
        <vt:i4>24</vt:i4>
      </vt:variant>
      <vt:variant>
        <vt:i4>0</vt:i4>
      </vt:variant>
      <vt:variant>
        <vt:i4>5</vt:i4>
      </vt:variant>
      <vt:variant>
        <vt:lpwstr>mailto:JRyan@lawcom.govt.nz</vt:lpwstr>
      </vt:variant>
      <vt:variant>
        <vt:lpwstr/>
      </vt:variant>
      <vt:variant>
        <vt:i4>7798805</vt:i4>
      </vt:variant>
      <vt:variant>
        <vt:i4>21</vt:i4>
      </vt:variant>
      <vt:variant>
        <vt:i4>0</vt:i4>
      </vt:variant>
      <vt:variant>
        <vt:i4>5</vt:i4>
      </vt:variant>
      <vt:variant>
        <vt:lpwstr>mailto:JWatts@lawcom.govt.nz</vt:lpwstr>
      </vt:variant>
      <vt:variant>
        <vt:lpwstr/>
      </vt:variant>
      <vt:variant>
        <vt:i4>7798805</vt:i4>
      </vt:variant>
      <vt:variant>
        <vt:i4>18</vt:i4>
      </vt:variant>
      <vt:variant>
        <vt:i4>0</vt:i4>
      </vt:variant>
      <vt:variant>
        <vt:i4>5</vt:i4>
      </vt:variant>
      <vt:variant>
        <vt:lpwstr>mailto:JWatts@lawcom.govt.nz</vt:lpwstr>
      </vt:variant>
      <vt:variant>
        <vt:lpwstr/>
      </vt:variant>
      <vt:variant>
        <vt:i4>5832740</vt:i4>
      </vt:variant>
      <vt:variant>
        <vt:i4>15</vt:i4>
      </vt:variant>
      <vt:variant>
        <vt:i4>0</vt:i4>
      </vt:variant>
      <vt:variant>
        <vt:i4>5</vt:i4>
      </vt:variant>
      <vt:variant>
        <vt:lpwstr>mailto:dnguyen@lawcom.govt.nz</vt:lpwstr>
      </vt:variant>
      <vt:variant>
        <vt:lpwstr/>
      </vt:variant>
      <vt:variant>
        <vt:i4>5832740</vt:i4>
      </vt:variant>
      <vt:variant>
        <vt:i4>12</vt:i4>
      </vt:variant>
      <vt:variant>
        <vt:i4>0</vt:i4>
      </vt:variant>
      <vt:variant>
        <vt:i4>5</vt:i4>
      </vt:variant>
      <vt:variant>
        <vt:lpwstr>mailto:dnguyen@lawcom.govt.nz</vt:lpwstr>
      </vt:variant>
      <vt:variant>
        <vt:lpwstr/>
      </vt:variant>
      <vt:variant>
        <vt:i4>7798805</vt:i4>
      </vt:variant>
      <vt:variant>
        <vt:i4>9</vt:i4>
      </vt:variant>
      <vt:variant>
        <vt:i4>0</vt:i4>
      </vt:variant>
      <vt:variant>
        <vt:i4>5</vt:i4>
      </vt:variant>
      <vt:variant>
        <vt:lpwstr>mailto:JWatts@lawcom.govt.nz</vt:lpwstr>
      </vt:variant>
      <vt:variant>
        <vt:lpwstr/>
      </vt:variant>
      <vt:variant>
        <vt:i4>5636167</vt:i4>
      </vt:variant>
      <vt:variant>
        <vt:i4>6</vt:i4>
      </vt:variant>
      <vt:variant>
        <vt:i4>0</vt:i4>
      </vt:variant>
      <vt:variant>
        <vt:i4>5</vt:i4>
      </vt:variant>
      <vt:variant>
        <vt:lpwstr>https://www.uscourts.gov/sites/default/files/federal_rules_of_civil_procedure_-_december_2020_0.pdf</vt:lpwstr>
      </vt:variant>
      <vt:variant>
        <vt:lpwstr/>
      </vt:variant>
      <vt:variant>
        <vt:i4>7798805</vt:i4>
      </vt:variant>
      <vt:variant>
        <vt:i4>3</vt:i4>
      </vt:variant>
      <vt:variant>
        <vt:i4>0</vt:i4>
      </vt:variant>
      <vt:variant>
        <vt:i4>5</vt:i4>
      </vt:variant>
      <vt:variant>
        <vt:lpwstr>mailto:JWatts@lawcom.govt.nz</vt:lpwstr>
      </vt:variant>
      <vt:variant>
        <vt:lpwstr/>
      </vt:variant>
      <vt:variant>
        <vt:i4>5832740</vt:i4>
      </vt:variant>
      <vt:variant>
        <vt:i4>0</vt:i4>
      </vt:variant>
      <vt:variant>
        <vt:i4>0</vt:i4>
      </vt:variant>
      <vt:variant>
        <vt:i4>5</vt:i4>
      </vt:variant>
      <vt:variant>
        <vt:lpwstr>mailto:dnguyen@lawcom.govt.nz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cal@lawcom.govt.nz</dc:creator>
  <cp:keywords/>
  <dc:description/>
  <cp:lastModifiedBy>Duke Nguyen</cp:lastModifiedBy>
  <cp:revision>2</cp:revision>
  <cp:lastPrinted>2021-09-30T03:44:00Z</cp:lastPrinted>
  <dcterms:created xsi:type="dcterms:W3CDTF">2021-11-16T22:28:00Z</dcterms:created>
  <dcterms:modified xsi:type="dcterms:W3CDTF">2021-11-16T22:28:00Z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2018-05-28T00:00:00Z</vt:filetime>
  </property>
  <property fmtid="{D5CDD505-2E9C-101B-9397-08002B2CF9AE}" pid="4" name="ContentTypeId">
    <vt:lpwstr>0x01010036C311EA22BA744E97E9DD3E651B02BA</vt:lpwstr>
  </property>
  <property fmtid="{D5CDD505-2E9C-101B-9397-08002B2CF9AE}" pid="5" name="_dlc_DocIdItemGuid">
    <vt:lpwstr>f92f9972-24d0-4d47-8362-feb8da70642f</vt:lpwstr>
  </property>
  <property fmtid="{D5CDD505-2E9C-101B-9397-08002B2CF9AE}" pid="6" name="_MarkAsFinal">
    <vt:bool>true</vt:bool>
  </property>
</Properties>
</file>